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0219F" w14:textId="77777777" w:rsidR="0037067F" w:rsidRDefault="0037067F" w:rsidP="0037067F"/>
    <w:p w14:paraId="50E6B0BF" w14:textId="77777777" w:rsidR="0037067F" w:rsidRDefault="0037067F" w:rsidP="0037067F">
      <w:pPr>
        <w:pBdr>
          <w:top w:val="nil"/>
          <w:left w:val="nil"/>
          <w:bottom w:val="nil"/>
          <w:right w:val="nil"/>
          <w:between w:val="nil"/>
        </w:pBdr>
        <w:jc w:val="center"/>
        <w:rPr>
          <w:color w:val="000000"/>
        </w:rPr>
      </w:pPr>
    </w:p>
    <w:p w14:paraId="3D175D03" w14:textId="77777777" w:rsidR="0037067F" w:rsidRDefault="0037067F" w:rsidP="0037067F">
      <w:pPr>
        <w:pBdr>
          <w:top w:val="nil"/>
          <w:left w:val="nil"/>
          <w:bottom w:val="nil"/>
          <w:right w:val="nil"/>
          <w:between w:val="nil"/>
        </w:pBdr>
        <w:jc w:val="center"/>
        <w:rPr>
          <w:color w:val="000000"/>
        </w:rPr>
      </w:pPr>
      <w:r>
        <w:rPr>
          <w:noProof/>
          <w:color w:val="000000"/>
        </w:rPr>
        <w:drawing>
          <wp:inline distT="0" distB="0" distL="0" distR="0" wp14:anchorId="6E794114" wp14:editId="64786BAC">
            <wp:extent cx="1806521" cy="1967309"/>
            <wp:effectExtent l="0" t="0" r="0" b="0"/>
            <wp:docPr id="1" name="image2.png" descr="A blue and white logo&#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2.png" descr="A blue and white logo&#10;&#10;AI-generated content may be incorrect."/>
                    <pic:cNvPicPr preferRelativeResize="0"/>
                  </pic:nvPicPr>
                  <pic:blipFill>
                    <a:blip r:embed="rId8"/>
                    <a:srcRect/>
                    <a:stretch>
                      <a:fillRect/>
                    </a:stretch>
                  </pic:blipFill>
                  <pic:spPr>
                    <a:xfrm>
                      <a:off x="0" y="0"/>
                      <a:ext cx="1806521" cy="1967309"/>
                    </a:xfrm>
                    <a:prstGeom prst="rect">
                      <a:avLst/>
                    </a:prstGeom>
                    <a:ln/>
                  </pic:spPr>
                </pic:pic>
              </a:graphicData>
            </a:graphic>
          </wp:inline>
        </w:drawing>
      </w:r>
    </w:p>
    <w:p w14:paraId="44581CD3" w14:textId="77777777" w:rsidR="0037067F" w:rsidRDefault="0037067F" w:rsidP="0037067F">
      <w:pPr>
        <w:pBdr>
          <w:top w:val="nil"/>
          <w:left w:val="nil"/>
          <w:bottom w:val="nil"/>
          <w:right w:val="nil"/>
          <w:between w:val="nil"/>
        </w:pBdr>
        <w:jc w:val="center"/>
        <w:rPr>
          <w:color w:val="000000"/>
        </w:rPr>
      </w:pPr>
    </w:p>
    <w:p w14:paraId="0356913D" w14:textId="77777777" w:rsidR="0037067F" w:rsidRPr="007C4620" w:rsidRDefault="0037067F" w:rsidP="0037067F">
      <w:pPr>
        <w:jc w:val="center"/>
        <w:rPr>
          <w:b/>
          <w:bCs/>
          <w:sz w:val="28"/>
          <w:szCs w:val="28"/>
        </w:rPr>
      </w:pPr>
      <w:commentRangeStart w:id="0"/>
      <w:r w:rsidRPr="007C4620">
        <w:rPr>
          <w:b/>
          <w:bCs/>
          <w:sz w:val="28"/>
          <w:szCs w:val="28"/>
        </w:rPr>
        <w:t>CRYPTOCURRENCY AS PASSIVE INCOME: A MINIMAL-INVESTMENT BUSINESS MODEL</w:t>
      </w:r>
      <w:commentRangeEnd w:id="0"/>
      <w:r w:rsidR="00363BF5">
        <w:rPr>
          <w:rStyle w:val="CommentReference"/>
        </w:rPr>
        <w:commentReference w:id="0"/>
      </w:r>
    </w:p>
    <w:p w14:paraId="2B0E88AF" w14:textId="77777777" w:rsidR="0037067F" w:rsidRPr="007C4620" w:rsidRDefault="0037067F" w:rsidP="0037067F">
      <w:pPr>
        <w:pBdr>
          <w:top w:val="nil"/>
          <w:left w:val="nil"/>
          <w:bottom w:val="nil"/>
          <w:right w:val="nil"/>
          <w:between w:val="nil"/>
        </w:pBdr>
        <w:jc w:val="center"/>
        <w:rPr>
          <w:b/>
          <w:color w:val="000000"/>
          <w:sz w:val="28"/>
          <w:szCs w:val="28"/>
        </w:rPr>
      </w:pPr>
    </w:p>
    <w:p w14:paraId="679E6BE7" w14:textId="77777777" w:rsidR="0037067F" w:rsidRDefault="0037067F" w:rsidP="0037067F">
      <w:pPr>
        <w:pBdr>
          <w:top w:val="nil"/>
          <w:left w:val="nil"/>
          <w:bottom w:val="nil"/>
          <w:right w:val="nil"/>
          <w:between w:val="nil"/>
        </w:pBdr>
        <w:jc w:val="center"/>
        <w:rPr>
          <w:color w:val="000000"/>
        </w:rPr>
      </w:pPr>
    </w:p>
    <w:p w14:paraId="439E5DF3" w14:textId="77777777" w:rsidR="0037067F" w:rsidRDefault="0037067F" w:rsidP="0037067F">
      <w:pPr>
        <w:pBdr>
          <w:top w:val="nil"/>
          <w:left w:val="nil"/>
          <w:bottom w:val="nil"/>
          <w:right w:val="nil"/>
          <w:between w:val="nil"/>
        </w:pBdr>
        <w:jc w:val="center"/>
        <w:rPr>
          <w:color w:val="000000"/>
        </w:rPr>
      </w:pPr>
    </w:p>
    <w:p w14:paraId="2D8715BC" w14:textId="77777777" w:rsidR="0037067F" w:rsidRDefault="0037067F" w:rsidP="0037067F">
      <w:pPr>
        <w:pBdr>
          <w:top w:val="nil"/>
          <w:left w:val="nil"/>
          <w:bottom w:val="nil"/>
          <w:right w:val="nil"/>
          <w:between w:val="nil"/>
        </w:pBdr>
        <w:rPr>
          <w:color w:val="000000"/>
        </w:rPr>
      </w:pPr>
    </w:p>
    <w:p w14:paraId="32599AB3" w14:textId="77777777" w:rsidR="0037067F" w:rsidRDefault="0037067F" w:rsidP="0037067F">
      <w:pPr>
        <w:pBdr>
          <w:top w:val="nil"/>
          <w:left w:val="nil"/>
          <w:bottom w:val="nil"/>
          <w:right w:val="nil"/>
          <w:between w:val="nil"/>
        </w:pBdr>
        <w:jc w:val="center"/>
        <w:rPr>
          <w:color w:val="000000"/>
        </w:rPr>
      </w:pPr>
    </w:p>
    <w:p w14:paraId="329090DB" w14:textId="77777777" w:rsidR="0037067F" w:rsidRDefault="0037067F" w:rsidP="0037067F">
      <w:pPr>
        <w:pBdr>
          <w:top w:val="nil"/>
          <w:left w:val="nil"/>
          <w:bottom w:val="nil"/>
          <w:right w:val="nil"/>
          <w:between w:val="nil"/>
        </w:pBdr>
        <w:jc w:val="center"/>
        <w:rPr>
          <w:color w:val="000000"/>
        </w:rPr>
      </w:pPr>
      <w:r>
        <w:rPr>
          <w:color w:val="000000"/>
        </w:rPr>
        <w:t>A Dissertation Presented</w:t>
      </w:r>
    </w:p>
    <w:p w14:paraId="6F11F480" w14:textId="77777777" w:rsidR="0037067F" w:rsidRDefault="0037067F" w:rsidP="0037067F">
      <w:pPr>
        <w:pBdr>
          <w:top w:val="nil"/>
          <w:left w:val="nil"/>
          <w:bottom w:val="nil"/>
          <w:right w:val="nil"/>
          <w:between w:val="nil"/>
        </w:pBdr>
        <w:jc w:val="center"/>
        <w:rPr>
          <w:color w:val="000000"/>
        </w:rPr>
      </w:pPr>
    </w:p>
    <w:p w14:paraId="1EDDD5A0" w14:textId="77777777" w:rsidR="0037067F" w:rsidRDefault="0037067F" w:rsidP="0037067F">
      <w:pPr>
        <w:pBdr>
          <w:top w:val="nil"/>
          <w:left w:val="nil"/>
          <w:bottom w:val="nil"/>
          <w:right w:val="nil"/>
          <w:between w:val="nil"/>
        </w:pBdr>
        <w:jc w:val="center"/>
        <w:rPr>
          <w:color w:val="000000"/>
        </w:rPr>
      </w:pPr>
      <w:proofErr w:type="gramStart"/>
      <w:r>
        <w:rPr>
          <w:color w:val="000000"/>
        </w:rPr>
        <w:t>by</w:t>
      </w:r>
      <w:proofErr w:type="gramEnd"/>
    </w:p>
    <w:p w14:paraId="3F593005" w14:textId="77777777" w:rsidR="0037067F" w:rsidRDefault="0037067F" w:rsidP="0037067F">
      <w:pPr>
        <w:pBdr>
          <w:top w:val="nil"/>
          <w:left w:val="nil"/>
          <w:bottom w:val="nil"/>
          <w:right w:val="nil"/>
          <w:between w:val="nil"/>
        </w:pBdr>
        <w:jc w:val="center"/>
        <w:rPr>
          <w:color w:val="000000"/>
        </w:rPr>
      </w:pPr>
    </w:p>
    <w:p w14:paraId="5B9401F0" w14:textId="77777777" w:rsidR="0037067F" w:rsidRDefault="0037067F" w:rsidP="0037067F">
      <w:pPr>
        <w:pBdr>
          <w:top w:val="nil"/>
          <w:left w:val="nil"/>
          <w:bottom w:val="nil"/>
          <w:right w:val="nil"/>
          <w:between w:val="nil"/>
        </w:pBdr>
        <w:jc w:val="center"/>
        <w:rPr>
          <w:color w:val="000000"/>
        </w:rPr>
      </w:pPr>
      <w:r>
        <w:rPr>
          <w:color w:val="000000"/>
        </w:rPr>
        <w:t>DASHA DAVIES</w:t>
      </w:r>
    </w:p>
    <w:p w14:paraId="581B3106" w14:textId="77777777" w:rsidR="0037067F" w:rsidRDefault="0037067F" w:rsidP="0037067F">
      <w:pPr>
        <w:pBdr>
          <w:top w:val="nil"/>
          <w:left w:val="nil"/>
          <w:bottom w:val="nil"/>
          <w:right w:val="nil"/>
          <w:between w:val="nil"/>
        </w:pBdr>
        <w:jc w:val="center"/>
        <w:rPr>
          <w:color w:val="000000"/>
        </w:rPr>
      </w:pPr>
    </w:p>
    <w:p w14:paraId="26348F0B" w14:textId="77777777" w:rsidR="0037067F" w:rsidRDefault="0037067F" w:rsidP="0037067F">
      <w:pPr>
        <w:pBdr>
          <w:top w:val="nil"/>
          <w:left w:val="nil"/>
          <w:bottom w:val="nil"/>
          <w:right w:val="nil"/>
          <w:between w:val="nil"/>
        </w:pBdr>
        <w:jc w:val="center"/>
        <w:rPr>
          <w:color w:val="000000"/>
        </w:rPr>
      </w:pPr>
    </w:p>
    <w:p w14:paraId="496066FF" w14:textId="77777777" w:rsidR="0037067F" w:rsidRDefault="0037067F" w:rsidP="0037067F">
      <w:pPr>
        <w:pBdr>
          <w:top w:val="nil"/>
          <w:left w:val="nil"/>
          <w:bottom w:val="nil"/>
          <w:right w:val="nil"/>
          <w:between w:val="nil"/>
        </w:pBdr>
        <w:rPr>
          <w:color w:val="000000"/>
        </w:rPr>
      </w:pPr>
    </w:p>
    <w:p w14:paraId="125C21DA" w14:textId="77777777" w:rsidR="0037067F" w:rsidRDefault="0037067F" w:rsidP="0037067F">
      <w:pPr>
        <w:pBdr>
          <w:top w:val="nil"/>
          <w:left w:val="nil"/>
          <w:bottom w:val="nil"/>
          <w:right w:val="nil"/>
          <w:between w:val="nil"/>
        </w:pBdr>
        <w:jc w:val="center"/>
        <w:rPr>
          <w:color w:val="000000"/>
        </w:rPr>
      </w:pPr>
    </w:p>
    <w:p w14:paraId="738B5A2B" w14:textId="77777777" w:rsidR="0037067F" w:rsidRDefault="0037067F" w:rsidP="0037067F">
      <w:pPr>
        <w:pBdr>
          <w:top w:val="nil"/>
          <w:left w:val="nil"/>
          <w:bottom w:val="nil"/>
          <w:right w:val="nil"/>
          <w:between w:val="nil"/>
        </w:pBdr>
        <w:jc w:val="center"/>
        <w:rPr>
          <w:color w:val="000000"/>
        </w:rPr>
      </w:pPr>
      <w:r>
        <w:rPr>
          <w:color w:val="000000"/>
        </w:rPr>
        <w:t>Submitted to the Swiss School of Business Research</w:t>
      </w:r>
    </w:p>
    <w:p w14:paraId="14C13D1C" w14:textId="67DEB7FD" w:rsidR="0037067F" w:rsidRDefault="0037067F" w:rsidP="00392A6F">
      <w:pPr>
        <w:pBdr>
          <w:top w:val="nil"/>
          <w:left w:val="nil"/>
          <w:bottom w:val="nil"/>
          <w:right w:val="nil"/>
          <w:between w:val="nil"/>
        </w:pBdr>
        <w:jc w:val="center"/>
        <w:rPr>
          <w:color w:val="000000"/>
        </w:rPr>
      </w:pPr>
      <w:r>
        <w:rPr>
          <w:color w:val="000000"/>
        </w:rPr>
        <w:t xml:space="preserve"> in partial fulfillment</w:t>
      </w:r>
      <w:r w:rsidR="00392A6F">
        <w:rPr>
          <w:color w:val="000000"/>
        </w:rPr>
        <w:t xml:space="preserve"> </w:t>
      </w:r>
      <w:r>
        <w:rPr>
          <w:color w:val="000000"/>
        </w:rPr>
        <w:t>of the requirements for the degree of</w:t>
      </w:r>
    </w:p>
    <w:p w14:paraId="545221E7" w14:textId="77777777" w:rsidR="0037067F" w:rsidRDefault="0037067F" w:rsidP="0037067F">
      <w:pPr>
        <w:pBdr>
          <w:top w:val="nil"/>
          <w:left w:val="nil"/>
          <w:bottom w:val="nil"/>
          <w:right w:val="nil"/>
          <w:between w:val="nil"/>
        </w:pBdr>
        <w:jc w:val="center"/>
        <w:rPr>
          <w:color w:val="000000"/>
        </w:rPr>
      </w:pPr>
    </w:p>
    <w:p w14:paraId="6DEB86BD" w14:textId="77777777" w:rsidR="0037067F" w:rsidRDefault="0037067F" w:rsidP="0037067F">
      <w:pPr>
        <w:pBdr>
          <w:top w:val="nil"/>
          <w:left w:val="nil"/>
          <w:bottom w:val="nil"/>
          <w:right w:val="nil"/>
          <w:between w:val="nil"/>
        </w:pBdr>
        <w:jc w:val="center"/>
        <w:rPr>
          <w:color w:val="000000"/>
        </w:rPr>
      </w:pPr>
    </w:p>
    <w:p w14:paraId="41A7B8F4" w14:textId="0B7946EC" w:rsidR="0037067F" w:rsidRDefault="0037067F" w:rsidP="00392A6F">
      <w:pPr>
        <w:pBdr>
          <w:top w:val="nil"/>
          <w:left w:val="nil"/>
          <w:bottom w:val="nil"/>
          <w:right w:val="nil"/>
          <w:between w:val="nil"/>
        </w:pBdr>
        <w:jc w:val="center"/>
        <w:rPr>
          <w:color w:val="000000"/>
        </w:rPr>
      </w:pPr>
      <w:r>
        <w:rPr>
          <w:color w:val="000000"/>
        </w:rPr>
        <w:t>DOCTOR OF PHILOSOPHY</w:t>
      </w:r>
      <w:r w:rsidR="00392A6F">
        <w:rPr>
          <w:color w:val="000000"/>
        </w:rPr>
        <w:t xml:space="preserve"> </w:t>
      </w:r>
      <w:r>
        <w:rPr>
          <w:color w:val="000000"/>
        </w:rPr>
        <w:t>(PHD)</w:t>
      </w:r>
    </w:p>
    <w:p w14:paraId="5A6F4420" w14:textId="77777777" w:rsidR="0037067F" w:rsidRDefault="0037067F" w:rsidP="0037067F">
      <w:pPr>
        <w:pBdr>
          <w:top w:val="nil"/>
          <w:left w:val="nil"/>
          <w:bottom w:val="nil"/>
          <w:right w:val="nil"/>
          <w:between w:val="nil"/>
        </w:pBdr>
        <w:jc w:val="center"/>
        <w:rPr>
          <w:color w:val="000000"/>
        </w:rPr>
      </w:pPr>
    </w:p>
    <w:p w14:paraId="79957782" w14:textId="77777777" w:rsidR="0037067F" w:rsidRDefault="0037067F" w:rsidP="0037067F">
      <w:pPr>
        <w:pBdr>
          <w:top w:val="nil"/>
          <w:left w:val="nil"/>
          <w:bottom w:val="nil"/>
          <w:right w:val="nil"/>
          <w:between w:val="nil"/>
        </w:pBdr>
        <w:jc w:val="center"/>
        <w:rPr>
          <w:color w:val="000000"/>
        </w:rPr>
      </w:pPr>
    </w:p>
    <w:p w14:paraId="7616A80A" w14:textId="6D8506E0" w:rsidR="0037067F" w:rsidRDefault="000931E1" w:rsidP="0037067F">
      <w:pPr>
        <w:pBdr>
          <w:top w:val="nil"/>
          <w:left w:val="nil"/>
          <w:bottom w:val="nil"/>
          <w:right w:val="nil"/>
          <w:between w:val="nil"/>
        </w:pBdr>
        <w:jc w:val="center"/>
        <w:rPr>
          <w:color w:val="000000"/>
        </w:rPr>
      </w:pPr>
      <w:r>
        <w:rPr>
          <w:color w:val="000000"/>
        </w:rPr>
        <w:t>November</w:t>
      </w:r>
      <w:r w:rsidR="004D13E7">
        <w:rPr>
          <w:color w:val="000000"/>
        </w:rPr>
        <w:t xml:space="preserve"> </w:t>
      </w:r>
      <w:r w:rsidR="0037067F">
        <w:rPr>
          <w:color w:val="000000"/>
        </w:rPr>
        <w:t>2025</w:t>
      </w:r>
    </w:p>
    <w:p w14:paraId="5E398489" w14:textId="77777777" w:rsidR="0037067F" w:rsidRDefault="0037067F" w:rsidP="0037067F">
      <w:pPr>
        <w:pBdr>
          <w:top w:val="nil"/>
          <w:left w:val="nil"/>
          <w:bottom w:val="nil"/>
          <w:right w:val="nil"/>
          <w:between w:val="nil"/>
        </w:pBdr>
        <w:jc w:val="center"/>
        <w:rPr>
          <w:color w:val="000000"/>
        </w:rPr>
      </w:pPr>
    </w:p>
    <w:p w14:paraId="5F9E742D" w14:textId="77777777" w:rsidR="0037067F" w:rsidRDefault="0037067F" w:rsidP="0037067F">
      <w:pPr>
        <w:pBdr>
          <w:top w:val="nil"/>
          <w:left w:val="nil"/>
          <w:bottom w:val="nil"/>
          <w:right w:val="nil"/>
          <w:between w:val="nil"/>
        </w:pBdr>
        <w:jc w:val="center"/>
        <w:rPr>
          <w:color w:val="000000"/>
        </w:rPr>
      </w:pPr>
    </w:p>
    <w:p w14:paraId="5CDBDE94" w14:textId="77777777" w:rsidR="0037067F" w:rsidRDefault="0037067F" w:rsidP="0037067F">
      <w:pPr>
        <w:pBdr>
          <w:top w:val="nil"/>
          <w:left w:val="nil"/>
          <w:bottom w:val="nil"/>
          <w:right w:val="nil"/>
          <w:between w:val="nil"/>
        </w:pBdr>
        <w:jc w:val="center"/>
        <w:rPr>
          <w:color w:val="000000"/>
        </w:rPr>
      </w:pPr>
    </w:p>
    <w:p w14:paraId="79F6B3BF" w14:textId="77777777" w:rsidR="0037067F" w:rsidRDefault="0037067F" w:rsidP="0037067F">
      <w:pPr>
        <w:pBdr>
          <w:top w:val="nil"/>
          <w:left w:val="nil"/>
          <w:bottom w:val="nil"/>
          <w:right w:val="nil"/>
          <w:between w:val="nil"/>
        </w:pBdr>
        <w:rPr>
          <w:color w:val="000000"/>
        </w:rPr>
      </w:pPr>
    </w:p>
    <w:p w14:paraId="085A9A61" w14:textId="77777777" w:rsidR="0037067F" w:rsidRDefault="0037067F" w:rsidP="0037067F">
      <w:pPr>
        <w:pBdr>
          <w:top w:val="nil"/>
          <w:left w:val="nil"/>
          <w:bottom w:val="nil"/>
          <w:right w:val="nil"/>
          <w:between w:val="nil"/>
        </w:pBdr>
        <w:jc w:val="center"/>
        <w:rPr>
          <w:color w:val="000000"/>
        </w:rPr>
      </w:pPr>
      <w:r>
        <w:rPr>
          <w:color w:val="000000"/>
        </w:rPr>
        <w:t>© Copyright by Dasha Davies, 2025</w:t>
      </w:r>
    </w:p>
    <w:p w14:paraId="16E1359C" w14:textId="77777777" w:rsidR="0037067F" w:rsidRDefault="0037067F" w:rsidP="0037067F">
      <w:pPr>
        <w:pBdr>
          <w:top w:val="nil"/>
          <w:left w:val="nil"/>
          <w:bottom w:val="nil"/>
          <w:right w:val="nil"/>
          <w:between w:val="nil"/>
        </w:pBdr>
        <w:jc w:val="center"/>
        <w:rPr>
          <w:color w:val="000000"/>
        </w:rPr>
      </w:pPr>
    </w:p>
    <w:p w14:paraId="58D26841" w14:textId="77777777" w:rsidR="0037067F" w:rsidRDefault="0037067F" w:rsidP="0037067F">
      <w:pPr>
        <w:pBdr>
          <w:top w:val="nil"/>
          <w:left w:val="nil"/>
          <w:bottom w:val="nil"/>
          <w:right w:val="nil"/>
          <w:between w:val="nil"/>
        </w:pBdr>
        <w:jc w:val="center"/>
        <w:rPr>
          <w:color w:val="000000"/>
        </w:rPr>
      </w:pPr>
      <w:r>
        <w:rPr>
          <w:color w:val="000000"/>
        </w:rPr>
        <w:t>All Rights Reserved</w:t>
      </w:r>
    </w:p>
    <w:p w14:paraId="1AF66380" w14:textId="77777777" w:rsidR="0037067F" w:rsidRDefault="0037067F" w:rsidP="0037067F">
      <w:pPr>
        <w:pBdr>
          <w:top w:val="nil"/>
          <w:left w:val="nil"/>
          <w:bottom w:val="nil"/>
          <w:right w:val="nil"/>
          <w:between w:val="nil"/>
        </w:pBdr>
        <w:jc w:val="center"/>
        <w:rPr>
          <w:color w:val="000000"/>
        </w:rPr>
      </w:pPr>
    </w:p>
    <w:p w14:paraId="7953EFD3" w14:textId="77777777" w:rsidR="0037067F" w:rsidRDefault="0037067F" w:rsidP="0037067F">
      <w:pPr>
        <w:pBdr>
          <w:top w:val="nil"/>
          <w:left w:val="nil"/>
          <w:bottom w:val="nil"/>
          <w:right w:val="nil"/>
          <w:between w:val="nil"/>
        </w:pBdr>
        <w:rPr>
          <w:color w:val="000000"/>
        </w:rPr>
      </w:pPr>
    </w:p>
    <w:p w14:paraId="2424790D" w14:textId="77777777" w:rsidR="0037067F" w:rsidRDefault="0037067F" w:rsidP="0037067F">
      <w:pPr>
        <w:pBdr>
          <w:top w:val="nil"/>
          <w:left w:val="nil"/>
          <w:bottom w:val="nil"/>
          <w:right w:val="nil"/>
          <w:between w:val="nil"/>
        </w:pBdr>
        <w:jc w:val="center"/>
        <w:rPr>
          <w:color w:val="000000"/>
        </w:rPr>
      </w:pPr>
    </w:p>
    <w:p w14:paraId="2644A3E4" w14:textId="77777777" w:rsidR="0037067F" w:rsidRPr="00A319FF" w:rsidRDefault="0037067F" w:rsidP="0037067F">
      <w:pPr>
        <w:jc w:val="center"/>
        <w:rPr>
          <w:b/>
          <w:bCs/>
          <w:sz w:val="28"/>
          <w:szCs w:val="28"/>
        </w:rPr>
      </w:pPr>
      <w:r w:rsidRPr="00A319FF">
        <w:rPr>
          <w:b/>
          <w:bCs/>
          <w:sz w:val="28"/>
          <w:szCs w:val="28"/>
        </w:rPr>
        <w:t>CRYPTOCURRENCY AS PASSIVE INCOME: A MINIMAL-INVESTMENT BUSINESS MODEL</w:t>
      </w:r>
    </w:p>
    <w:p w14:paraId="32503633" w14:textId="77777777" w:rsidR="0037067F" w:rsidRPr="00A319FF" w:rsidRDefault="0037067F" w:rsidP="0037067F">
      <w:pPr>
        <w:pBdr>
          <w:top w:val="nil"/>
          <w:left w:val="nil"/>
          <w:bottom w:val="nil"/>
          <w:right w:val="nil"/>
          <w:between w:val="nil"/>
        </w:pBdr>
        <w:jc w:val="center"/>
        <w:rPr>
          <w:color w:val="000000"/>
          <w:sz w:val="28"/>
          <w:szCs w:val="28"/>
        </w:rPr>
      </w:pPr>
    </w:p>
    <w:p w14:paraId="4A3C0A3C" w14:textId="77777777" w:rsidR="0037067F" w:rsidRDefault="0037067F" w:rsidP="0037067F">
      <w:pPr>
        <w:pBdr>
          <w:top w:val="nil"/>
          <w:left w:val="nil"/>
          <w:bottom w:val="nil"/>
          <w:right w:val="nil"/>
          <w:between w:val="nil"/>
        </w:pBdr>
        <w:jc w:val="center"/>
        <w:rPr>
          <w:color w:val="000000"/>
        </w:rPr>
      </w:pPr>
    </w:p>
    <w:p w14:paraId="7C61731D" w14:textId="77777777" w:rsidR="0037067F" w:rsidRDefault="0037067F" w:rsidP="0037067F">
      <w:pPr>
        <w:pBdr>
          <w:top w:val="nil"/>
          <w:left w:val="nil"/>
          <w:bottom w:val="nil"/>
          <w:right w:val="nil"/>
          <w:between w:val="nil"/>
        </w:pBdr>
        <w:jc w:val="center"/>
        <w:rPr>
          <w:color w:val="000000"/>
        </w:rPr>
      </w:pPr>
    </w:p>
    <w:p w14:paraId="418A1F23" w14:textId="77777777" w:rsidR="0037067F" w:rsidRDefault="0037067F" w:rsidP="0037067F">
      <w:pPr>
        <w:pBdr>
          <w:top w:val="nil"/>
          <w:left w:val="nil"/>
          <w:bottom w:val="nil"/>
          <w:right w:val="nil"/>
          <w:between w:val="nil"/>
        </w:pBdr>
        <w:jc w:val="center"/>
        <w:rPr>
          <w:color w:val="000000"/>
        </w:rPr>
      </w:pPr>
    </w:p>
    <w:p w14:paraId="6AD96870" w14:textId="77777777" w:rsidR="0037067F" w:rsidRDefault="0037067F" w:rsidP="0037067F">
      <w:pPr>
        <w:pBdr>
          <w:top w:val="nil"/>
          <w:left w:val="nil"/>
          <w:bottom w:val="nil"/>
          <w:right w:val="nil"/>
          <w:between w:val="nil"/>
        </w:pBdr>
        <w:jc w:val="center"/>
        <w:rPr>
          <w:color w:val="000000"/>
        </w:rPr>
      </w:pPr>
    </w:p>
    <w:p w14:paraId="31889204" w14:textId="77777777" w:rsidR="0037067F" w:rsidRDefault="0037067F" w:rsidP="0037067F">
      <w:pPr>
        <w:pBdr>
          <w:top w:val="nil"/>
          <w:left w:val="nil"/>
          <w:bottom w:val="nil"/>
          <w:right w:val="nil"/>
          <w:between w:val="nil"/>
        </w:pBdr>
        <w:jc w:val="center"/>
        <w:rPr>
          <w:color w:val="000000"/>
        </w:rPr>
      </w:pPr>
    </w:p>
    <w:p w14:paraId="5F566A8F" w14:textId="77777777" w:rsidR="0037067F" w:rsidRDefault="0037067F" w:rsidP="0037067F">
      <w:pPr>
        <w:pBdr>
          <w:top w:val="nil"/>
          <w:left w:val="nil"/>
          <w:bottom w:val="nil"/>
          <w:right w:val="nil"/>
          <w:between w:val="nil"/>
        </w:pBdr>
        <w:jc w:val="center"/>
        <w:rPr>
          <w:color w:val="000000"/>
        </w:rPr>
      </w:pPr>
    </w:p>
    <w:p w14:paraId="1142D841" w14:textId="77777777" w:rsidR="0037067F" w:rsidRDefault="0037067F" w:rsidP="0037067F">
      <w:pPr>
        <w:pBdr>
          <w:top w:val="nil"/>
          <w:left w:val="nil"/>
          <w:bottom w:val="nil"/>
          <w:right w:val="nil"/>
          <w:between w:val="nil"/>
        </w:pBdr>
        <w:jc w:val="center"/>
        <w:rPr>
          <w:color w:val="000000"/>
        </w:rPr>
      </w:pPr>
      <w:r>
        <w:rPr>
          <w:color w:val="000000"/>
        </w:rPr>
        <w:t>A Dissertation Presented</w:t>
      </w:r>
    </w:p>
    <w:p w14:paraId="4C6EE318" w14:textId="77777777" w:rsidR="0037067F" w:rsidRDefault="0037067F" w:rsidP="0037067F">
      <w:pPr>
        <w:pBdr>
          <w:top w:val="nil"/>
          <w:left w:val="nil"/>
          <w:bottom w:val="nil"/>
          <w:right w:val="nil"/>
          <w:between w:val="nil"/>
        </w:pBdr>
        <w:jc w:val="center"/>
        <w:rPr>
          <w:color w:val="000000"/>
        </w:rPr>
      </w:pPr>
    </w:p>
    <w:p w14:paraId="550AF35F" w14:textId="77777777" w:rsidR="0037067F" w:rsidRDefault="0037067F" w:rsidP="0037067F">
      <w:pPr>
        <w:pBdr>
          <w:top w:val="nil"/>
          <w:left w:val="nil"/>
          <w:bottom w:val="nil"/>
          <w:right w:val="nil"/>
          <w:between w:val="nil"/>
        </w:pBdr>
        <w:jc w:val="center"/>
        <w:rPr>
          <w:color w:val="000000"/>
        </w:rPr>
      </w:pPr>
      <w:proofErr w:type="gramStart"/>
      <w:r>
        <w:rPr>
          <w:color w:val="000000"/>
        </w:rPr>
        <w:t>by</w:t>
      </w:r>
      <w:proofErr w:type="gramEnd"/>
    </w:p>
    <w:p w14:paraId="202773AE" w14:textId="77777777" w:rsidR="0037067F" w:rsidRDefault="0037067F" w:rsidP="0037067F">
      <w:pPr>
        <w:pBdr>
          <w:top w:val="nil"/>
          <w:left w:val="nil"/>
          <w:bottom w:val="nil"/>
          <w:right w:val="nil"/>
          <w:between w:val="nil"/>
        </w:pBdr>
        <w:jc w:val="center"/>
        <w:rPr>
          <w:color w:val="000000"/>
        </w:rPr>
      </w:pPr>
    </w:p>
    <w:p w14:paraId="248DB0D4" w14:textId="77777777" w:rsidR="0037067F" w:rsidRDefault="0037067F" w:rsidP="0037067F">
      <w:pPr>
        <w:pBdr>
          <w:top w:val="nil"/>
          <w:left w:val="nil"/>
          <w:bottom w:val="nil"/>
          <w:right w:val="nil"/>
          <w:between w:val="nil"/>
        </w:pBdr>
        <w:jc w:val="center"/>
        <w:rPr>
          <w:color w:val="000000"/>
        </w:rPr>
      </w:pPr>
      <w:r>
        <w:rPr>
          <w:color w:val="000000"/>
        </w:rPr>
        <w:t>DASHA DAVIES</w:t>
      </w:r>
    </w:p>
    <w:p w14:paraId="6AC58DF4" w14:textId="77777777" w:rsidR="0037067F" w:rsidRDefault="0037067F" w:rsidP="0037067F">
      <w:pPr>
        <w:pBdr>
          <w:top w:val="nil"/>
          <w:left w:val="nil"/>
          <w:bottom w:val="nil"/>
          <w:right w:val="nil"/>
          <w:between w:val="nil"/>
        </w:pBdr>
        <w:jc w:val="center"/>
        <w:rPr>
          <w:color w:val="000000"/>
        </w:rPr>
      </w:pPr>
    </w:p>
    <w:p w14:paraId="37E3BAC8" w14:textId="77777777" w:rsidR="0037067F" w:rsidRDefault="0037067F" w:rsidP="0037067F">
      <w:pPr>
        <w:pBdr>
          <w:top w:val="nil"/>
          <w:left w:val="nil"/>
          <w:bottom w:val="nil"/>
          <w:right w:val="nil"/>
          <w:between w:val="nil"/>
        </w:pBdr>
        <w:jc w:val="center"/>
        <w:rPr>
          <w:color w:val="000000"/>
        </w:rPr>
      </w:pPr>
    </w:p>
    <w:p w14:paraId="36816F23" w14:textId="77777777" w:rsidR="0037067F" w:rsidRDefault="0037067F" w:rsidP="0037067F">
      <w:pPr>
        <w:pBdr>
          <w:top w:val="nil"/>
          <w:left w:val="nil"/>
          <w:bottom w:val="nil"/>
          <w:right w:val="nil"/>
          <w:between w:val="nil"/>
        </w:pBdr>
        <w:jc w:val="center"/>
        <w:rPr>
          <w:color w:val="000000"/>
        </w:rPr>
      </w:pPr>
    </w:p>
    <w:p w14:paraId="1E915B72" w14:textId="77777777" w:rsidR="0037067F" w:rsidRDefault="0037067F" w:rsidP="0037067F">
      <w:pPr>
        <w:pBdr>
          <w:top w:val="nil"/>
          <w:left w:val="nil"/>
          <w:bottom w:val="nil"/>
          <w:right w:val="nil"/>
          <w:between w:val="nil"/>
        </w:pBdr>
        <w:jc w:val="center"/>
        <w:rPr>
          <w:color w:val="000000"/>
        </w:rPr>
      </w:pPr>
    </w:p>
    <w:p w14:paraId="496DF410" w14:textId="77777777" w:rsidR="0037067F" w:rsidRDefault="0037067F" w:rsidP="0037067F">
      <w:pPr>
        <w:pBdr>
          <w:top w:val="nil"/>
          <w:left w:val="nil"/>
          <w:bottom w:val="nil"/>
          <w:right w:val="nil"/>
          <w:between w:val="nil"/>
        </w:pBdr>
        <w:jc w:val="center"/>
        <w:rPr>
          <w:color w:val="000000"/>
        </w:rPr>
      </w:pPr>
    </w:p>
    <w:p w14:paraId="1A38E6E0" w14:textId="77777777" w:rsidR="0037067F" w:rsidRDefault="0037067F" w:rsidP="0037067F">
      <w:r>
        <w:t>Approved as to style and content by:</w:t>
      </w:r>
    </w:p>
    <w:p w14:paraId="13FDE9C8" w14:textId="77777777" w:rsidR="0037067F" w:rsidRDefault="0037067F" w:rsidP="0037067F"/>
    <w:p w14:paraId="0EFE5F4C" w14:textId="77777777" w:rsidR="0037067F" w:rsidRDefault="0037067F" w:rsidP="0037067F"/>
    <w:p w14:paraId="4F9A9E95" w14:textId="77777777" w:rsidR="0037067F" w:rsidRDefault="0037067F" w:rsidP="0037067F">
      <w:pPr>
        <w:tabs>
          <w:tab w:val="left" w:pos="4320"/>
        </w:tabs>
        <w:ind w:left="-72"/>
      </w:pPr>
      <w:r>
        <w:tab/>
      </w:r>
    </w:p>
    <w:p w14:paraId="79C287E7" w14:textId="77777777" w:rsidR="0037067F" w:rsidRDefault="0037067F" w:rsidP="0037067F">
      <w:pPr>
        <w:tabs>
          <w:tab w:val="left" w:pos="5040"/>
        </w:tabs>
      </w:pPr>
      <w:r>
        <w:t>Dr Steve Mallon, Chair</w:t>
      </w:r>
    </w:p>
    <w:p w14:paraId="36E49797" w14:textId="77777777" w:rsidR="0037067F" w:rsidRDefault="0037067F" w:rsidP="0037067F">
      <w:pPr>
        <w:tabs>
          <w:tab w:val="left" w:pos="5040"/>
        </w:tabs>
      </w:pPr>
    </w:p>
    <w:p w14:paraId="7A983A44" w14:textId="77777777" w:rsidR="0037067F" w:rsidRDefault="0037067F" w:rsidP="0037067F">
      <w:pPr>
        <w:tabs>
          <w:tab w:val="left" w:pos="5040"/>
        </w:tabs>
      </w:pPr>
    </w:p>
    <w:p w14:paraId="3D004EAB" w14:textId="77777777" w:rsidR="0037067F" w:rsidRDefault="0037067F" w:rsidP="0037067F">
      <w:pPr>
        <w:tabs>
          <w:tab w:val="left" w:pos="4320"/>
        </w:tabs>
        <w:ind w:left="-72"/>
      </w:pPr>
      <w:r>
        <w:tab/>
      </w:r>
    </w:p>
    <w:p w14:paraId="4FD6DBA6" w14:textId="77777777" w:rsidR="0037067F" w:rsidRDefault="0037067F" w:rsidP="0037067F">
      <w:pPr>
        <w:tabs>
          <w:tab w:val="left" w:pos="5040"/>
        </w:tabs>
      </w:pPr>
      <w:r>
        <w:t xml:space="preserve">Dr </w:t>
      </w:r>
      <w:proofErr w:type="spellStart"/>
      <w:r>
        <w:t>Gursel</w:t>
      </w:r>
      <w:proofErr w:type="spellEnd"/>
      <w:r>
        <w:t xml:space="preserve"> Ilipinar, Member</w:t>
      </w:r>
    </w:p>
    <w:p w14:paraId="00B54DDE" w14:textId="77777777" w:rsidR="0037067F" w:rsidRDefault="0037067F" w:rsidP="0037067F">
      <w:pPr>
        <w:tabs>
          <w:tab w:val="left" w:pos="5040"/>
        </w:tabs>
      </w:pPr>
    </w:p>
    <w:p w14:paraId="4678F9F7" w14:textId="77777777" w:rsidR="0037067F" w:rsidRDefault="0037067F" w:rsidP="0037067F">
      <w:pPr>
        <w:tabs>
          <w:tab w:val="left" w:pos="5040"/>
        </w:tabs>
      </w:pPr>
    </w:p>
    <w:p w14:paraId="2A1A5B0A" w14:textId="77777777" w:rsidR="0037067F" w:rsidRDefault="0037067F" w:rsidP="0037067F">
      <w:pPr>
        <w:tabs>
          <w:tab w:val="left" w:pos="4320"/>
        </w:tabs>
        <w:ind w:left="-72"/>
      </w:pPr>
      <w:r>
        <w:tab/>
      </w:r>
    </w:p>
    <w:p w14:paraId="5023598F" w14:textId="77777777" w:rsidR="0037067F" w:rsidRDefault="0037067F" w:rsidP="0037067F">
      <w:pPr>
        <w:tabs>
          <w:tab w:val="left" w:pos="5040"/>
        </w:tabs>
      </w:pPr>
      <w:r>
        <w:t>Dr Aida Mehrad, Member</w:t>
      </w:r>
    </w:p>
    <w:p w14:paraId="772FB55D" w14:textId="77777777" w:rsidR="0037067F" w:rsidRDefault="0037067F" w:rsidP="0037067F">
      <w:pPr>
        <w:tabs>
          <w:tab w:val="left" w:pos="5040"/>
        </w:tabs>
      </w:pPr>
    </w:p>
    <w:p w14:paraId="7C4D98A2" w14:textId="77777777" w:rsidR="0037067F" w:rsidRDefault="0037067F" w:rsidP="0037067F">
      <w:pPr>
        <w:tabs>
          <w:tab w:val="left" w:pos="5040"/>
        </w:tabs>
      </w:pPr>
    </w:p>
    <w:p w14:paraId="47E5759D" w14:textId="77777777" w:rsidR="0037067F" w:rsidRDefault="0037067F" w:rsidP="0037067F">
      <w:pPr>
        <w:tabs>
          <w:tab w:val="left" w:pos="5040"/>
        </w:tabs>
      </w:pPr>
    </w:p>
    <w:p w14:paraId="48DDDE21" w14:textId="77777777" w:rsidR="0037067F" w:rsidRDefault="0037067F" w:rsidP="0037067F">
      <w:pPr>
        <w:tabs>
          <w:tab w:val="left" w:pos="5040"/>
        </w:tabs>
      </w:pPr>
    </w:p>
    <w:p w14:paraId="029F6684" w14:textId="77777777" w:rsidR="0037067F" w:rsidRDefault="0037067F" w:rsidP="0037067F">
      <w:pPr>
        <w:tabs>
          <w:tab w:val="left" w:pos="5040"/>
        </w:tabs>
      </w:pPr>
    </w:p>
    <w:p w14:paraId="382C9737" w14:textId="77777777" w:rsidR="0037067F" w:rsidRDefault="0037067F" w:rsidP="0037067F">
      <w:pPr>
        <w:tabs>
          <w:tab w:val="right" w:pos="8496"/>
        </w:tabs>
        <w:ind w:left="3528" w:firstLine="701"/>
        <w:rPr>
          <w:u w:val="single"/>
        </w:rPr>
      </w:pPr>
      <w:r>
        <w:rPr>
          <w:u w:val="single"/>
        </w:rPr>
        <w:t xml:space="preserve"> Dr. Stephen Harrison</w:t>
      </w:r>
    </w:p>
    <w:p w14:paraId="21B1FAD7" w14:textId="77777777" w:rsidR="0037067F" w:rsidRDefault="0037067F" w:rsidP="0037067F">
      <w:pPr>
        <w:tabs>
          <w:tab w:val="right" w:pos="8496"/>
        </w:tabs>
        <w:ind w:left="4320"/>
      </w:pPr>
      <w:r>
        <w:t xml:space="preserve">Dean </w:t>
      </w:r>
    </w:p>
    <w:p w14:paraId="43F0DD20" w14:textId="77777777" w:rsidR="0037067F" w:rsidRDefault="0037067F" w:rsidP="0037067F">
      <w:pPr>
        <w:tabs>
          <w:tab w:val="right" w:pos="8496"/>
        </w:tabs>
        <w:ind w:left="3600" w:firstLine="720"/>
      </w:pPr>
      <w:r>
        <w:t>Swiss School of Business Research</w:t>
      </w:r>
    </w:p>
    <w:p w14:paraId="0A5FF85C" w14:textId="77777777" w:rsidR="0037067F" w:rsidRDefault="0037067F" w:rsidP="0037067F">
      <w:pPr>
        <w:pBdr>
          <w:top w:val="nil"/>
          <w:left w:val="nil"/>
          <w:bottom w:val="nil"/>
          <w:right w:val="nil"/>
          <w:between w:val="nil"/>
        </w:pBdr>
        <w:jc w:val="center"/>
      </w:pPr>
      <w:r>
        <w:br w:type="page"/>
      </w:r>
    </w:p>
    <w:p w14:paraId="684C3CDF" w14:textId="77777777" w:rsidR="0037067F" w:rsidRPr="004A0B69" w:rsidRDefault="0037067F" w:rsidP="0037067F">
      <w:bookmarkStart w:id="1" w:name="_kri5qlnumsi" w:colFirst="0" w:colLast="0"/>
      <w:bookmarkStart w:id="2" w:name="_ku9ukyuana8t" w:colFirst="0" w:colLast="0"/>
      <w:bookmarkEnd w:id="1"/>
      <w:bookmarkEnd w:id="2"/>
    </w:p>
    <w:p w14:paraId="4FC836B0" w14:textId="77777777" w:rsidR="0037067F" w:rsidRPr="00DE2375" w:rsidRDefault="0037067F" w:rsidP="0037067F">
      <w:pPr>
        <w:rPr>
          <w:sz w:val="28"/>
          <w:szCs w:val="28"/>
        </w:rPr>
      </w:pPr>
    </w:p>
    <w:p w14:paraId="6965B487" w14:textId="77777777" w:rsidR="00DE2375" w:rsidRPr="00DE2375" w:rsidRDefault="0037067F" w:rsidP="00DE2375">
      <w:pPr>
        <w:jc w:val="center"/>
        <w:rPr>
          <w:b/>
          <w:bCs/>
          <w:sz w:val="28"/>
          <w:szCs w:val="28"/>
        </w:rPr>
      </w:pPr>
      <w:r w:rsidRPr="00DE2375">
        <w:rPr>
          <w:b/>
          <w:bCs/>
          <w:sz w:val="28"/>
          <w:szCs w:val="28"/>
        </w:rPr>
        <w:t xml:space="preserve">CRYPTOCURRENCY AS PASSIVE INCOME: </w:t>
      </w:r>
    </w:p>
    <w:p w14:paraId="4EE6EB8F" w14:textId="15AEAE69" w:rsidR="0037067F" w:rsidRPr="00DE2375" w:rsidRDefault="0037067F" w:rsidP="00DE2375">
      <w:pPr>
        <w:jc w:val="center"/>
        <w:rPr>
          <w:b/>
          <w:bCs/>
          <w:sz w:val="28"/>
          <w:szCs w:val="28"/>
        </w:rPr>
      </w:pPr>
      <w:r w:rsidRPr="00DE2375">
        <w:rPr>
          <w:b/>
          <w:bCs/>
          <w:sz w:val="28"/>
          <w:szCs w:val="28"/>
        </w:rPr>
        <w:t>A MINIMAL-INVESTMENT BUSINESS MODEL</w:t>
      </w:r>
    </w:p>
    <w:p w14:paraId="0BE79CD4" w14:textId="77777777" w:rsidR="0037067F" w:rsidRDefault="0037067F" w:rsidP="0037067F">
      <w:pPr>
        <w:pBdr>
          <w:top w:val="nil"/>
          <w:left w:val="nil"/>
          <w:bottom w:val="nil"/>
          <w:right w:val="nil"/>
          <w:between w:val="nil"/>
        </w:pBdr>
        <w:jc w:val="center"/>
        <w:rPr>
          <w:color w:val="000000"/>
        </w:rPr>
      </w:pPr>
    </w:p>
    <w:p w14:paraId="4F781641" w14:textId="77777777" w:rsidR="0037067F" w:rsidRDefault="0037067F" w:rsidP="0037067F">
      <w:pPr>
        <w:pBdr>
          <w:top w:val="nil"/>
          <w:left w:val="nil"/>
          <w:bottom w:val="nil"/>
          <w:right w:val="nil"/>
          <w:between w:val="nil"/>
        </w:pBdr>
        <w:rPr>
          <w:color w:val="000000"/>
        </w:rPr>
      </w:pPr>
    </w:p>
    <w:p w14:paraId="4CFAA004" w14:textId="77777777" w:rsidR="0037067F" w:rsidRPr="003C66A0" w:rsidRDefault="0037067F" w:rsidP="0037067F">
      <w:pPr>
        <w:jc w:val="both"/>
        <w:rPr>
          <w:color w:val="000000" w:themeColor="text1"/>
        </w:rPr>
      </w:pPr>
      <w:r w:rsidRPr="003C66A0">
        <w:rPr>
          <w:color w:val="000000" w:themeColor="text1"/>
        </w:rPr>
        <w:t xml:space="preserve">This dissertation analyzes passive income opportunities in cryptocurrency via a mixed-methods study of decentralized finance (DeFi) participants from 2020 to 2024. This study examines 156 liquidity positions over a minimum duration of 90 days, analyzes 3.27 million transactions from six decentralized exchanges, and includes semi-structured interviews with 27 practitioners in the DeFi sector. </w:t>
      </w:r>
    </w:p>
    <w:p w14:paraId="45D9A294" w14:textId="77777777" w:rsidR="0037067F" w:rsidRPr="003C66A0" w:rsidRDefault="0037067F" w:rsidP="0037067F">
      <w:pPr>
        <w:jc w:val="both"/>
        <w:rPr>
          <w:color w:val="000000" w:themeColor="text1"/>
        </w:rPr>
      </w:pPr>
    </w:p>
    <w:p w14:paraId="493EDB89" w14:textId="04FD5CC6" w:rsidR="0037067F" w:rsidRPr="003C66A0" w:rsidRDefault="0037067F" w:rsidP="0037067F">
      <w:pPr>
        <w:jc w:val="both"/>
        <w:rPr>
          <w:color w:val="000000" w:themeColor="text1"/>
        </w:rPr>
      </w:pPr>
      <w:r w:rsidRPr="003C66A0">
        <w:rPr>
          <w:color w:val="000000" w:themeColor="text1"/>
        </w:rPr>
        <w:t xml:space="preserve">For </w:t>
      </w:r>
      <w:proofErr w:type="gramStart"/>
      <w:r w:rsidRPr="003C66A0">
        <w:rPr>
          <w:color w:val="000000" w:themeColor="text1"/>
        </w:rPr>
        <w:t>this</w:t>
      </w:r>
      <w:proofErr w:type="gramEnd"/>
      <w:r w:rsidRPr="003C66A0">
        <w:rPr>
          <w:color w:val="000000" w:themeColor="text1"/>
        </w:rPr>
        <w:t xml:space="preserve"> purposive sampling was used to achieve maximum variation across capital levels ($500-$100,000+), protocols, and market conditions. Using this approach restricts statistical generalization to wider populations but facilitates analytical generalization regarding the mechanisms and conditions influencing DeFi participation results. In my sample, around </w:t>
      </w:r>
      <w:r w:rsidR="00DF0BD9" w:rsidRPr="00DF0BD9">
        <w:rPr>
          <w:color w:val="000000" w:themeColor="text1"/>
        </w:rPr>
        <w:t>73% (95% CI: 65%-80%; accounting for survivorship bias: likely 73-90%)</w:t>
      </w:r>
      <w:r w:rsidR="00DF0BD9">
        <w:rPr>
          <w:color w:val="000000" w:themeColor="text1"/>
        </w:rPr>
        <w:t xml:space="preserve"> </w:t>
      </w:r>
      <w:r w:rsidRPr="003C66A0">
        <w:rPr>
          <w:color w:val="000000" w:themeColor="text1"/>
        </w:rPr>
        <w:t>positions were found to be unprofitable when considering gas fees, impermanent loss, and overall operational costs. Of the 27% of participants who achieved positive returns were not randomly distributed; they were concentrated among those who met three criteria: capital exceeding network-specific thresholds, technical competence aligned with strategy complexity, and a time commitment of about 15-20 hours per week.</w:t>
      </w:r>
    </w:p>
    <w:p w14:paraId="0B78F376" w14:textId="77777777" w:rsidR="0037067F" w:rsidRPr="003C66A0" w:rsidRDefault="0037067F" w:rsidP="0037067F">
      <w:pPr>
        <w:jc w:val="both"/>
        <w:rPr>
          <w:color w:val="000000" w:themeColor="text1"/>
        </w:rPr>
      </w:pPr>
    </w:p>
    <w:p w14:paraId="3A209D6E" w14:textId="77777777" w:rsidR="0037067F" w:rsidRPr="003C66A0" w:rsidRDefault="0037067F" w:rsidP="0037067F">
      <w:pPr>
        <w:jc w:val="both"/>
        <w:rPr>
          <w:color w:val="000000" w:themeColor="text1"/>
        </w:rPr>
      </w:pPr>
      <w:r w:rsidRPr="003C66A0">
        <w:rPr>
          <w:color w:val="000000" w:themeColor="text1"/>
        </w:rPr>
        <w:t xml:space="preserve">During this study it was clear to delineate network-specific capital requirements via break-even analysis. To cover operational costs, Ethereum </w:t>
      </w:r>
      <w:proofErr w:type="spellStart"/>
      <w:r w:rsidRPr="003C66A0">
        <w:rPr>
          <w:color w:val="000000" w:themeColor="text1"/>
        </w:rPr>
        <w:t>mainnet</w:t>
      </w:r>
      <w:proofErr w:type="spellEnd"/>
      <w:r w:rsidRPr="003C66A0">
        <w:rPr>
          <w:color w:val="000000" w:themeColor="text1"/>
        </w:rPr>
        <w:t xml:space="preserve"> positions required an investment of around $25,000, with a range of $18,000 to $31,000 depending on gas prices. Layer-2 (L2) solutions, exemplified by </w:t>
      </w:r>
      <w:proofErr w:type="spellStart"/>
      <w:r w:rsidRPr="003C66A0">
        <w:rPr>
          <w:color w:val="000000" w:themeColor="text1"/>
        </w:rPr>
        <w:t>Arbitrum</w:t>
      </w:r>
      <w:proofErr w:type="spellEnd"/>
      <w:r w:rsidRPr="003C66A0">
        <w:rPr>
          <w:color w:val="000000" w:themeColor="text1"/>
        </w:rPr>
        <w:t xml:space="preserve">, demonstrated viability at approximately $3,500 (±$1,000), while alternative crypto like Polygon facilitated profitable positions starting from $750 (±$250). The thresholds were derived from mathematical analysis and relationships between fixed costs and fee generation rates observed during the study period. </w:t>
      </w:r>
    </w:p>
    <w:p w14:paraId="10445B35" w14:textId="77777777" w:rsidR="0037067F" w:rsidRPr="003C66A0" w:rsidRDefault="0037067F" w:rsidP="0037067F">
      <w:pPr>
        <w:jc w:val="both"/>
        <w:rPr>
          <w:color w:val="000000" w:themeColor="text1"/>
        </w:rPr>
      </w:pPr>
    </w:p>
    <w:p w14:paraId="296BB65B" w14:textId="77777777" w:rsidR="0037067F" w:rsidRPr="003C66A0" w:rsidRDefault="0037067F" w:rsidP="0037067F">
      <w:pPr>
        <w:jc w:val="both"/>
        <w:rPr>
          <w:color w:val="000000" w:themeColor="text1"/>
        </w:rPr>
      </w:pPr>
      <w:r w:rsidRPr="003C66A0">
        <w:rPr>
          <w:color w:val="000000" w:themeColor="text1"/>
        </w:rPr>
        <w:t xml:space="preserve">For the risk analysis, the study indicates that 12.2% of the positions in the sample encountered protocol-level incidents on a quarterly basis. It is estimated that an annual incident probability of 35-45% for participants under comparable market conditions, utilizing survival analysis that accounts for temporal clustering and contagion effects is realistic. However, this range shows an uncertainty due to my restricted observation period and the non-stationary characteristics of cryptocurrency markets in general. </w:t>
      </w:r>
    </w:p>
    <w:p w14:paraId="243F7A15" w14:textId="77777777" w:rsidR="0037067F" w:rsidRPr="003C66A0" w:rsidRDefault="0037067F" w:rsidP="0037067F">
      <w:pPr>
        <w:jc w:val="both"/>
        <w:rPr>
          <w:color w:val="000000" w:themeColor="text1"/>
        </w:rPr>
      </w:pPr>
    </w:p>
    <w:p w14:paraId="323B33DF" w14:textId="683D11B9" w:rsidR="0037067F" w:rsidRPr="003C66A0" w:rsidRDefault="0037067F" w:rsidP="0037067F">
      <w:pPr>
        <w:jc w:val="both"/>
        <w:rPr>
          <w:color w:val="000000" w:themeColor="text1"/>
        </w:rPr>
      </w:pPr>
      <w:r w:rsidRPr="003C66A0">
        <w:rPr>
          <w:color w:val="000000" w:themeColor="text1"/>
        </w:rPr>
        <w:t xml:space="preserve">The results show that instead of just promoting democracy, DeFi has created new avenues for financial participation rather than facilitating democratization. </w:t>
      </w:r>
      <w:r w:rsidR="00A60767" w:rsidRPr="003C66A0">
        <w:rPr>
          <w:color w:val="000000" w:themeColor="text1"/>
        </w:rPr>
        <w:t>Technical</w:t>
      </w:r>
      <w:r w:rsidRPr="003C66A0">
        <w:rPr>
          <w:color w:val="000000" w:themeColor="text1"/>
        </w:rPr>
        <w:t xml:space="preserve"> barriers like gas optimization and temporary loss management have replaced institutional ones like minimum investments and accreditation restrictions. Although many participants overestimated the necessary operational commitments, my analysis showed that stablecoin liquidity using Layer 2 networks produced annual profits of 4-8%.</w:t>
      </w:r>
    </w:p>
    <w:p w14:paraId="2441CD5A" w14:textId="77777777" w:rsidR="0037067F" w:rsidRDefault="0037067F" w:rsidP="0037067F">
      <w:pPr>
        <w:pBdr>
          <w:top w:val="nil"/>
          <w:left w:val="nil"/>
          <w:bottom w:val="nil"/>
          <w:right w:val="nil"/>
          <w:between w:val="nil"/>
        </w:pBdr>
        <w:rPr>
          <w:color w:val="000000"/>
        </w:rPr>
      </w:pPr>
    </w:p>
    <w:p w14:paraId="0B6FB949" w14:textId="77777777" w:rsidR="0037067F" w:rsidRDefault="0037067F" w:rsidP="0037067F">
      <w:pPr>
        <w:pBdr>
          <w:top w:val="nil"/>
          <w:left w:val="nil"/>
          <w:bottom w:val="nil"/>
          <w:right w:val="nil"/>
          <w:between w:val="nil"/>
        </w:pBdr>
        <w:jc w:val="center"/>
        <w:rPr>
          <w:color w:val="000000"/>
        </w:rPr>
      </w:pPr>
    </w:p>
    <w:p w14:paraId="5823D2DA" w14:textId="77777777" w:rsidR="0037067F" w:rsidRPr="004A0B69" w:rsidRDefault="0037067F" w:rsidP="0037067F">
      <w:pPr>
        <w:pBdr>
          <w:top w:val="nil"/>
          <w:left w:val="nil"/>
          <w:bottom w:val="nil"/>
          <w:right w:val="nil"/>
          <w:between w:val="nil"/>
        </w:pBdr>
        <w:jc w:val="center"/>
        <w:rPr>
          <w:color w:val="EE0000"/>
        </w:rPr>
      </w:pPr>
      <w:r w:rsidRPr="004A0B69">
        <w:rPr>
          <w:color w:val="EE0000"/>
        </w:rPr>
        <w:t>DEGREE DATE</w:t>
      </w:r>
    </w:p>
    <w:p w14:paraId="715CCAE9" w14:textId="77777777" w:rsidR="0037067F" w:rsidRDefault="0037067F" w:rsidP="0037067F">
      <w:pPr>
        <w:pBdr>
          <w:top w:val="nil"/>
          <w:left w:val="nil"/>
          <w:bottom w:val="nil"/>
          <w:right w:val="nil"/>
          <w:between w:val="nil"/>
        </w:pBdr>
        <w:jc w:val="center"/>
        <w:rPr>
          <w:color w:val="000000"/>
        </w:rPr>
      </w:pPr>
    </w:p>
    <w:p w14:paraId="0FE1450F" w14:textId="77777777" w:rsidR="0037067F" w:rsidRDefault="0037067F" w:rsidP="0037067F">
      <w:pPr>
        <w:pBdr>
          <w:top w:val="nil"/>
          <w:left w:val="nil"/>
          <w:bottom w:val="nil"/>
          <w:right w:val="nil"/>
          <w:between w:val="nil"/>
        </w:pBdr>
        <w:jc w:val="center"/>
        <w:rPr>
          <w:color w:val="000000"/>
        </w:rPr>
      </w:pPr>
      <w:r>
        <w:rPr>
          <w:color w:val="000000"/>
        </w:rPr>
        <w:lastRenderedPageBreak/>
        <w:t>DASHA DAVIES</w:t>
      </w:r>
    </w:p>
    <w:p w14:paraId="50230007" w14:textId="77777777" w:rsidR="0037067F" w:rsidRDefault="0037067F" w:rsidP="0037067F">
      <w:pPr>
        <w:pBdr>
          <w:top w:val="nil"/>
          <w:left w:val="nil"/>
          <w:bottom w:val="nil"/>
          <w:right w:val="nil"/>
          <w:between w:val="nil"/>
        </w:pBdr>
        <w:jc w:val="center"/>
        <w:rPr>
          <w:color w:val="000000"/>
        </w:rPr>
      </w:pPr>
    </w:p>
    <w:p w14:paraId="69C4F37E" w14:textId="77777777" w:rsidR="0037067F" w:rsidRDefault="0037067F" w:rsidP="0037067F">
      <w:pPr>
        <w:pBdr>
          <w:top w:val="nil"/>
          <w:left w:val="nil"/>
          <w:bottom w:val="nil"/>
          <w:right w:val="nil"/>
          <w:between w:val="nil"/>
        </w:pBdr>
        <w:jc w:val="center"/>
        <w:rPr>
          <w:color w:val="000000"/>
        </w:rPr>
      </w:pPr>
      <w:r>
        <w:rPr>
          <w:color w:val="000000"/>
        </w:rPr>
        <w:t>DOCTOR OF PHILOSOPHY</w:t>
      </w:r>
    </w:p>
    <w:p w14:paraId="43BE18A4" w14:textId="77777777" w:rsidR="0037067F" w:rsidRDefault="0037067F" w:rsidP="0037067F">
      <w:pPr>
        <w:pBdr>
          <w:top w:val="nil"/>
          <w:left w:val="nil"/>
          <w:bottom w:val="nil"/>
          <w:right w:val="nil"/>
          <w:between w:val="nil"/>
        </w:pBdr>
        <w:jc w:val="center"/>
        <w:rPr>
          <w:color w:val="000000"/>
        </w:rPr>
      </w:pPr>
    </w:p>
    <w:p w14:paraId="6EC42CAF" w14:textId="77777777" w:rsidR="0037067F" w:rsidRDefault="0037067F" w:rsidP="0037067F">
      <w:pPr>
        <w:pBdr>
          <w:top w:val="nil"/>
          <w:left w:val="nil"/>
          <w:bottom w:val="nil"/>
          <w:right w:val="nil"/>
          <w:between w:val="nil"/>
        </w:pBdr>
        <w:jc w:val="center"/>
        <w:rPr>
          <w:color w:val="000000"/>
        </w:rPr>
      </w:pPr>
      <w:r>
        <w:rPr>
          <w:color w:val="000000"/>
        </w:rPr>
        <w:t>SWISS SCHOOL OF BUSINESS RESEARCH</w:t>
      </w:r>
    </w:p>
    <w:p w14:paraId="76F31EFF" w14:textId="77777777" w:rsidR="0037067F" w:rsidRDefault="0037067F" w:rsidP="0037067F">
      <w:pPr>
        <w:pBdr>
          <w:top w:val="nil"/>
          <w:left w:val="nil"/>
          <w:bottom w:val="nil"/>
          <w:right w:val="nil"/>
          <w:between w:val="nil"/>
        </w:pBdr>
        <w:jc w:val="center"/>
        <w:rPr>
          <w:color w:val="000000"/>
        </w:rPr>
      </w:pPr>
    </w:p>
    <w:p w14:paraId="67F90C5A" w14:textId="77777777" w:rsidR="0037067F" w:rsidRDefault="0037067F" w:rsidP="0037067F">
      <w:pPr>
        <w:pBdr>
          <w:top w:val="nil"/>
          <w:left w:val="nil"/>
          <w:bottom w:val="nil"/>
          <w:right w:val="nil"/>
          <w:between w:val="nil"/>
        </w:pBdr>
        <w:jc w:val="center"/>
        <w:rPr>
          <w:color w:val="000000"/>
        </w:rPr>
      </w:pPr>
      <w:r>
        <w:rPr>
          <w:color w:val="000000"/>
        </w:rPr>
        <w:t>Directed by: JAMES PUNCH, PhD</w:t>
      </w:r>
    </w:p>
    <w:p w14:paraId="585BD24E" w14:textId="77777777" w:rsidR="0037067F" w:rsidRDefault="0037067F" w:rsidP="0037067F">
      <w:pPr>
        <w:pBdr>
          <w:top w:val="nil"/>
          <w:left w:val="nil"/>
          <w:bottom w:val="nil"/>
          <w:right w:val="nil"/>
          <w:between w:val="nil"/>
        </w:pBdr>
        <w:jc w:val="center"/>
        <w:rPr>
          <w:color w:val="000000"/>
        </w:rPr>
      </w:pPr>
    </w:p>
    <w:p w14:paraId="559FCC9B" w14:textId="77777777" w:rsidR="0037067F" w:rsidRDefault="0037067F" w:rsidP="0037067F">
      <w:pPr>
        <w:pBdr>
          <w:top w:val="nil"/>
          <w:left w:val="nil"/>
          <w:bottom w:val="nil"/>
          <w:right w:val="nil"/>
          <w:between w:val="nil"/>
        </w:pBdr>
      </w:pPr>
      <w:r>
        <w:br w:type="page"/>
      </w:r>
    </w:p>
    <w:sdt>
      <w:sdtPr>
        <w:rPr>
          <w:b w:val="0"/>
          <w:kern w:val="0"/>
          <w:sz w:val="24"/>
        </w:rPr>
        <w:id w:val="-1767381491"/>
        <w:docPartObj>
          <w:docPartGallery w:val="Table of Contents"/>
          <w:docPartUnique/>
        </w:docPartObj>
      </w:sdtPr>
      <w:sdtEndPr>
        <w:rPr>
          <w:bCs/>
          <w:noProof/>
        </w:rPr>
      </w:sdtEndPr>
      <w:sdtContent>
        <w:p w14:paraId="68AF3D13" w14:textId="77777777" w:rsidR="0037067F" w:rsidRDefault="0037067F" w:rsidP="0037067F">
          <w:pPr>
            <w:pStyle w:val="TOCHeading"/>
          </w:pPr>
          <w:r>
            <w:t>Table of Contents</w:t>
          </w:r>
        </w:p>
        <w:p w14:paraId="247B0BD5" w14:textId="2AE97A09" w:rsidR="002C51B7" w:rsidRDefault="0037067F">
          <w:pPr>
            <w:pStyle w:val="TOC1"/>
            <w:tabs>
              <w:tab w:val="right" w:leader="dot" w:pos="9350"/>
            </w:tabs>
            <w:rPr>
              <w:rFonts w:eastAsiaTheme="minorEastAsia" w:cstheme="minorBidi"/>
              <w:b w:val="0"/>
              <w:bCs w:val="0"/>
              <w:caps w:val="0"/>
              <w:noProof/>
              <w:sz w:val="24"/>
              <w:szCs w:val="24"/>
              <w14:ligatures w14:val="standardContextual"/>
            </w:rPr>
          </w:pPr>
          <w:r>
            <w:fldChar w:fldCharType="begin"/>
          </w:r>
          <w:r>
            <w:instrText xml:space="preserve"> TOC \o "1-3" \h \z \u </w:instrText>
          </w:r>
          <w:r>
            <w:fldChar w:fldCharType="separate"/>
          </w:r>
          <w:hyperlink w:anchor="_Toc214721809" w:history="1">
            <w:r w:rsidR="002C51B7" w:rsidRPr="009300E5">
              <w:rPr>
                <w:rStyle w:val="Hyperlink"/>
                <w:rFonts w:eastAsiaTheme="majorEastAsia"/>
                <w:noProof/>
              </w:rPr>
              <w:t>CHAPTER 1: INTRODUCTION</w:t>
            </w:r>
            <w:r w:rsidR="002C51B7">
              <w:rPr>
                <w:noProof/>
                <w:webHidden/>
              </w:rPr>
              <w:tab/>
            </w:r>
            <w:r w:rsidR="002C51B7">
              <w:rPr>
                <w:noProof/>
                <w:webHidden/>
              </w:rPr>
              <w:fldChar w:fldCharType="begin"/>
            </w:r>
            <w:r w:rsidR="002C51B7">
              <w:rPr>
                <w:noProof/>
                <w:webHidden/>
              </w:rPr>
              <w:instrText xml:space="preserve"> PAGEREF _Toc214721809 \h </w:instrText>
            </w:r>
            <w:r w:rsidR="002C51B7">
              <w:rPr>
                <w:noProof/>
                <w:webHidden/>
              </w:rPr>
            </w:r>
            <w:r w:rsidR="002C51B7">
              <w:rPr>
                <w:noProof/>
                <w:webHidden/>
              </w:rPr>
              <w:fldChar w:fldCharType="separate"/>
            </w:r>
            <w:r w:rsidR="002C51B7">
              <w:rPr>
                <w:noProof/>
                <w:webHidden/>
              </w:rPr>
              <w:t>11</w:t>
            </w:r>
            <w:r w:rsidR="002C51B7">
              <w:rPr>
                <w:noProof/>
                <w:webHidden/>
              </w:rPr>
              <w:fldChar w:fldCharType="end"/>
            </w:r>
          </w:hyperlink>
        </w:p>
        <w:p w14:paraId="1F81BB14" w14:textId="1FE6A397" w:rsidR="002C51B7" w:rsidRDefault="002C51B7">
          <w:pPr>
            <w:pStyle w:val="TOC2"/>
            <w:rPr>
              <w:rFonts w:eastAsiaTheme="minorEastAsia" w:cstheme="minorBidi"/>
              <w:b w:val="0"/>
              <w:bCs w:val="0"/>
              <w:smallCaps w:val="0"/>
              <w:sz w:val="24"/>
              <w:szCs w:val="24"/>
              <w14:ligatures w14:val="standardContextual"/>
            </w:rPr>
          </w:pPr>
          <w:hyperlink w:anchor="_Toc214721810" w:history="1">
            <w:r w:rsidRPr="009300E5">
              <w:rPr>
                <w:rStyle w:val="Hyperlink"/>
                <w:rFonts w:eastAsiaTheme="majorEastAsia"/>
              </w:rPr>
              <w:t>1.1 Abstract</w:t>
            </w:r>
            <w:r>
              <w:rPr>
                <w:webHidden/>
              </w:rPr>
              <w:tab/>
            </w:r>
            <w:r>
              <w:rPr>
                <w:webHidden/>
              </w:rPr>
              <w:fldChar w:fldCharType="begin"/>
            </w:r>
            <w:r>
              <w:rPr>
                <w:webHidden/>
              </w:rPr>
              <w:instrText xml:space="preserve"> PAGEREF _Toc214721810 \h </w:instrText>
            </w:r>
            <w:r>
              <w:rPr>
                <w:webHidden/>
              </w:rPr>
            </w:r>
            <w:r>
              <w:rPr>
                <w:webHidden/>
              </w:rPr>
              <w:fldChar w:fldCharType="separate"/>
            </w:r>
            <w:r>
              <w:rPr>
                <w:webHidden/>
              </w:rPr>
              <w:t>11</w:t>
            </w:r>
            <w:r>
              <w:rPr>
                <w:webHidden/>
              </w:rPr>
              <w:fldChar w:fldCharType="end"/>
            </w:r>
          </w:hyperlink>
        </w:p>
        <w:p w14:paraId="4EF2B9CB" w14:textId="262CFE09" w:rsidR="002C51B7" w:rsidRDefault="002C51B7">
          <w:pPr>
            <w:pStyle w:val="TOC2"/>
            <w:rPr>
              <w:rFonts w:eastAsiaTheme="minorEastAsia" w:cstheme="minorBidi"/>
              <w:b w:val="0"/>
              <w:bCs w:val="0"/>
              <w:smallCaps w:val="0"/>
              <w:sz w:val="24"/>
              <w:szCs w:val="24"/>
              <w14:ligatures w14:val="standardContextual"/>
            </w:rPr>
          </w:pPr>
          <w:hyperlink w:anchor="_Toc214721811" w:history="1">
            <w:r w:rsidRPr="009300E5">
              <w:rPr>
                <w:rStyle w:val="Hyperlink"/>
                <w:rFonts w:eastAsiaTheme="majorEastAsia"/>
              </w:rPr>
              <w:t>1.2 Ethical Considerations</w:t>
            </w:r>
            <w:r>
              <w:rPr>
                <w:webHidden/>
              </w:rPr>
              <w:tab/>
            </w:r>
            <w:r>
              <w:rPr>
                <w:webHidden/>
              </w:rPr>
              <w:fldChar w:fldCharType="begin"/>
            </w:r>
            <w:r>
              <w:rPr>
                <w:webHidden/>
              </w:rPr>
              <w:instrText xml:space="preserve"> PAGEREF _Toc214721811 \h </w:instrText>
            </w:r>
            <w:r>
              <w:rPr>
                <w:webHidden/>
              </w:rPr>
            </w:r>
            <w:r>
              <w:rPr>
                <w:webHidden/>
              </w:rPr>
              <w:fldChar w:fldCharType="separate"/>
            </w:r>
            <w:r>
              <w:rPr>
                <w:webHidden/>
              </w:rPr>
              <w:t>12</w:t>
            </w:r>
            <w:r>
              <w:rPr>
                <w:webHidden/>
              </w:rPr>
              <w:fldChar w:fldCharType="end"/>
            </w:r>
          </w:hyperlink>
        </w:p>
        <w:p w14:paraId="50CE7E2E" w14:textId="3874F498" w:rsidR="002C51B7" w:rsidRDefault="002C51B7">
          <w:pPr>
            <w:pStyle w:val="TOC2"/>
            <w:rPr>
              <w:rFonts w:eastAsiaTheme="minorEastAsia" w:cstheme="minorBidi"/>
              <w:b w:val="0"/>
              <w:bCs w:val="0"/>
              <w:smallCaps w:val="0"/>
              <w:sz w:val="24"/>
              <w:szCs w:val="24"/>
              <w14:ligatures w14:val="standardContextual"/>
            </w:rPr>
          </w:pPr>
          <w:hyperlink w:anchor="_Toc214721812" w:history="1">
            <w:r w:rsidRPr="009300E5">
              <w:rPr>
                <w:rStyle w:val="Hyperlink"/>
                <w:rFonts w:eastAsiaTheme="majorEastAsia"/>
              </w:rPr>
              <w:t>1.3 Introduction</w:t>
            </w:r>
            <w:r>
              <w:rPr>
                <w:webHidden/>
              </w:rPr>
              <w:tab/>
            </w:r>
            <w:r>
              <w:rPr>
                <w:webHidden/>
              </w:rPr>
              <w:fldChar w:fldCharType="begin"/>
            </w:r>
            <w:r>
              <w:rPr>
                <w:webHidden/>
              </w:rPr>
              <w:instrText xml:space="preserve"> PAGEREF _Toc214721812 \h </w:instrText>
            </w:r>
            <w:r>
              <w:rPr>
                <w:webHidden/>
              </w:rPr>
            </w:r>
            <w:r>
              <w:rPr>
                <w:webHidden/>
              </w:rPr>
              <w:fldChar w:fldCharType="separate"/>
            </w:r>
            <w:r>
              <w:rPr>
                <w:webHidden/>
              </w:rPr>
              <w:t>12</w:t>
            </w:r>
            <w:r>
              <w:rPr>
                <w:webHidden/>
              </w:rPr>
              <w:fldChar w:fldCharType="end"/>
            </w:r>
          </w:hyperlink>
        </w:p>
        <w:p w14:paraId="1CCB97F5" w14:textId="76AABB77" w:rsidR="002C51B7" w:rsidRDefault="002C51B7">
          <w:pPr>
            <w:pStyle w:val="TOC3"/>
            <w:rPr>
              <w:rFonts w:eastAsiaTheme="minorEastAsia" w:cstheme="minorBidi"/>
              <w:i w:val="0"/>
              <w:iCs w:val="0"/>
              <w:noProof/>
              <w:sz w:val="24"/>
              <w:szCs w:val="24"/>
              <w14:ligatures w14:val="standardContextual"/>
            </w:rPr>
          </w:pPr>
          <w:hyperlink w:anchor="_Toc214721813" w:history="1">
            <w:r w:rsidRPr="009300E5">
              <w:rPr>
                <w:rStyle w:val="Hyperlink"/>
                <w:rFonts w:eastAsiaTheme="majorEastAsia"/>
                <w:noProof/>
              </w:rPr>
              <w:t>1.3.0 Key Empirical Findings Overview</w:t>
            </w:r>
            <w:r>
              <w:rPr>
                <w:noProof/>
                <w:webHidden/>
              </w:rPr>
              <w:tab/>
            </w:r>
            <w:r>
              <w:rPr>
                <w:noProof/>
                <w:webHidden/>
              </w:rPr>
              <w:fldChar w:fldCharType="begin"/>
            </w:r>
            <w:r>
              <w:rPr>
                <w:noProof/>
                <w:webHidden/>
              </w:rPr>
              <w:instrText xml:space="preserve"> PAGEREF _Toc214721813 \h </w:instrText>
            </w:r>
            <w:r>
              <w:rPr>
                <w:noProof/>
                <w:webHidden/>
              </w:rPr>
            </w:r>
            <w:r>
              <w:rPr>
                <w:noProof/>
                <w:webHidden/>
              </w:rPr>
              <w:fldChar w:fldCharType="separate"/>
            </w:r>
            <w:r>
              <w:rPr>
                <w:noProof/>
                <w:webHidden/>
              </w:rPr>
              <w:t>13</w:t>
            </w:r>
            <w:r>
              <w:rPr>
                <w:noProof/>
                <w:webHidden/>
              </w:rPr>
              <w:fldChar w:fldCharType="end"/>
            </w:r>
          </w:hyperlink>
        </w:p>
        <w:p w14:paraId="49916566" w14:textId="4649E53A" w:rsidR="002C51B7" w:rsidRDefault="002C51B7">
          <w:pPr>
            <w:pStyle w:val="TOC3"/>
            <w:rPr>
              <w:rFonts w:eastAsiaTheme="minorEastAsia" w:cstheme="minorBidi"/>
              <w:i w:val="0"/>
              <w:iCs w:val="0"/>
              <w:noProof/>
              <w:sz w:val="24"/>
              <w:szCs w:val="24"/>
              <w14:ligatures w14:val="standardContextual"/>
            </w:rPr>
          </w:pPr>
          <w:hyperlink w:anchor="_Toc214721814" w:history="1">
            <w:r w:rsidRPr="009300E5">
              <w:rPr>
                <w:rStyle w:val="Hyperlink"/>
                <w:rFonts w:eastAsiaTheme="majorEastAsia"/>
                <w:noProof/>
              </w:rPr>
              <w:t>1.3.1 Theoretical Context and Research Gap</w:t>
            </w:r>
            <w:r>
              <w:rPr>
                <w:noProof/>
                <w:webHidden/>
              </w:rPr>
              <w:tab/>
            </w:r>
            <w:r>
              <w:rPr>
                <w:noProof/>
                <w:webHidden/>
              </w:rPr>
              <w:fldChar w:fldCharType="begin"/>
            </w:r>
            <w:r>
              <w:rPr>
                <w:noProof/>
                <w:webHidden/>
              </w:rPr>
              <w:instrText xml:space="preserve"> PAGEREF _Toc214721814 \h </w:instrText>
            </w:r>
            <w:r>
              <w:rPr>
                <w:noProof/>
                <w:webHidden/>
              </w:rPr>
            </w:r>
            <w:r>
              <w:rPr>
                <w:noProof/>
                <w:webHidden/>
              </w:rPr>
              <w:fldChar w:fldCharType="separate"/>
            </w:r>
            <w:r>
              <w:rPr>
                <w:noProof/>
                <w:webHidden/>
              </w:rPr>
              <w:t>14</w:t>
            </w:r>
            <w:r>
              <w:rPr>
                <w:noProof/>
                <w:webHidden/>
              </w:rPr>
              <w:fldChar w:fldCharType="end"/>
            </w:r>
          </w:hyperlink>
        </w:p>
        <w:p w14:paraId="69EBDA43" w14:textId="3C78181F" w:rsidR="002C51B7" w:rsidRDefault="002C51B7">
          <w:pPr>
            <w:pStyle w:val="TOC3"/>
            <w:rPr>
              <w:rFonts w:eastAsiaTheme="minorEastAsia" w:cstheme="minorBidi"/>
              <w:i w:val="0"/>
              <w:iCs w:val="0"/>
              <w:noProof/>
              <w:sz w:val="24"/>
              <w:szCs w:val="24"/>
              <w14:ligatures w14:val="standardContextual"/>
            </w:rPr>
          </w:pPr>
          <w:hyperlink w:anchor="_Toc214721815" w:history="1">
            <w:r w:rsidRPr="009300E5">
              <w:rPr>
                <w:rStyle w:val="Hyperlink"/>
                <w:rFonts w:eastAsiaTheme="majorEastAsia"/>
                <w:noProof/>
              </w:rPr>
              <w:t>1.3.2 Regulatory and Market Context</w:t>
            </w:r>
            <w:r>
              <w:rPr>
                <w:noProof/>
                <w:webHidden/>
              </w:rPr>
              <w:tab/>
            </w:r>
            <w:r>
              <w:rPr>
                <w:noProof/>
                <w:webHidden/>
              </w:rPr>
              <w:fldChar w:fldCharType="begin"/>
            </w:r>
            <w:r>
              <w:rPr>
                <w:noProof/>
                <w:webHidden/>
              </w:rPr>
              <w:instrText xml:space="preserve"> PAGEREF _Toc214721815 \h </w:instrText>
            </w:r>
            <w:r>
              <w:rPr>
                <w:noProof/>
                <w:webHidden/>
              </w:rPr>
            </w:r>
            <w:r>
              <w:rPr>
                <w:noProof/>
                <w:webHidden/>
              </w:rPr>
              <w:fldChar w:fldCharType="separate"/>
            </w:r>
            <w:r>
              <w:rPr>
                <w:noProof/>
                <w:webHidden/>
              </w:rPr>
              <w:t>14</w:t>
            </w:r>
            <w:r>
              <w:rPr>
                <w:noProof/>
                <w:webHidden/>
              </w:rPr>
              <w:fldChar w:fldCharType="end"/>
            </w:r>
          </w:hyperlink>
        </w:p>
        <w:p w14:paraId="18211EE0" w14:textId="131DEB15" w:rsidR="002C51B7" w:rsidRDefault="002C51B7">
          <w:pPr>
            <w:pStyle w:val="TOC3"/>
            <w:rPr>
              <w:rFonts w:eastAsiaTheme="minorEastAsia" w:cstheme="minorBidi"/>
              <w:i w:val="0"/>
              <w:iCs w:val="0"/>
              <w:noProof/>
              <w:sz w:val="24"/>
              <w:szCs w:val="24"/>
              <w14:ligatures w14:val="standardContextual"/>
            </w:rPr>
          </w:pPr>
          <w:hyperlink w:anchor="_Toc214721816" w:history="1">
            <w:r w:rsidRPr="009300E5">
              <w:rPr>
                <w:rStyle w:val="Hyperlink"/>
                <w:rFonts w:eastAsiaTheme="majorEastAsia"/>
                <w:noProof/>
              </w:rPr>
              <w:t>1.3.3 Research Objectives and Contributions</w:t>
            </w:r>
            <w:r>
              <w:rPr>
                <w:noProof/>
                <w:webHidden/>
              </w:rPr>
              <w:tab/>
            </w:r>
            <w:r>
              <w:rPr>
                <w:noProof/>
                <w:webHidden/>
              </w:rPr>
              <w:fldChar w:fldCharType="begin"/>
            </w:r>
            <w:r>
              <w:rPr>
                <w:noProof/>
                <w:webHidden/>
              </w:rPr>
              <w:instrText xml:space="preserve"> PAGEREF _Toc214721816 \h </w:instrText>
            </w:r>
            <w:r>
              <w:rPr>
                <w:noProof/>
                <w:webHidden/>
              </w:rPr>
            </w:r>
            <w:r>
              <w:rPr>
                <w:noProof/>
                <w:webHidden/>
              </w:rPr>
              <w:fldChar w:fldCharType="separate"/>
            </w:r>
            <w:r>
              <w:rPr>
                <w:noProof/>
                <w:webHidden/>
              </w:rPr>
              <w:t>15</w:t>
            </w:r>
            <w:r>
              <w:rPr>
                <w:noProof/>
                <w:webHidden/>
              </w:rPr>
              <w:fldChar w:fldCharType="end"/>
            </w:r>
          </w:hyperlink>
        </w:p>
        <w:p w14:paraId="49AA2561" w14:textId="366A27FA" w:rsidR="002C51B7" w:rsidRDefault="002C51B7">
          <w:pPr>
            <w:pStyle w:val="TOC3"/>
            <w:rPr>
              <w:rFonts w:eastAsiaTheme="minorEastAsia" w:cstheme="minorBidi"/>
              <w:i w:val="0"/>
              <w:iCs w:val="0"/>
              <w:noProof/>
              <w:sz w:val="24"/>
              <w:szCs w:val="24"/>
              <w14:ligatures w14:val="standardContextual"/>
            </w:rPr>
          </w:pPr>
          <w:hyperlink w:anchor="_Toc214721817" w:history="1">
            <w:r w:rsidRPr="009300E5">
              <w:rPr>
                <w:rStyle w:val="Hyperlink"/>
                <w:rFonts w:eastAsiaTheme="majorEastAsia"/>
                <w:noProof/>
              </w:rPr>
              <w:t>1.3.4 Key Empirical Threshold</w:t>
            </w:r>
            <w:r>
              <w:rPr>
                <w:noProof/>
                <w:webHidden/>
              </w:rPr>
              <w:tab/>
            </w:r>
            <w:r>
              <w:rPr>
                <w:noProof/>
                <w:webHidden/>
              </w:rPr>
              <w:fldChar w:fldCharType="begin"/>
            </w:r>
            <w:r>
              <w:rPr>
                <w:noProof/>
                <w:webHidden/>
              </w:rPr>
              <w:instrText xml:space="preserve"> PAGEREF _Toc214721817 \h </w:instrText>
            </w:r>
            <w:r>
              <w:rPr>
                <w:noProof/>
                <w:webHidden/>
              </w:rPr>
            </w:r>
            <w:r>
              <w:rPr>
                <w:noProof/>
                <w:webHidden/>
              </w:rPr>
              <w:fldChar w:fldCharType="separate"/>
            </w:r>
            <w:r>
              <w:rPr>
                <w:noProof/>
                <w:webHidden/>
              </w:rPr>
              <w:t>16</w:t>
            </w:r>
            <w:r>
              <w:rPr>
                <w:noProof/>
                <w:webHidden/>
              </w:rPr>
              <w:fldChar w:fldCharType="end"/>
            </w:r>
          </w:hyperlink>
        </w:p>
        <w:p w14:paraId="1F68E84F" w14:textId="21B67F01" w:rsidR="002C51B7" w:rsidRDefault="002C51B7">
          <w:pPr>
            <w:pStyle w:val="TOC3"/>
            <w:rPr>
              <w:rFonts w:eastAsiaTheme="minorEastAsia" w:cstheme="minorBidi"/>
              <w:i w:val="0"/>
              <w:iCs w:val="0"/>
              <w:noProof/>
              <w:sz w:val="24"/>
              <w:szCs w:val="24"/>
              <w14:ligatures w14:val="standardContextual"/>
            </w:rPr>
          </w:pPr>
          <w:hyperlink w:anchor="_Toc214721818" w:history="1">
            <w:r w:rsidRPr="009300E5">
              <w:rPr>
                <w:rStyle w:val="Hyperlink"/>
                <w:rFonts w:eastAsiaTheme="majorEastAsia"/>
                <w:noProof/>
              </w:rPr>
              <w:t>Tables: Empirically-Derived Framework for DeFi Participation</w:t>
            </w:r>
            <w:r>
              <w:rPr>
                <w:noProof/>
                <w:webHidden/>
              </w:rPr>
              <w:tab/>
            </w:r>
            <w:r>
              <w:rPr>
                <w:noProof/>
                <w:webHidden/>
              </w:rPr>
              <w:fldChar w:fldCharType="begin"/>
            </w:r>
            <w:r>
              <w:rPr>
                <w:noProof/>
                <w:webHidden/>
              </w:rPr>
              <w:instrText xml:space="preserve"> PAGEREF _Toc214721818 \h </w:instrText>
            </w:r>
            <w:r>
              <w:rPr>
                <w:noProof/>
                <w:webHidden/>
              </w:rPr>
            </w:r>
            <w:r>
              <w:rPr>
                <w:noProof/>
                <w:webHidden/>
              </w:rPr>
              <w:fldChar w:fldCharType="separate"/>
            </w:r>
            <w:r>
              <w:rPr>
                <w:noProof/>
                <w:webHidden/>
              </w:rPr>
              <w:t>18</w:t>
            </w:r>
            <w:r>
              <w:rPr>
                <w:noProof/>
                <w:webHidden/>
              </w:rPr>
              <w:fldChar w:fldCharType="end"/>
            </w:r>
          </w:hyperlink>
        </w:p>
        <w:p w14:paraId="16A4F206" w14:textId="4FDAAA95" w:rsidR="002C51B7" w:rsidRDefault="002C51B7">
          <w:pPr>
            <w:pStyle w:val="TOC3"/>
            <w:rPr>
              <w:rFonts w:eastAsiaTheme="minorEastAsia" w:cstheme="minorBidi"/>
              <w:i w:val="0"/>
              <w:iCs w:val="0"/>
              <w:noProof/>
              <w:sz w:val="24"/>
              <w:szCs w:val="24"/>
              <w14:ligatures w14:val="standardContextual"/>
            </w:rPr>
          </w:pPr>
          <w:hyperlink w:anchor="_Toc214721819" w:history="1">
            <w:r w:rsidRPr="009300E5">
              <w:rPr>
                <w:rStyle w:val="Hyperlink"/>
                <w:rFonts w:eastAsiaTheme="majorEastAsia"/>
                <w:noProof/>
              </w:rPr>
              <w:t>Table 1.B: Impermanent Loss Quick Reference</w:t>
            </w:r>
            <w:r>
              <w:rPr>
                <w:noProof/>
                <w:webHidden/>
              </w:rPr>
              <w:tab/>
            </w:r>
            <w:r>
              <w:rPr>
                <w:noProof/>
                <w:webHidden/>
              </w:rPr>
              <w:fldChar w:fldCharType="begin"/>
            </w:r>
            <w:r>
              <w:rPr>
                <w:noProof/>
                <w:webHidden/>
              </w:rPr>
              <w:instrText xml:space="preserve"> PAGEREF _Toc214721819 \h </w:instrText>
            </w:r>
            <w:r>
              <w:rPr>
                <w:noProof/>
                <w:webHidden/>
              </w:rPr>
            </w:r>
            <w:r>
              <w:rPr>
                <w:noProof/>
                <w:webHidden/>
              </w:rPr>
              <w:fldChar w:fldCharType="separate"/>
            </w:r>
            <w:r>
              <w:rPr>
                <w:noProof/>
                <w:webHidden/>
              </w:rPr>
              <w:t>21</w:t>
            </w:r>
            <w:r>
              <w:rPr>
                <w:noProof/>
                <w:webHidden/>
              </w:rPr>
              <w:fldChar w:fldCharType="end"/>
            </w:r>
          </w:hyperlink>
        </w:p>
        <w:p w14:paraId="50E5830E" w14:textId="2879C786" w:rsidR="002C51B7" w:rsidRDefault="002C51B7">
          <w:pPr>
            <w:pStyle w:val="TOC3"/>
            <w:rPr>
              <w:rFonts w:eastAsiaTheme="minorEastAsia" w:cstheme="minorBidi"/>
              <w:i w:val="0"/>
              <w:iCs w:val="0"/>
              <w:noProof/>
              <w:sz w:val="24"/>
              <w:szCs w:val="24"/>
              <w14:ligatures w14:val="standardContextual"/>
            </w:rPr>
          </w:pPr>
          <w:hyperlink w:anchor="_Toc214721820" w:history="1">
            <w:r w:rsidRPr="009300E5">
              <w:rPr>
                <w:rStyle w:val="Hyperlink"/>
                <w:rFonts w:eastAsiaTheme="majorEastAsia"/>
                <w:noProof/>
              </w:rPr>
              <w:t>Table 1.C: Operational Requirements</w:t>
            </w:r>
            <w:r>
              <w:rPr>
                <w:noProof/>
                <w:webHidden/>
              </w:rPr>
              <w:tab/>
            </w:r>
            <w:r>
              <w:rPr>
                <w:noProof/>
                <w:webHidden/>
              </w:rPr>
              <w:fldChar w:fldCharType="begin"/>
            </w:r>
            <w:r>
              <w:rPr>
                <w:noProof/>
                <w:webHidden/>
              </w:rPr>
              <w:instrText xml:space="preserve"> PAGEREF _Toc214721820 \h </w:instrText>
            </w:r>
            <w:r>
              <w:rPr>
                <w:noProof/>
                <w:webHidden/>
              </w:rPr>
            </w:r>
            <w:r>
              <w:rPr>
                <w:noProof/>
                <w:webHidden/>
              </w:rPr>
              <w:fldChar w:fldCharType="separate"/>
            </w:r>
            <w:r>
              <w:rPr>
                <w:noProof/>
                <w:webHidden/>
              </w:rPr>
              <w:t>22</w:t>
            </w:r>
            <w:r>
              <w:rPr>
                <w:noProof/>
                <w:webHidden/>
              </w:rPr>
              <w:fldChar w:fldCharType="end"/>
            </w:r>
          </w:hyperlink>
        </w:p>
        <w:p w14:paraId="0FE196BE" w14:textId="01CB36CE" w:rsidR="002C51B7" w:rsidRDefault="002C51B7">
          <w:pPr>
            <w:pStyle w:val="TOC3"/>
            <w:rPr>
              <w:rFonts w:eastAsiaTheme="minorEastAsia" w:cstheme="minorBidi"/>
              <w:i w:val="0"/>
              <w:iCs w:val="0"/>
              <w:noProof/>
              <w:sz w:val="24"/>
              <w:szCs w:val="24"/>
              <w14:ligatures w14:val="standardContextual"/>
            </w:rPr>
          </w:pPr>
          <w:hyperlink w:anchor="_Toc214721821" w:history="1">
            <w:r w:rsidRPr="009300E5">
              <w:rPr>
                <w:rStyle w:val="Hyperlink"/>
                <w:rFonts w:eastAsiaTheme="majorEastAsia"/>
                <w:noProof/>
              </w:rPr>
              <w:t>Table 1.D: Risk Parameters Summary</w:t>
            </w:r>
            <w:r>
              <w:rPr>
                <w:noProof/>
                <w:webHidden/>
              </w:rPr>
              <w:tab/>
            </w:r>
            <w:r>
              <w:rPr>
                <w:noProof/>
                <w:webHidden/>
              </w:rPr>
              <w:fldChar w:fldCharType="begin"/>
            </w:r>
            <w:r>
              <w:rPr>
                <w:noProof/>
                <w:webHidden/>
              </w:rPr>
              <w:instrText xml:space="preserve"> PAGEREF _Toc214721821 \h </w:instrText>
            </w:r>
            <w:r>
              <w:rPr>
                <w:noProof/>
                <w:webHidden/>
              </w:rPr>
            </w:r>
            <w:r>
              <w:rPr>
                <w:noProof/>
                <w:webHidden/>
              </w:rPr>
              <w:fldChar w:fldCharType="separate"/>
            </w:r>
            <w:r>
              <w:rPr>
                <w:noProof/>
                <w:webHidden/>
              </w:rPr>
              <w:t>22</w:t>
            </w:r>
            <w:r>
              <w:rPr>
                <w:noProof/>
                <w:webHidden/>
              </w:rPr>
              <w:fldChar w:fldCharType="end"/>
            </w:r>
          </w:hyperlink>
        </w:p>
        <w:p w14:paraId="5C60A4A7" w14:textId="2818E05D" w:rsidR="002C51B7" w:rsidRDefault="002C51B7">
          <w:pPr>
            <w:pStyle w:val="TOC3"/>
            <w:rPr>
              <w:rFonts w:eastAsiaTheme="minorEastAsia" w:cstheme="minorBidi"/>
              <w:i w:val="0"/>
              <w:iCs w:val="0"/>
              <w:noProof/>
              <w:sz w:val="24"/>
              <w:szCs w:val="24"/>
              <w14:ligatures w14:val="standardContextual"/>
            </w:rPr>
          </w:pPr>
          <w:hyperlink w:anchor="_Toc214721822" w:history="1">
            <w:r w:rsidRPr="009300E5">
              <w:rPr>
                <w:rStyle w:val="Hyperlink"/>
                <w:rFonts w:eastAsiaTheme="majorEastAsia"/>
                <w:noProof/>
              </w:rPr>
              <w:t>Table 1.E: Expected Returns by Strategy and Capital</w:t>
            </w:r>
            <w:r>
              <w:rPr>
                <w:noProof/>
                <w:webHidden/>
              </w:rPr>
              <w:tab/>
            </w:r>
            <w:r>
              <w:rPr>
                <w:noProof/>
                <w:webHidden/>
              </w:rPr>
              <w:fldChar w:fldCharType="begin"/>
            </w:r>
            <w:r>
              <w:rPr>
                <w:noProof/>
                <w:webHidden/>
              </w:rPr>
              <w:instrText xml:space="preserve"> PAGEREF _Toc214721822 \h </w:instrText>
            </w:r>
            <w:r>
              <w:rPr>
                <w:noProof/>
                <w:webHidden/>
              </w:rPr>
            </w:r>
            <w:r>
              <w:rPr>
                <w:noProof/>
                <w:webHidden/>
              </w:rPr>
              <w:fldChar w:fldCharType="separate"/>
            </w:r>
            <w:r>
              <w:rPr>
                <w:noProof/>
                <w:webHidden/>
              </w:rPr>
              <w:t>23</w:t>
            </w:r>
            <w:r>
              <w:rPr>
                <w:noProof/>
                <w:webHidden/>
              </w:rPr>
              <w:fldChar w:fldCharType="end"/>
            </w:r>
          </w:hyperlink>
        </w:p>
        <w:p w14:paraId="02998C43" w14:textId="63D4D0DE" w:rsidR="002C51B7" w:rsidRDefault="002C51B7">
          <w:pPr>
            <w:pStyle w:val="TOC3"/>
            <w:rPr>
              <w:rFonts w:eastAsiaTheme="minorEastAsia" w:cstheme="minorBidi"/>
              <w:i w:val="0"/>
              <w:iCs w:val="0"/>
              <w:noProof/>
              <w:sz w:val="24"/>
              <w:szCs w:val="24"/>
              <w14:ligatures w14:val="standardContextual"/>
            </w:rPr>
          </w:pPr>
          <w:hyperlink w:anchor="_Toc214721823" w:history="1">
            <w:r w:rsidRPr="009300E5">
              <w:rPr>
                <w:rStyle w:val="Hyperlink"/>
                <w:rFonts w:eastAsiaTheme="majorEastAsia"/>
                <w:noProof/>
              </w:rPr>
              <w:t>1.3.4 Reading This Dissertation: A Guide to Interpretation</w:t>
            </w:r>
            <w:r>
              <w:rPr>
                <w:noProof/>
                <w:webHidden/>
              </w:rPr>
              <w:tab/>
            </w:r>
            <w:r>
              <w:rPr>
                <w:noProof/>
                <w:webHidden/>
              </w:rPr>
              <w:fldChar w:fldCharType="begin"/>
            </w:r>
            <w:r>
              <w:rPr>
                <w:noProof/>
                <w:webHidden/>
              </w:rPr>
              <w:instrText xml:space="preserve"> PAGEREF _Toc214721823 \h </w:instrText>
            </w:r>
            <w:r>
              <w:rPr>
                <w:noProof/>
                <w:webHidden/>
              </w:rPr>
            </w:r>
            <w:r>
              <w:rPr>
                <w:noProof/>
                <w:webHidden/>
              </w:rPr>
              <w:fldChar w:fldCharType="separate"/>
            </w:r>
            <w:r>
              <w:rPr>
                <w:noProof/>
                <w:webHidden/>
              </w:rPr>
              <w:t>23</w:t>
            </w:r>
            <w:r>
              <w:rPr>
                <w:noProof/>
                <w:webHidden/>
              </w:rPr>
              <w:fldChar w:fldCharType="end"/>
            </w:r>
          </w:hyperlink>
        </w:p>
        <w:p w14:paraId="57A6A7E7" w14:textId="06995971" w:rsidR="002C51B7" w:rsidRDefault="002C51B7">
          <w:pPr>
            <w:pStyle w:val="TOC3"/>
            <w:rPr>
              <w:rFonts w:eastAsiaTheme="minorEastAsia" w:cstheme="minorBidi"/>
              <w:i w:val="0"/>
              <w:iCs w:val="0"/>
              <w:noProof/>
              <w:sz w:val="24"/>
              <w:szCs w:val="24"/>
              <w14:ligatures w14:val="standardContextual"/>
            </w:rPr>
          </w:pPr>
          <w:hyperlink w:anchor="_Toc214721824" w:history="1">
            <w:r w:rsidRPr="009300E5">
              <w:rPr>
                <w:rStyle w:val="Hyperlink"/>
                <w:rFonts w:eastAsiaTheme="majorEastAsia"/>
                <w:noProof/>
              </w:rPr>
              <w:t>1.3.5 Addressing the Democratization Paradox</w:t>
            </w:r>
            <w:r>
              <w:rPr>
                <w:noProof/>
                <w:webHidden/>
              </w:rPr>
              <w:tab/>
            </w:r>
            <w:r>
              <w:rPr>
                <w:noProof/>
                <w:webHidden/>
              </w:rPr>
              <w:fldChar w:fldCharType="begin"/>
            </w:r>
            <w:r>
              <w:rPr>
                <w:noProof/>
                <w:webHidden/>
              </w:rPr>
              <w:instrText xml:space="preserve"> PAGEREF _Toc214721824 \h </w:instrText>
            </w:r>
            <w:r>
              <w:rPr>
                <w:noProof/>
                <w:webHidden/>
              </w:rPr>
            </w:r>
            <w:r>
              <w:rPr>
                <w:noProof/>
                <w:webHidden/>
              </w:rPr>
              <w:fldChar w:fldCharType="separate"/>
            </w:r>
            <w:r>
              <w:rPr>
                <w:noProof/>
                <w:webHidden/>
              </w:rPr>
              <w:t>24</w:t>
            </w:r>
            <w:r>
              <w:rPr>
                <w:noProof/>
                <w:webHidden/>
              </w:rPr>
              <w:fldChar w:fldCharType="end"/>
            </w:r>
          </w:hyperlink>
        </w:p>
        <w:p w14:paraId="2F84204A" w14:textId="29572D56" w:rsidR="002C51B7" w:rsidRDefault="002C51B7">
          <w:pPr>
            <w:pStyle w:val="TOC2"/>
            <w:rPr>
              <w:rFonts w:eastAsiaTheme="minorEastAsia" w:cstheme="minorBidi"/>
              <w:b w:val="0"/>
              <w:bCs w:val="0"/>
              <w:smallCaps w:val="0"/>
              <w:sz w:val="24"/>
              <w:szCs w:val="24"/>
              <w14:ligatures w14:val="standardContextual"/>
            </w:rPr>
          </w:pPr>
          <w:hyperlink w:anchor="_Toc214721825" w:history="1">
            <w:r w:rsidRPr="009300E5">
              <w:rPr>
                <w:rStyle w:val="Hyperlink"/>
                <w:rFonts w:eastAsiaTheme="majorEastAsia"/>
              </w:rPr>
              <w:t>1.4 Problem Statement</w:t>
            </w:r>
            <w:r>
              <w:rPr>
                <w:webHidden/>
              </w:rPr>
              <w:tab/>
            </w:r>
            <w:r>
              <w:rPr>
                <w:webHidden/>
              </w:rPr>
              <w:fldChar w:fldCharType="begin"/>
            </w:r>
            <w:r>
              <w:rPr>
                <w:webHidden/>
              </w:rPr>
              <w:instrText xml:space="preserve"> PAGEREF _Toc214721825 \h </w:instrText>
            </w:r>
            <w:r>
              <w:rPr>
                <w:webHidden/>
              </w:rPr>
            </w:r>
            <w:r>
              <w:rPr>
                <w:webHidden/>
              </w:rPr>
              <w:fldChar w:fldCharType="separate"/>
            </w:r>
            <w:r>
              <w:rPr>
                <w:webHidden/>
              </w:rPr>
              <w:t>26</w:t>
            </w:r>
            <w:r>
              <w:rPr>
                <w:webHidden/>
              </w:rPr>
              <w:fldChar w:fldCharType="end"/>
            </w:r>
          </w:hyperlink>
        </w:p>
        <w:p w14:paraId="7AD7796A" w14:textId="24D0729A" w:rsidR="002C51B7" w:rsidRDefault="002C51B7">
          <w:pPr>
            <w:pStyle w:val="TOC2"/>
            <w:rPr>
              <w:rFonts w:eastAsiaTheme="minorEastAsia" w:cstheme="minorBidi"/>
              <w:b w:val="0"/>
              <w:bCs w:val="0"/>
              <w:smallCaps w:val="0"/>
              <w:sz w:val="24"/>
              <w:szCs w:val="24"/>
              <w14:ligatures w14:val="standardContextual"/>
            </w:rPr>
          </w:pPr>
          <w:hyperlink w:anchor="_Toc214721826" w:history="1">
            <w:r w:rsidRPr="009300E5">
              <w:rPr>
                <w:rStyle w:val="Hyperlink"/>
                <w:rFonts w:eastAsiaTheme="majorEastAsia"/>
              </w:rPr>
              <w:t>1.5 Objectives</w:t>
            </w:r>
            <w:r>
              <w:rPr>
                <w:webHidden/>
              </w:rPr>
              <w:tab/>
            </w:r>
            <w:r>
              <w:rPr>
                <w:webHidden/>
              </w:rPr>
              <w:fldChar w:fldCharType="begin"/>
            </w:r>
            <w:r>
              <w:rPr>
                <w:webHidden/>
              </w:rPr>
              <w:instrText xml:space="preserve"> PAGEREF _Toc214721826 \h </w:instrText>
            </w:r>
            <w:r>
              <w:rPr>
                <w:webHidden/>
              </w:rPr>
            </w:r>
            <w:r>
              <w:rPr>
                <w:webHidden/>
              </w:rPr>
              <w:fldChar w:fldCharType="separate"/>
            </w:r>
            <w:r>
              <w:rPr>
                <w:webHidden/>
              </w:rPr>
              <w:t>27</w:t>
            </w:r>
            <w:r>
              <w:rPr>
                <w:webHidden/>
              </w:rPr>
              <w:fldChar w:fldCharType="end"/>
            </w:r>
          </w:hyperlink>
        </w:p>
        <w:p w14:paraId="3759E31A" w14:textId="25AF91E7" w:rsidR="002C51B7" w:rsidRDefault="002C51B7">
          <w:pPr>
            <w:pStyle w:val="TOC2"/>
            <w:rPr>
              <w:rFonts w:eastAsiaTheme="minorEastAsia" w:cstheme="minorBidi"/>
              <w:b w:val="0"/>
              <w:bCs w:val="0"/>
              <w:smallCaps w:val="0"/>
              <w:sz w:val="24"/>
              <w:szCs w:val="24"/>
              <w14:ligatures w14:val="standardContextual"/>
            </w:rPr>
          </w:pPr>
          <w:hyperlink w:anchor="_Toc214721827" w:history="1">
            <w:r w:rsidRPr="009300E5">
              <w:rPr>
                <w:rStyle w:val="Hyperlink"/>
                <w:rFonts w:eastAsiaTheme="majorEastAsia"/>
              </w:rPr>
              <w:t>1.6 Research Questions</w:t>
            </w:r>
            <w:r>
              <w:rPr>
                <w:webHidden/>
              </w:rPr>
              <w:tab/>
            </w:r>
            <w:r>
              <w:rPr>
                <w:webHidden/>
              </w:rPr>
              <w:fldChar w:fldCharType="begin"/>
            </w:r>
            <w:r>
              <w:rPr>
                <w:webHidden/>
              </w:rPr>
              <w:instrText xml:space="preserve"> PAGEREF _Toc214721827 \h </w:instrText>
            </w:r>
            <w:r>
              <w:rPr>
                <w:webHidden/>
              </w:rPr>
            </w:r>
            <w:r>
              <w:rPr>
                <w:webHidden/>
              </w:rPr>
              <w:fldChar w:fldCharType="separate"/>
            </w:r>
            <w:r>
              <w:rPr>
                <w:webHidden/>
              </w:rPr>
              <w:t>28</w:t>
            </w:r>
            <w:r>
              <w:rPr>
                <w:webHidden/>
              </w:rPr>
              <w:fldChar w:fldCharType="end"/>
            </w:r>
          </w:hyperlink>
        </w:p>
        <w:p w14:paraId="0E6A1F36" w14:textId="660CF0CB" w:rsidR="002C51B7" w:rsidRDefault="002C51B7">
          <w:pPr>
            <w:pStyle w:val="TOC2"/>
            <w:rPr>
              <w:rFonts w:eastAsiaTheme="minorEastAsia" w:cstheme="minorBidi"/>
              <w:b w:val="0"/>
              <w:bCs w:val="0"/>
              <w:smallCaps w:val="0"/>
              <w:sz w:val="24"/>
              <w:szCs w:val="24"/>
              <w14:ligatures w14:val="standardContextual"/>
            </w:rPr>
          </w:pPr>
          <w:hyperlink w:anchor="_Toc214721828" w:history="1">
            <w:r w:rsidRPr="009300E5">
              <w:rPr>
                <w:rStyle w:val="Hyperlink"/>
                <w:rFonts w:eastAsiaTheme="majorEastAsia"/>
              </w:rPr>
              <w:t>1.7 Dissertation Structure</w:t>
            </w:r>
            <w:r>
              <w:rPr>
                <w:webHidden/>
              </w:rPr>
              <w:tab/>
            </w:r>
            <w:r>
              <w:rPr>
                <w:webHidden/>
              </w:rPr>
              <w:fldChar w:fldCharType="begin"/>
            </w:r>
            <w:r>
              <w:rPr>
                <w:webHidden/>
              </w:rPr>
              <w:instrText xml:space="preserve"> PAGEREF _Toc214721828 \h </w:instrText>
            </w:r>
            <w:r>
              <w:rPr>
                <w:webHidden/>
              </w:rPr>
            </w:r>
            <w:r>
              <w:rPr>
                <w:webHidden/>
              </w:rPr>
              <w:fldChar w:fldCharType="separate"/>
            </w:r>
            <w:r>
              <w:rPr>
                <w:webHidden/>
              </w:rPr>
              <w:t>29</w:t>
            </w:r>
            <w:r>
              <w:rPr>
                <w:webHidden/>
              </w:rPr>
              <w:fldChar w:fldCharType="end"/>
            </w:r>
          </w:hyperlink>
        </w:p>
        <w:p w14:paraId="183C0807" w14:textId="23AB4A94" w:rsidR="002C51B7" w:rsidRDefault="002C51B7">
          <w:pPr>
            <w:pStyle w:val="TOC1"/>
            <w:tabs>
              <w:tab w:val="right" w:leader="dot" w:pos="9350"/>
            </w:tabs>
            <w:rPr>
              <w:rFonts w:eastAsiaTheme="minorEastAsia" w:cstheme="minorBidi"/>
              <w:b w:val="0"/>
              <w:bCs w:val="0"/>
              <w:caps w:val="0"/>
              <w:noProof/>
              <w:sz w:val="24"/>
              <w:szCs w:val="24"/>
              <w14:ligatures w14:val="standardContextual"/>
            </w:rPr>
          </w:pPr>
          <w:hyperlink w:anchor="_Toc214721829" w:history="1">
            <w:r w:rsidRPr="009300E5">
              <w:rPr>
                <w:rStyle w:val="Hyperlink"/>
                <w:rFonts w:eastAsiaTheme="majorEastAsia"/>
                <w:noProof/>
              </w:rPr>
              <w:t>CHAPTER 2: LITERATURE REVIEW</w:t>
            </w:r>
            <w:r>
              <w:rPr>
                <w:noProof/>
                <w:webHidden/>
              </w:rPr>
              <w:tab/>
            </w:r>
            <w:r>
              <w:rPr>
                <w:noProof/>
                <w:webHidden/>
              </w:rPr>
              <w:fldChar w:fldCharType="begin"/>
            </w:r>
            <w:r>
              <w:rPr>
                <w:noProof/>
                <w:webHidden/>
              </w:rPr>
              <w:instrText xml:space="preserve"> PAGEREF _Toc214721829 \h </w:instrText>
            </w:r>
            <w:r>
              <w:rPr>
                <w:noProof/>
                <w:webHidden/>
              </w:rPr>
            </w:r>
            <w:r>
              <w:rPr>
                <w:noProof/>
                <w:webHidden/>
              </w:rPr>
              <w:fldChar w:fldCharType="separate"/>
            </w:r>
            <w:r>
              <w:rPr>
                <w:noProof/>
                <w:webHidden/>
              </w:rPr>
              <w:t>31</w:t>
            </w:r>
            <w:r>
              <w:rPr>
                <w:noProof/>
                <w:webHidden/>
              </w:rPr>
              <w:fldChar w:fldCharType="end"/>
            </w:r>
          </w:hyperlink>
        </w:p>
        <w:p w14:paraId="520CAADD" w14:textId="561AFB96" w:rsidR="002C51B7" w:rsidRDefault="002C51B7">
          <w:pPr>
            <w:pStyle w:val="TOC2"/>
            <w:rPr>
              <w:rFonts w:eastAsiaTheme="minorEastAsia" w:cstheme="minorBidi"/>
              <w:b w:val="0"/>
              <w:bCs w:val="0"/>
              <w:smallCaps w:val="0"/>
              <w:sz w:val="24"/>
              <w:szCs w:val="24"/>
              <w14:ligatures w14:val="standardContextual"/>
            </w:rPr>
          </w:pPr>
          <w:hyperlink w:anchor="_Toc214721830" w:history="1">
            <w:r w:rsidRPr="009300E5">
              <w:rPr>
                <w:rStyle w:val="Hyperlink"/>
                <w:rFonts w:eastAsiaTheme="majorEastAsia"/>
              </w:rPr>
              <w:t>2.1 Theoretical Foundations of Financial Intermediation and DeFi</w:t>
            </w:r>
            <w:r>
              <w:rPr>
                <w:webHidden/>
              </w:rPr>
              <w:tab/>
            </w:r>
            <w:r>
              <w:rPr>
                <w:webHidden/>
              </w:rPr>
              <w:fldChar w:fldCharType="begin"/>
            </w:r>
            <w:r>
              <w:rPr>
                <w:webHidden/>
              </w:rPr>
              <w:instrText xml:space="preserve"> PAGEREF _Toc214721830 \h </w:instrText>
            </w:r>
            <w:r>
              <w:rPr>
                <w:webHidden/>
              </w:rPr>
            </w:r>
            <w:r>
              <w:rPr>
                <w:webHidden/>
              </w:rPr>
              <w:fldChar w:fldCharType="separate"/>
            </w:r>
            <w:r>
              <w:rPr>
                <w:webHidden/>
              </w:rPr>
              <w:t>31</w:t>
            </w:r>
            <w:r>
              <w:rPr>
                <w:webHidden/>
              </w:rPr>
              <w:fldChar w:fldCharType="end"/>
            </w:r>
          </w:hyperlink>
        </w:p>
        <w:p w14:paraId="4B03D493" w14:textId="7FBA32FF" w:rsidR="002C51B7" w:rsidRDefault="002C51B7">
          <w:pPr>
            <w:pStyle w:val="TOC2"/>
            <w:rPr>
              <w:rFonts w:eastAsiaTheme="minorEastAsia" w:cstheme="minorBidi"/>
              <w:b w:val="0"/>
              <w:bCs w:val="0"/>
              <w:smallCaps w:val="0"/>
              <w:sz w:val="24"/>
              <w:szCs w:val="24"/>
              <w14:ligatures w14:val="standardContextual"/>
            </w:rPr>
          </w:pPr>
          <w:hyperlink w:anchor="_Toc214721831" w:history="1">
            <w:r w:rsidRPr="009300E5">
              <w:rPr>
                <w:rStyle w:val="Hyperlink"/>
                <w:rFonts w:eastAsiaTheme="majorEastAsia"/>
              </w:rPr>
              <w:t>2.2 Market Making and Liquidity Provision in Traditional and Decentralized Markets</w:t>
            </w:r>
            <w:r>
              <w:rPr>
                <w:webHidden/>
              </w:rPr>
              <w:tab/>
            </w:r>
            <w:r>
              <w:rPr>
                <w:webHidden/>
              </w:rPr>
              <w:fldChar w:fldCharType="begin"/>
            </w:r>
            <w:r>
              <w:rPr>
                <w:webHidden/>
              </w:rPr>
              <w:instrText xml:space="preserve"> PAGEREF _Toc214721831 \h </w:instrText>
            </w:r>
            <w:r>
              <w:rPr>
                <w:webHidden/>
              </w:rPr>
            </w:r>
            <w:r>
              <w:rPr>
                <w:webHidden/>
              </w:rPr>
              <w:fldChar w:fldCharType="separate"/>
            </w:r>
            <w:r>
              <w:rPr>
                <w:webHidden/>
              </w:rPr>
              <w:t>32</w:t>
            </w:r>
            <w:r>
              <w:rPr>
                <w:webHidden/>
              </w:rPr>
              <w:fldChar w:fldCharType="end"/>
            </w:r>
          </w:hyperlink>
        </w:p>
        <w:p w14:paraId="6CFEE1A4" w14:textId="25D29F40" w:rsidR="002C51B7" w:rsidRDefault="002C51B7">
          <w:pPr>
            <w:pStyle w:val="TOC3"/>
            <w:rPr>
              <w:rFonts w:eastAsiaTheme="minorEastAsia" w:cstheme="minorBidi"/>
              <w:i w:val="0"/>
              <w:iCs w:val="0"/>
              <w:noProof/>
              <w:sz w:val="24"/>
              <w:szCs w:val="24"/>
              <w14:ligatures w14:val="standardContextual"/>
            </w:rPr>
          </w:pPr>
          <w:hyperlink w:anchor="_Toc214721832" w:history="1">
            <w:r w:rsidRPr="009300E5">
              <w:rPr>
                <w:rStyle w:val="Hyperlink"/>
                <w:rFonts w:eastAsiaTheme="majorEastAsia"/>
                <w:noProof/>
              </w:rPr>
              <w:t>2.2.1 Longitudinal Studies and Market Evolution</w:t>
            </w:r>
            <w:r>
              <w:rPr>
                <w:noProof/>
                <w:webHidden/>
              </w:rPr>
              <w:tab/>
            </w:r>
            <w:r>
              <w:rPr>
                <w:noProof/>
                <w:webHidden/>
              </w:rPr>
              <w:fldChar w:fldCharType="begin"/>
            </w:r>
            <w:r>
              <w:rPr>
                <w:noProof/>
                <w:webHidden/>
              </w:rPr>
              <w:instrText xml:space="preserve"> PAGEREF _Toc214721832 \h </w:instrText>
            </w:r>
            <w:r>
              <w:rPr>
                <w:noProof/>
                <w:webHidden/>
              </w:rPr>
            </w:r>
            <w:r>
              <w:rPr>
                <w:noProof/>
                <w:webHidden/>
              </w:rPr>
              <w:fldChar w:fldCharType="separate"/>
            </w:r>
            <w:r>
              <w:rPr>
                <w:noProof/>
                <w:webHidden/>
              </w:rPr>
              <w:t>33</w:t>
            </w:r>
            <w:r>
              <w:rPr>
                <w:noProof/>
                <w:webHidden/>
              </w:rPr>
              <w:fldChar w:fldCharType="end"/>
            </w:r>
          </w:hyperlink>
        </w:p>
        <w:p w14:paraId="09235368" w14:textId="16133252" w:rsidR="002C51B7" w:rsidRDefault="002C51B7">
          <w:pPr>
            <w:pStyle w:val="TOC2"/>
            <w:rPr>
              <w:rFonts w:eastAsiaTheme="minorEastAsia" w:cstheme="minorBidi"/>
              <w:b w:val="0"/>
              <w:bCs w:val="0"/>
              <w:smallCaps w:val="0"/>
              <w:sz w:val="24"/>
              <w:szCs w:val="24"/>
              <w14:ligatures w14:val="standardContextual"/>
            </w:rPr>
          </w:pPr>
          <w:hyperlink w:anchor="_Toc214721833" w:history="1">
            <w:r w:rsidRPr="009300E5">
              <w:rPr>
                <w:rStyle w:val="Hyperlink"/>
                <w:rFonts w:eastAsiaTheme="majorEastAsia"/>
              </w:rPr>
              <w:t>2.3 Empirical Evidence on DeFi Returns and Risks</w:t>
            </w:r>
            <w:r>
              <w:rPr>
                <w:webHidden/>
              </w:rPr>
              <w:tab/>
            </w:r>
            <w:r>
              <w:rPr>
                <w:webHidden/>
              </w:rPr>
              <w:fldChar w:fldCharType="begin"/>
            </w:r>
            <w:r>
              <w:rPr>
                <w:webHidden/>
              </w:rPr>
              <w:instrText xml:space="preserve"> PAGEREF _Toc214721833 \h </w:instrText>
            </w:r>
            <w:r>
              <w:rPr>
                <w:webHidden/>
              </w:rPr>
            </w:r>
            <w:r>
              <w:rPr>
                <w:webHidden/>
              </w:rPr>
              <w:fldChar w:fldCharType="separate"/>
            </w:r>
            <w:r>
              <w:rPr>
                <w:webHidden/>
              </w:rPr>
              <w:t>35</w:t>
            </w:r>
            <w:r>
              <w:rPr>
                <w:webHidden/>
              </w:rPr>
              <w:fldChar w:fldCharType="end"/>
            </w:r>
          </w:hyperlink>
        </w:p>
        <w:p w14:paraId="2B4375CE" w14:textId="785EC5BE" w:rsidR="002C51B7" w:rsidRDefault="002C51B7">
          <w:pPr>
            <w:pStyle w:val="TOC2"/>
            <w:rPr>
              <w:rFonts w:eastAsiaTheme="minorEastAsia" w:cstheme="minorBidi"/>
              <w:b w:val="0"/>
              <w:bCs w:val="0"/>
              <w:smallCaps w:val="0"/>
              <w:sz w:val="24"/>
              <w:szCs w:val="24"/>
              <w14:ligatures w14:val="standardContextual"/>
            </w:rPr>
          </w:pPr>
          <w:hyperlink w:anchor="_Toc214721834" w:history="1">
            <w:r w:rsidRPr="009300E5">
              <w:rPr>
                <w:rStyle w:val="Hyperlink"/>
                <w:rFonts w:eastAsiaTheme="majorEastAsia"/>
              </w:rPr>
              <w:t>2.4 Behavioral Aspects of DeFi Participation</w:t>
            </w:r>
            <w:r>
              <w:rPr>
                <w:webHidden/>
              </w:rPr>
              <w:tab/>
            </w:r>
            <w:r>
              <w:rPr>
                <w:webHidden/>
              </w:rPr>
              <w:fldChar w:fldCharType="begin"/>
            </w:r>
            <w:r>
              <w:rPr>
                <w:webHidden/>
              </w:rPr>
              <w:instrText xml:space="preserve"> PAGEREF _Toc214721834 \h </w:instrText>
            </w:r>
            <w:r>
              <w:rPr>
                <w:webHidden/>
              </w:rPr>
            </w:r>
            <w:r>
              <w:rPr>
                <w:webHidden/>
              </w:rPr>
              <w:fldChar w:fldCharType="separate"/>
            </w:r>
            <w:r>
              <w:rPr>
                <w:webHidden/>
              </w:rPr>
              <w:t>36</w:t>
            </w:r>
            <w:r>
              <w:rPr>
                <w:webHidden/>
              </w:rPr>
              <w:fldChar w:fldCharType="end"/>
            </w:r>
          </w:hyperlink>
        </w:p>
        <w:p w14:paraId="560B1C14" w14:textId="13F67BD7" w:rsidR="002C51B7" w:rsidRDefault="002C51B7">
          <w:pPr>
            <w:pStyle w:val="TOC3"/>
            <w:rPr>
              <w:rFonts w:eastAsiaTheme="minorEastAsia" w:cstheme="minorBidi"/>
              <w:i w:val="0"/>
              <w:iCs w:val="0"/>
              <w:noProof/>
              <w:sz w:val="24"/>
              <w:szCs w:val="24"/>
              <w14:ligatures w14:val="standardContextual"/>
            </w:rPr>
          </w:pPr>
          <w:hyperlink w:anchor="_Toc214721835" w:history="1">
            <w:r w:rsidRPr="009300E5">
              <w:rPr>
                <w:rStyle w:val="Hyperlink"/>
                <w:rFonts w:eastAsiaTheme="majorEastAsia"/>
                <w:noProof/>
              </w:rPr>
              <w:t>2.4.1 Prospect Theory and DeFi Asset Pricing</w:t>
            </w:r>
            <w:r>
              <w:rPr>
                <w:noProof/>
                <w:webHidden/>
              </w:rPr>
              <w:tab/>
            </w:r>
            <w:r>
              <w:rPr>
                <w:noProof/>
                <w:webHidden/>
              </w:rPr>
              <w:fldChar w:fldCharType="begin"/>
            </w:r>
            <w:r>
              <w:rPr>
                <w:noProof/>
                <w:webHidden/>
              </w:rPr>
              <w:instrText xml:space="preserve"> PAGEREF _Toc214721835 \h </w:instrText>
            </w:r>
            <w:r>
              <w:rPr>
                <w:noProof/>
                <w:webHidden/>
              </w:rPr>
            </w:r>
            <w:r>
              <w:rPr>
                <w:noProof/>
                <w:webHidden/>
              </w:rPr>
              <w:fldChar w:fldCharType="separate"/>
            </w:r>
            <w:r>
              <w:rPr>
                <w:noProof/>
                <w:webHidden/>
              </w:rPr>
              <w:t>36</w:t>
            </w:r>
            <w:r>
              <w:rPr>
                <w:noProof/>
                <w:webHidden/>
              </w:rPr>
              <w:fldChar w:fldCharType="end"/>
            </w:r>
          </w:hyperlink>
        </w:p>
        <w:p w14:paraId="0341069B" w14:textId="11586489" w:rsidR="002C51B7" w:rsidRDefault="002C51B7">
          <w:pPr>
            <w:pStyle w:val="TOC3"/>
            <w:rPr>
              <w:rFonts w:eastAsiaTheme="minorEastAsia" w:cstheme="minorBidi"/>
              <w:i w:val="0"/>
              <w:iCs w:val="0"/>
              <w:noProof/>
              <w:sz w:val="24"/>
              <w:szCs w:val="24"/>
              <w14:ligatures w14:val="standardContextual"/>
            </w:rPr>
          </w:pPr>
          <w:hyperlink w:anchor="_Toc214721836" w:history="1">
            <w:r w:rsidRPr="009300E5">
              <w:rPr>
                <w:rStyle w:val="Hyperlink"/>
                <w:rFonts w:eastAsiaTheme="majorEastAsia"/>
                <w:noProof/>
              </w:rPr>
              <w:t>2.4.2 FOMO as Primary Psychological Driver</w:t>
            </w:r>
            <w:r>
              <w:rPr>
                <w:noProof/>
                <w:webHidden/>
              </w:rPr>
              <w:tab/>
            </w:r>
            <w:r>
              <w:rPr>
                <w:noProof/>
                <w:webHidden/>
              </w:rPr>
              <w:fldChar w:fldCharType="begin"/>
            </w:r>
            <w:r>
              <w:rPr>
                <w:noProof/>
                <w:webHidden/>
              </w:rPr>
              <w:instrText xml:space="preserve"> PAGEREF _Toc214721836 \h </w:instrText>
            </w:r>
            <w:r>
              <w:rPr>
                <w:noProof/>
                <w:webHidden/>
              </w:rPr>
            </w:r>
            <w:r>
              <w:rPr>
                <w:noProof/>
                <w:webHidden/>
              </w:rPr>
              <w:fldChar w:fldCharType="separate"/>
            </w:r>
            <w:r>
              <w:rPr>
                <w:noProof/>
                <w:webHidden/>
              </w:rPr>
              <w:t>37</w:t>
            </w:r>
            <w:r>
              <w:rPr>
                <w:noProof/>
                <w:webHidden/>
              </w:rPr>
              <w:fldChar w:fldCharType="end"/>
            </w:r>
          </w:hyperlink>
        </w:p>
        <w:p w14:paraId="70A72BE4" w14:textId="610E3697" w:rsidR="002C51B7" w:rsidRDefault="002C51B7">
          <w:pPr>
            <w:pStyle w:val="TOC3"/>
            <w:rPr>
              <w:rFonts w:eastAsiaTheme="minorEastAsia" w:cstheme="minorBidi"/>
              <w:i w:val="0"/>
              <w:iCs w:val="0"/>
              <w:noProof/>
              <w:sz w:val="24"/>
              <w:szCs w:val="24"/>
              <w14:ligatures w14:val="standardContextual"/>
            </w:rPr>
          </w:pPr>
          <w:hyperlink w:anchor="_Toc214721837" w:history="1">
            <w:r w:rsidRPr="009300E5">
              <w:rPr>
                <w:rStyle w:val="Hyperlink"/>
                <w:rFonts w:eastAsiaTheme="majorEastAsia"/>
                <w:noProof/>
              </w:rPr>
              <w:t>2.4.3 Overconfidence and Financial Literacy Gaps</w:t>
            </w:r>
            <w:r>
              <w:rPr>
                <w:noProof/>
                <w:webHidden/>
              </w:rPr>
              <w:tab/>
            </w:r>
            <w:r>
              <w:rPr>
                <w:noProof/>
                <w:webHidden/>
              </w:rPr>
              <w:fldChar w:fldCharType="begin"/>
            </w:r>
            <w:r>
              <w:rPr>
                <w:noProof/>
                <w:webHidden/>
              </w:rPr>
              <w:instrText xml:space="preserve"> PAGEREF _Toc214721837 \h </w:instrText>
            </w:r>
            <w:r>
              <w:rPr>
                <w:noProof/>
                <w:webHidden/>
              </w:rPr>
            </w:r>
            <w:r>
              <w:rPr>
                <w:noProof/>
                <w:webHidden/>
              </w:rPr>
              <w:fldChar w:fldCharType="separate"/>
            </w:r>
            <w:r>
              <w:rPr>
                <w:noProof/>
                <w:webHidden/>
              </w:rPr>
              <w:t>37</w:t>
            </w:r>
            <w:r>
              <w:rPr>
                <w:noProof/>
                <w:webHidden/>
              </w:rPr>
              <w:fldChar w:fldCharType="end"/>
            </w:r>
          </w:hyperlink>
        </w:p>
        <w:p w14:paraId="584BC3E3" w14:textId="3C0CBE36" w:rsidR="002C51B7" w:rsidRDefault="002C51B7">
          <w:pPr>
            <w:pStyle w:val="TOC3"/>
            <w:rPr>
              <w:rFonts w:eastAsiaTheme="minorEastAsia" w:cstheme="minorBidi"/>
              <w:i w:val="0"/>
              <w:iCs w:val="0"/>
              <w:noProof/>
              <w:sz w:val="24"/>
              <w:szCs w:val="24"/>
              <w14:ligatures w14:val="standardContextual"/>
            </w:rPr>
          </w:pPr>
          <w:hyperlink w:anchor="_Toc214721838" w:history="1">
            <w:r w:rsidRPr="009300E5">
              <w:rPr>
                <w:rStyle w:val="Hyperlink"/>
                <w:rFonts w:eastAsiaTheme="majorEastAsia"/>
                <w:noProof/>
              </w:rPr>
              <w:t>2.4.4 Herding Behavior in DeFi Markets</w:t>
            </w:r>
            <w:r>
              <w:rPr>
                <w:noProof/>
                <w:webHidden/>
              </w:rPr>
              <w:tab/>
            </w:r>
            <w:r>
              <w:rPr>
                <w:noProof/>
                <w:webHidden/>
              </w:rPr>
              <w:fldChar w:fldCharType="begin"/>
            </w:r>
            <w:r>
              <w:rPr>
                <w:noProof/>
                <w:webHidden/>
              </w:rPr>
              <w:instrText xml:space="preserve"> PAGEREF _Toc214721838 \h </w:instrText>
            </w:r>
            <w:r>
              <w:rPr>
                <w:noProof/>
                <w:webHidden/>
              </w:rPr>
            </w:r>
            <w:r>
              <w:rPr>
                <w:noProof/>
                <w:webHidden/>
              </w:rPr>
              <w:fldChar w:fldCharType="separate"/>
            </w:r>
            <w:r>
              <w:rPr>
                <w:noProof/>
                <w:webHidden/>
              </w:rPr>
              <w:t>38</w:t>
            </w:r>
            <w:r>
              <w:rPr>
                <w:noProof/>
                <w:webHidden/>
              </w:rPr>
              <w:fldChar w:fldCharType="end"/>
            </w:r>
          </w:hyperlink>
        </w:p>
        <w:p w14:paraId="6DA6C82F" w14:textId="5A23BF13" w:rsidR="002C51B7" w:rsidRDefault="002C51B7">
          <w:pPr>
            <w:pStyle w:val="TOC3"/>
            <w:rPr>
              <w:rFonts w:eastAsiaTheme="minorEastAsia" w:cstheme="minorBidi"/>
              <w:i w:val="0"/>
              <w:iCs w:val="0"/>
              <w:noProof/>
              <w:sz w:val="24"/>
              <w:szCs w:val="24"/>
              <w14:ligatures w14:val="standardContextual"/>
            </w:rPr>
          </w:pPr>
          <w:hyperlink w:anchor="_Toc214721839" w:history="1">
            <w:r w:rsidRPr="009300E5">
              <w:rPr>
                <w:rStyle w:val="Hyperlink"/>
                <w:rFonts w:eastAsiaTheme="majorEastAsia"/>
                <w:noProof/>
              </w:rPr>
              <w:t>2.4.5 Risk Perception and Information Sources</w:t>
            </w:r>
            <w:r>
              <w:rPr>
                <w:noProof/>
                <w:webHidden/>
              </w:rPr>
              <w:tab/>
            </w:r>
            <w:r>
              <w:rPr>
                <w:noProof/>
                <w:webHidden/>
              </w:rPr>
              <w:fldChar w:fldCharType="begin"/>
            </w:r>
            <w:r>
              <w:rPr>
                <w:noProof/>
                <w:webHidden/>
              </w:rPr>
              <w:instrText xml:space="preserve"> PAGEREF _Toc214721839 \h </w:instrText>
            </w:r>
            <w:r>
              <w:rPr>
                <w:noProof/>
                <w:webHidden/>
              </w:rPr>
            </w:r>
            <w:r>
              <w:rPr>
                <w:noProof/>
                <w:webHidden/>
              </w:rPr>
              <w:fldChar w:fldCharType="separate"/>
            </w:r>
            <w:r>
              <w:rPr>
                <w:noProof/>
                <w:webHidden/>
              </w:rPr>
              <w:t>38</w:t>
            </w:r>
            <w:r>
              <w:rPr>
                <w:noProof/>
                <w:webHidden/>
              </w:rPr>
              <w:fldChar w:fldCharType="end"/>
            </w:r>
          </w:hyperlink>
        </w:p>
        <w:p w14:paraId="325AA26B" w14:textId="73EBF730" w:rsidR="002C51B7" w:rsidRDefault="002C51B7">
          <w:pPr>
            <w:pStyle w:val="TOC3"/>
            <w:rPr>
              <w:rFonts w:eastAsiaTheme="minorEastAsia" w:cstheme="minorBidi"/>
              <w:i w:val="0"/>
              <w:iCs w:val="0"/>
              <w:noProof/>
              <w:sz w:val="24"/>
              <w:szCs w:val="24"/>
              <w14:ligatures w14:val="standardContextual"/>
            </w:rPr>
          </w:pPr>
          <w:hyperlink w:anchor="_Toc214721840" w:history="1">
            <w:r w:rsidRPr="009300E5">
              <w:rPr>
                <w:rStyle w:val="Hyperlink"/>
                <w:rFonts w:eastAsiaTheme="majorEastAsia"/>
                <w:noProof/>
              </w:rPr>
              <w:t>2.4.6 Retail Versus Institutional Behavioral Patterns</w:t>
            </w:r>
            <w:r>
              <w:rPr>
                <w:noProof/>
                <w:webHidden/>
              </w:rPr>
              <w:tab/>
            </w:r>
            <w:r>
              <w:rPr>
                <w:noProof/>
                <w:webHidden/>
              </w:rPr>
              <w:fldChar w:fldCharType="begin"/>
            </w:r>
            <w:r>
              <w:rPr>
                <w:noProof/>
                <w:webHidden/>
              </w:rPr>
              <w:instrText xml:space="preserve"> PAGEREF _Toc214721840 \h </w:instrText>
            </w:r>
            <w:r>
              <w:rPr>
                <w:noProof/>
                <w:webHidden/>
              </w:rPr>
            </w:r>
            <w:r>
              <w:rPr>
                <w:noProof/>
                <w:webHidden/>
              </w:rPr>
              <w:fldChar w:fldCharType="separate"/>
            </w:r>
            <w:r>
              <w:rPr>
                <w:noProof/>
                <w:webHidden/>
              </w:rPr>
              <w:t>39</w:t>
            </w:r>
            <w:r>
              <w:rPr>
                <w:noProof/>
                <w:webHidden/>
              </w:rPr>
              <w:fldChar w:fldCharType="end"/>
            </w:r>
          </w:hyperlink>
        </w:p>
        <w:p w14:paraId="5A15B990" w14:textId="6FC94AB5" w:rsidR="002C51B7" w:rsidRDefault="002C51B7">
          <w:pPr>
            <w:pStyle w:val="TOC3"/>
            <w:rPr>
              <w:rFonts w:eastAsiaTheme="minorEastAsia" w:cstheme="minorBidi"/>
              <w:i w:val="0"/>
              <w:iCs w:val="0"/>
              <w:noProof/>
              <w:sz w:val="24"/>
              <w:szCs w:val="24"/>
              <w14:ligatures w14:val="standardContextual"/>
            </w:rPr>
          </w:pPr>
          <w:hyperlink w:anchor="_Toc214721841" w:history="1">
            <w:r w:rsidRPr="009300E5">
              <w:rPr>
                <w:rStyle w:val="Hyperlink"/>
                <w:rFonts w:eastAsiaTheme="majorEastAsia"/>
                <w:noProof/>
              </w:rPr>
              <w:t>2.4.7 Cognitive Biases and Market Inefficiency</w:t>
            </w:r>
            <w:r>
              <w:rPr>
                <w:noProof/>
                <w:webHidden/>
              </w:rPr>
              <w:tab/>
            </w:r>
            <w:r>
              <w:rPr>
                <w:noProof/>
                <w:webHidden/>
              </w:rPr>
              <w:fldChar w:fldCharType="begin"/>
            </w:r>
            <w:r>
              <w:rPr>
                <w:noProof/>
                <w:webHidden/>
              </w:rPr>
              <w:instrText xml:space="preserve"> PAGEREF _Toc214721841 \h </w:instrText>
            </w:r>
            <w:r>
              <w:rPr>
                <w:noProof/>
                <w:webHidden/>
              </w:rPr>
            </w:r>
            <w:r>
              <w:rPr>
                <w:noProof/>
                <w:webHidden/>
              </w:rPr>
              <w:fldChar w:fldCharType="separate"/>
            </w:r>
            <w:r>
              <w:rPr>
                <w:noProof/>
                <w:webHidden/>
              </w:rPr>
              <w:t>39</w:t>
            </w:r>
            <w:r>
              <w:rPr>
                <w:noProof/>
                <w:webHidden/>
              </w:rPr>
              <w:fldChar w:fldCharType="end"/>
            </w:r>
          </w:hyperlink>
        </w:p>
        <w:p w14:paraId="0E7CA939" w14:textId="016E23D0" w:rsidR="002C51B7" w:rsidRDefault="002C51B7">
          <w:pPr>
            <w:pStyle w:val="TOC2"/>
            <w:rPr>
              <w:rFonts w:eastAsiaTheme="minorEastAsia" w:cstheme="minorBidi"/>
              <w:b w:val="0"/>
              <w:bCs w:val="0"/>
              <w:smallCaps w:val="0"/>
              <w:sz w:val="24"/>
              <w:szCs w:val="24"/>
              <w14:ligatures w14:val="standardContextual"/>
            </w:rPr>
          </w:pPr>
          <w:hyperlink w:anchor="_Toc214721842" w:history="1">
            <w:r w:rsidRPr="009300E5">
              <w:rPr>
                <w:rStyle w:val="Hyperlink"/>
                <w:rFonts w:eastAsiaTheme="majorEastAsia"/>
              </w:rPr>
              <w:t>2.5 Regulatory and Institutional Dimensions</w:t>
            </w:r>
            <w:r>
              <w:rPr>
                <w:webHidden/>
              </w:rPr>
              <w:tab/>
            </w:r>
            <w:r>
              <w:rPr>
                <w:webHidden/>
              </w:rPr>
              <w:fldChar w:fldCharType="begin"/>
            </w:r>
            <w:r>
              <w:rPr>
                <w:webHidden/>
              </w:rPr>
              <w:instrText xml:space="preserve"> PAGEREF _Toc214721842 \h </w:instrText>
            </w:r>
            <w:r>
              <w:rPr>
                <w:webHidden/>
              </w:rPr>
            </w:r>
            <w:r>
              <w:rPr>
                <w:webHidden/>
              </w:rPr>
              <w:fldChar w:fldCharType="separate"/>
            </w:r>
            <w:r>
              <w:rPr>
                <w:webHidden/>
              </w:rPr>
              <w:t>40</w:t>
            </w:r>
            <w:r>
              <w:rPr>
                <w:webHidden/>
              </w:rPr>
              <w:fldChar w:fldCharType="end"/>
            </w:r>
          </w:hyperlink>
        </w:p>
        <w:p w14:paraId="5F74B65D" w14:textId="0982AE25" w:rsidR="002C51B7" w:rsidRDefault="002C51B7">
          <w:pPr>
            <w:pStyle w:val="TOC2"/>
            <w:rPr>
              <w:rFonts w:eastAsiaTheme="minorEastAsia" w:cstheme="minorBidi"/>
              <w:b w:val="0"/>
              <w:bCs w:val="0"/>
              <w:smallCaps w:val="0"/>
              <w:sz w:val="24"/>
              <w:szCs w:val="24"/>
              <w14:ligatures w14:val="standardContextual"/>
            </w:rPr>
          </w:pPr>
          <w:hyperlink w:anchor="_Toc214721843" w:history="1">
            <w:r w:rsidRPr="009300E5">
              <w:rPr>
                <w:rStyle w:val="Hyperlink"/>
                <w:rFonts w:eastAsiaTheme="majorEastAsia"/>
              </w:rPr>
              <w:t>2.6 Gaps in the Literature</w:t>
            </w:r>
            <w:r>
              <w:rPr>
                <w:webHidden/>
              </w:rPr>
              <w:tab/>
            </w:r>
            <w:r>
              <w:rPr>
                <w:webHidden/>
              </w:rPr>
              <w:fldChar w:fldCharType="begin"/>
            </w:r>
            <w:r>
              <w:rPr>
                <w:webHidden/>
              </w:rPr>
              <w:instrText xml:space="preserve"> PAGEREF _Toc214721843 \h </w:instrText>
            </w:r>
            <w:r>
              <w:rPr>
                <w:webHidden/>
              </w:rPr>
            </w:r>
            <w:r>
              <w:rPr>
                <w:webHidden/>
              </w:rPr>
              <w:fldChar w:fldCharType="separate"/>
            </w:r>
            <w:r>
              <w:rPr>
                <w:webHidden/>
              </w:rPr>
              <w:t>40</w:t>
            </w:r>
            <w:r>
              <w:rPr>
                <w:webHidden/>
              </w:rPr>
              <w:fldChar w:fldCharType="end"/>
            </w:r>
          </w:hyperlink>
        </w:p>
        <w:p w14:paraId="1B84F2A4" w14:textId="6BEC97D5" w:rsidR="002C51B7" w:rsidRDefault="002C51B7">
          <w:pPr>
            <w:pStyle w:val="TOC3"/>
            <w:rPr>
              <w:rFonts w:eastAsiaTheme="minorEastAsia" w:cstheme="minorBidi"/>
              <w:i w:val="0"/>
              <w:iCs w:val="0"/>
              <w:noProof/>
              <w:sz w:val="24"/>
              <w:szCs w:val="24"/>
              <w14:ligatures w14:val="standardContextual"/>
            </w:rPr>
          </w:pPr>
          <w:hyperlink w:anchor="_Toc214721844" w:history="1">
            <w:r w:rsidRPr="009300E5">
              <w:rPr>
                <w:rStyle w:val="Hyperlink"/>
                <w:rFonts w:eastAsiaTheme="majorEastAsia"/>
                <w:noProof/>
              </w:rPr>
              <w:t>2.6.1 Mapping Literature Gaps to Research Questions</w:t>
            </w:r>
            <w:r>
              <w:rPr>
                <w:noProof/>
                <w:webHidden/>
              </w:rPr>
              <w:tab/>
            </w:r>
            <w:r>
              <w:rPr>
                <w:noProof/>
                <w:webHidden/>
              </w:rPr>
              <w:fldChar w:fldCharType="begin"/>
            </w:r>
            <w:r>
              <w:rPr>
                <w:noProof/>
                <w:webHidden/>
              </w:rPr>
              <w:instrText xml:space="preserve"> PAGEREF _Toc214721844 \h </w:instrText>
            </w:r>
            <w:r>
              <w:rPr>
                <w:noProof/>
                <w:webHidden/>
              </w:rPr>
            </w:r>
            <w:r>
              <w:rPr>
                <w:noProof/>
                <w:webHidden/>
              </w:rPr>
              <w:fldChar w:fldCharType="separate"/>
            </w:r>
            <w:r>
              <w:rPr>
                <w:noProof/>
                <w:webHidden/>
              </w:rPr>
              <w:t>41</w:t>
            </w:r>
            <w:r>
              <w:rPr>
                <w:noProof/>
                <w:webHidden/>
              </w:rPr>
              <w:fldChar w:fldCharType="end"/>
            </w:r>
          </w:hyperlink>
        </w:p>
        <w:p w14:paraId="565D43C9" w14:textId="32F67D85" w:rsidR="002C51B7" w:rsidRDefault="002C51B7">
          <w:pPr>
            <w:pStyle w:val="TOC3"/>
            <w:rPr>
              <w:rFonts w:eastAsiaTheme="minorEastAsia" w:cstheme="minorBidi"/>
              <w:i w:val="0"/>
              <w:iCs w:val="0"/>
              <w:noProof/>
              <w:sz w:val="24"/>
              <w:szCs w:val="24"/>
              <w14:ligatures w14:val="standardContextual"/>
            </w:rPr>
          </w:pPr>
          <w:hyperlink w:anchor="_Toc214721845" w:history="1">
            <w:r w:rsidRPr="009300E5">
              <w:rPr>
                <w:rStyle w:val="Hyperlink"/>
                <w:rFonts w:eastAsiaTheme="majorEastAsia"/>
                <w:noProof/>
              </w:rPr>
              <w:t>Table 2.A: Literature Gap Analysis and Research Question Mapping</w:t>
            </w:r>
            <w:r>
              <w:rPr>
                <w:noProof/>
                <w:webHidden/>
              </w:rPr>
              <w:tab/>
            </w:r>
            <w:r>
              <w:rPr>
                <w:noProof/>
                <w:webHidden/>
              </w:rPr>
              <w:fldChar w:fldCharType="begin"/>
            </w:r>
            <w:r>
              <w:rPr>
                <w:noProof/>
                <w:webHidden/>
              </w:rPr>
              <w:instrText xml:space="preserve"> PAGEREF _Toc214721845 \h </w:instrText>
            </w:r>
            <w:r>
              <w:rPr>
                <w:noProof/>
                <w:webHidden/>
              </w:rPr>
            </w:r>
            <w:r>
              <w:rPr>
                <w:noProof/>
                <w:webHidden/>
              </w:rPr>
              <w:fldChar w:fldCharType="separate"/>
            </w:r>
            <w:r>
              <w:rPr>
                <w:noProof/>
                <w:webHidden/>
              </w:rPr>
              <w:t>41</w:t>
            </w:r>
            <w:r>
              <w:rPr>
                <w:noProof/>
                <w:webHidden/>
              </w:rPr>
              <w:fldChar w:fldCharType="end"/>
            </w:r>
          </w:hyperlink>
        </w:p>
        <w:p w14:paraId="52FE576D" w14:textId="131DECFC" w:rsidR="002C51B7" w:rsidRDefault="002C51B7">
          <w:pPr>
            <w:pStyle w:val="TOC2"/>
            <w:rPr>
              <w:rFonts w:eastAsiaTheme="minorEastAsia" w:cstheme="minorBidi"/>
              <w:b w:val="0"/>
              <w:bCs w:val="0"/>
              <w:smallCaps w:val="0"/>
              <w:sz w:val="24"/>
              <w:szCs w:val="24"/>
              <w14:ligatures w14:val="standardContextual"/>
            </w:rPr>
          </w:pPr>
          <w:hyperlink w:anchor="_Toc214721846" w:history="1">
            <w:r w:rsidRPr="009300E5">
              <w:rPr>
                <w:rStyle w:val="Hyperlink"/>
                <w:rFonts w:eastAsiaTheme="majorEastAsia"/>
              </w:rPr>
              <w:t>2.7 Theoretical Frameworks for Understanding DeFi Participation</w:t>
            </w:r>
            <w:r>
              <w:rPr>
                <w:webHidden/>
              </w:rPr>
              <w:tab/>
            </w:r>
            <w:r>
              <w:rPr>
                <w:webHidden/>
              </w:rPr>
              <w:fldChar w:fldCharType="begin"/>
            </w:r>
            <w:r>
              <w:rPr>
                <w:webHidden/>
              </w:rPr>
              <w:instrText xml:space="preserve"> PAGEREF _Toc214721846 \h </w:instrText>
            </w:r>
            <w:r>
              <w:rPr>
                <w:webHidden/>
              </w:rPr>
            </w:r>
            <w:r>
              <w:rPr>
                <w:webHidden/>
              </w:rPr>
              <w:fldChar w:fldCharType="separate"/>
            </w:r>
            <w:r>
              <w:rPr>
                <w:webHidden/>
              </w:rPr>
              <w:t>43</w:t>
            </w:r>
            <w:r>
              <w:rPr>
                <w:webHidden/>
              </w:rPr>
              <w:fldChar w:fldCharType="end"/>
            </w:r>
          </w:hyperlink>
        </w:p>
        <w:p w14:paraId="026CCF89" w14:textId="285138A5" w:rsidR="002C51B7" w:rsidRDefault="002C51B7">
          <w:pPr>
            <w:pStyle w:val="TOC2"/>
            <w:rPr>
              <w:rFonts w:eastAsiaTheme="minorEastAsia" w:cstheme="minorBidi"/>
              <w:b w:val="0"/>
              <w:bCs w:val="0"/>
              <w:smallCaps w:val="0"/>
              <w:sz w:val="24"/>
              <w:szCs w:val="24"/>
              <w14:ligatures w14:val="standardContextual"/>
            </w:rPr>
          </w:pPr>
          <w:hyperlink w:anchor="_Toc214721847" w:history="1">
            <w:r w:rsidRPr="009300E5">
              <w:rPr>
                <w:rStyle w:val="Hyperlink"/>
                <w:rFonts w:eastAsiaTheme="majorEastAsia"/>
              </w:rPr>
              <w:t>2.8 Synthesis and Research Directions</w:t>
            </w:r>
            <w:r>
              <w:rPr>
                <w:webHidden/>
              </w:rPr>
              <w:tab/>
            </w:r>
            <w:r>
              <w:rPr>
                <w:webHidden/>
              </w:rPr>
              <w:fldChar w:fldCharType="begin"/>
            </w:r>
            <w:r>
              <w:rPr>
                <w:webHidden/>
              </w:rPr>
              <w:instrText xml:space="preserve"> PAGEREF _Toc214721847 \h </w:instrText>
            </w:r>
            <w:r>
              <w:rPr>
                <w:webHidden/>
              </w:rPr>
            </w:r>
            <w:r>
              <w:rPr>
                <w:webHidden/>
              </w:rPr>
              <w:fldChar w:fldCharType="separate"/>
            </w:r>
            <w:r>
              <w:rPr>
                <w:webHidden/>
              </w:rPr>
              <w:t>44</w:t>
            </w:r>
            <w:r>
              <w:rPr>
                <w:webHidden/>
              </w:rPr>
              <w:fldChar w:fldCharType="end"/>
            </w:r>
          </w:hyperlink>
        </w:p>
        <w:p w14:paraId="23627391" w14:textId="70C8F473" w:rsidR="002C51B7" w:rsidRDefault="002C51B7">
          <w:pPr>
            <w:pStyle w:val="TOC3"/>
            <w:rPr>
              <w:rFonts w:eastAsiaTheme="minorEastAsia" w:cstheme="minorBidi"/>
              <w:i w:val="0"/>
              <w:iCs w:val="0"/>
              <w:noProof/>
              <w:sz w:val="24"/>
              <w:szCs w:val="24"/>
              <w14:ligatures w14:val="standardContextual"/>
            </w:rPr>
          </w:pPr>
          <w:hyperlink w:anchor="_Toc214721848" w:history="1">
            <w:r w:rsidRPr="009300E5">
              <w:rPr>
                <w:rStyle w:val="Hyperlink"/>
                <w:rFonts w:eastAsiaTheme="majorEastAsia"/>
                <w:noProof/>
              </w:rPr>
              <w:t>2.8.1 Synthesizing Theoretical Perspectives</w:t>
            </w:r>
            <w:r>
              <w:rPr>
                <w:noProof/>
                <w:webHidden/>
              </w:rPr>
              <w:tab/>
            </w:r>
            <w:r>
              <w:rPr>
                <w:noProof/>
                <w:webHidden/>
              </w:rPr>
              <w:fldChar w:fldCharType="begin"/>
            </w:r>
            <w:r>
              <w:rPr>
                <w:noProof/>
                <w:webHidden/>
              </w:rPr>
              <w:instrText xml:space="preserve"> PAGEREF _Toc214721848 \h </w:instrText>
            </w:r>
            <w:r>
              <w:rPr>
                <w:noProof/>
                <w:webHidden/>
              </w:rPr>
            </w:r>
            <w:r>
              <w:rPr>
                <w:noProof/>
                <w:webHidden/>
              </w:rPr>
              <w:fldChar w:fldCharType="separate"/>
            </w:r>
            <w:r>
              <w:rPr>
                <w:noProof/>
                <w:webHidden/>
              </w:rPr>
              <w:t>44</w:t>
            </w:r>
            <w:r>
              <w:rPr>
                <w:noProof/>
                <w:webHidden/>
              </w:rPr>
              <w:fldChar w:fldCharType="end"/>
            </w:r>
          </w:hyperlink>
        </w:p>
        <w:p w14:paraId="12F84F62" w14:textId="63692524" w:rsidR="002C51B7" w:rsidRDefault="002C51B7">
          <w:pPr>
            <w:pStyle w:val="TOC3"/>
            <w:rPr>
              <w:rFonts w:eastAsiaTheme="minorEastAsia" w:cstheme="minorBidi"/>
              <w:i w:val="0"/>
              <w:iCs w:val="0"/>
              <w:noProof/>
              <w:sz w:val="24"/>
              <w:szCs w:val="24"/>
              <w14:ligatures w14:val="standardContextual"/>
            </w:rPr>
          </w:pPr>
          <w:hyperlink w:anchor="_Toc214721849" w:history="1">
            <w:r w:rsidRPr="009300E5">
              <w:rPr>
                <w:rStyle w:val="Hyperlink"/>
                <w:rFonts w:eastAsiaTheme="majorEastAsia"/>
                <w:noProof/>
              </w:rPr>
              <w:t>2.8.2 Empirical Evidence Patterns</w:t>
            </w:r>
            <w:r>
              <w:rPr>
                <w:noProof/>
                <w:webHidden/>
              </w:rPr>
              <w:tab/>
            </w:r>
            <w:r>
              <w:rPr>
                <w:noProof/>
                <w:webHidden/>
              </w:rPr>
              <w:fldChar w:fldCharType="begin"/>
            </w:r>
            <w:r>
              <w:rPr>
                <w:noProof/>
                <w:webHidden/>
              </w:rPr>
              <w:instrText xml:space="preserve"> PAGEREF _Toc214721849 \h </w:instrText>
            </w:r>
            <w:r>
              <w:rPr>
                <w:noProof/>
                <w:webHidden/>
              </w:rPr>
            </w:r>
            <w:r>
              <w:rPr>
                <w:noProof/>
                <w:webHidden/>
              </w:rPr>
              <w:fldChar w:fldCharType="separate"/>
            </w:r>
            <w:r>
              <w:rPr>
                <w:noProof/>
                <w:webHidden/>
              </w:rPr>
              <w:t>44</w:t>
            </w:r>
            <w:r>
              <w:rPr>
                <w:noProof/>
                <w:webHidden/>
              </w:rPr>
              <w:fldChar w:fldCharType="end"/>
            </w:r>
          </w:hyperlink>
        </w:p>
        <w:p w14:paraId="5B0A1494" w14:textId="72F70D18" w:rsidR="002C51B7" w:rsidRDefault="002C51B7">
          <w:pPr>
            <w:pStyle w:val="TOC1"/>
            <w:tabs>
              <w:tab w:val="right" w:leader="dot" w:pos="9350"/>
            </w:tabs>
            <w:rPr>
              <w:rFonts w:eastAsiaTheme="minorEastAsia" w:cstheme="minorBidi"/>
              <w:b w:val="0"/>
              <w:bCs w:val="0"/>
              <w:caps w:val="0"/>
              <w:noProof/>
              <w:sz w:val="24"/>
              <w:szCs w:val="24"/>
              <w14:ligatures w14:val="standardContextual"/>
            </w:rPr>
          </w:pPr>
          <w:hyperlink w:anchor="_Toc214721850" w:history="1">
            <w:r w:rsidRPr="009300E5">
              <w:rPr>
                <w:rStyle w:val="Hyperlink"/>
                <w:rFonts w:eastAsiaTheme="majorEastAsia"/>
                <w:noProof/>
              </w:rPr>
              <w:t>Chapter 3: Empirical Evidence on Cryptocurrency Income Mechanisms</w:t>
            </w:r>
            <w:r>
              <w:rPr>
                <w:noProof/>
                <w:webHidden/>
              </w:rPr>
              <w:tab/>
            </w:r>
            <w:r>
              <w:rPr>
                <w:noProof/>
                <w:webHidden/>
              </w:rPr>
              <w:fldChar w:fldCharType="begin"/>
            </w:r>
            <w:r>
              <w:rPr>
                <w:noProof/>
                <w:webHidden/>
              </w:rPr>
              <w:instrText xml:space="preserve"> PAGEREF _Toc214721850 \h </w:instrText>
            </w:r>
            <w:r>
              <w:rPr>
                <w:noProof/>
                <w:webHidden/>
              </w:rPr>
            </w:r>
            <w:r>
              <w:rPr>
                <w:noProof/>
                <w:webHidden/>
              </w:rPr>
              <w:fldChar w:fldCharType="separate"/>
            </w:r>
            <w:r>
              <w:rPr>
                <w:noProof/>
                <w:webHidden/>
              </w:rPr>
              <w:t>46</w:t>
            </w:r>
            <w:r>
              <w:rPr>
                <w:noProof/>
                <w:webHidden/>
              </w:rPr>
              <w:fldChar w:fldCharType="end"/>
            </w:r>
          </w:hyperlink>
        </w:p>
        <w:p w14:paraId="2CC45187" w14:textId="4250FCCB" w:rsidR="002C51B7" w:rsidRDefault="002C51B7">
          <w:pPr>
            <w:pStyle w:val="TOC2"/>
            <w:rPr>
              <w:rFonts w:eastAsiaTheme="minorEastAsia" w:cstheme="minorBidi"/>
              <w:b w:val="0"/>
              <w:bCs w:val="0"/>
              <w:smallCaps w:val="0"/>
              <w:sz w:val="24"/>
              <w:szCs w:val="24"/>
              <w14:ligatures w14:val="standardContextual"/>
            </w:rPr>
          </w:pPr>
          <w:hyperlink w:anchor="_Toc214721851" w:history="1">
            <w:r w:rsidRPr="009300E5">
              <w:rPr>
                <w:rStyle w:val="Hyperlink"/>
                <w:rFonts w:eastAsiaTheme="majorEastAsia"/>
              </w:rPr>
              <w:t>3.1 The DeFi Income Mechanism Landscape: Comparative Overview</w:t>
            </w:r>
            <w:r>
              <w:rPr>
                <w:webHidden/>
              </w:rPr>
              <w:tab/>
            </w:r>
            <w:r>
              <w:rPr>
                <w:webHidden/>
              </w:rPr>
              <w:fldChar w:fldCharType="begin"/>
            </w:r>
            <w:r>
              <w:rPr>
                <w:webHidden/>
              </w:rPr>
              <w:instrText xml:space="preserve"> PAGEREF _Toc214721851 \h </w:instrText>
            </w:r>
            <w:r>
              <w:rPr>
                <w:webHidden/>
              </w:rPr>
            </w:r>
            <w:r>
              <w:rPr>
                <w:webHidden/>
              </w:rPr>
              <w:fldChar w:fldCharType="separate"/>
            </w:r>
            <w:r>
              <w:rPr>
                <w:webHidden/>
              </w:rPr>
              <w:t>46</w:t>
            </w:r>
            <w:r>
              <w:rPr>
                <w:webHidden/>
              </w:rPr>
              <w:fldChar w:fldCharType="end"/>
            </w:r>
          </w:hyperlink>
        </w:p>
        <w:p w14:paraId="027860C5" w14:textId="4784449A" w:rsidR="002C51B7" w:rsidRDefault="002C51B7">
          <w:pPr>
            <w:pStyle w:val="TOC3"/>
            <w:rPr>
              <w:rFonts w:eastAsiaTheme="minorEastAsia" w:cstheme="minorBidi"/>
              <w:i w:val="0"/>
              <w:iCs w:val="0"/>
              <w:noProof/>
              <w:sz w:val="24"/>
              <w:szCs w:val="24"/>
              <w14:ligatures w14:val="standardContextual"/>
            </w:rPr>
          </w:pPr>
          <w:hyperlink w:anchor="_Toc214721852" w:history="1">
            <w:r w:rsidRPr="009300E5">
              <w:rPr>
                <w:rStyle w:val="Hyperlink"/>
                <w:rFonts w:eastAsiaTheme="majorEastAsia"/>
                <w:noProof/>
              </w:rPr>
              <w:t>Table 3.A: Empirical Comparison of Cryptocurrency Income Mechanisms</w:t>
            </w:r>
            <w:r>
              <w:rPr>
                <w:noProof/>
                <w:webHidden/>
              </w:rPr>
              <w:tab/>
            </w:r>
            <w:r>
              <w:rPr>
                <w:noProof/>
                <w:webHidden/>
              </w:rPr>
              <w:fldChar w:fldCharType="begin"/>
            </w:r>
            <w:r>
              <w:rPr>
                <w:noProof/>
                <w:webHidden/>
              </w:rPr>
              <w:instrText xml:space="preserve"> PAGEREF _Toc214721852 \h </w:instrText>
            </w:r>
            <w:r>
              <w:rPr>
                <w:noProof/>
                <w:webHidden/>
              </w:rPr>
            </w:r>
            <w:r>
              <w:rPr>
                <w:noProof/>
                <w:webHidden/>
              </w:rPr>
              <w:fldChar w:fldCharType="separate"/>
            </w:r>
            <w:r>
              <w:rPr>
                <w:noProof/>
                <w:webHidden/>
              </w:rPr>
              <w:t>46</w:t>
            </w:r>
            <w:r>
              <w:rPr>
                <w:noProof/>
                <w:webHidden/>
              </w:rPr>
              <w:fldChar w:fldCharType="end"/>
            </w:r>
          </w:hyperlink>
        </w:p>
        <w:p w14:paraId="5F2505EF" w14:textId="54EC53C5" w:rsidR="002C51B7" w:rsidRDefault="002C51B7">
          <w:pPr>
            <w:pStyle w:val="TOC2"/>
            <w:rPr>
              <w:rFonts w:eastAsiaTheme="minorEastAsia" w:cstheme="minorBidi"/>
              <w:b w:val="0"/>
              <w:bCs w:val="0"/>
              <w:smallCaps w:val="0"/>
              <w:sz w:val="24"/>
              <w:szCs w:val="24"/>
              <w14:ligatures w14:val="standardContextual"/>
            </w:rPr>
          </w:pPr>
          <w:hyperlink w:anchor="_Toc214721853" w:history="1">
            <w:r w:rsidRPr="009300E5">
              <w:rPr>
                <w:rStyle w:val="Hyperlink"/>
                <w:rFonts w:eastAsiaTheme="majorEastAsia"/>
              </w:rPr>
              <w:t>3.2 Staking Mechanisms</w:t>
            </w:r>
            <w:r>
              <w:rPr>
                <w:webHidden/>
              </w:rPr>
              <w:tab/>
            </w:r>
            <w:r>
              <w:rPr>
                <w:webHidden/>
              </w:rPr>
              <w:fldChar w:fldCharType="begin"/>
            </w:r>
            <w:r>
              <w:rPr>
                <w:webHidden/>
              </w:rPr>
              <w:instrText xml:space="preserve"> PAGEREF _Toc214721853 \h </w:instrText>
            </w:r>
            <w:r>
              <w:rPr>
                <w:webHidden/>
              </w:rPr>
            </w:r>
            <w:r>
              <w:rPr>
                <w:webHidden/>
              </w:rPr>
              <w:fldChar w:fldCharType="separate"/>
            </w:r>
            <w:r>
              <w:rPr>
                <w:webHidden/>
              </w:rPr>
              <w:t>48</w:t>
            </w:r>
            <w:r>
              <w:rPr>
                <w:webHidden/>
              </w:rPr>
              <w:fldChar w:fldCharType="end"/>
            </w:r>
          </w:hyperlink>
        </w:p>
        <w:p w14:paraId="2A618DA6" w14:textId="57A5B2FF" w:rsidR="002C51B7" w:rsidRDefault="002C51B7">
          <w:pPr>
            <w:pStyle w:val="TOC2"/>
            <w:rPr>
              <w:rFonts w:eastAsiaTheme="minorEastAsia" w:cstheme="minorBidi"/>
              <w:b w:val="0"/>
              <w:bCs w:val="0"/>
              <w:smallCaps w:val="0"/>
              <w:sz w:val="24"/>
              <w:szCs w:val="24"/>
              <w14:ligatures w14:val="standardContextual"/>
            </w:rPr>
          </w:pPr>
          <w:hyperlink w:anchor="_Toc214721854" w:history="1">
            <w:r w:rsidRPr="009300E5">
              <w:rPr>
                <w:rStyle w:val="Hyperlink"/>
                <w:rFonts w:eastAsiaTheme="majorEastAsia"/>
              </w:rPr>
              <w:t>3.3 Yield Farming</w:t>
            </w:r>
            <w:r>
              <w:rPr>
                <w:webHidden/>
              </w:rPr>
              <w:tab/>
            </w:r>
            <w:r>
              <w:rPr>
                <w:webHidden/>
              </w:rPr>
              <w:fldChar w:fldCharType="begin"/>
            </w:r>
            <w:r>
              <w:rPr>
                <w:webHidden/>
              </w:rPr>
              <w:instrText xml:space="preserve"> PAGEREF _Toc214721854 \h </w:instrText>
            </w:r>
            <w:r>
              <w:rPr>
                <w:webHidden/>
              </w:rPr>
            </w:r>
            <w:r>
              <w:rPr>
                <w:webHidden/>
              </w:rPr>
              <w:fldChar w:fldCharType="separate"/>
            </w:r>
            <w:r>
              <w:rPr>
                <w:webHidden/>
              </w:rPr>
              <w:t>49</w:t>
            </w:r>
            <w:r>
              <w:rPr>
                <w:webHidden/>
              </w:rPr>
              <w:fldChar w:fldCharType="end"/>
            </w:r>
          </w:hyperlink>
        </w:p>
        <w:p w14:paraId="7B83F264" w14:textId="04410F7D" w:rsidR="002C51B7" w:rsidRDefault="002C51B7">
          <w:pPr>
            <w:pStyle w:val="TOC3"/>
            <w:rPr>
              <w:rFonts w:eastAsiaTheme="minorEastAsia" w:cstheme="minorBidi"/>
              <w:i w:val="0"/>
              <w:iCs w:val="0"/>
              <w:noProof/>
              <w:sz w:val="24"/>
              <w:szCs w:val="24"/>
              <w14:ligatures w14:val="standardContextual"/>
            </w:rPr>
          </w:pPr>
          <w:hyperlink w:anchor="_Toc214721855" w:history="1">
            <w:r w:rsidRPr="009300E5">
              <w:rPr>
                <w:rStyle w:val="Hyperlink"/>
                <w:rFonts w:eastAsiaTheme="majorEastAsia"/>
                <w:noProof/>
              </w:rPr>
              <w:t>Table 3.B: Yield Farming APY Compression Timeline</w:t>
            </w:r>
            <w:r>
              <w:rPr>
                <w:noProof/>
                <w:webHidden/>
              </w:rPr>
              <w:tab/>
            </w:r>
            <w:r>
              <w:rPr>
                <w:noProof/>
                <w:webHidden/>
              </w:rPr>
              <w:fldChar w:fldCharType="begin"/>
            </w:r>
            <w:r>
              <w:rPr>
                <w:noProof/>
                <w:webHidden/>
              </w:rPr>
              <w:instrText xml:space="preserve"> PAGEREF _Toc214721855 \h </w:instrText>
            </w:r>
            <w:r>
              <w:rPr>
                <w:noProof/>
                <w:webHidden/>
              </w:rPr>
            </w:r>
            <w:r>
              <w:rPr>
                <w:noProof/>
                <w:webHidden/>
              </w:rPr>
              <w:fldChar w:fldCharType="separate"/>
            </w:r>
            <w:r>
              <w:rPr>
                <w:noProof/>
                <w:webHidden/>
              </w:rPr>
              <w:t>49</w:t>
            </w:r>
            <w:r>
              <w:rPr>
                <w:noProof/>
                <w:webHidden/>
              </w:rPr>
              <w:fldChar w:fldCharType="end"/>
            </w:r>
          </w:hyperlink>
        </w:p>
        <w:p w14:paraId="0FF6E569" w14:textId="2F71BA82" w:rsidR="002C51B7" w:rsidRDefault="002C51B7">
          <w:pPr>
            <w:pStyle w:val="TOC2"/>
            <w:rPr>
              <w:rFonts w:eastAsiaTheme="minorEastAsia" w:cstheme="minorBidi"/>
              <w:b w:val="0"/>
              <w:bCs w:val="0"/>
              <w:smallCaps w:val="0"/>
              <w:sz w:val="24"/>
              <w:szCs w:val="24"/>
              <w14:ligatures w14:val="standardContextual"/>
            </w:rPr>
          </w:pPr>
          <w:hyperlink w:anchor="_Toc214721856" w:history="1">
            <w:r w:rsidRPr="009300E5">
              <w:rPr>
                <w:rStyle w:val="Hyperlink"/>
                <w:rFonts w:eastAsiaTheme="majorEastAsia"/>
              </w:rPr>
              <w:t>3.4 Liquidity Provision</w:t>
            </w:r>
            <w:r>
              <w:rPr>
                <w:webHidden/>
              </w:rPr>
              <w:tab/>
            </w:r>
            <w:r>
              <w:rPr>
                <w:webHidden/>
              </w:rPr>
              <w:fldChar w:fldCharType="begin"/>
            </w:r>
            <w:r>
              <w:rPr>
                <w:webHidden/>
              </w:rPr>
              <w:instrText xml:space="preserve"> PAGEREF _Toc214721856 \h </w:instrText>
            </w:r>
            <w:r>
              <w:rPr>
                <w:webHidden/>
              </w:rPr>
            </w:r>
            <w:r>
              <w:rPr>
                <w:webHidden/>
              </w:rPr>
              <w:fldChar w:fldCharType="separate"/>
            </w:r>
            <w:r>
              <w:rPr>
                <w:webHidden/>
              </w:rPr>
              <w:t>50</w:t>
            </w:r>
            <w:r>
              <w:rPr>
                <w:webHidden/>
              </w:rPr>
              <w:fldChar w:fldCharType="end"/>
            </w:r>
          </w:hyperlink>
        </w:p>
        <w:p w14:paraId="0DCBA305" w14:textId="3FAD217A" w:rsidR="002C51B7" w:rsidRDefault="002C51B7">
          <w:pPr>
            <w:pStyle w:val="TOC3"/>
            <w:rPr>
              <w:rFonts w:eastAsiaTheme="minorEastAsia" w:cstheme="minorBidi"/>
              <w:i w:val="0"/>
              <w:iCs w:val="0"/>
              <w:noProof/>
              <w:sz w:val="24"/>
              <w:szCs w:val="24"/>
              <w14:ligatures w14:val="standardContextual"/>
            </w:rPr>
          </w:pPr>
          <w:hyperlink w:anchor="_Toc214721857" w:history="1">
            <w:r w:rsidRPr="009300E5">
              <w:rPr>
                <w:rStyle w:val="Hyperlink"/>
                <w:rFonts w:eastAsiaTheme="majorEastAsia"/>
                <w:noProof/>
              </w:rPr>
              <w:t>Table 3.C: Liquidity Provision Performance by Pair Type</w:t>
            </w:r>
            <w:r>
              <w:rPr>
                <w:noProof/>
                <w:webHidden/>
              </w:rPr>
              <w:tab/>
            </w:r>
            <w:r>
              <w:rPr>
                <w:noProof/>
                <w:webHidden/>
              </w:rPr>
              <w:fldChar w:fldCharType="begin"/>
            </w:r>
            <w:r>
              <w:rPr>
                <w:noProof/>
                <w:webHidden/>
              </w:rPr>
              <w:instrText xml:space="preserve"> PAGEREF _Toc214721857 \h </w:instrText>
            </w:r>
            <w:r>
              <w:rPr>
                <w:noProof/>
                <w:webHidden/>
              </w:rPr>
            </w:r>
            <w:r>
              <w:rPr>
                <w:noProof/>
                <w:webHidden/>
              </w:rPr>
              <w:fldChar w:fldCharType="separate"/>
            </w:r>
            <w:r>
              <w:rPr>
                <w:noProof/>
                <w:webHidden/>
              </w:rPr>
              <w:t>50</w:t>
            </w:r>
            <w:r>
              <w:rPr>
                <w:noProof/>
                <w:webHidden/>
              </w:rPr>
              <w:fldChar w:fldCharType="end"/>
            </w:r>
          </w:hyperlink>
        </w:p>
        <w:p w14:paraId="5839C14B" w14:textId="02F3E27E" w:rsidR="002C51B7" w:rsidRDefault="002C51B7">
          <w:pPr>
            <w:pStyle w:val="TOC2"/>
            <w:rPr>
              <w:rFonts w:eastAsiaTheme="minorEastAsia" w:cstheme="minorBidi"/>
              <w:b w:val="0"/>
              <w:bCs w:val="0"/>
              <w:smallCaps w:val="0"/>
              <w:sz w:val="24"/>
              <w:szCs w:val="24"/>
              <w14:ligatures w14:val="standardContextual"/>
            </w:rPr>
          </w:pPr>
          <w:hyperlink w:anchor="_Toc214721858" w:history="1">
            <w:r w:rsidRPr="009300E5">
              <w:rPr>
                <w:rStyle w:val="Hyperlink"/>
                <w:rFonts w:eastAsiaTheme="majorEastAsia"/>
              </w:rPr>
              <w:t>3.5 Affiliate Programs</w:t>
            </w:r>
            <w:r>
              <w:rPr>
                <w:webHidden/>
              </w:rPr>
              <w:tab/>
            </w:r>
            <w:r>
              <w:rPr>
                <w:webHidden/>
              </w:rPr>
              <w:fldChar w:fldCharType="begin"/>
            </w:r>
            <w:r>
              <w:rPr>
                <w:webHidden/>
              </w:rPr>
              <w:instrText xml:space="preserve"> PAGEREF _Toc214721858 \h </w:instrText>
            </w:r>
            <w:r>
              <w:rPr>
                <w:webHidden/>
              </w:rPr>
            </w:r>
            <w:r>
              <w:rPr>
                <w:webHidden/>
              </w:rPr>
              <w:fldChar w:fldCharType="separate"/>
            </w:r>
            <w:r>
              <w:rPr>
                <w:webHidden/>
              </w:rPr>
              <w:t>51</w:t>
            </w:r>
            <w:r>
              <w:rPr>
                <w:webHidden/>
              </w:rPr>
              <w:fldChar w:fldCharType="end"/>
            </w:r>
          </w:hyperlink>
        </w:p>
        <w:p w14:paraId="3AB94937" w14:textId="25542149" w:rsidR="002C51B7" w:rsidRDefault="002C51B7">
          <w:pPr>
            <w:pStyle w:val="TOC2"/>
            <w:rPr>
              <w:rFonts w:eastAsiaTheme="minorEastAsia" w:cstheme="minorBidi"/>
              <w:b w:val="0"/>
              <w:bCs w:val="0"/>
              <w:smallCaps w:val="0"/>
              <w:sz w:val="24"/>
              <w:szCs w:val="24"/>
              <w14:ligatures w14:val="standardContextual"/>
            </w:rPr>
          </w:pPr>
          <w:hyperlink w:anchor="_Toc214721859" w:history="1">
            <w:r w:rsidRPr="009300E5">
              <w:rPr>
                <w:rStyle w:val="Hyperlink"/>
                <w:rFonts w:eastAsiaTheme="majorEastAsia"/>
              </w:rPr>
              <w:t>3.6 Synthesis of Empirical Findings</w:t>
            </w:r>
            <w:r>
              <w:rPr>
                <w:webHidden/>
              </w:rPr>
              <w:tab/>
            </w:r>
            <w:r>
              <w:rPr>
                <w:webHidden/>
              </w:rPr>
              <w:fldChar w:fldCharType="begin"/>
            </w:r>
            <w:r>
              <w:rPr>
                <w:webHidden/>
              </w:rPr>
              <w:instrText xml:space="preserve"> PAGEREF _Toc214721859 \h </w:instrText>
            </w:r>
            <w:r>
              <w:rPr>
                <w:webHidden/>
              </w:rPr>
            </w:r>
            <w:r>
              <w:rPr>
                <w:webHidden/>
              </w:rPr>
              <w:fldChar w:fldCharType="separate"/>
            </w:r>
            <w:r>
              <w:rPr>
                <w:webHidden/>
              </w:rPr>
              <w:t>52</w:t>
            </w:r>
            <w:r>
              <w:rPr>
                <w:webHidden/>
              </w:rPr>
              <w:fldChar w:fldCharType="end"/>
            </w:r>
          </w:hyperlink>
        </w:p>
        <w:p w14:paraId="713A9D31" w14:textId="0209A9EC" w:rsidR="002C51B7" w:rsidRDefault="002C51B7">
          <w:pPr>
            <w:pStyle w:val="TOC2"/>
            <w:rPr>
              <w:rFonts w:eastAsiaTheme="minorEastAsia" w:cstheme="minorBidi"/>
              <w:b w:val="0"/>
              <w:bCs w:val="0"/>
              <w:smallCaps w:val="0"/>
              <w:sz w:val="24"/>
              <w:szCs w:val="24"/>
              <w14:ligatures w14:val="standardContextual"/>
            </w:rPr>
          </w:pPr>
          <w:hyperlink w:anchor="_Toc214721860" w:history="1">
            <w:r w:rsidRPr="009300E5">
              <w:rPr>
                <w:rStyle w:val="Hyperlink"/>
                <w:rFonts w:eastAsiaTheme="majorEastAsia"/>
              </w:rPr>
              <w:t>3.7 Resource-Mechanism Matching Framework</w:t>
            </w:r>
            <w:r>
              <w:rPr>
                <w:webHidden/>
              </w:rPr>
              <w:tab/>
            </w:r>
            <w:r>
              <w:rPr>
                <w:webHidden/>
              </w:rPr>
              <w:fldChar w:fldCharType="begin"/>
            </w:r>
            <w:r>
              <w:rPr>
                <w:webHidden/>
              </w:rPr>
              <w:instrText xml:space="preserve"> PAGEREF _Toc214721860 \h </w:instrText>
            </w:r>
            <w:r>
              <w:rPr>
                <w:webHidden/>
              </w:rPr>
            </w:r>
            <w:r>
              <w:rPr>
                <w:webHidden/>
              </w:rPr>
              <w:fldChar w:fldCharType="separate"/>
            </w:r>
            <w:r>
              <w:rPr>
                <w:webHidden/>
              </w:rPr>
              <w:t>52</w:t>
            </w:r>
            <w:r>
              <w:rPr>
                <w:webHidden/>
              </w:rPr>
              <w:fldChar w:fldCharType="end"/>
            </w:r>
          </w:hyperlink>
        </w:p>
        <w:p w14:paraId="70AD5550" w14:textId="6EF3383B" w:rsidR="002C51B7" w:rsidRDefault="002C51B7">
          <w:pPr>
            <w:pStyle w:val="TOC3"/>
            <w:rPr>
              <w:rFonts w:eastAsiaTheme="minorEastAsia" w:cstheme="minorBidi"/>
              <w:i w:val="0"/>
              <w:iCs w:val="0"/>
              <w:noProof/>
              <w:sz w:val="24"/>
              <w:szCs w:val="24"/>
              <w14:ligatures w14:val="standardContextual"/>
            </w:rPr>
          </w:pPr>
          <w:hyperlink w:anchor="_Toc214721861" w:history="1">
            <w:r w:rsidRPr="009300E5">
              <w:rPr>
                <w:rStyle w:val="Hyperlink"/>
                <w:rFonts w:eastAsiaTheme="majorEastAsia"/>
                <w:noProof/>
              </w:rPr>
              <w:t>3.7.1 Determine Your Viable Network Based On Available Capital</w:t>
            </w:r>
            <w:r>
              <w:rPr>
                <w:noProof/>
                <w:webHidden/>
              </w:rPr>
              <w:tab/>
            </w:r>
            <w:r>
              <w:rPr>
                <w:noProof/>
                <w:webHidden/>
              </w:rPr>
              <w:fldChar w:fldCharType="begin"/>
            </w:r>
            <w:r>
              <w:rPr>
                <w:noProof/>
                <w:webHidden/>
              </w:rPr>
              <w:instrText xml:space="preserve"> PAGEREF _Toc214721861 \h </w:instrText>
            </w:r>
            <w:r>
              <w:rPr>
                <w:noProof/>
                <w:webHidden/>
              </w:rPr>
            </w:r>
            <w:r>
              <w:rPr>
                <w:noProof/>
                <w:webHidden/>
              </w:rPr>
              <w:fldChar w:fldCharType="separate"/>
            </w:r>
            <w:r>
              <w:rPr>
                <w:noProof/>
                <w:webHidden/>
              </w:rPr>
              <w:t>52</w:t>
            </w:r>
            <w:r>
              <w:rPr>
                <w:noProof/>
                <w:webHidden/>
              </w:rPr>
              <w:fldChar w:fldCharType="end"/>
            </w:r>
          </w:hyperlink>
        </w:p>
        <w:p w14:paraId="44AEC949" w14:textId="23592877" w:rsidR="002C51B7" w:rsidRDefault="002C51B7">
          <w:pPr>
            <w:pStyle w:val="TOC3"/>
            <w:rPr>
              <w:rFonts w:eastAsiaTheme="minorEastAsia" w:cstheme="minorBidi"/>
              <w:i w:val="0"/>
              <w:iCs w:val="0"/>
              <w:noProof/>
              <w:sz w:val="24"/>
              <w:szCs w:val="24"/>
              <w14:ligatures w14:val="standardContextual"/>
            </w:rPr>
          </w:pPr>
          <w:hyperlink w:anchor="_Toc214721862" w:history="1">
            <w:r w:rsidRPr="009300E5">
              <w:rPr>
                <w:rStyle w:val="Hyperlink"/>
                <w:rFonts w:eastAsiaTheme="majorEastAsia"/>
                <w:noProof/>
              </w:rPr>
              <w:t>Table 3.D: Capital Viability Ladder</w:t>
            </w:r>
            <w:r>
              <w:rPr>
                <w:noProof/>
                <w:webHidden/>
              </w:rPr>
              <w:tab/>
            </w:r>
            <w:r>
              <w:rPr>
                <w:noProof/>
                <w:webHidden/>
              </w:rPr>
              <w:fldChar w:fldCharType="begin"/>
            </w:r>
            <w:r>
              <w:rPr>
                <w:noProof/>
                <w:webHidden/>
              </w:rPr>
              <w:instrText xml:space="preserve"> PAGEREF _Toc214721862 \h </w:instrText>
            </w:r>
            <w:r>
              <w:rPr>
                <w:noProof/>
                <w:webHidden/>
              </w:rPr>
            </w:r>
            <w:r>
              <w:rPr>
                <w:noProof/>
                <w:webHidden/>
              </w:rPr>
              <w:fldChar w:fldCharType="separate"/>
            </w:r>
            <w:r>
              <w:rPr>
                <w:noProof/>
                <w:webHidden/>
              </w:rPr>
              <w:t>54</w:t>
            </w:r>
            <w:r>
              <w:rPr>
                <w:noProof/>
                <w:webHidden/>
              </w:rPr>
              <w:fldChar w:fldCharType="end"/>
            </w:r>
          </w:hyperlink>
        </w:p>
        <w:p w14:paraId="006CCCAA" w14:textId="6DEB6864" w:rsidR="002C51B7" w:rsidRDefault="002C51B7">
          <w:pPr>
            <w:pStyle w:val="TOC3"/>
            <w:rPr>
              <w:rFonts w:eastAsiaTheme="minorEastAsia" w:cstheme="minorBidi"/>
              <w:i w:val="0"/>
              <w:iCs w:val="0"/>
              <w:noProof/>
              <w:sz w:val="24"/>
              <w:szCs w:val="24"/>
              <w14:ligatures w14:val="standardContextual"/>
            </w:rPr>
          </w:pPr>
          <w:hyperlink w:anchor="_Toc214721863" w:history="1">
            <w:r w:rsidRPr="009300E5">
              <w:rPr>
                <w:rStyle w:val="Hyperlink"/>
                <w:rFonts w:eastAsiaTheme="majorEastAsia"/>
                <w:noProof/>
              </w:rPr>
              <w:t>Table 3.E: Impermanent Loss Quantification Matrix</w:t>
            </w:r>
            <w:r>
              <w:rPr>
                <w:noProof/>
                <w:webHidden/>
              </w:rPr>
              <w:tab/>
            </w:r>
            <w:r>
              <w:rPr>
                <w:noProof/>
                <w:webHidden/>
              </w:rPr>
              <w:fldChar w:fldCharType="begin"/>
            </w:r>
            <w:r>
              <w:rPr>
                <w:noProof/>
                <w:webHidden/>
              </w:rPr>
              <w:instrText xml:space="preserve"> PAGEREF _Toc214721863 \h </w:instrText>
            </w:r>
            <w:r>
              <w:rPr>
                <w:noProof/>
                <w:webHidden/>
              </w:rPr>
            </w:r>
            <w:r>
              <w:rPr>
                <w:noProof/>
                <w:webHidden/>
              </w:rPr>
              <w:fldChar w:fldCharType="separate"/>
            </w:r>
            <w:r>
              <w:rPr>
                <w:noProof/>
                <w:webHidden/>
              </w:rPr>
              <w:t>55</w:t>
            </w:r>
            <w:r>
              <w:rPr>
                <w:noProof/>
                <w:webHidden/>
              </w:rPr>
              <w:fldChar w:fldCharType="end"/>
            </w:r>
          </w:hyperlink>
        </w:p>
        <w:p w14:paraId="68F452BF" w14:textId="4B1A208E" w:rsidR="002C51B7" w:rsidRDefault="002C51B7">
          <w:pPr>
            <w:pStyle w:val="TOC3"/>
            <w:rPr>
              <w:rFonts w:eastAsiaTheme="minorEastAsia" w:cstheme="minorBidi"/>
              <w:i w:val="0"/>
              <w:iCs w:val="0"/>
              <w:noProof/>
              <w:sz w:val="24"/>
              <w:szCs w:val="24"/>
              <w14:ligatures w14:val="standardContextual"/>
            </w:rPr>
          </w:pPr>
          <w:hyperlink w:anchor="_Toc214721864" w:history="1">
            <w:r w:rsidRPr="009300E5">
              <w:rPr>
                <w:rStyle w:val="Hyperlink"/>
                <w:rFonts w:eastAsiaTheme="majorEastAsia"/>
                <w:noProof/>
              </w:rPr>
              <w:t>3.7.2 Empirically Derived Network Viability Thresholds</w:t>
            </w:r>
            <w:r>
              <w:rPr>
                <w:noProof/>
                <w:webHidden/>
              </w:rPr>
              <w:tab/>
            </w:r>
            <w:r>
              <w:rPr>
                <w:noProof/>
                <w:webHidden/>
              </w:rPr>
              <w:fldChar w:fldCharType="begin"/>
            </w:r>
            <w:r>
              <w:rPr>
                <w:noProof/>
                <w:webHidden/>
              </w:rPr>
              <w:instrText xml:space="preserve"> PAGEREF _Toc214721864 \h </w:instrText>
            </w:r>
            <w:r>
              <w:rPr>
                <w:noProof/>
                <w:webHidden/>
              </w:rPr>
            </w:r>
            <w:r>
              <w:rPr>
                <w:noProof/>
                <w:webHidden/>
              </w:rPr>
              <w:fldChar w:fldCharType="separate"/>
            </w:r>
            <w:r>
              <w:rPr>
                <w:noProof/>
                <w:webHidden/>
              </w:rPr>
              <w:t>56</w:t>
            </w:r>
            <w:r>
              <w:rPr>
                <w:noProof/>
                <w:webHidden/>
              </w:rPr>
              <w:fldChar w:fldCharType="end"/>
            </w:r>
          </w:hyperlink>
        </w:p>
        <w:p w14:paraId="0017640D" w14:textId="296C7A2F" w:rsidR="002C51B7" w:rsidRDefault="002C51B7">
          <w:pPr>
            <w:pStyle w:val="TOC3"/>
            <w:rPr>
              <w:rFonts w:eastAsiaTheme="minorEastAsia" w:cstheme="minorBidi"/>
              <w:i w:val="0"/>
              <w:iCs w:val="0"/>
              <w:noProof/>
              <w:sz w:val="24"/>
              <w:szCs w:val="24"/>
              <w14:ligatures w14:val="standardContextual"/>
            </w:rPr>
          </w:pPr>
          <w:hyperlink w:anchor="_Toc214721865" w:history="1">
            <w:r w:rsidRPr="009300E5">
              <w:rPr>
                <w:rStyle w:val="Hyperlink"/>
                <w:rFonts w:eastAsiaTheme="majorEastAsia"/>
                <w:noProof/>
              </w:rPr>
              <w:t>Table 3.F: Network Viability Thresholds</w:t>
            </w:r>
            <w:r>
              <w:rPr>
                <w:noProof/>
                <w:webHidden/>
              </w:rPr>
              <w:tab/>
            </w:r>
            <w:r>
              <w:rPr>
                <w:noProof/>
                <w:webHidden/>
              </w:rPr>
              <w:fldChar w:fldCharType="begin"/>
            </w:r>
            <w:r>
              <w:rPr>
                <w:noProof/>
                <w:webHidden/>
              </w:rPr>
              <w:instrText xml:space="preserve"> PAGEREF _Toc214721865 \h </w:instrText>
            </w:r>
            <w:r>
              <w:rPr>
                <w:noProof/>
                <w:webHidden/>
              </w:rPr>
            </w:r>
            <w:r>
              <w:rPr>
                <w:noProof/>
                <w:webHidden/>
              </w:rPr>
              <w:fldChar w:fldCharType="separate"/>
            </w:r>
            <w:r>
              <w:rPr>
                <w:noProof/>
                <w:webHidden/>
              </w:rPr>
              <w:t>56</w:t>
            </w:r>
            <w:r>
              <w:rPr>
                <w:noProof/>
                <w:webHidden/>
              </w:rPr>
              <w:fldChar w:fldCharType="end"/>
            </w:r>
          </w:hyperlink>
        </w:p>
        <w:p w14:paraId="1C65EC90" w14:textId="05409A8C" w:rsidR="002C51B7" w:rsidRDefault="002C51B7">
          <w:pPr>
            <w:pStyle w:val="TOC3"/>
            <w:rPr>
              <w:rFonts w:eastAsiaTheme="minorEastAsia" w:cstheme="minorBidi"/>
              <w:i w:val="0"/>
              <w:iCs w:val="0"/>
              <w:noProof/>
              <w:sz w:val="24"/>
              <w:szCs w:val="24"/>
              <w14:ligatures w14:val="standardContextual"/>
            </w:rPr>
          </w:pPr>
          <w:hyperlink w:anchor="_Toc214721866" w:history="1">
            <w:r w:rsidRPr="009300E5">
              <w:rPr>
                <w:rStyle w:val="Hyperlink"/>
                <w:rFonts w:eastAsiaTheme="majorEastAsia"/>
                <w:noProof/>
              </w:rPr>
              <w:t>3.7.3 Time Requirement Reality Check</w:t>
            </w:r>
            <w:r>
              <w:rPr>
                <w:noProof/>
                <w:webHidden/>
              </w:rPr>
              <w:tab/>
            </w:r>
            <w:r>
              <w:rPr>
                <w:noProof/>
                <w:webHidden/>
              </w:rPr>
              <w:fldChar w:fldCharType="begin"/>
            </w:r>
            <w:r>
              <w:rPr>
                <w:noProof/>
                <w:webHidden/>
              </w:rPr>
              <w:instrText xml:space="preserve"> PAGEREF _Toc214721866 \h </w:instrText>
            </w:r>
            <w:r>
              <w:rPr>
                <w:noProof/>
                <w:webHidden/>
              </w:rPr>
            </w:r>
            <w:r>
              <w:rPr>
                <w:noProof/>
                <w:webHidden/>
              </w:rPr>
              <w:fldChar w:fldCharType="separate"/>
            </w:r>
            <w:r>
              <w:rPr>
                <w:noProof/>
                <w:webHidden/>
              </w:rPr>
              <w:t>56</w:t>
            </w:r>
            <w:r>
              <w:rPr>
                <w:noProof/>
                <w:webHidden/>
              </w:rPr>
              <w:fldChar w:fldCharType="end"/>
            </w:r>
          </w:hyperlink>
        </w:p>
        <w:p w14:paraId="0D311FBE" w14:textId="304C759E" w:rsidR="002C51B7" w:rsidRDefault="002C51B7">
          <w:pPr>
            <w:pStyle w:val="TOC3"/>
            <w:rPr>
              <w:rFonts w:eastAsiaTheme="minorEastAsia" w:cstheme="minorBidi"/>
              <w:i w:val="0"/>
              <w:iCs w:val="0"/>
              <w:noProof/>
              <w:sz w:val="24"/>
              <w:szCs w:val="24"/>
              <w14:ligatures w14:val="standardContextual"/>
            </w:rPr>
          </w:pPr>
          <w:hyperlink w:anchor="_Toc214721867" w:history="1">
            <w:r w:rsidRPr="009300E5">
              <w:rPr>
                <w:rStyle w:val="Hyperlink"/>
                <w:rFonts w:eastAsiaTheme="majorEastAsia"/>
                <w:noProof/>
              </w:rPr>
              <w:t>3.7.4 Mechanisms To Avoid Regardless Of Capital</w:t>
            </w:r>
            <w:r>
              <w:rPr>
                <w:noProof/>
                <w:webHidden/>
              </w:rPr>
              <w:tab/>
            </w:r>
            <w:r>
              <w:rPr>
                <w:noProof/>
                <w:webHidden/>
              </w:rPr>
              <w:fldChar w:fldCharType="begin"/>
            </w:r>
            <w:r>
              <w:rPr>
                <w:noProof/>
                <w:webHidden/>
              </w:rPr>
              <w:instrText xml:space="preserve"> PAGEREF _Toc214721867 \h </w:instrText>
            </w:r>
            <w:r>
              <w:rPr>
                <w:noProof/>
                <w:webHidden/>
              </w:rPr>
            </w:r>
            <w:r>
              <w:rPr>
                <w:noProof/>
                <w:webHidden/>
              </w:rPr>
              <w:fldChar w:fldCharType="separate"/>
            </w:r>
            <w:r>
              <w:rPr>
                <w:noProof/>
                <w:webHidden/>
              </w:rPr>
              <w:t>57</w:t>
            </w:r>
            <w:r>
              <w:rPr>
                <w:noProof/>
                <w:webHidden/>
              </w:rPr>
              <w:fldChar w:fldCharType="end"/>
            </w:r>
          </w:hyperlink>
        </w:p>
        <w:p w14:paraId="309B6B74" w14:textId="0CC25E5A" w:rsidR="002C51B7" w:rsidRDefault="002C51B7">
          <w:pPr>
            <w:pStyle w:val="TOC3"/>
            <w:rPr>
              <w:rFonts w:eastAsiaTheme="minorEastAsia" w:cstheme="minorBidi"/>
              <w:i w:val="0"/>
              <w:iCs w:val="0"/>
              <w:noProof/>
              <w:sz w:val="24"/>
              <w:szCs w:val="24"/>
              <w14:ligatures w14:val="standardContextual"/>
            </w:rPr>
          </w:pPr>
          <w:hyperlink w:anchor="_Toc214721868" w:history="1">
            <w:r w:rsidRPr="009300E5">
              <w:rPr>
                <w:rStyle w:val="Hyperlink"/>
                <w:rFonts w:eastAsiaTheme="majorEastAsia"/>
                <w:noProof/>
              </w:rPr>
              <w:t>3.7.5 Key Framework Insights</w:t>
            </w:r>
            <w:r>
              <w:rPr>
                <w:noProof/>
                <w:webHidden/>
              </w:rPr>
              <w:tab/>
            </w:r>
            <w:r>
              <w:rPr>
                <w:noProof/>
                <w:webHidden/>
              </w:rPr>
              <w:fldChar w:fldCharType="begin"/>
            </w:r>
            <w:r>
              <w:rPr>
                <w:noProof/>
                <w:webHidden/>
              </w:rPr>
              <w:instrText xml:space="preserve"> PAGEREF _Toc214721868 \h </w:instrText>
            </w:r>
            <w:r>
              <w:rPr>
                <w:noProof/>
                <w:webHidden/>
              </w:rPr>
            </w:r>
            <w:r>
              <w:rPr>
                <w:noProof/>
                <w:webHidden/>
              </w:rPr>
              <w:fldChar w:fldCharType="separate"/>
            </w:r>
            <w:r>
              <w:rPr>
                <w:noProof/>
                <w:webHidden/>
              </w:rPr>
              <w:t>58</w:t>
            </w:r>
            <w:r>
              <w:rPr>
                <w:noProof/>
                <w:webHidden/>
              </w:rPr>
              <w:fldChar w:fldCharType="end"/>
            </w:r>
          </w:hyperlink>
        </w:p>
        <w:p w14:paraId="55761A28" w14:textId="7F1FDA5B" w:rsidR="002C51B7" w:rsidRDefault="002C51B7">
          <w:pPr>
            <w:pStyle w:val="TOC2"/>
            <w:rPr>
              <w:rFonts w:eastAsiaTheme="minorEastAsia" w:cstheme="minorBidi"/>
              <w:b w:val="0"/>
              <w:bCs w:val="0"/>
              <w:smallCaps w:val="0"/>
              <w:sz w:val="24"/>
              <w:szCs w:val="24"/>
              <w14:ligatures w14:val="standardContextual"/>
            </w:rPr>
          </w:pPr>
          <w:hyperlink w:anchor="_Toc214721869" w:history="1">
            <w:r w:rsidRPr="009300E5">
              <w:rPr>
                <w:rStyle w:val="Hyperlink"/>
                <w:rFonts w:eastAsiaTheme="majorEastAsia"/>
              </w:rPr>
              <w:t>3.8 Integrated Theoretical Framework for Cryptocurrency Passive Income</w:t>
            </w:r>
            <w:r>
              <w:rPr>
                <w:webHidden/>
              </w:rPr>
              <w:tab/>
            </w:r>
            <w:r>
              <w:rPr>
                <w:webHidden/>
              </w:rPr>
              <w:fldChar w:fldCharType="begin"/>
            </w:r>
            <w:r>
              <w:rPr>
                <w:webHidden/>
              </w:rPr>
              <w:instrText xml:space="preserve"> PAGEREF _Toc214721869 \h </w:instrText>
            </w:r>
            <w:r>
              <w:rPr>
                <w:webHidden/>
              </w:rPr>
            </w:r>
            <w:r>
              <w:rPr>
                <w:webHidden/>
              </w:rPr>
              <w:fldChar w:fldCharType="separate"/>
            </w:r>
            <w:r>
              <w:rPr>
                <w:webHidden/>
              </w:rPr>
              <w:t>59</w:t>
            </w:r>
            <w:r>
              <w:rPr>
                <w:webHidden/>
              </w:rPr>
              <w:fldChar w:fldCharType="end"/>
            </w:r>
          </w:hyperlink>
        </w:p>
        <w:p w14:paraId="2ED64248" w14:textId="5EE94FA4" w:rsidR="002C51B7" w:rsidRDefault="002C51B7">
          <w:pPr>
            <w:pStyle w:val="TOC2"/>
            <w:rPr>
              <w:rFonts w:eastAsiaTheme="minorEastAsia" w:cstheme="minorBidi"/>
              <w:b w:val="0"/>
              <w:bCs w:val="0"/>
              <w:smallCaps w:val="0"/>
              <w:sz w:val="24"/>
              <w:szCs w:val="24"/>
              <w14:ligatures w14:val="standardContextual"/>
            </w:rPr>
          </w:pPr>
          <w:hyperlink w:anchor="_Toc214721870" w:history="1">
            <w:r w:rsidRPr="009300E5">
              <w:rPr>
                <w:rStyle w:val="Hyperlink"/>
                <w:rFonts w:eastAsiaTheme="majorEastAsia"/>
              </w:rPr>
              <w:t>3.9 The Reality of Disintermediation</w:t>
            </w:r>
            <w:r>
              <w:rPr>
                <w:webHidden/>
              </w:rPr>
              <w:tab/>
            </w:r>
            <w:r>
              <w:rPr>
                <w:webHidden/>
              </w:rPr>
              <w:fldChar w:fldCharType="begin"/>
            </w:r>
            <w:r>
              <w:rPr>
                <w:webHidden/>
              </w:rPr>
              <w:instrText xml:space="preserve"> PAGEREF _Toc214721870 \h </w:instrText>
            </w:r>
            <w:r>
              <w:rPr>
                <w:webHidden/>
              </w:rPr>
            </w:r>
            <w:r>
              <w:rPr>
                <w:webHidden/>
              </w:rPr>
              <w:fldChar w:fldCharType="separate"/>
            </w:r>
            <w:r>
              <w:rPr>
                <w:webHidden/>
              </w:rPr>
              <w:t>60</w:t>
            </w:r>
            <w:r>
              <w:rPr>
                <w:webHidden/>
              </w:rPr>
              <w:fldChar w:fldCharType="end"/>
            </w:r>
          </w:hyperlink>
        </w:p>
        <w:p w14:paraId="6CB97E26" w14:textId="4014249D" w:rsidR="002C51B7" w:rsidRDefault="002C51B7">
          <w:pPr>
            <w:pStyle w:val="TOC2"/>
            <w:rPr>
              <w:rFonts w:eastAsiaTheme="minorEastAsia" w:cstheme="minorBidi"/>
              <w:b w:val="0"/>
              <w:bCs w:val="0"/>
              <w:smallCaps w:val="0"/>
              <w:sz w:val="24"/>
              <w:szCs w:val="24"/>
              <w14:ligatures w14:val="standardContextual"/>
            </w:rPr>
          </w:pPr>
          <w:hyperlink w:anchor="_Toc214721871" w:history="1">
            <w:r w:rsidRPr="009300E5">
              <w:rPr>
                <w:rStyle w:val="Hyperlink"/>
                <w:rFonts w:eastAsiaTheme="majorEastAsia"/>
              </w:rPr>
              <w:t>3.10 Capital Formation in Algorithmic Markets</w:t>
            </w:r>
            <w:r>
              <w:rPr>
                <w:webHidden/>
              </w:rPr>
              <w:tab/>
            </w:r>
            <w:r>
              <w:rPr>
                <w:webHidden/>
              </w:rPr>
              <w:fldChar w:fldCharType="begin"/>
            </w:r>
            <w:r>
              <w:rPr>
                <w:webHidden/>
              </w:rPr>
              <w:instrText xml:space="preserve"> PAGEREF _Toc214721871 \h </w:instrText>
            </w:r>
            <w:r>
              <w:rPr>
                <w:webHidden/>
              </w:rPr>
            </w:r>
            <w:r>
              <w:rPr>
                <w:webHidden/>
              </w:rPr>
              <w:fldChar w:fldCharType="separate"/>
            </w:r>
            <w:r>
              <w:rPr>
                <w:webHidden/>
              </w:rPr>
              <w:t>60</w:t>
            </w:r>
            <w:r>
              <w:rPr>
                <w:webHidden/>
              </w:rPr>
              <w:fldChar w:fldCharType="end"/>
            </w:r>
          </w:hyperlink>
        </w:p>
        <w:p w14:paraId="23296846" w14:textId="69261A3E" w:rsidR="002C51B7" w:rsidRDefault="002C51B7">
          <w:pPr>
            <w:pStyle w:val="TOC3"/>
            <w:rPr>
              <w:rFonts w:eastAsiaTheme="minorEastAsia" w:cstheme="minorBidi"/>
              <w:i w:val="0"/>
              <w:iCs w:val="0"/>
              <w:noProof/>
              <w:sz w:val="24"/>
              <w:szCs w:val="24"/>
              <w14:ligatures w14:val="standardContextual"/>
            </w:rPr>
          </w:pPr>
          <w:hyperlink w:anchor="_Toc214721872" w:history="1">
            <w:r w:rsidRPr="009300E5">
              <w:rPr>
                <w:rStyle w:val="Hyperlink"/>
                <w:rFonts w:eastAsiaTheme="majorEastAsia"/>
                <w:noProof/>
              </w:rPr>
              <w:t>Table 3.G: Capital Formation Patterns in DeFi</w:t>
            </w:r>
            <w:r>
              <w:rPr>
                <w:noProof/>
                <w:webHidden/>
              </w:rPr>
              <w:tab/>
            </w:r>
            <w:r>
              <w:rPr>
                <w:noProof/>
                <w:webHidden/>
              </w:rPr>
              <w:fldChar w:fldCharType="begin"/>
            </w:r>
            <w:r>
              <w:rPr>
                <w:noProof/>
                <w:webHidden/>
              </w:rPr>
              <w:instrText xml:space="preserve"> PAGEREF _Toc214721872 \h </w:instrText>
            </w:r>
            <w:r>
              <w:rPr>
                <w:noProof/>
                <w:webHidden/>
              </w:rPr>
            </w:r>
            <w:r>
              <w:rPr>
                <w:noProof/>
                <w:webHidden/>
              </w:rPr>
              <w:fldChar w:fldCharType="separate"/>
            </w:r>
            <w:r>
              <w:rPr>
                <w:noProof/>
                <w:webHidden/>
              </w:rPr>
              <w:t>61</w:t>
            </w:r>
            <w:r>
              <w:rPr>
                <w:noProof/>
                <w:webHidden/>
              </w:rPr>
              <w:fldChar w:fldCharType="end"/>
            </w:r>
          </w:hyperlink>
        </w:p>
        <w:p w14:paraId="069211A3" w14:textId="53A2880C" w:rsidR="002C51B7" w:rsidRDefault="002C51B7">
          <w:pPr>
            <w:pStyle w:val="TOC2"/>
            <w:rPr>
              <w:rFonts w:eastAsiaTheme="minorEastAsia" w:cstheme="minorBidi"/>
              <w:b w:val="0"/>
              <w:bCs w:val="0"/>
              <w:smallCaps w:val="0"/>
              <w:sz w:val="24"/>
              <w:szCs w:val="24"/>
              <w14:ligatures w14:val="standardContextual"/>
            </w:rPr>
          </w:pPr>
          <w:hyperlink w:anchor="_Toc214721873" w:history="1">
            <w:r w:rsidRPr="009300E5">
              <w:rPr>
                <w:rStyle w:val="Hyperlink"/>
                <w:rFonts w:eastAsiaTheme="majorEastAsia"/>
              </w:rPr>
              <w:t>3.11 The Anti-Inductive Nature of DeFi Markets</w:t>
            </w:r>
            <w:r>
              <w:rPr>
                <w:webHidden/>
              </w:rPr>
              <w:tab/>
            </w:r>
            <w:r>
              <w:rPr>
                <w:webHidden/>
              </w:rPr>
              <w:fldChar w:fldCharType="begin"/>
            </w:r>
            <w:r>
              <w:rPr>
                <w:webHidden/>
              </w:rPr>
              <w:instrText xml:space="preserve"> PAGEREF _Toc214721873 \h </w:instrText>
            </w:r>
            <w:r>
              <w:rPr>
                <w:webHidden/>
              </w:rPr>
            </w:r>
            <w:r>
              <w:rPr>
                <w:webHidden/>
              </w:rPr>
              <w:fldChar w:fldCharType="separate"/>
            </w:r>
            <w:r>
              <w:rPr>
                <w:webHidden/>
              </w:rPr>
              <w:t>62</w:t>
            </w:r>
            <w:r>
              <w:rPr>
                <w:webHidden/>
              </w:rPr>
              <w:fldChar w:fldCharType="end"/>
            </w:r>
          </w:hyperlink>
        </w:p>
        <w:p w14:paraId="2CBB4347" w14:textId="403467FD" w:rsidR="002C51B7" w:rsidRDefault="002C51B7">
          <w:pPr>
            <w:pStyle w:val="TOC2"/>
            <w:rPr>
              <w:rFonts w:eastAsiaTheme="minorEastAsia" w:cstheme="minorBidi"/>
              <w:b w:val="0"/>
              <w:bCs w:val="0"/>
              <w:smallCaps w:val="0"/>
              <w:sz w:val="24"/>
              <w:szCs w:val="24"/>
              <w14:ligatures w14:val="standardContextual"/>
            </w:rPr>
          </w:pPr>
          <w:hyperlink w:anchor="_Toc214721874" w:history="1">
            <w:r w:rsidRPr="009300E5">
              <w:rPr>
                <w:rStyle w:val="Hyperlink"/>
                <w:rFonts w:eastAsiaTheme="majorEastAsia"/>
              </w:rPr>
              <w:t>3.12 The Gap Between Technical Possibility and Economic Viability</w:t>
            </w:r>
            <w:r>
              <w:rPr>
                <w:webHidden/>
              </w:rPr>
              <w:tab/>
            </w:r>
            <w:r>
              <w:rPr>
                <w:webHidden/>
              </w:rPr>
              <w:fldChar w:fldCharType="begin"/>
            </w:r>
            <w:r>
              <w:rPr>
                <w:webHidden/>
              </w:rPr>
              <w:instrText xml:space="preserve"> PAGEREF _Toc214721874 \h </w:instrText>
            </w:r>
            <w:r>
              <w:rPr>
                <w:webHidden/>
              </w:rPr>
            </w:r>
            <w:r>
              <w:rPr>
                <w:webHidden/>
              </w:rPr>
              <w:fldChar w:fldCharType="separate"/>
            </w:r>
            <w:r>
              <w:rPr>
                <w:webHidden/>
              </w:rPr>
              <w:t>62</w:t>
            </w:r>
            <w:r>
              <w:rPr>
                <w:webHidden/>
              </w:rPr>
              <w:fldChar w:fldCharType="end"/>
            </w:r>
          </w:hyperlink>
        </w:p>
        <w:p w14:paraId="2710C2F3" w14:textId="7738135E" w:rsidR="002C51B7" w:rsidRDefault="002C51B7">
          <w:pPr>
            <w:pStyle w:val="TOC2"/>
            <w:rPr>
              <w:rFonts w:eastAsiaTheme="minorEastAsia" w:cstheme="minorBidi"/>
              <w:b w:val="0"/>
              <w:bCs w:val="0"/>
              <w:smallCaps w:val="0"/>
              <w:sz w:val="24"/>
              <w:szCs w:val="24"/>
              <w14:ligatures w14:val="standardContextual"/>
            </w:rPr>
          </w:pPr>
          <w:hyperlink w:anchor="_Toc214721875" w:history="1">
            <w:r w:rsidRPr="009300E5">
              <w:rPr>
                <w:rStyle w:val="Hyperlink"/>
                <w:rFonts w:eastAsiaTheme="majorEastAsia"/>
              </w:rPr>
              <w:t>3.13 Theoretical Development Needs</w:t>
            </w:r>
            <w:r>
              <w:rPr>
                <w:webHidden/>
              </w:rPr>
              <w:tab/>
            </w:r>
            <w:r>
              <w:rPr>
                <w:webHidden/>
              </w:rPr>
              <w:fldChar w:fldCharType="begin"/>
            </w:r>
            <w:r>
              <w:rPr>
                <w:webHidden/>
              </w:rPr>
              <w:instrText xml:space="preserve"> PAGEREF _Toc214721875 \h </w:instrText>
            </w:r>
            <w:r>
              <w:rPr>
                <w:webHidden/>
              </w:rPr>
            </w:r>
            <w:r>
              <w:rPr>
                <w:webHidden/>
              </w:rPr>
              <w:fldChar w:fldCharType="separate"/>
            </w:r>
            <w:r>
              <w:rPr>
                <w:webHidden/>
              </w:rPr>
              <w:t>63</w:t>
            </w:r>
            <w:r>
              <w:rPr>
                <w:webHidden/>
              </w:rPr>
              <w:fldChar w:fldCharType="end"/>
            </w:r>
          </w:hyperlink>
        </w:p>
        <w:p w14:paraId="4913BB0B" w14:textId="26DBBC1A" w:rsidR="002C51B7" w:rsidRDefault="002C51B7">
          <w:pPr>
            <w:pStyle w:val="TOC1"/>
            <w:tabs>
              <w:tab w:val="right" w:leader="dot" w:pos="9350"/>
            </w:tabs>
            <w:rPr>
              <w:rFonts w:eastAsiaTheme="minorEastAsia" w:cstheme="minorBidi"/>
              <w:b w:val="0"/>
              <w:bCs w:val="0"/>
              <w:caps w:val="0"/>
              <w:noProof/>
              <w:sz w:val="24"/>
              <w:szCs w:val="24"/>
              <w14:ligatures w14:val="standardContextual"/>
            </w:rPr>
          </w:pPr>
          <w:hyperlink w:anchor="_Toc214721876" w:history="1">
            <w:r w:rsidRPr="009300E5">
              <w:rPr>
                <w:rStyle w:val="Hyperlink"/>
                <w:rFonts w:eastAsiaTheme="majorEastAsia"/>
                <w:noProof/>
              </w:rPr>
              <w:t>Chapter 4: Methodological Approach and Research Philosophy</w:t>
            </w:r>
            <w:r>
              <w:rPr>
                <w:noProof/>
                <w:webHidden/>
              </w:rPr>
              <w:tab/>
            </w:r>
            <w:r>
              <w:rPr>
                <w:noProof/>
                <w:webHidden/>
              </w:rPr>
              <w:fldChar w:fldCharType="begin"/>
            </w:r>
            <w:r>
              <w:rPr>
                <w:noProof/>
                <w:webHidden/>
              </w:rPr>
              <w:instrText xml:space="preserve"> PAGEREF _Toc214721876 \h </w:instrText>
            </w:r>
            <w:r>
              <w:rPr>
                <w:noProof/>
                <w:webHidden/>
              </w:rPr>
            </w:r>
            <w:r>
              <w:rPr>
                <w:noProof/>
                <w:webHidden/>
              </w:rPr>
              <w:fldChar w:fldCharType="separate"/>
            </w:r>
            <w:r>
              <w:rPr>
                <w:noProof/>
                <w:webHidden/>
              </w:rPr>
              <w:t>63</w:t>
            </w:r>
            <w:r>
              <w:rPr>
                <w:noProof/>
                <w:webHidden/>
              </w:rPr>
              <w:fldChar w:fldCharType="end"/>
            </w:r>
          </w:hyperlink>
        </w:p>
        <w:p w14:paraId="14FB7BE0" w14:textId="6750A0F2" w:rsidR="002C51B7" w:rsidRDefault="002C51B7">
          <w:pPr>
            <w:pStyle w:val="TOC2"/>
            <w:rPr>
              <w:rFonts w:eastAsiaTheme="minorEastAsia" w:cstheme="minorBidi"/>
              <w:b w:val="0"/>
              <w:bCs w:val="0"/>
              <w:smallCaps w:val="0"/>
              <w:sz w:val="24"/>
              <w:szCs w:val="24"/>
              <w14:ligatures w14:val="standardContextual"/>
            </w:rPr>
          </w:pPr>
          <w:hyperlink w:anchor="_Toc214721877" w:history="1">
            <w:r w:rsidRPr="009300E5">
              <w:rPr>
                <w:rStyle w:val="Hyperlink"/>
                <w:rFonts w:eastAsiaTheme="majorEastAsia"/>
              </w:rPr>
              <w:t>4.1 Market Capitalization and Growth Dynamics</w:t>
            </w:r>
            <w:r>
              <w:rPr>
                <w:webHidden/>
              </w:rPr>
              <w:tab/>
            </w:r>
            <w:r>
              <w:rPr>
                <w:webHidden/>
              </w:rPr>
              <w:fldChar w:fldCharType="begin"/>
            </w:r>
            <w:r>
              <w:rPr>
                <w:webHidden/>
              </w:rPr>
              <w:instrText xml:space="preserve"> PAGEREF _Toc214721877 \h </w:instrText>
            </w:r>
            <w:r>
              <w:rPr>
                <w:webHidden/>
              </w:rPr>
            </w:r>
            <w:r>
              <w:rPr>
                <w:webHidden/>
              </w:rPr>
              <w:fldChar w:fldCharType="separate"/>
            </w:r>
            <w:r>
              <w:rPr>
                <w:webHidden/>
              </w:rPr>
              <w:t>64</w:t>
            </w:r>
            <w:r>
              <w:rPr>
                <w:webHidden/>
              </w:rPr>
              <w:fldChar w:fldCharType="end"/>
            </w:r>
          </w:hyperlink>
        </w:p>
        <w:p w14:paraId="0ECC02EA" w14:textId="502F0810" w:rsidR="002C51B7" w:rsidRDefault="002C51B7">
          <w:pPr>
            <w:pStyle w:val="TOC3"/>
            <w:rPr>
              <w:rFonts w:eastAsiaTheme="minorEastAsia" w:cstheme="minorBidi"/>
              <w:i w:val="0"/>
              <w:iCs w:val="0"/>
              <w:noProof/>
              <w:sz w:val="24"/>
              <w:szCs w:val="24"/>
              <w14:ligatures w14:val="standardContextual"/>
            </w:rPr>
          </w:pPr>
          <w:hyperlink w:anchor="_Toc214721878" w:history="1">
            <w:r w:rsidRPr="009300E5">
              <w:rPr>
                <w:rStyle w:val="Hyperlink"/>
                <w:rFonts w:eastAsiaTheme="majorEastAsia"/>
                <w:noProof/>
              </w:rPr>
              <w:t>Table 4.A Analysis and Simulation Overview</w:t>
            </w:r>
            <w:r>
              <w:rPr>
                <w:noProof/>
                <w:webHidden/>
              </w:rPr>
              <w:tab/>
            </w:r>
            <w:r>
              <w:rPr>
                <w:noProof/>
                <w:webHidden/>
              </w:rPr>
              <w:fldChar w:fldCharType="begin"/>
            </w:r>
            <w:r>
              <w:rPr>
                <w:noProof/>
                <w:webHidden/>
              </w:rPr>
              <w:instrText xml:space="preserve"> PAGEREF _Toc214721878 \h </w:instrText>
            </w:r>
            <w:r>
              <w:rPr>
                <w:noProof/>
                <w:webHidden/>
              </w:rPr>
            </w:r>
            <w:r>
              <w:rPr>
                <w:noProof/>
                <w:webHidden/>
              </w:rPr>
              <w:fldChar w:fldCharType="separate"/>
            </w:r>
            <w:r>
              <w:rPr>
                <w:noProof/>
                <w:webHidden/>
              </w:rPr>
              <w:t>65</w:t>
            </w:r>
            <w:r>
              <w:rPr>
                <w:noProof/>
                <w:webHidden/>
              </w:rPr>
              <w:fldChar w:fldCharType="end"/>
            </w:r>
          </w:hyperlink>
        </w:p>
        <w:p w14:paraId="439889DF" w14:textId="583B2AB6" w:rsidR="002C51B7" w:rsidRDefault="002C51B7">
          <w:pPr>
            <w:pStyle w:val="TOC3"/>
            <w:rPr>
              <w:rFonts w:eastAsiaTheme="minorEastAsia" w:cstheme="minorBidi"/>
              <w:i w:val="0"/>
              <w:iCs w:val="0"/>
              <w:noProof/>
              <w:sz w:val="24"/>
              <w:szCs w:val="24"/>
              <w14:ligatures w14:val="standardContextual"/>
            </w:rPr>
          </w:pPr>
          <w:hyperlink w:anchor="_Toc214721879" w:history="1">
            <w:r w:rsidRPr="009300E5">
              <w:rPr>
                <w:rStyle w:val="Hyperlink"/>
                <w:rFonts w:eastAsiaTheme="majorEastAsia"/>
                <w:noProof/>
              </w:rPr>
              <w:t>4.1.1 Sampling Strategy Justification</w:t>
            </w:r>
            <w:r>
              <w:rPr>
                <w:noProof/>
                <w:webHidden/>
              </w:rPr>
              <w:tab/>
            </w:r>
            <w:r>
              <w:rPr>
                <w:noProof/>
                <w:webHidden/>
              </w:rPr>
              <w:fldChar w:fldCharType="begin"/>
            </w:r>
            <w:r>
              <w:rPr>
                <w:noProof/>
                <w:webHidden/>
              </w:rPr>
              <w:instrText xml:space="preserve"> PAGEREF _Toc214721879 \h </w:instrText>
            </w:r>
            <w:r>
              <w:rPr>
                <w:noProof/>
                <w:webHidden/>
              </w:rPr>
            </w:r>
            <w:r>
              <w:rPr>
                <w:noProof/>
                <w:webHidden/>
              </w:rPr>
              <w:fldChar w:fldCharType="separate"/>
            </w:r>
            <w:r>
              <w:rPr>
                <w:noProof/>
                <w:webHidden/>
              </w:rPr>
              <w:t>65</w:t>
            </w:r>
            <w:r>
              <w:rPr>
                <w:noProof/>
                <w:webHidden/>
              </w:rPr>
              <w:fldChar w:fldCharType="end"/>
            </w:r>
          </w:hyperlink>
        </w:p>
        <w:p w14:paraId="4DEE1910" w14:textId="38789E4E" w:rsidR="002C51B7" w:rsidRDefault="002C51B7">
          <w:pPr>
            <w:pStyle w:val="TOC2"/>
            <w:rPr>
              <w:rFonts w:eastAsiaTheme="minorEastAsia" w:cstheme="minorBidi"/>
              <w:b w:val="0"/>
              <w:bCs w:val="0"/>
              <w:smallCaps w:val="0"/>
              <w:sz w:val="24"/>
              <w:szCs w:val="24"/>
              <w14:ligatures w14:val="standardContextual"/>
            </w:rPr>
          </w:pPr>
          <w:hyperlink w:anchor="_Toc214721880" w:history="1">
            <w:r w:rsidRPr="009300E5">
              <w:rPr>
                <w:rStyle w:val="Hyperlink"/>
                <w:rFonts w:eastAsiaTheme="majorEastAsia"/>
              </w:rPr>
              <w:t>4.2 Data Collection Strategy: Building the Evidence Base</w:t>
            </w:r>
            <w:r>
              <w:rPr>
                <w:webHidden/>
              </w:rPr>
              <w:tab/>
            </w:r>
            <w:r>
              <w:rPr>
                <w:webHidden/>
              </w:rPr>
              <w:fldChar w:fldCharType="begin"/>
            </w:r>
            <w:r>
              <w:rPr>
                <w:webHidden/>
              </w:rPr>
              <w:instrText xml:space="preserve"> PAGEREF _Toc214721880 \h </w:instrText>
            </w:r>
            <w:r>
              <w:rPr>
                <w:webHidden/>
              </w:rPr>
            </w:r>
            <w:r>
              <w:rPr>
                <w:webHidden/>
              </w:rPr>
              <w:fldChar w:fldCharType="separate"/>
            </w:r>
            <w:r>
              <w:rPr>
                <w:webHidden/>
              </w:rPr>
              <w:t>68</w:t>
            </w:r>
            <w:r>
              <w:rPr>
                <w:webHidden/>
              </w:rPr>
              <w:fldChar w:fldCharType="end"/>
            </w:r>
          </w:hyperlink>
        </w:p>
        <w:p w14:paraId="4244479D" w14:textId="5C1048D0" w:rsidR="002C51B7" w:rsidRDefault="002C51B7">
          <w:pPr>
            <w:pStyle w:val="TOC3"/>
            <w:rPr>
              <w:rFonts w:eastAsiaTheme="minorEastAsia" w:cstheme="minorBidi"/>
              <w:i w:val="0"/>
              <w:iCs w:val="0"/>
              <w:noProof/>
              <w:sz w:val="24"/>
              <w:szCs w:val="24"/>
              <w14:ligatures w14:val="standardContextual"/>
            </w:rPr>
          </w:pPr>
          <w:hyperlink w:anchor="_Toc214721881" w:history="1">
            <w:r w:rsidRPr="009300E5">
              <w:rPr>
                <w:rStyle w:val="Hyperlink"/>
                <w:rFonts w:eastAsiaTheme="majorEastAsia"/>
                <w:noProof/>
              </w:rPr>
              <w:t>4.2.1 Transaction Data Collection</w:t>
            </w:r>
            <w:r>
              <w:rPr>
                <w:noProof/>
                <w:webHidden/>
              </w:rPr>
              <w:tab/>
            </w:r>
            <w:r>
              <w:rPr>
                <w:noProof/>
                <w:webHidden/>
              </w:rPr>
              <w:fldChar w:fldCharType="begin"/>
            </w:r>
            <w:r>
              <w:rPr>
                <w:noProof/>
                <w:webHidden/>
              </w:rPr>
              <w:instrText xml:space="preserve"> PAGEREF _Toc214721881 \h </w:instrText>
            </w:r>
            <w:r>
              <w:rPr>
                <w:noProof/>
                <w:webHidden/>
              </w:rPr>
            </w:r>
            <w:r>
              <w:rPr>
                <w:noProof/>
                <w:webHidden/>
              </w:rPr>
              <w:fldChar w:fldCharType="separate"/>
            </w:r>
            <w:r>
              <w:rPr>
                <w:noProof/>
                <w:webHidden/>
              </w:rPr>
              <w:t>68</w:t>
            </w:r>
            <w:r>
              <w:rPr>
                <w:noProof/>
                <w:webHidden/>
              </w:rPr>
              <w:fldChar w:fldCharType="end"/>
            </w:r>
          </w:hyperlink>
        </w:p>
        <w:p w14:paraId="507C32D8" w14:textId="0A77C6B2" w:rsidR="002C51B7" w:rsidRDefault="002C51B7">
          <w:pPr>
            <w:pStyle w:val="TOC3"/>
            <w:rPr>
              <w:rFonts w:eastAsiaTheme="minorEastAsia" w:cstheme="minorBidi"/>
              <w:i w:val="0"/>
              <w:iCs w:val="0"/>
              <w:noProof/>
              <w:sz w:val="24"/>
              <w:szCs w:val="24"/>
              <w14:ligatures w14:val="standardContextual"/>
            </w:rPr>
          </w:pPr>
          <w:hyperlink w:anchor="_Toc214721882" w:history="1">
            <w:r w:rsidRPr="009300E5">
              <w:rPr>
                <w:rStyle w:val="Hyperlink"/>
                <w:rFonts w:eastAsiaTheme="majorEastAsia"/>
                <w:noProof/>
              </w:rPr>
              <w:t>4.2.2 Liquidity Position Tracking</w:t>
            </w:r>
            <w:r>
              <w:rPr>
                <w:noProof/>
                <w:webHidden/>
              </w:rPr>
              <w:tab/>
            </w:r>
            <w:r>
              <w:rPr>
                <w:noProof/>
                <w:webHidden/>
              </w:rPr>
              <w:fldChar w:fldCharType="begin"/>
            </w:r>
            <w:r>
              <w:rPr>
                <w:noProof/>
                <w:webHidden/>
              </w:rPr>
              <w:instrText xml:space="preserve"> PAGEREF _Toc214721882 \h </w:instrText>
            </w:r>
            <w:r>
              <w:rPr>
                <w:noProof/>
                <w:webHidden/>
              </w:rPr>
            </w:r>
            <w:r>
              <w:rPr>
                <w:noProof/>
                <w:webHidden/>
              </w:rPr>
              <w:fldChar w:fldCharType="separate"/>
            </w:r>
            <w:r>
              <w:rPr>
                <w:noProof/>
                <w:webHidden/>
              </w:rPr>
              <w:t>69</w:t>
            </w:r>
            <w:r>
              <w:rPr>
                <w:noProof/>
                <w:webHidden/>
              </w:rPr>
              <w:fldChar w:fldCharType="end"/>
            </w:r>
          </w:hyperlink>
        </w:p>
        <w:p w14:paraId="47B75605" w14:textId="2F209507" w:rsidR="002C51B7" w:rsidRDefault="002C51B7">
          <w:pPr>
            <w:pStyle w:val="TOC2"/>
            <w:rPr>
              <w:rFonts w:eastAsiaTheme="minorEastAsia" w:cstheme="minorBidi"/>
              <w:b w:val="0"/>
              <w:bCs w:val="0"/>
              <w:smallCaps w:val="0"/>
              <w:sz w:val="24"/>
              <w:szCs w:val="24"/>
              <w14:ligatures w14:val="standardContextual"/>
            </w:rPr>
          </w:pPr>
          <w:hyperlink w:anchor="_Toc214721883" w:history="1">
            <w:r w:rsidRPr="009300E5">
              <w:rPr>
                <w:rStyle w:val="Hyperlink"/>
                <w:rFonts w:eastAsiaTheme="majorEastAsia"/>
              </w:rPr>
              <w:t>4.3 Rationale for Sample Size and Tracking Duration</w:t>
            </w:r>
            <w:r>
              <w:rPr>
                <w:webHidden/>
              </w:rPr>
              <w:tab/>
            </w:r>
            <w:r>
              <w:rPr>
                <w:webHidden/>
              </w:rPr>
              <w:fldChar w:fldCharType="begin"/>
            </w:r>
            <w:r>
              <w:rPr>
                <w:webHidden/>
              </w:rPr>
              <w:instrText xml:space="preserve"> PAGEREF _Toc214721883 \h </w:instrText>
            </w:r>
            <w:r>
              <w:rPr>
                <w:webHidden/>
              </w:rPr>
            </w:r>
            <w:r>
              <w:rPr>
                <w:webHidden/>
              </w:rPr>
              <w:fldChar w:fldCharType="separate"/>
            </w:r>
            <w:r>
              <w:rPr>
                <w:webHidden/>
              </w:rPr>
              <w:t>69</w:t>
            </w:r>
            <w:r>
              <w:rPr>
                <w:webHidden/>
              </w:rPr>
              <w:fldChar w:fldCharType="end"/>
            </w:r>
          </w:hyperlink>
        </w:p>
        <w:p w14:paraId="5F6BD794" w14:textId="3818D554" w:rsidR="002C51B7" w:rsidRDefault="002C51B7">
          <w:pPr>
            <w:pStyle w:val="TOC2"/>
            <w:rPr>
              <w:rFonts w:eastAsiaTheme="minorEastAsia" w:cstheme="minorBidi"/>
              <w:b w:val="0"/>
              <w:bCs w:val="0"/>
              <w:smallCaps w:val="0"/>
              <w:sz w:val="24"/>
              <w:szCs w:val="24"/>
              <w14:ligatures w14:val="standardContextual"/>
            </w:rPr>
          </w:pPr>
          <w:hyperlink w:anchor="_Toc214721884" w:history="1">
            <w:r w:rsidRPr="009300E5">
              <w:rPr>
                <w:rStyle w:val="Hyperlink"/>
                <w:rFonts w:eastAsiaTheme="majorEastAsia"/>
              </w:rPr>
              <w:t>4.3 Qualitative Data Collection</w:t>
            </w:r>
            <w:r>
              <w:rPr>
                <w:webHidden/>
              </w:rPr>
              <w:tab/>
            </w:r>
            <w:r>
              <w:rPr>
                <w:webHidden/>
              </w:rPr>
              <w:fldChar w:fldCharType="begin"/>
            </w:r>
            <w:r>
              <w:rPr>
                <w:webHidden/>
              </w:rPr>
              <w:instrText xml:space="preserve"> PAGEREF _Toc214721884 \h </w:instrText>
            </w:r>
            <w:r>
              <w:rPr>
                <w:webHidden/>
              </w:rPr>
            </w:r>
            <w:r>
              <w:rPr>
                <w:webHidden/>
              </w:rPr>
              <w:fldChar w:fldCharType="separate"/>
            </w:r>
            <w:r>
              <w:rPr>
                <w:webHidden/>
              </w:rPr>
              <w:t>71</w:t>
            </w:r>
            <w:r>
              <w:rPr>
                <w:webHidden/>
              </w:rPr>
              <w:fldChar w:fldCharType="end"/>
            </w:r>
          </w:hyperlink>
        </w:p>
        <w:p w14:paraId="473A39D5" w14:textId="02E40253" w:rsidR="002C51B7" w:rsidRDefault="002C51B7">
          <w:pPr>
            <w:pStyle w:val="TOC3"/>
            <w:rPr>
              <w:rFonts w:eastAsiaTheme="minorEastAsia" w:cstheme="minorBidi"/>
              <w:i w:val="0"/>
              <w:iCs w:val="0"/>
              <w:noProof/>
              <w:sz w:val="24"/>
              <w:szCs w:val="24"/>
              <w14:ligatures w14:val="standardContextual"/>
            </w:rPr>
          </w:pPr>
          <w:hyperlink w:anchor="_Toc214721885" w:history="1">
            <w:r w:rsidRPr="009300E5">
              <w:rPr>
                <w:rStyle w:val="Hyperlink"/>
                <w:rFonts w:eastAsiaTheme="majorEastAsia"/>
                <w:noProof/>
              </w:rPr>
              <w:t>4.3.1 Interview Methodology</w:t>
            </w:r>
            <w:r>
              <w:rPr>
                <w:noProof/>
                <w:webHidden/>
              </w:rPr>
              <w:tab/>
            </w:r>
            <w:r>
              <w:rPr>
                <w:noProof/>
                <w:webHidden/>
              </w:rPr>
              <w:fldChar w:fldCharType="begin"/>
            </w:r>
            <w:r>
              <w:rPr>
                <w:noProof/>
                <w:webHidden/>
              </w:rPr>
              <w:instrText xml:space="preserve"> PAGEREF _Toc214721885 \h </w:instrText>
            </w:r>
            <w:r>
              <w:rPr>
                <w:noProof/>
                <w:webHidden/>
              </w:rPr>
            </w:r>
            <w:r>
              <w:rPr>
                <w:noProof/>
                <w:webHidden/>
              </w:rPr>
              <w:fldChar w:fldCharType="separate"/>
            </w:r>
            <w:r>
              <w:rPr>
                <w:noProof/>
                <w:webHidden/>
              </w:rPr>
              <w:t>71</w:t>
            </w:r>
            <w:r>
              <w:rPr>
                <w:noProof/>
                <w:webHidden/>
              </w:rPr>
              <w:fldChar w:fldCharType="end"/>
            </w:r>
          </w:hyperlink>
        </w:p>
        <w:p w14:paraId="1FC97DE4" w14:textId="474E7748" w:rsidR="002C51B7" w:rsidRDefault="002C51B7">
          <w:pPr>
            <w:pStyle w:val="TOC3"/>
            <w:rPr>
              <w:rFonts w:eastAsiaTheme="minorEastAsia" w:cstheme="minorBidi"/>
              <w:i w:val="0"/>
              <w:iCs w:val="0"/>
              <w:noProof/>
              <w:sz w:val="24"/>
              <w:szCs w:val="24"/>
              <w14:ligatures w14:val="standardContextual"/>
            </w:rPr>
          </w:pPr>
          <w:hyperlink w:anchor="_Toc214721886" w:history="1">
            <w:r w:rsidRPr="009300E5">
              <w:rPr>
                <w:rStyle w:val="Hyperlink"/>
                <w:rFonts w:eastAsiaTheme="majorEastAsia"/>
                <w:noProof/>
              </w:rPr>
              <w:t>4.3.2 Ethnographic Observation</w:t>
            </w:r>
            <w:r>
              <w:rPr>
                <w:noProof/>
                <w:webHidden/>
              </w:rPr>
              <w:tab/>
            </w:r>
            <w:r>
              <w:rPr>
                <w:noProof/>
                <w:webHidden/>
              </w:rPr>
              <w:fldChar w:fldCharType="begin"/>
            </w:r>
            <w:r>
              <w:rPr>
                <w:noProof/>
                <w:webHidden/>
              </w:rPr>
              <w:instrText xml:space="preserve"> PAGEREF _Toc214721886 \h </w:instrText>
            </w:r>
            <w:r>
              <w:rPr>
                <w:noProof/>
                <w:webHidden/>
              </w:rPr>
            </w:r>
            <w:r>
              <w:rPr>
                <w:noProof/>
                <w:webHidden/>
              </w:rPr>
              <w:fldChar w:fldCharType="separate"/>
            </w:r>
            <w:r>
              <w:rPr>
                <w:noProof/>
                <w:webHidden/>
              </w:rPr>
              <w:t>72</w:t>
            </w:r>
            <w:r>
              <w:rPr>
                <w:noProof/>
                <w:webHidden/>
              </w:rPr>
              <w:fldChar w:fldCharType="end"/>
            </w:r>
          </w:hyperlink>
        </w:p>
        <w:p w14:paraId="0FEF61AF" w14:textId="2A8AFF81" w:rsidR="002C51B7" w:rsidRDefault="002C51B7">
          <w:pPr>
            <w:pStyle w:val="TOC3"/>
            <w:rPr>
              <w:rFonts w:eastAsiaTheme="minorEastAsia" w:cstheme="minorBidi"/>
              <w:i w:val="0"/>
              <w:iCs w:val="0"/>
              <w:noProof/>
              <w:sz w:val="24"/>
              <w:szCs w:val="24"/>
              <w14:ligatures w14:val="standardContextual"/>
            </w:rPr>
          </w:pPr>
          <w:hyperlink w:anchor="_Toc214721887" w:history="1">
            <w:r w:rsidRPr="009300E5">
              <w:rPr>
                <w:rStyle w:val="Hyperlink"/>
                <w:rFonts w:eastAsiaTheme="majorEastAsia"/>
                <w:noProof/>
              </w:rPr>
              <w:t>4.3.3 Participant Demographics and Characteristics</w:t>
            </w:r>
            <w:r>
              <w:rPr>
                <w:noProof/>
                <w:webHidden/>
              </w:rPr>
              <w:tab/>
            </w:r>
            <w:r>
              <w:rPr>
                <w:noProof/>
                <w:webHidden/>
              </w:rPr>
              <w:fldChar w:fldCharType="begin"/>
            </w:r>
            <w:r>
              <w:rPr>
                <w:noProof/>
                <w:webHidden/>
              </w:rPr>
              <w:instrText xml:space="preserve"> PAGEREF _Toc214721887 \h </w:instrText>
            </w:r>
            <w:r>
              <w:rPr>
                <w:noProof/>
                <w:webHidden/>
              </w:rPr>
            </w:r>
            <w:r>
              <w:rPr>
                <w:noProof/>
                <w:webHidden/>
              </w:rPr>
              <w:fldChar w:fldCharType="separate"/>
            </w:r>
            <w:r>
              <w:rPr>
                <w:noProof/>
                <w:webHidden/>
              </w:rPr>
              <w:t>72</w:t>
            </w:r>
            <w:r>
              <w:rPr>
                <w:noProof/>
                <w:webHidden/>
              </w:rPr>
              <w:fldChar w:fldCharType="end"/>
            </w:r>
          </w:hyperlink>
        </w:p>
        <w:p w14:paraId="6D831F7C" w14:textId="001ADA35" w:rsidR="002C51B7" w:rsidRDefault="002C51B7">
          <w:pPr>
            <w:pStyle w:val="TOC3"/>
            <w:rPr>
              <w:rFonts w:eastAsiaTheme="minorEastAsia" w:cstheme="minorBidi"/>
              <w:i w:val="0"/>
              <w:iCs w:val="0"/>
              <w:noProof/>
              <w:sz w:val="24"/>
              <w:szCs w:val="24"/>
              <w14:ligatures w14:val="standardContextual"/>
            </w:rPr>
          </w:pPr>
          <w:hyperlink w:anchor="_Toc214721888" w:history="1">
            <w:r w:rsidRPr="009300E5">
              <w:rPr>
                <w:rStyle w:val="Hyperlink"/>
                <w:rFonts w:eastAsiaTheme="majorEastAsia"/>
                <w:noProof/>
              </w:rPr>
              <w:t>Table 4.B: Overview of Participants</w:t>
            </w:r>
            <w:r>
              <w:rPr>
                <w:noProof/>
                <w:webHidden/>
              </w:rPr>
              <w:tab/>
            </w:r>
            <w:r>
              <w:rPr>
                <w:noProof/>
                <w:webHidden/>
              </w:rPr>
              <w:fldChar w:fldCharType="begin"/>
            </w:r>
            <w:r>
              <w:rPr>
                <w:noProof/>
                <w:webHidden/>
              </w:rPr>
              <w:instrText xml:space="preserve"> PAGEREF _Toc214721888 \h </w:instrText>
            </w:r>
            <w:r>
              <w:rPr>
                <w:noProof/>
                <w:webHidden/>
              </w:rPr>
            </w:r>
            <w:r>
              <w:rPr>
                <w:noProof/>
                <w:webHidden/>
              </w:rPr>
              <w:fldChar w:fldCharType="separate"/>
            </w:r>
            <w:r>
              <w:rPr>
                <w:noProof/>
                <w:webHidden/>
              </w:rPr>
              <w:t>72</w:t>
            </w:r>
            <w:r>
              <w:rPr>
                <w:noProof/>
                <w:webHidden/>
              </w:rPr>
              <w:fldChar w:fldCharType="end"/>
            </w:r>
          </w:hyperlink>
        </w:p>
        <w:p w14:paraId="5A5BB8A1" w14:textId="12073E97" w:rsidR="002C51B7" w:rsidRDefault="002C51B7">
          <w:pPr>
            <w:pStyle w:val="TOC2"/>
            <w:rPr>
              <w:rFonts w:eastAsiaTheme="minorEastAsia" w:cstheme="minorBidi"/>
              <w:b w:val="0"/>
              <w:bCs w:val="0"/>
              <w:smallCaps w:val="0"/>
              <w:sz w:val="24"/>
              <w:szCs w:val="24"/>
              <w14:ligatures w14:val="standardContextual"/>
            </w:rPr>
          </w:pPr>
          <w:hyperlink w:anchor="_Toc214721889" w:history="1">
            <w:r w:rsidRPr="009300E5">
              <w:rPr>
                <w:rStyle w:val="Hyperlink"/>
                <w:rFonts w:eastAsiaTheme="majorEastAsia"/>
              </w:rPr>
              <w:t>4.4 Analytical Methods: Making Sense of Chaos</w:t>
            </w:r>
            <w:r>
              <w:rPr>
                <w:webHidden/>
              </w:rPr>
              <w:tab/>
            </w:r>
            <w:r>
              <w:rPr>
                <w:webHidden/>
              </w:rPr>
              <w:fldChar w:fldCharType="begin"/>
            </w:r>
            <w:r>
              <w:rPr>
                <w:webHidden/>
              </w:rPr>
              <w:instrText xml:space="preserve"> PAGEREF _Toc214721889 \h </w:instrText>
            </w:r>
            <w:r>
              <w:rPr>
                <w:webHidden/>
              </w:rPr>
            </w:r>
            <w:r>
              <w:rPr>
                <w:webHidden/>
              </w:rPr>
              <w:fldChar w:fldCharType="separate"/>
            </w:r>
            <w:r>
              <w:rPr>
                <w:webHidden/>
              </w:rPr>
              <w:t>73</w:t>
            </w:r>
            <w:r>
              <w:rPr>
                <w:webHidden/>
              </w:rPr>
              <w:fldChar w:fldCharType="end"/>
            </w:r>
          </w:hyperlink>
        </w:p>
        <w:p w14:paraId="0BC6D793" w14:textId="79413083" w:rsidR="002C51B7" w:rsidRDefault="002C51B7">
          <w:pPr>
            <w:pStyle w:val="TOC3"/>
            <w:rPr>
              <w:rFonts w:eastAsiaTheme="minorEastAsia" w:cstheme="minorBidi"/>
              <w:i w:val="0"/>
              <w:iCs w:val="0"/>
              <w:noProof/>
              <w:sz w:val="24"/>
              <w:szCs w:val="24"/>
              <w14:ligatures w14:val="standardContextual"/>
            </w:rPr>
          </w:pPr>
          <w:hyperlink w:anchor="_Toc214721890" w:history="1">
            <w:r w:rsidRPr="009300E5">
              <w:rPr>
                <w:rStyle w:val="Hyperlink"/>
                <w:rFonts w:eastAsiaTheme="majorEastAsia"/>
                <w:noProof/>
              </w:rPr>
              <w:t>4.4.1 Quantitative Analysis</w:t>
            </w:r>
            <w:r>
              <w:rPr>
                <w:noProof/>
                <w:webHidden/>
              </w:rPr>
              <w:tab/>
            </w:r>
            <w:r>
              <w:rPr>
                <w:noProof/>
                <w:webHidden/>
              </w:rPr>
              <w:fldChar w:fldCharType="begin"/>
            </w:r>
            <w:r>
              <w:rPr>
                <w:noProof/>
                <w:webHidden/>
              </w:rPr>
              <w:instrText xml:space="preserve"> PAGEREF _Toc214721890 \h </w:instrText>
            </w:r>
            <w:r>
              <w:rPr>
                <w:noProof/>
                <w:webHidden/>
              </w:rPr>
            </w:r>
            <w:r>
              <w:rPr>
                <w:noProof/>
                <w:webHidden/>
              </w:rPr>
              <w:fldChar w:fldCharType="separate"/>
            </w:r>
            <w:r>
              <w:rPr>
                <w:noProof/>
                <w:webHidden/>
              </w:rPr>
              <w:t>73</w:t>
            </w:r>
            <w:r>
              <w:rPr>
                <w:noProof/>
                <w:webHidden/>
              </w:rPr>
              <w:fldChar w:fldCharType="end"/>
            </w:r>
          </w:hyperlink>
        </w:p>
        <w:p w14:paraId="6648E922" w14:textId="70A1C07A" w:rsidR="002C51B7" w:rsidRDefault="002C51B7">
          <w:pPr>
            <w:pStyle w:val="TOC3"/>
            <w:rPr>
              <w:rFonts w:eastAsiaTheme="minorEastAsia" w:cstheme="minorBidi"/>
              <w:i w:val="0"/>
              <w:iCs w:val="0"/>
              <w:noProof/>
              <w:sz w:val="24"/>
              <w:szCs w:val="24"/>
              <w14:ligatures w14:val="standardContextual"/>
            </w:rPr>
          </w:pPr>
          <w:hyperlink w:anchor="_Toc214721891" w:history="1">
            <w:r w:rsidRPr="009300E5">
              <w:rPr>
                <w:rStyle w:val="Hyperlink"/>
                <w:rFonts w:eastAsiaTheme="majorEastAsia"/>
                <w:noProof/>
              </w:rPr>
              <w:t>4.4.2 Qualitative Analysis</w:t>
            </w:r>
            <w:r>
              <w:rPr>
                <w:noProof/>
                <w:webHidden/>
              </w:rPr>
              <w:tab/>
            </w:r>
            <w:r>
              <w:rPr>
                <w:noProof/>
                <w:webHidden/>
              </w:rPr>
              <w:fldChar w:fldCharType="begin"/>
            </w:r>
            <w:r>
              <w:rPr>
                <w:noProof/>
                <w:webHidden/>
              </w:rPr>
              <w:instrText xml:space="preserve"> PAGEREF _Toc214721891 \h </w:instrText>
            </w:r>
            <w:r>
              <w:rPr>
                <w:noProof/>
                <w:webHidden/>
              </w:rPr>
            </w:r>
            <w:r>
              <w:rPr>
                <w:noProof/>
                <w:webHidden/>
              </w:rPr>
              <w:fldChar w:fldCharType="separate"/>
            </w:r>
            <w:r>
              <w:rPr>
                <w:noProof/>
                <w:webHidden/>
              </w:rPr>
              <w:t>74</w:t>
            </w:r>
            <w:r>
              <w:rPr>
                <w:noProof/>
                <w:webHidden/>
              </w:rPr>
              <w:fldChar w:fldCharType="end"/>
            </w:r>
          </w:hyperlink>
        </w:p>
        <w:p w14:paraId="1624A92D" w14:textId="30A953FD" w:rsidR="002C51B7" w:rsidRDefault="002C51B7">
          <w:pPr>
            <w:pStyle w:val="TOC2"/>
            <w:rPr>
              <w:rFonts w:eastAsiaTheme="minorEastAsia" w:cstheme="minorBidi"/>
              <w:b w:val="0"/>
              <w:bCs w:val="0"/>
              <w:smallCaps w:val="0"/>
              <w:sz w:val="24"/>
              <w:szCs w:val="24"/>
              <w14:ligatures w14:val="standardContextual"/>
            </w:rPr>
          </w:pPr>
          <w:hyperlink w:anchor="_Toc214721892" w:history="1">
            <w:r w:rsidRPr="009300E5">
              <w:rPr>
                <w:rStyle w:val="Hyperlink"/>
                <w:rFonts w:eastAsiaTheme="majorEastAsia"/>
              </w:rPr>
              <w:t>4.5 Simulation Methodology: Testing What-If Scenarios</w:t>
            </w:r>
            <w:r>
              <w:rPr>
                <w:webHidden/>
              </w:rPr>
              <w:tab/>
            </w:r>
            <w:r>
              <w:rPr>
                <w:webHidden/>
              </w:rPr>
              <w:fldChar w:fldCharType="begin"/>
            </w:r>
            <w:r>
              <w:rPr>
                <w:webHidden/>
              </w:rPr>
              <w:instrText xml:space="preserve"> PAGEREF _Toc214721892 \h </w:instrText>
            </w:r>
            <w:r>
              <w:rPr>
                <w:webHidden/>
              </w:rPr>
            </w:r>
            <w:r>
              <w:rPr>
                <w:webHidden/>
              </w:rPr>
              <w:fldChar w:fldCharType="separate"/>
            </w:r>
            <w:r>
              <w:rPr>
                <w:webHidden/>
              </w:rPr>
              <w:t>74</w:t>
            </w:r>
            <w:r>
              <w:rPr>
                <w:webHidden/>
              </w:rPr>
              <w:fldChar w:fldCharType="end"/>
            </w:r>
          </w:hyperlink>
        </w:p>
        <w:p w14:paraId="177AE570" w14:textId="2572EB37" w:rsidR="002C51B7" w:rsidRDefault="002C51B7">
          <w:pPr>
            <w:pStyle w:val="TOC2"/>
            <w:rPr>
              <w:rFonts w:eastAsiaTheme="minorEastAsia" w:cstheme="minorBidi"/>
              <w:b w:val="0"/>
              <w:bCs w:val="0"/>
              <w:smallCaps w:val="0"/>
              <w:sz w:val="24"/>
              <w:szCs w:val="24"/>
              <w14:ligatures w14:val="standardContextual"/>
            </w:rPr>
          </w:pPr>
          <w:hyperlink w:anchor="_Toc214721893" w:history="1">
            <w:r w:rsidRPr="009300E5">
              <w:rPr>
                <w:rStyle w:val="Hyperlink"/>
                <w:rFonts w:eastAsiaTheme="majorEastAsia"/>
              </w:rPr>
              <w:t>4.6 Building the Conditions-for-Success Framework</w:t>
            </w:r>
            <w:r>
              <w:rPr>
                <w:webHidden/>
              </w:rPr>
              <w:tab/>
            </w:r>
            <w:r>
              <w:rPr>
                <w:webHidden/>
              </w:rPr>
              <w:fldChar w:fldCharType="begin"/>
            </w:r>
            <w:r>
              <w:rPr>
                <w:webHidden/>
              </w:rPr>
              <w:instrText xml:space="preserve"> PAGEREF _Toc214721893 \h </w:instrText>
            </w:r>
            <w:r>
              <w:rPr>
                <w:webHidden/>
              </w:rPr>
            </w:r>
            <w:r>
              <w:rPr>
                <w:webHidden/>
              </w:rPr>
              <w:fldChar w:fldCharType="separate"/>
            </w:r>
            <w:r>
              <w:rPr>
                <w:webHidden/>
              </w:rPr>
              <w:t>74</w:t>
            </w:r>
            <w:r>
              <w:rPr>
                <w:webHidden/>
              </w:rPr>
              <w:fldChar w:fldCharType="end"/>
            </w:r>
          </w:hyperlink>
        </w:p>
        <w:p w14:paraId="60C0B51B" w14:textId="23391328" w:rsidR="002C51B7" w:rsidRDefault="002C51B7">
          <w:pPr>
            <w:pStyle w:val="TOC2"/>
            <w:rPr>
              <w:rFonts w:eastAsiaTheme="minorEastAsia" w:cstheme="minorBidi"/>
              <w:b w:val="0"/>
              <w:bCs w:val="0"/>
              <w:smallCaps w:val="0"/>
              <w:sz w:val="24"/>
              <w:szCs w:val="24"/>
              <w14:ligatures w14:val="standardContextual"/>
            </w:rPr>
          </w:pPr>
          <w:hyperlink w:anchor="_Toc214721894" w:history="1">
            <w:r w:rsidRPr="009300E5">
              <w:rPr>
                <w:rStyle w:val="Hyperlink"/>
                <w:rFonts w:eastAsiaTheme="majorEastAsia"/>
              </w:rPr>
              <w:t>4.7 Ethical Considerations and Limitations</w:t>
            </w:r>
            <w:r>
              <w:rPr>
                <w:webHidden/>
              </w:rPr>
              <w:tab/>
            </w:r>
            <w:r>
              <w:rPr>
                <w:webHidden/>
              </w:rPr>
              <w:fldChar w:fldCharType="begin"/>
            </w:r>
            <w:r>
              <w:rPr>
                <w:webHidden/>
              </w:rPr>
              <w:instrText xml:space="preserve"> PAGEREF _Toc214721894 \h </w:instrText>
            </w:r>
            <w:r>
              <w:rPr>
                <w:webHidden/>
              </w:rPr>
            </w:r>
            <w:r>
              <w:rPr>
                <w:webHidden/>
              </w:rPr>
              <w:fldChar w:fldCharType="separate"/>
            </w:r>
            <w:r>
              <w:rPr>
                <w:webHidden/>
              </w:rPr>
              <w:t>75</w:t>
            </w:r>
            <w:r>
              <w:rPr>
                <w:webHidden/>
              </w:rPr>
              <w:fldChar w:fldCharType="end"/>
            </w:r>
          </w:hyperlink>
        </w:p>
        <w:p w14:paraId="5BF0A838" w14:textId="3416F9FB" w:rsidR="002C51B7" w:rsidRDefault="002C51B7">
          <w:pPr>
            <w:pStyle w:val="TOC2"/>
            <w:rPr>
              <w:rFonts w:eastAsiaTheme="minorEastAsia" w:cstheme="minorBidi"/>
              <w:b w:val="0"/>
              <w:bCs w:val="0"/>
              <w:smallCaps w:val="0"/>
              <w:sz w:val="24"/>
              <w:szCs w:val="24"/>
              <w14:ligatures w14:val="standardContextual"/>
            </w:rPr>
          </w:pPr>
          <w:hyperlink w:anchor="_Toc214721895" w:history="1">
            <w:r w:rsidRPr="009300E5">
              <w:rPr>
                <w:rStyle w:val="Hyperlink"/>
                <w:rFonts w:eastAsiaTheme="majorEastAsia"/>
              </w:rPr>
              <w:t>4.8 Study Limitations</w:t>
            </w:r>
            <w:r>
              <w:rPr>
                <w:webHidden/>
              </w:rPr>
              <w:tab/>
            </w:r>
            <w:r>
              <w:rPr>
                <w:webHidden/>
              </w:rPr>
              <w:fldChar w:fldCharType="begin"/>
            </w:r>
            <w:r>
              <w:rPr>
                <w:webHidden/>
              </w:rPr>
              <w:instrText xml:space="preserve"> PAGEREF _Toc214721895 \h </w:instrText>
            </w:r>
            <w:r>
              <w:rPr>
                <w:webHidden/>
              </w:rPr>
            </w:r>
            <w:r>
              <w:rPr>
                <w:webHidden/>
              </w:rPr>
              <w:fldChar w:fldCharType="separate"/>
            </w:r>
            <w:r>
              <w:rPr>
                <w:webHidden/>
              </w:rPr>
              <w:t>76</w:t>
            </w:r>
            <w:r>
              <w:rPr>
                <w:webHidden/>
              </w:rPr>
              <w:fldChar w:fldCharType="end"/>
            </w:r>
          </w:hyperlink>
        </w:p>
        <w:p w14:paraId="3A725D43" w14:textId="18DAE2AC" w:rsidR="002C51B7" w:rsidRDefault="002C51B7">
          <w:pPr>
            <w:pStyle w:val="TOC3"/>
            <w:rPr>
              <w:rFonts w:eastAsiaTheme="minorEastAsia" w:cstheme="minorBidi"/>
              <w:i w:val="0"/>
              <w:iCs w:val="0"/>
              <w:noProof/>
              <w:sz w:val="24"/>
              <w:szCs w:val="24"/>
              <w14:ligatures w14:val="standardContextual"/>
            </w:rPr>
          </w:pPr>
          <w:hyperlink w:anchor="_Toc214721896" w:history="1">
            <w:r w:rsidRPr="009300E5">
              <w:rPr>
                <w:rStyle w:val="Hyperlink"/>
                <w:rFonts w:eastAsiaTheme="majorEastAsia"/>
                <w:noProof/>
              </w:rPr>
              <w:t>4.8.1 Quantifying Survivorship Bias in Failure Rate Estimates</w:t>
            </w:r>
            <w:r>
              <w:rPr>
                <w:noProof/>
                <w:webHidden/>
              </w:rPr>
              <w:tab/>
            </w:r>
            <w:r>
              <w:rPr>
                <w:noProof/>
                <w:webHidden/>
              </w:rPr>
              <w:fldChar w:fldCharType="begin"/>
            </w:r>
            <w:r>
              <w:rPr>
                <w:noProof/>
                <w:webHidden/>
              </w:rPr>
              <w:instrText xml:space="preserve"> PAGEREF _Toc214721896 \h </w:instrText>
            </w:r>
            <w:r>
              <w:rPr>
                <w:noProof/>
                <w:webHidden/>
              </w:rPr>
            </w:r>
            <w:r>
              <w:rPr>
                <w:noProof/>
                <w:webHidden/>
              </w:rPr>
              <w:fldChar w:fldCharType="separate"/>
            </w:r>
            <w:r>
              <w:rPr>
                <w:noProof/>
                <w:webHidden/>
              </w:rPr>
              <w:t>78</w:t>
            </w:r>
            <w:r>
              <w:rPr>
                <w:noProof/>
                <w:webHidden/>
              </w:rPr>
              <w:fldChar w:fldCharType="end"/>
            </w:r>
          </w:hyperlink>
        </w:p>
        <w:p w14:paraId="5070A2EA" w14:textId="681F1E50" w:rsidR="002C51B7" w:rsidRDefault="002C51B7">
          <w:pPr>
            <w:pStyle w:val="TOC3"/>
            <w:rPr>
              <w:rFonts w:eastAsiaTheme="minorEastAsia" w:cstheme="minorBidi"/>
              <w:i w:val="0"/>
              <w:iCs w:val="0"/>
              <w:noProof/>
              <w:sz w:val="24"/>
              <w:szCs w:val="24"/>
              <w14:ligatures w14:val="standardContextual"/>
            </w:rPr>
          </w:pPr>
          <w:hyperlink w:anchor="_Toc214721897" w:history="1">
            <w:r w:rsidRPr="009300E5">
              <w:rPr>
                <w:rStyle w:val="Hyperlink"/>
                <w:rFonts w:eastAsiaTheme="majorEastAsia"/>
                <w:noProof/>
              </w:rPr>
              <w:t>4.8.2 Methodological Boundaries and Validity</w:t>
            </w:r>
            <w:r>
              <w:rPr>
                <w:noProof/>
                <w:webHidden/>
              </w:rPr>
              <w:tab/>
            </w:r>
            <w:r>
              <w:rPr>
                <w:noProof/>
                <w:webHidden/>
              </w:rPr>
              <w:fldChar w:fldCharType="begin"/>
            </w:r>
            <w:r>
              <w:rPr>
                <w:noProof/>
                <w:webHidden/>
              </w:rPr>
              <w:instrText xml:space="preserve"> PAGEREF _Toc214721897 \h </w:instrText>
            </w:r>
            <w:r>
              <w:rPr>
                <w:noProof/>
                <w:webHidden/>
              </w:rPr>
            </w:r>
            <w:r>
              <w:rPr>
                <w:noProof/>
                <w:webHidden/>
              </w:rPr>
              <w:fldChar w:fldCharType="separate"/>
            </w:r>
            <w:r>
              <w:rPr>
                <w:noProof/>
                <w:webHidden/>
              </w:rPr>
              <w:t>80</w:t>
            </w:r>
            <w:r>
              <w:rPr>
                <w:noProof/>
                <w:webHidden/>
              </w:rPr>
              <w:fldChar w:fldCharType="end"/>
            </w:r>
          </w:hyperlink>
        </w:p>
        <w:p w14:paraId="0C26C11B" w14:textId="4384426E" w:rsidR="002C51B7" w:rsidRDefault="002C51B7">
          <w:pPr>
            <w:pStyle w:val="TOC3"/>
            <w:rPr>
              <w:rFonts w:eastAsiaTheme="minorEastAsia" w:cstheme="minorBidi"/>
              <w:i w:val="0"/>
              <w:iCs w:val="0"/>
              <w:noProof/>
              <w:sz w:val="24"/>
              <w:szCs w:val="24"/>
              <w14:ligatures w14:val="standardContextual"/>
            </w:rPr>
          </w:pPr>
          <w:hyperlink w:anchor="_Toc214721898" w:history="1">
            <w:r w:rsidRPr="009300E5">
              <w:rPr>
                <w:rStyle w:val="Hyperlink"/>
                <w:rFonts w:eastAsiaTheme="majorEastAsia"/>
                <w:noProof/>
              </w:rPr>
              <w:t>4.8.3 Statistical Power and Sample Size Justification</w:t>
            </w:r>
            <w:r>
              <w:rPr>
                <w:noProof/>
                <w:webHidden/>
              </w:rPr>
              <w:tab/>
            </w:r>
            <w:r>
              <w:rPr>
                <w:noProof/>
                <w:webHidden/>
              </w:rPr>
              <w:fldChar w:fldCharType="begin"/>
            </w:r>
            <w:r>
              <w:rPr>
                <w:noProof/>
                <w:webHidden/>
              </w:rPr>
              <w:instrText xml:space="preserve"> PAGEREF _Toc214721898 \h </w:instrText>
            </w:r>
            <w:r>
              <w:rPr>
                <w:noProof/>
                <w:webHidden/>
              </w:rPr>
            </w:r>
            <w:r>
              <w:rPr>
                <w:noProof/>
                <w:webHidden/>
              </w:rPr>
              <w:fldChar w:fldCharType="separate"/>
            </w:r>
            <w:r>
              <w:rPr>
                <w:noProof/>
                <w:webHidden/>
              </w:rPr>
              <w:t>81</w:t>
            </w:r>
            <w:r>
              <w:rPr>
                <w:noProof/>
                <w:webHidden/>
              </w:rPr>
              <w:fldChar w:fldCharType="end"/>
            </w:r>
          </w:hyperlink>
        </w:p>
        <w:p w14:paraId="45CAD0F8" w14:textId="322EDDBC" w:rsidR="002C51B7" w:rsidRDefault="002C51B7">
          <w:pPr>
            <w:pStyle w:val="TOC3"/>
            <w:rPr>
              <w:rFonts w:eastAsiaTheme="minorEastAsia" w:cstheme="minorBidi"/>
              <w:i w:val="0"/>
              <w:iCs w:val="0"/>
              <w:noProof/>
              <w:sz w:val="24"/>
              <w:szCs w:val="24"/>
              <w14:ligatures w14:val="standardContextual"/>
            </w:rPr>
          </w:pPr>
          <w:hyperlink w:anchor="_Toc214721899" w:history="1">
            <w:r w:rsidRPr="009300E5">
              <w:rPr>
                <w:rStyle w:val="Hyperlink"/>
                <w:rFonts w:eastAsiaTheme="majorEastAsia"/>
                <w:noProof/>
              </w:rPr>
              <w:t>4.8.4 Statistical Uncertainty and Interval Estimation</w:t>
            </w:r>
            <w:r>
              <w:rPr>
                <w:noProof/>
                <w:webHidden/>
              </w:rPr>
              <w:tab/>
            </w:r>
            <w:r>
              <w:rPr>
                <w:noProof/>
                <w:webHidden/>
              </w:rPr>
              <w:fldChar w:fldCharType="begin"/>
            </w:r>
            <w:r>
              <w:rPr>
                <w:noProof/>
                <w:webHidden/>
              </w:rPr>
              <w:instrText xml:space="preserve"> PAGEREF _Toc214721899 \h </w:instrText>
            </w:r>
            <w:r>
              <w:rPr>
                <w:noProof/>
                <w:webHidden/>
              </w:rPr>
            </w:r>
            <w:r>
              <w:rPr>
                <w:noProof/>
                <w:webHidden/>
              </w:rPr>
              <w:fldChar w:fldCharType="separate"/>
            </w:r>
            <w:r>
              <w:rPr>
                <w:noProof/>
                <w:webHidden/>
              </w:rPr>
              <w:t>81</w:t>
            </w:r>
            <w:r>
              <w:rPr>
                <w:noProof/>
                <w:webHidden/>
              </w:rPr>
              <w:fldChar w:fldCharType="end"/>
            </w:r>
          </w:hyperlink>
        </w:p>
        <w:p w14:paraId="10BFA1B9" w14:textId="7327FF81" w:rsidR="002C51B7" w:rsidRDefault="002C51B7">
          <w:pPr>
            <w:pStyle w:val="TOC3"/>
            <w:rPr>
              <w:rFonts w:eastAsiaTheme="minorEastAsia" w:cstheme="minorBidi"/>
              <w:i w:val="0"/>
              <w:iCs w:val="0"/>
              <w:noProof/>
              <w:sz w:val="24"/>
              <w:szCs w:val="24"/>
              <w14:ligatures w14:val="standardContextual"/>
            </w:rPr>
          </w:pPr>
          <w:hyperlink w:anchor="_Toc214721900" w:history="1">
            <w:r w:rsidRPr="009300E5">
              <w:rPr>
                <w:rStyle w:val="Hyperlink"/>
                <w:rFonts w:eastAsiaTheme="majorEastAsia"/>
                <w:noProof/>
              </w:rPr>
              <w:t>4.8.5 Statistical Limitations</w:t>
            </w:r>
            <w:r>
              <w:rPr>
                <w:noProof/>
                <w:webHidden/>
              </w:rPr>
              <w:tab/>
            </w:r>
            <w:r>
              <w:rPr>
                <w:noProof/>
                <w:webHidden/>
              </w:rPr>
              <w:fldChar w:fldCharType="begin"/>
            </w:r>
            <w:r>
              <w:rPr>
                <w:noProof/>
                <w:webHidden/>
              </w:rPr>
              <w:instrText xml:space="preserve"> PAGEREF _Toc214721900 \h </w:instrText>
            </w:r>
            <w:r>
              <w:rPr>
                <w:noProof/>
                <w:webHidden/>
              </w:rPr>
            </w:r>
            <w:r>
              <w:rPr>
                <w:noProof/>
                <w:webHidden/>
              </w:rPr>
              <w:fldChar w:fldCharType="separate"/>
            </w:r>
            <w:r>
              <w:rPr>
                <w:noProof/>
                <w:webHidden/>
              </w:rPr>
              <w:t>82</w:t>
            </w:r>
            <w:r>
              <w:rPr>
                <w:noProof/>
                <w:webHidden/>
              </w:rPr>
              <w:fldChar w:fldCharType="end"/>
            </w:r>
          </w:hyperlink>
        </w:p>
        <w:p w14:paraId="22ABF1B4" w14:textId="73BD8570" w:rsidR="002C51B7" w:rsidRDefault="002C51B7">
          <w:pPr>
            <w:pStyle w:val="TOC3"/>
            <w:rPr>
              <w:rFonts w:eastAsiaTheme="minorEastAsia" w:cstheme="minorBidi"/>
              <w:i w:val="0"/>
              <w:iCs w:val="0"/>
              <w:noProof/>
              <w:sz w:val="24"/>
              <w:szCs w:val="24"/>
              <w14:ligatures w14:val="standardContextual"/>
            </w:rPr>
          </w:pPr>
          <w:hyperlink w:anchor="_Toc214721901" w:history="1">
            <w:r w:rsidRPr="009300E5">
              <w:rPr>
                <w:rStyle w:val="Hyperlink"/>
                <w:rFonts w:eastAsiaTheme="majorEastAsia"/>
                <w:noProof/>
              </w:rPr>
              <w:t>4.8.6 Operational Definitions and Construct Validity</w:t>
            </w:r>
            <w:r>
              <w:rPr>
                <w:noProof/>
                <w:webHidden/>
              </w:rPr>
              <w:tab/>
            </w:r>
            <w:r>
              <w:rPr>
                <w:noProof/>
                <w:webHidden/>
              </w:rPr>
              <w:fldChar w:fldCharType="begin"/>
            </w:r>
            <w:r>
              <w:rPr>
                <w:noProof/>
                <w:webHidden/>
              </w:rPr>
              <w:instrText xml:space="preserve"> PAGEREF _Toc214721901 \h </w:instrText>
            </w:r>
            <w:r>
              <w:rPr>
                <w:noProof/>
                <w:webHidden/>
              </w:rPr>
            </w:r>
            <w:r>
              <w:rPr>
                <w:noProof/>
                <w:webHidden/>
              </w:rPr>
              <w:fldChar w:fldCharType="separate"/>
            </w:r>
            <w:r>
              <w:rPr>
                <w:noProof/>
                <w:webHidden/>
              </w:rPr>
              <w:t>82</w:t>
            </w:r>
            <w:r>
              <w:rPr>
                <w:noProof/>
                <w:webHidden/>
              </w:rPr>
              <w:fldChar w:fldCharType="end"/>
            </w:r>
          </w:hyperlink>
        </w:p>
        <w:p w14:paraId="39644269" w14:textId="67082D7D" w:rsidR="002C51B7" w:rsidRDefault="002C51B7">
          <w:pPr>
            <w:pStyle w:val="TOC2"/>
            <w:rPr>
              <w:rFonts w:eastAsiaTheme="minorEastAsia" w:cstheme="minorBidi"/>
              <w:b w:val="0"/>
              <w:bCs w:val="0"/>
              <w:smallCaps w:val="0"/>
              <w:sz w:val="24"/>
              <w:szCs w:val="24"/>
              <w14:ligatures w14:val="standardContextual"/>
            </w:rPr>
          </w:pPr>
          <w:hyperlink w:anchor="_Toc214721902" w:history="1">
            <w:r w:rsidRPr="009300E5">
              <w:rPr>
                <w:rStyle w:val="Hyperlink"/>
                <w:rFonts w:eastAsiaTheme="majorEastAsia"/>
              </w:rPr>
              <w:t>4.9 Statistical Calculations and Uncertainty Quantification</w:t>
            </w:r>
            <w:r>
              <w:rPr>
                <w:webHidden/>
              </w:rPr>
              <w:tab/>
            </w:r>
            <w:r>
              <w:rPr>
                <w:webHidden/>
              </w:rPr>
              <w:fldChar w:fldCharType="begin"/>
            </w:r>
            <w:r>
              <w:rPr>
                <w:webHidden/>
              </w:rPr>
              <w:instrText xml:space="preserve"> PAGEREF _Toc214721902 \h </w:instrText>
            </w:r>
            <w:r>
              <w:rPr>
                <w:webHidden/>
              </w:rPr>
            </w:r>
            <w:r>
              <w:rPr>
                <w:webHidden/>
              </w:rPr>
              <w:fldChar w:fldCharType="separate"/>
            </w:r>
            <w:r>
              <w:rPr>
                <w:webHidden/>
              </w:rPr>
              <w:t>82</w:t>
            </w:r>
            <w:r>
              <w:rPr>
                <w:webHidden/>
              </w:rPr>
              <w:fldChar w:fldCharType="end"/>
            </w:r>
          </w:hyperlink>
        </w:p>
        <w:p w14:paraId="56547C93" w14:textId="2B1A9357" w:rsidR="002C51B7" w:rsidRDefault="002C51B7">
          <w:pPr>
            <w:pStyle w:val="TOC2"/>
            <w:rPr>
              <w:rFonts w:eastAsiaTheme="minorEastAsia" w:cstheme="minorBidi"/>
              <w:b w:val="0"/>
              <w:bCs w:val="0"/>
              <w:smallCaps w:val="0"/>
              <w:sz w:val="24"/>
              <w:szCs w:val="24"/>
              <w14:ligatures w14:val="standardContextual"/>
            </w:rPr>
          </w:pPr>
          <w:hyperlink w:anchor="_Toc214721903" w:history="1">
            <w:r w:rsidRPr="009300E5">
              <w:rPr>
                <w:rStyle w:val="Hyperlink"/>
                <w:rFonts w:eastAsiaTheme="majorEastAsia"/>
              </w:rPr>
              <w:t>4.10 Operational Definitions of Key Constructs</w:t>
            </w:r>
            <w:r>
              <w:rPr>
                <w:webHidden/>
              </w:rPr>
              <w:tab/>
            </w:r>
            <w:r>
              <w:rPr>
                <w:webHidden/>
              </w:rPr>
              <w:fldChar w:fldCharType="begin"/>
            </w:r>
            <w:r>
              <w:rPr>
                <w:webHidden/>
              </w:rPr>
              <w:instrText xml:space="preserve"> PAGEREF _Toc214721903 \h </w:instrText>
            </w:r>
            <w:r>
              <w:rPr>
                <w:webHidden/>
              </w:rPr>
            </w:r>
            <w:r>
              <w:rPr>
                <w:webHidden/>
              </w:rPr>
              <w:fldChar w:fldCharType="separate"/>
            </w:r>
            <w:r>
              <w:rPr>
                <w:webHidden/>
              </w:rPr>
              <w:t>83</w:t>
            </w:r>
            <w:r>
              <w:rPr>
                <w:webHidden/>
              </w:rPr>
              <w:fldChar w:fldCharType="end"/>
            </w:r>
          </w:hyperlink>
        </w:p>
        <w:p w14:paraId="023C09B8" w14:textId="6D62772E" w:rsidR="002C51B7" w:rsidRDefault="002C51B7">
          <w:pPr>
            <w:pStyle w:val="TOC2"/>
            <w:rPr>
              <w:rFonts w:eastAsiaTheme="minorEastAsia" w:cstheme="minorBidi"/>
              <w:b w:val="0"/>
              <w:bCs w:val="0"/>
              <w:smallCaps w:val="0"/>
              <w:sz w:val="24"/>
              <w:szCs w:val="24"/>
              <w14:ligatures w14:val="standardContextual"/>
            </w:rPr>
          </w:pPr>
          <w:hyperlink w:anchor="_Toc214721904" w:history="1">
            <w:r w:rsidRPr="009300E5">
              <w:rPr>
                <w:rStyle w:val="Hyperlink"/>
                <w:rFonts w:eastAsiaTheme="majorEastAsia"/>
              </w:rPr>
              <w:t>4.11 Interpreting Findings: From Sample to Theory</w:t>
            </w:r>
            <w:r>
              <w:rPr>
                <w:webHidden/>
              </w:rPr>
              <w:tab/>
            </w:r>
            <w:r>
              <w:rPr>
                <w:webHidden/>
              </w:rPr>
              <w:fldChar w:fldCharType="begin"/>
            </w:r>
            <w:r>
              <w:rPr>
                <w:webHidden/>
              </w:rPr>
              <w:instrText xml:space="preserve"> PAGEREF _Toc214721904 \h </w:instrText>
            </w:r>
            <w:r>
              <w:rPr>
                <w:webHidden/>
              </w:rPr>
            </w:r>
            <w:r>
              <w:rPr>
                <w:webHidden/>
              </w:rPr>
              <w:fldChar w:fldCharType="separate"/>
            </w:r>
            <w:r>
              <w:rPr>
                <w:webHidden/>
              </w:rPr>
              <w:t>85</w:t>
            </w:r>
            <w:r>
              <w:rPr>
                <w:webHidden/>
              </w:rPr>
              <w:fldChar w:fldCharType="end"/>
            </w:r>
          </w:hyperlink>
        </w:p>
        <w:p w14:paraId="544D840D" w14:textId="40AE99BA" w:rsidR="002C51B7" w:rsidRDefault="002C51B7">
          <w:pPr>
            <w:pStyle w:val="TOC3"/>
            <w:rPr>
              <w:rFonts w:eastAsiaTheme="minorEastAsia" w:cstheme="minorBidi"/>
              <w:i w:val="0"/>
              <w:iCs w:val="0"/>
              <w:noProof/>
              <w:sz w:val="24"/>
              <w:szCs w:val="24"/>
              <w14:ligatures w14:val="standardContextual"/>
            </w:rPr>
          </w:pPr>
          <w:hyperlink w:anchor="_Toc214721905" w:history="1">
            <w:r w:rsidRPr="009300E5">
              <w:rPr>
                <w:rStyle w:val="Hyperlink"/>
                <w:rFonts w:eastAsiaTheme="majorEastAsia"/>
                <w:noProof/>
              </w:rPr>
              <w:t>Table 4.C: Sample Findings and Their Generalizability</w:t>
            </w:r>
            <w:r>
              <w:rPr>
                <w:noProof/>
                <w:webHidden/>
              </w:rPr>
              <w:tab/>
            </w:r>
            <w:r>
              <w:rPr>
                <w:noProof/>
                <w:webHidden/>
              </w:rPr>
              <w:fldChar w:fldCharType="begin"/>
            </w:r>
            <w:r>
              <w:rPr>
                <w:noProof/>
                <w:webHidden/>
              </w:rPr>
              <w:instrText xml:space="preserve"> PAGEREF _Toc214721905 \h </w:instrText>
            </w:r>
            <w:r>
              <w:rPr>
                <w:noProof/>
                <w:webHidden/>
              </w:rPr>
            </w:r>
            <w:r>
              <w:rPr>
                <w:noProof/>
                <w:webHidden/>
              </w:rPr>
              <w:fldChar w:fldCharType="separate"/>
            </w:r>
            <w:r>
              <w:rPr>
                <w:noProof/>
                <w:webHidden/>
              </w:rPr>
              <w:t>85</w:t>
            </w:r>
            <w:r>
              <w:rPr>
                <w:noProof/>
                <w:webHidden/>
              </w:rPr>
              <w:fldChar w:fldCharType="end"/>
            </w:r>
          </w:hyperlink>
        </w:p>
        <w:p w14:paraId="3CCFC702" w14:textId="5957FB9C" w:rsidR="002C51B7" w:rsidRDefault="002C51B7">
          <w:pPr>
            <w:pStyle w:val="TOC2"/>
            <w:rPr>
              <w:rFonts w:eastAsiaTheme="minorEastAsia" w:cstheme="minorBidi"/>
              <w:b w:val="0"/>
              <w:bCs w:val="0"/>
              <w:smallCaps w:val="0"/>
              <w:sz w:val="24"/>
              <w:szCs w:val="24"/>
              <w14:ligatures w14:val="standardContextual"/>
            </w:rPr>
          </w:pPr>
          <w:hyperlink w:anchor="_Toc214721906" w:history="1">
            <w:r w:rsidRPr="009300E5">
              <w:rPr>
                <w:rStyle w:val="Hyperlink"/>
                <w:rFonts w:eastAsiaTheme="majorEastAsia"/>
              </w:rPr>
              <w:t>4.12 Integration and Triangulation of Mixed Methods</w:t>
            </w:r>
            <w:r>
              <w:rPr>
                <w:webHidden/>
              </w:rPr>
              <w:tab/>
            </w:r>
            <w:r>
              <w:rPr>
                <w:webHidden/>
              </w:rPr>
              <w:fldChar w:fldCharType="begin"/>
            </w:r>
            <w:r>
              <w:rPr>
                <w:webHidden/>
              </w:rPr>
              <w:instrText xml:space="preserve"> PAGEREF _Toc214721906 \h </w:instrText>
            </w:r>
            <w:r>
              <w:rPr>
                <w:webHidden/>
              </w:rPr>
            </w:r>
            <w:r>
              <w:rPr>
                <w:webHidden/>
              </w:rPr>
              <w:fldChar w:fldCharType="separate"/>
            </w:r>
            <w:r>
              <w:rPr>
                <w:webHidden/>
              </w:rPr>
              <w:t>86</w:t>
            </w:r>
            <w:r>
              <w:rPr>
                <w:webHidden/>
              </w:rPr>
              <w:fldChar w:fldCharType="end"/>
            </w:r>
          </w:hyperlink>
        </w:p>
        <w:p w14:paraId="0A1271DE" w14:textId="3B9E2658" w:rsidR="002C51B7" w:rsidRDefault="002C51B7">
          <w:pPr>
            <w:pStyle w:val="TOC1"/>
            <w:tabs>
              <w:tab w:val="right" w:leader="dot" w:pos="9350"/>
            </w:tabs>
            <w:rPr>
              <w:rFonts w:eastAsiaTheme="minorEastAsia" w:cstheme="minorBidi"/>
              <w:b w:val="0"/>
              <w:bCs w:val="0"/>
              <w:caps w:val="0"/>
              <w:noProof/>
              <w:sz w:val="24"/>
              <w:szCs w:val="24"/>
              <w14:ligatures w14:val="standardContextual"/>
            </w:rPr>
          </w:pPr>
          <w:hyperlink w:anchor="_Toc214721907" w:history="1">
            <w:r w:rsidRPr="009300E5">
              <w:rPr>
                <w:rStyle w:val="Hyperlink"/>
                <w:rFonts w:eastAsiaTheme="majorEastAsia"/>
                <w:noProof/>
              </w:rPr>
              <w:t>CHAPTER 5: EMPIRICAL ANALYSIS OF TRANSACTION FEE STRUCTURES</w:t>
            </w:r>
            <w:r>
              <w:rPr>
                <w:noProof/>
                <w:webHidden/>
              </w:rPr>
              <w:tab/>
            </w:r>
            <w:r>
              <w:rPr>
                <w:noProof/>
                <w:webHidden/>
              </w:rPr>
              <w:fldChar w:fldCharType="begin"/>
            </w:r>
            <w:r>
              <w:rPr>
                <w:noProof/>
                <w:webHidden/>
              </w:rPr>
              <w:instrText xml:space="preserve"> PAGEREF _Toc214721907 \h </w:instrText>
            </w:r>
            <w:r>
              <w:rPr>
                <w:noProof/>
                <w:webHidden/>
              </w:rPr>
            </w:r>
            <w:r>
              <w:rPr>
                <w:noProof/>
                <w:webHidden/>
              </w:rPr>
              <w:fldChar w:fldCharType="separate"/>
            </w:r>
            <w:r>
              <w:rPr>
                <w:noProof/>
                <w:webHidden/>
              </w:rPr>
              <w:t>87</w:t>
            </w:r>
            <w:r>
              <w:rPr>
                <w:noProof/>
                <w:webHidden/>
              </w:rPr>
              <w:fldChar w:fldCharType="end"/>
            </w:r>
          </w:hyperlink>
        </w:p>
        <w:p w14:paraId="00A718D6" w14:textId="3973916D" w:rsidR="002C51B7" w:rsidRDefault="002C51B7">
          <w:pPr>
            <w:pStyle w:val="TOC2"/>
            <w:rPr>
              <w:rFonts w:eastAsiaTheme="minorEastAsia" w:cstheme="minorBidi"/>
              <w:b w:val="0"/>
              <w:bCs w:val="0"/>
              <w:smallCaps w:val="0"/>
              <w:sz w:val="24"/>
              <w:szCs w:val="24"/>
              <w14:ligatures w14:val="standardContextual"/>
            </w:rPr>
          </w:pPr>
          <w:hyperlink w:anchor="_Toc214721908" w:history="1">
            <w:r w:rsidRPr="009300E5">
              <w:rPr>
                <w:rStyle w:val="Hyperlink"/>
                <w:rFonts w:eastAsiaTheme="majorEastAsia"/>
              </w:rPr>
              <w:t>5.1 Comparative Analysis of Exchange Fee Architectures</w:t>
            </w:r>
            <w:r>
              <w:rPr>
                <w:webHidden/>
              </w:rPr>
              <w:tab/>
            </w:r>
            <w:r>
              <w:rPr>
                <w:webHidden/>
              </w:rPr>
              <w:fldChar w:fldCharType="begin"/>
            </w:r>
            <w:r>
              <w:rPr>
                <w:webHidden/>
              </w:rPr>
              <w:instrText xml:space="preserve"> PAGEREF _Toc214721908 \h </w:instrText>
            </w:r>
            <w:r>
              <w:rPr>
                <w:webHidden/>
              </w:rPr>
            </w:r>
            <w:r>
              <w:rPr>
                <w:webHidden/>
              </w:rPr>
              <w:fldChar w:fldCharType="separate"/>
            </w:r>
            <w:r>
              <w:rPr>
                <w:webHidden/>
              </w:rPr>
              <w:t>87</w:t>
            </w:r>
            <w:r>
              <w:rPr>
                <w:webHidden/>
              </w:rPr>
              <w:fldChar w:fldCharType="end"/>
            </w:r>
          </w:hyperlink>
        </w:p>
        <w:p w14:paraId="25706C49" w14:textId="67A0B92A" w:rsidR="002C51B7" w:rsidRDefault="002C51B7">
          <w:pPr>
            <w:pStyle w:val="TOC3"/>
            <w:rPr>
              <w:rFonts w:eastAsiaTheme="minorEastAsia" w:cstheme="minorBidi"/>
              <w:i w:val="0"/>
              <w:iCs w:val="0"/>
              <w:noProof/>
              <w:sz w:val="24"/>
              <w:szCs w:val="24"/>
              <w14:ligatures w14:val="standardContextual"/>
            </w:rPr>
          </w:pPr>
          <w:hyperlink w:anchor="_Toc214721909" w:history="1">
            <w:r w:rsidRPr="009300E5">
              <w:rPr>
                <w:rStyle w:val="Hyperlink"/>
                <w:rFonts w:eastAsiaTheme="majorEastAsia"/>
                <w:noProof/>
              </w:rPr>
              <w:t>5.1.1 The Maker-Taker Paradigm: Hidden Complexities</w:t>
            </w:r>
            <w:r>
              <w:rPr>
                <w:noProof/>
                <w:webHidden/>
              </w:rPr>
              <w:tab/>
            </w:r>
            <w:r>
              <w:rPr>
                <w:noProof/>
                <w:webHidden/>
              </w:rPr>
              <w:fldChar w:fldCharType="begin"/>
            </w:r>
            <w:r>
              <w:rPr>
                <w:noProof/>
                <w:webHidden/>
              </w:rPr>
              <w:instrText xml:space="preserve"> PAGEREF _Toc214721909 \h </w:instrText>
            </w:r>
            <w:r>
              <w:rPr>
                <w:noProof/>
                <w:webHidden/>
              </w:rPr>
            </w:r>
            <w:r>
              <w:rPr>
                <w:noProof/>
                <w:webHidden/>
              </w:rPr>
              <w:fldChar w:fldCharType="separate"/>
            </w:r>
            <w:r>
              <w:rPr>
                <w:noProof/>
                <w:webHidden/>
              </w:rPr>
              <w:t>87</w:t>
            </w:r>
            <w:r>
              <w:rPr>
                <w:noProof/>
                <w:webHidden/>
              </w:rPr>
              <w:fldChar w:fldCharType="end"/>
            </w:r>
          </w:hyperlink>
        </w:p>
        <w:p w14:paraId="64F6FC3E" w14:textId="5B36FE78" w:rsidR="002C51B7" w:rsidRDefault="002C51B7">
          <w:pPr>
            <w:pStyle w:val="TOC3"/>
            <w:rPr>
              <w:rFonts w:eastAsiaTheme="minorEastAsia" w:cstheme="minorBidi"/>
              <w:i w:val="0"/>
              <w:iCs w:val="0"/>
              <w:noProof/>
              <w:sz w:val="24"/>
              <w:szCs w:val="24"/>
              <w14:ligatures w14:val="standardContextual"/>
            </w:rPr>
          </w:pPr>
          <w:hyperlink w:anchor="_Toc214721910" w:history="1">
            <w:r w:rsidRPr="009300E5">
              <w:rPr>
                <w:rStyle w:val="Hyperlink"/>
                <w:rFonts w:eastAsiaTheme="majorEastAsia"/>
                <w:noProof/>
              </w:rPr>
              <w:t>5.1.2 Tiered Fee Structures: The Treadmill Effect</w:t>
            </w:r>
            <w:r>
              <w:rPr>
                <w:noProof/>
                <w:webHidden/>
              </w:rPr>
              <w:tab/>
            </w:r>
            <w:r>
              <w:rPr>
                <w:noProof/>
                <w:webHidden/>
              </w:rPr>
              <w:fldChar w:fldCharType="begin"/>
            </w:r>
            <w:r>
              <w:rPr>
                <w:noProof/>
                <w:webHidden/>
              </w:rPr>
              <w:instrText xml:space="preserve"> PAGEREF _Toc214721910 \h </w:instrText>
            </w:r>
            <w:r>
              <w:rPr>
                <w:noProof/>
                <w:webHidden/>
              </w:rPr>
            </w:r>
            <w:r>
              <w:rPr>
                <w:noProof/>
                <w:webHidden/>
              </w:rPr>
              <w:fldChar w:fldCharType="separate"/>
            </w:r>
            <w:r>
              <w:rPr>
                <w:noProof/>
                <w:webHidden/>
              </w:rPr>
              <w:t>87</w:t>
            </w:r>
            <w:r>
              <w:rPr>
                <w:noProof/>
                <w:webHidden/>
              </w:rPr>
              <w:fldChar w:fldCharType="end"/>
            </w:r>
          </w:hyperlink>
        </w:p>
        <w:p w14:paraId="7237C60D" w14:textId="442EF126" w:rsidR="002C51B7" w:rsidRDefault="002C51B7">
          <w:pPr>
            <w:pStyle w:val="TOC3"/>
            <w:rPr>
              <w:rFonts w:eastAsiaTheme="minorEastAsia" w:cstheme="minorBidi"/>
              <w:i w:val="0"/>
              <w:iCs w:val="0"/>
              <w:noProof/>
              <w:sz w:val="24"/>
              <w:szCs w:val="24"/>
              <w14:ligatures w14:val="standardContextual"/>
            </w:rPr>
          </w:pPr>
          <w:hyperlink w:anchor="_Toc214721911" w:history="1">
            <w:r w:rsidRPr="009300E5">
              <w:rPr>
                <w:rStyle w:val="Hyperlink"/>
                <w:rFonts w:eastAsiaTheme="majorEastAsia"/>
                <w:noProof/>
              </w:rPr>
              <w:t>5.1.3 DEX Fee Structures: Democratic Architecture, Concentrated Outcomes</w:t>
            </w:r>
            <w:r>
              <w:rPr>
                <w:noProof/>
                <w:webHidden/>
              </w:rPr>
              <w:tab/>
            </w:r>
            <w:r>
              <w:rPr>
                <w:noProof/>
                <w:webHidden/>
              </w:rPr>
              <w:fldChar w:fldCharType="begin"/>
            </w:r>
            <w:r>
              <w:rPr>
                <w:noProof/>
                <w:webHidden/>
              </w:rPr>
              <w:instrText xml:space="preserve"> PAGEREF _Toc214721911 \h </w:instrText>
            </w:r>
            <w:r>
              <w:rPr>
                <w:noProof/>
                <w:webHidden/>
              </w:rPr>
            </w:r>
            <w:r>
              <w:rPr>
                <w:noProof/>
                <w:webHidden/>
              </w:rPr>
              <w:fldChar w:fldCharType="separate"/>
            </w:r>
            <w:r>
              <w:rPr>
                <w:noProof/>
                <w:webHidden/>
              </w:rPr>
              <w:t>88</w:t>
            </w:r>
            <w:r>
              <w:rPr>
                <w:noProof/>
                <w:webHidden/>
              </w:rPr>
              <w:fldChar w:fldCharType="end"/>
            </w:r>
          </w:hyperlink>
        </w:p>
        <w:p w14:paraId="60B5DC0E" w14:textId="323DB8C0" w:rsidR="002C51B7" w:rsidRDefault="002C51B7">
          <w:pPr>
            <w:pStyle w:val="TOC3"/>
            <w:rPr>
              <w:rFonts w:eastAsiaTheme="minorEastAsia" w:cstheme="minorBidi"/>
              <w:i w:val="0"/>
              <w:iCs w:val="0"/>
              <w:noProof/>
              <w:sz w:val="24"/>
              <w:szCs w:val="24"/>
              <w14:ligatures w14:val="standardContextual"/>
            </w:rPr>
          </w:pPr>
          <w:hyperlink w:anchor="_Toc214721912" w:history="1">
            <w:r w:rsidRPr="009300E5">
              <w:rPr>
                <w:rStyle w:val="Hyperlink"/>
                <w:rFonts w:eastAsiaTheme="majorEastAsia"/>
                <w:noProof/>
              </w:rPr>
              <w:t>Table 5.A: Fee Structure Comparison Matrix - Advertised Benefits vs Empirical Reality</w:t>
            </w:r>
            <w:r>
              <w:rPr>
                <w:noProof/>
                <w:webHidden/>
              </w:rPr>
              <w:tab/>
            </w:r>
            <w:r>
              <w:rPr>
                <w:noProof/>
                <w:webHidden/>
              </w:rPr>
              <w:fldChar w:fldCharType="begin"/>
            </w:r>
            <w:r>
              <w:rPr>
                <w:noProof/>
                <w:webHidden/>
              </w:rPr>
              <w:instrText xml:space="preserve"> PAGEREF _Toc214721912 \h </w:instrText>
            </w:r>
            <w:r>
              <w:rPr>
                <w:noProof/>
                <w:webHidden/>
              </w:rPr>
            </w:r>
            <w:r>
              <w:rPr>
                <w:noProof/>
                <w:webHidden/>
              </w:rPr>
              <w:fldChar w:fldCharType="separate"/>
            </w:r>
            <w:r>
              <w:rPr>
                <w:noProof/>
                <w:webHidden/>
              </w:rPr>
              <w:t>88</w:t>
            </w:r>
            <w:r>
              <w:rPr>
                <w:noProof/>
                <w:webHidden/>
              </w:rPr>
              <w:fldChar w:fldCharType="end"/>
            </w:r>
          </w:hyperlink>
        </w:p>
        <w:p w14:paraId="3BC7DE2D" w14:textId="71F5EFDA" w:rsidR="002C51B7" w:rsidRDefault="002C51B7">
          <w:pPr>
            <w:pStyle w:val="TOC2"/>
            <w:rPr>
              <w:rFonts w:eastAsiaTheme="minorEastAsia" w:cstheme="minorBidi"/>
              <w:b w:val="0"/>
              <w:bCs w:val="0"/>
              <w:smallCaps w:val="0"/>
              <w:sz w:val="24"/>
              <w:szCs w:val="24"/>
              <w14:ligatures w14:val="standardContextual"/>
            </w:rPr>
          </w:pPr>
          <w:hyperlink w:anchor="_Toc214721913" w:history="1">
            <w:r w:rsidRPr="009300E5">
              <w:rPr>
                <w:rStyle w:val="Hyperlink"/>
                <w:rFonts w:eastAsiaTheme="majorEastAsia"/>
              </w:rPr>
              <w:t>5.2 Fee Promotions and Competitive Strategies</w:t>
            </w:r>
            <w:r>
              <w:rPr>
                <w:webHidden/>
              </w:rPr>
              <w:tab/>
            </w:r>
            <w:r>
              <w:rPr>
                <w:webHidden/>
              </w:rPr>
              <w:fldChar w:fldCharType="begin"/>
            </w:r>
            <w:r>
              <w:rPr>
                <w:webHidden/>
              </w:rPr>
              <w:instrText xml:space="preserve"> PAGEREF _Toc214721913 \h </w:instrText>
            </w:r>
            <w:r>
              <w:rPr>
                <w:webHidden/>
              </w:rPr>
            </w:r>
            <w:r>
              <w:rPr>
                <w:webHidden/>
              </w:rPr>
              <w:fldChar w:fldCharType="separate"/>
            </w:r>
            <w:r>
              <w:rPr>
                <w:webHidden/>
              </w:rPr>
              <w:t>90</w:t>
            </w:r>
            <w:r>
              <w:rPr>
                <w:webHidden/>
              </w:rPr>
              <w:fldChar w:fldCharType="end"/>
            </w:r>
          </w:hyperlink>
        </w:p>
        <w:p w14:paraId="7DA33D0F" w14:textId="1E2DE5FA" w:rsidR="002C51B7" w:rsidRDefault="002C51B7">
          <w:pPr>
            <w:pStyle w:val="TOC3"/>
            <w:rPr>
              <w:rFonts w:eastAsiaTheme="minorEastAsia" w:cstheme="minorBidi"/>
              <w:i w:val="0"/>
              <w:iCs w:val="0"/>
              <w:noProof/>
              <w:sz w:val="24"/>
              <w:szCs w:val="24"/>
              <w14:ligatures w14:val="standardContextual"/>
            </w:rPr>
          </w:pPr>
          <w:hyperlink w:anchor="_Toc214721914" w:history="1">
            <w:r w:rsidRPr="009300E5">
              <w:rPr>
                <w:rStyle w:val="Hyperlink"/>
                <w:rFonts w:eastAsiaTheme="majorEastAsia"/>
                <w:noProof/>
              </w:rPr>
              <w:t>5.2.1 Zero-Fee Campaigns: Unintended Consequences</w:t>
            </w:r>
            <w:r>
              <w:rPr>
                <w:noProof/>
                <w:webHidden/>
              </w:rPr>
              <w:tab/>
            </w:r>
            <w:r>
              <w:rPr>
                <w:noProof/>
                <w:webHidden/>
              </w:rPr>
              <w:fldChar w:fldCharType="begin"/>
            </w:r>
            <w:r>
              <w:rPr>
                <w:noProof/>
                <w:webHidden/>
              </w:rPr>
              <w:instrText xml:space="preserve"> PAGEREF _Toc214721914 \h </w:instrText>
            </w:r>
            <w:r>
              <w:rPr>
                <w:noProof/>
                <w:webHidden/>
              </w:rPr>
            </w:r>
            <w:r>
              <w:rPr>
                <w:noProof/>
                <w:webHidden/>
              </w:rPr>
              <w:fldChar w:fldCharType="separate"/>
            </w:r>
            <w:r>
              <w:rPr>
                <w:noProof/>
                <w:webHidden/>
              </w:rPr>
              <w:t>90</w:t>
            </w:r>
            <w:r>
              <w:rPr>
                <w:noProof/>
                <w:webHidden/>
              </w:rPr>
              <w:fldChar w:fldCharType="end"/>
            </w:r>
          </w:hyperlink>
        </w:p>
        <w:p w14:paraId="7A6A6B0C" w14:textId="60565C60" w:rsidR="002C51B7" w:rsidRDefault="002C51B7">
          <w:pPr>
            <w:pStyle w:val="TOC3"/>
            <w:rPr>
              <w:rFonts w:eastAsiaTheme="minorEastAsia" w:cstheme="minorBidi"/>
              <w:i w:val="0"/>
              <w:iCs w:val="0"/>
              <w:noProof/>
              <w:sz w:val="24"/>
              <w:szCs w:val="24"/>
              <w14:ligatures w14:val="standardContextual"/>
            </w:rPr>
          </w:pPr>
          <w:hyperlink w:anchor="_Toc214721915" w:history="1">
            <w:r w:rsidRPr="009300E5">
              <w:rPr>
                <w:rStyle w:val="Hyperlink"/>
                <w:rFonts w:eastAsiaTheme="majorEastAsia"/>
                <w:noProof/>
              </w:rPr>
              <w:t>5.2.2 Fee War Dynamics</w:t>
            </w:r>
            <w:r>
              <w:rPr>
                <w:noProof/>
                <w:webHidden/>
              </w:rPr>
              <w:tab/>
            </w:r>
            <w:r>
              <w:rPr>
                <w:noProof/>
                <w:webHidden/>
              </w:rPr>
              <w:fldChar w:fldCharType="begin"/>
            </w:r>
            <w:r>
              <w:rPr>
                <w:noProof/>
                <w:webHidden/>
              </w:rPr>
              <w:instrText xml:space="preserve"> PAGEREF _Toc214721915 \h </w:instrText>
            </w:r>
            <w:r>
              <w:rPr>
                <w:noProof/>
                <w:webHidden/>
              </w:rPr>
            </w:r>
            <w:r>
              <w:rPr>
                <w:noProof/>
                <w:webHidden/>
              </w:rPr>
              <w:fldChar w:fldCharType="separate"/>
            </w:r>
            <w:r>
              <w:rPr>
                <w:noProof/>
                <w:webHidden/>
              </w:rPr>
              <w:t>90</w:t>
            </w:r>
            <w:r>
              <w:rPr>
                <w:noProof/>
                <w:webHidden/>
              </w:rPr>
              <w:fldChar w:fldCharType="end"/>
            </w:r>
          </w:hyperlink>
        </w:p>
        <w:p w14:paraId="5F999C46" w14:textId="092240FC" w:rsidR="002C51B7" w:rsidRDefault="002C51B7">
          <w:pPr>
            <w:pStyle w:val="TOC2"/>
            <w:rPr>
              <w:rFonts w:eastAsiaTheme="minorEastAsia" w:cstheme="minorBidi"/>
              <w:b w:val="0"/>
              <w:bCs w:val="0"/>
              <w:smallCaps w:val="0"/>
              <w:sz w:val="24"/>
              <w:szCs w:val="24"/>
              <w14:ligatures w14:val="standardContextual"/>
            </w:rPr>
          </w:pPr>
          <w:hyperlink w:anchor="_Toc214721916" w:history="1">
            <w:r w:rsidRPr="009300E5">
              <w:rPr>
                <w:rStyle w:val="Hyperlink"/>
                <w:rFonts w:eastAsiaTheme="majorEastAsia"/>
              </w:rPr>
              <w:t>5.3 Liquidity Provision Economics: Reality Versus Theory</w:t>
            </w:r>
            <w:r>
              <w:rPr>
                <w:webHidden/>
              </w:rPr>
              <w:tab/>
            </w:r>
            <w:r>
              <w:rPr>
                <w:webHidden/>
              </w:rPr>
              <w:fldChar w:fldCharType="begin"/>
            </w:r>
            <w:r>
              <w:rPr>
                <w:webHidden/>
              </w:rPr>
              <w:instrText xml:space="preserve"> PAGEREF _Toc214721916 \h </w:instrText>
            </w:r>
            <w:r>
              <w:rPr>
                <w:webHidden/>
              </w:rPr>
            </w:r>
            <w:r>
              <w:rPr>
                <w:webHidden/>
              </w:rPr>
              <w:fldChar w:fldCharType="separate"/>
            </w:r>
            <w:r>
              <w:rPr>
                <w:webHidden/>
              </w:rPr>
              <w:t>91</w:t>
            </w:r>
            <w:r>
              <w:rPr>
                <w:webHidden/>
              </w:rPr>
              <w:fldChar w:fldCharType="end"/>
            </w:r>
          </w:hyperlink>
        </w:p>
        <w:p w14:paraId="230D1F72" w14:textId="2D6B0749" w:rsidR="002C51B7" w:rsidRDefault="002C51B7">
          <w:pPr>
            <w:pStyle w:val="TOC3"/>
            <w:rPr>
              <w:rFonts w:eastAsiaTheme="minorEastAsia" w:cstheme="minorBidi"/>
              <w:i w:val="0"/>
              <w:iCs w:val="0"/>
              <w:noProof/>
              <w:sz w:val="24"/>
              <w:szCs w:val="24"/>
              <w14:ligatures w14:val="standardContextual"/>
            </w:rPr>
          </w:pPr>
          <w:hyperlink w:anchor="_Toc214721917" w:history="1">
            <w:r w:rsidRPr="009300E5">
              <w:rPr>
                <w:rStyle w:val="Hyperlink"/>
                <w:rFonts w:eastAsiaTheme="majorEastAsia"/>
                <w:noProof/>
              </w:rPr>
              <w:t>5.3.1 Capital Efficiency: The 4000x Myth</w:t>
            </w:r>
            <w:r>
              <w:rPr>
                <w:noProof/>
                <w:webHidden/>
              </w:rPr>
              <w:tab/>
            </w:r>
            <w:r>
              <w:rPr>
                <w:noProof/>
                <w:webHidden/>
              </w:rPr>
              <w:fldChar w:fldCharType="begin"/>
            </w:r>
            <w:r>
              <w:rPr>
                <w:noProof/>
                <w:webHidden/>
              </w:rPr>
              <w:instrText xml:space="preserve"> PAGEREF _Toc214721917 \h </w:instrText>
            </w:r>
            <w:r>
              <w:rPr>
                <w:noProof/>
                <w:webHidden/>
              </w:rPr>
            </w:r>
            <w:r>
              <w:rPr>
                <w:noProof/>
                <w:webHidden/>
              </w:rPr>
              <w:fldChar w:fldCharType="separate"/>
            </w:r>
            <w:r>
              <w:rPr>
                <w:noProof/>
                <w:webHidden/>
              </w:rPr>
              <w:t>91</w:t>
            </w:r>
            <w:r>
              <w:rPr>
                <w:noProof/>
                <w:webHidden/>
              </w:rPr>
              <w:fldChar w:fldCharType="end"/>
            </w:r>
          </w:hyperlink>
        </w:p>
        <w:p w14:paraId="497C0F1D" w14:textId="60B515AE" w:rsidR="002C51B7" w:rsidRDefault="002C51B7">
          <w:pPr>
            <w:pStyle w:val="TOC3"/>
            <w:rPr>
              <w:rFonts w:eastAsiaTheme="minorEastAsia" w:cstheme="minorBidi"/>
              <w:i w:val="0"/>
              <w:iCs w:val="0"/>
              <w:noProof/>
              <w:sz w:val="24"/>
              <w:szCs w:val="24"/>
              <w14:ligatures w14:val="standardContextual"/>
            </w:rPr>
          </w:pPr>
          <w:hyperlink w:anchor="_Toc214721918" w:history="1">
            <w:r w:rsidRPr="009300E5">
              <w:rPr>
                <w:rStyle w:val="Hyperlink"/>
                <w:rFonts w:eastAsiaTheme="majorEastAsia"/>
                <w:noProof/>
              </w:rPr>
              <w:t>Table 5.B: Capital Efficiency Reality - Uniswap v3 Theory vs Empirical Performance</w:t>
            </w:r>
            <w:r>
              <w:rPr>
                <w:noProof/>
                <w:webHidden/>
              </w:rPr>
              <w:tab/>
            </w:r>
            <w:r>
              <w:rPr>
                <w:noProof/>
                <w:webHidden/>
              </w:rPr>
              <w:fldChar w:fldCharType="begin"/>
            </w:r>
            <w:r>
              <w:rPr>
                <w:noProof/>
                <w:webHidden/>
              </w:rPr>
              <w:instrText xml:space="preserve"> PAGEREF _Toc214721918 \h </w:instrText>
            </w:r>
            <w:r>
              <w:rPr>
                <w:noProof/>
                <w:webHidden/>
              </w:rPr>
            </w:r>
            <w:r>
              <w:rPr>
                <w:noProof/>
                <w:webHidden/>
              </w:rPr>
              <w:fldChar w:fldCharType="separate"/>
            </w:r>
            <w:r>
              <w:rPr>
                <w:noProof/>
                <w:webHidden/>
              </w:rPr>
              <w:t>91</w:t>
            </w:r>
            <w:r>
              <w:rPr>
                <w:noProof/>
                <w:webHidden/>
              </w:rPr>
              <w:fldChar w:fldCharType="end"/>
            </w:r>
          </w:hyperlink>
        </w:p>
        <w:p w14:paraId="375C95F1" w14:textId="0E3F5EA6" w:rsidR="002C51B7" w:rsidRDefault="002C51B7">
          <w:pPr>
            <w:pStyle w:val="TOC3"/>
            <w:rPr>
              <w:rFonts w:eastAsiaTheme="minorEastAsia" w:cstheme="minorBidi"/>
              <w:i w:val="0"/>
              <w:iCs w:val="0"/>
              <w:noProof/>
              <w:sz w:val="24"/>
              <w:szCs w:val="24"/>
              <w14:ligatures w14:val="standardContextual"/>
            </w:rPr>
          </w:pPr>
          <w:hyperlink w:anchor="_Toc214721919" w:history="1">
            <w:r w:rsidRPr="009300E5">
              <w:rPr>
                <w:rStyle w:val="Hyperlink"/>
                <w:rFonts w:eastAsiaTheme="majorEastAsia"/>
                <w:noProof/>
              </w:rPr>
              <w:t>Table 5.C: Network Viability Thresholds - Break-even Analysis by Blockchain</w:t>
            </w:r>
            <w:r>
              <w:rPr>
                <w:noProof/>
                <w:webHidden/>
              </w:rPr>
              <w:tab/>
            </w:r>
            <w:r>
              <w:rPr>
                <w:noProof/>
                <w:webHidden/>
              </w:rPr>
              <w:fldChar w:fldCharType="begin"/>
            </w:r>
            <w:r>
              <w:rPr>
                <w:noProof/>
                <w:webHidden/>
              </w:rPr>
              <w:instrText xml:space="preserve"> PAGEREF _Toc214721919 \h </w:instrText>
            </w:r>
            <w:r>
              <w:rPr>
                <w:noProof/>
                <w:webHidden/>
              </w:rPr>
            </w:r>
            <w:r>
              <w:rPr>
                <w:noProof/>
                <w:webHidden/>
              </w:rPr>
              <w:fldChar w:fldCharType="separate"/>
            </w:r>
            <w:r>
              <w:rPr>
                <w:noProof/>
                <w:webHidden/>
              </w:rPr>
              <w:t>93</w:t>
            </w:r>
            <w:r>
              <w:rPr>
                <w:noProof/>
                <w:webHidden/>
              </w:rPr>
              <w:fldChar w:fldCharType="end"/>
            </w:r>
          </w:hyperlink>
        </w:p>
        <w:p w14:paraId="75F1002F" w14:textId="27DAE789" w:rsidR="002C51B7" w:rsidRDefault="002C51B7">
          <w:pPr>
            <w:pStyle w:val="TOC3"/>
            <w:rPr>
              <w:rFonts w:eastAsiaTheme="minorEastAsia" w:cstheme="minorBidi"/>
              <w:i w:val="0"/>
              <w:iCs w:val="0"/>
              <w:noProof/>
              <w:sz w:val="24"/>
              <w:szCs w:val="24"/>
              <w14:ligatures w14:val="standardContextual"/>
            </w:rPr>
          </w:pPr>
          <w:hyperlink w:anchor="_Toc214721920" w:history="1">
            <w:r w:rsidRPr="009300E5">
              <w:rPr>
                <w:rStyle w:val="Hyperlink"/>
                <w:rFonts w:eastAsiaTheme="majorEastAsia"/>
                <w:noProof/>
              </w:rPr>
              <w:t>5.3.2 Automated Market Making Performance</w:t>
            </w:r>
            <w:r>
              <w:rPr>
                <w:noProof/>
                <w:webHidden/>
              </w:rPr>
              <w:tab/>
            </w:r>
            <w:r>
              <w:rPr>
                <w:noProof/>
                <w:webHidden/>
              </w:rPr>
              <w:fldChar w:fldCharType="begin"/>
            </w:r>
            <w:r>
              <w:rPr>
                <w:noProof/>
                <w:webHidden/>
              </w:rPr>
              <w:instrText xml:space="preserve"> PAGEREF _Toc214721920 \h </w:instrText>
            </w:r>
            <w:r>
              <w:rPr>
                <w:noProof/>
                <w:webHidden/>
              </w:rPr>
            </w:r>
            <w:r>
              <w:rPr>
                <w:noProof/>
                <w:webHidden/>
              </w:rPr>
              <w:fldChar w:fldCharType="separate"/>
            </w:r>
            <w:r>
              <w:rPr>
                <w:noProof/>
                <w:webHidden/>
              </w:rPr>
              <w:t>93</w:t>
            </w:r>
            <w:r>
              <w:rPr>
                <w:noProof/>
                <w:webHidden/>
              </w:rPr>
              <w:fldChar w:fldCharType="end"/>
            </w:r>
          </w:hyperlink>
        </w:p>
        <w:p w14:paraId="39A10FC6" w14:textId="269CC1D1" w:rsidR="002C51B7" w:rsidRDefault="002C51B7">
          <w:pPr>
            <w:pStyle w:val="TOC2"/>
            <w:rPr>
              <w:rFonts w:eastAsiaTheme="minorEastAsia" w:cstheme="minorBidi"/>
              <w:b w:val="0"/>
              <w:bCs w:val="0"/>
              <w:smallCaps w:val="0"/>
              <w:sz w:val="24"/>
              <w:szCs w:val="24"/>
              <w14:ligatures w14:val="standardContextual"/>
            </w:rPr>
          </w:pPr>
          <w:hyperlink w:anchor="_Toc214721921" w:history="1">
            <w:r w:rsidRPr="009300E5">
              <w:rPr>
                <w:rStyle w:val="Hyperlink"/>
                <w:rFonts w:eastAsiaTheme="majorEastAsia"/>
              </w:rPr>
              <w:t>5.4 Market Fragmentation and Arbitrage Economics</w:t>
            </w:r>
            <w:r>
              <w:rPr>
                <w:webHidden/>
              </w:rPr>
              <w:tab/>
            </w:r>
            <w:r>
              <w:rPr>
                <w:webHidden/>
              </w:rPr>
              <w:fldChar w:fldCharType="begin"/>
            </w:r>
            <w:r>
              <w:rPr>
                <w:webHidden/>
              </w:rPr>
              <w:instrText xml:space="preserve"> PAGEREF _Toc214721921 \h </w:instrText>
            </w:r>
            <w:r>
              <w:rPr>
                <w:webHidden/>
              </w:rPr>
            </w:r>
            <w:r>
              <w:rPr>
                <w:webHidden/>
              </w:rPr>
              <w:fldChar w:fldCharType="separate"/>
            </w:r>
            <w:r>
              <w:rPr>
                <w:webHidden/>
              </w:rPr>
              <w:t>94</w:t>
            </w:r>
            <w:r>
              <w:rPr>
                <w:webHidden/>
              </w:rPr>
              <w:fldChar w:fldCharType="end"/>
            </w:r>
          </w:hyperlink>
        </w:p>
        <w:p w14:paraId="72E6ECC7" w14:textId="11ACE9F3" w:rsidR="002C51B7" w:rsidRDefault="002C51B7">
          <w:pPr>
            <w:pStyle w:val="TOC3"/>
            <w:rPr>
              <w:rFonts w:eastAsiaTheme="minorEastAsia" w:cstheme="minorBidi"/>
              <w:i w:val="0"/>
              <w:iCs w:val="0"/>
              <w:noProof/>
              <w:sz w:val="24"/>
              <w:szCs w:val="24"/>
              <w14:ligatures w14:val="standardContextual"/>
            </w:rPr>
          </w:pPr>
          <w:hyperlink w:anchor="_Toc214721922" w:history="1">
            <w:r w:rsidRPr="009300E5">
              <w:rPr>
                <w:rStyle w:val="Hyperlink"/>
                <w:rFonts w:eastAsiaTheme="majorEastAsia"/>
                <w:noProof/>
              </w:rPr>
              <w:t>5.4.1 Arbitrage Opportunity Structure</w:t>
            </w:r>
            <w:r>
              <w:rPr>
                <w:noProof/>
                <w:webHidden/>
              </w:rPr>
              <w:tab/>
            </w:r>
            <w:r>
              <w:rPr>
                <w:noProof/>
                <w:webHidden/>
              </w:rPr>
              <w:fldChar w:fldCharType="begin"/>
            </w:r>
            <w:r>
              <w:rPr>
                <w:noProof/>
                <w:webHidden/>
              </w:rPr>
              <w:instrText xml:space="preserve"> PAGEREF _Toc214721922 \h </w:instrText>
            </w:r>
            <w:r>
              <w:rPr>
                <w:noProof/>
                <w:webHidden/>
              </w:rPr>
            </w:r>
            <w:r>
              <w:rPr>
                <w:noProof/>
                <w:webHidden/>
              </w:rPr>
              <w:fldChar w:fldCharType="separate"/>
            </w:r>
            <w:r>
              <w:rPr>
                <w:noProof/>
                <w:webHidden/>
              </w:rPr>
              <w:t>94</w:t>
            </w:r>
            <w:r>
              <w:rPr>
                <w:noProof/>
                <w:webHidden/>
              </w:rPr>
              <w:fldChar w:fldCharType="end"/>
            </w:r>
          </w:hyperlink>
        </w:p>
        <w:p w14:paraId="201683EF" w14:textId="270E6CAA" w:rsidR="002C51B7" w:rsidRDefault="002C51B7">
          <w:pPr>
            <w:pStyle w:val="TOC3"/>
            <w:rPr>
              <w:rFonts w:eastAsiaTheme="minorEastAsia" w:cstheme="minorBidi"/>
              <w:i w:val="0"/>
              <w:iCs w:val="0"/>
              <w:noProof/>
              <w:sz w:val="24"/>
              <w:szCs w:val="24"/>
              <w14:ligatures w14:val="standardContextual"/>
            </w:rPr>
          </w:pPr>
          <w:hyperlink w:anchor="_Toc214721923" w:history="1">
            <w:r w:rsidRPr="009300E5">
              <w:rPr>
                <w:rStyle w:val="Hyperlink"/>
                <w:rFonts w:eastAsiaTheme="majorEastAsia"/>
                <w:noProof/>
              </w:rPr>
              <w:t>Table 5.D: Arbitrage Opportunity Economics - Spread vs Execution Reality</w:t>
            </w:r>
            <w:r>
              <w:rPr>
                <w:noProof/>
                <w:webHidden/>
              </w:rPr>
              <w:tab/>
            </w:r>
            <w:r>
              <w:rPr>
                <w:noProof/>
                <w:webHidden/>
              </w:rPr>
              <w:fldChar w:fldCharType="begin"/>
            </w:r>
            <w:r>
              <w:rPr>
                <w:noProof/>
                <w:webHidden/>
              </w:rPr>
              <w:instrText xml:space="preserve"> PAGEREF _Toc214721923 \h </w:instrText>
            </w:r>
            <w:r>
              <w:rPr>
                <w:noProof/>
                <w:webHidden/>
              </w:rPr>
            </w:r>
            <w:r>
              <w:rPr>
                <w:noProof/>
                <w:webHidden/>
              </w:rPr>
              <w:fldChar w:fldCharType="separate"/>
            </w:r>
            <w:r>
              <w:rPr>
                <w:noProof/>
                <w:webHidden/>
              </w:rPr>
              <w:t>94</w:t>
            </w:r>
            <w:r>
              <w:rPr>
                <w:noProof/>
                <w:webHidden/>
              </w:rPr>
              <w:fldChar w:fldCharType="end"/>
            </w:r>
          </w:hyperlink>
        </w:p>
        <w:p w14:paraId="1AD0220C" w14:textId="0B00C2D0" w:rsidR="002C51B7" w:rsidRDefault="002C51B7">
          <w:pPr>
            <w:pStyle w:val="TOC3"/>
            <w:rPr>
              <w:rFonts w:eastAsiaTheme="minorEastAsia" w:cstheme="minorBidi"/>
              <w:i w:val="0"/>
              <w:iCs w:val="0"/>
              <w:noProof/>
              <w:sz w:val="24"/>
              <w:szCs w:val="24"/>
              <w14:ligatures w14:val="standardContextual"/>
            </w:rPr>
          </w:pPr>
          <w:hyperlink w:anchor="_Toc214721924" w:history="1">
            <w:r w:rsidRPr="009300E5">
              <w:rPr>
                <w:rStyle w:val="Hyperlink"/>
                <w:rFonts w:eastAsiaTheme="majorEastAsia"/>
                <w:noProof/>
              </w:rPr>
              <w:t>5.4.2 Implementation Reality</w:t>
            </w:r>
            <w:r>
              <w:rPr>
                <w:noProof/>
                <w:webHidden/>
              </w:rPr>
              <w:tab/>
            </w:r>
            <w:r>
              <w:rPr>
                <w:noProof/>
                <w:webHidden/>
              </w:rPr>
              <w:fldChar w:fldCharType="begin"/>
            </w:r>
            <w:r>
              <w:rPr>
                <w:noProof/>
                <w:webHidden/>
              </w:rPr>
              <w:instrText xml:space="preserve"> PAGEREF _Toc214721924 \h </w:instrText>
            </w:r>
            <w:r>
              <w:rPr>
                <w:noProof/>
                <w:webHidden/>
              </w:rPr>
            </w:r>
            <w:r>
              <w:rPr>
                <w:noProof/>
                <w:webHidden/>
              </w:rPr>
              <w:fldChar w:fldCharType="separate"/>
            </w:r>
            <w:r>
              <w:rPr>
                <w:noProof/>
                <w:webHidden/>
              </w:rPr>
              <w:t>96</w:t>
            </w:r>
            <w:r>
              <w:rPr>
                <w:noProof/>
                <w:webHidden/>
              </w:rPr>
              <w:fldChar w:fldCharType="end"/>
            </w:r>
          </w:hyperlink>
        </w:p>
        <w:p w14:paraId="3DB6DF01" w14:textId="6C6977A2" w:rsidR="002C51B7" w:rsidRDefault="002C51B7">
          <w:pPr>
            <w:pStyle w:val="TOC2"/>
            <w:rPr>
              <w:rFonts w:eastAsiaTheme="minorEastAsia" w:cstheme="minorBidi"/>
              <w:b w:val="0"/>
              <w:bCs w:val="0"/>
              <w:smallCaps w:val="0"/>
              <w:sz w:val="24"/>
              <w:szCs w:val="24"/>
              <w14:ligatures w14:val="standardContextual"/>
            </w:rPr>
          </w:pPr>
          <w:hyperlink w:anchor="_Toc214721925" w:history="1">
            <w:r w:rsidRPr="009300E5">
              <w:rPr>
                <w:rStyle w:val="Hyperlink"/>
                <w:rFonts w:eastAsiaTheme="majorEastAsia"/>
              </w:rPr>
              <w:t>5.5 Synthesis and Implications</w:t>
            </w:r>
            <w:r>
              <w:rPr>
                <w:webHidden/>
              </w:rPr>
              <w:tab/>
            </w:r>
            <w:r>
              <w:rPr>
                <w:webHidden/>
              </w:rPr>
              <w:fldChar w:fldCharType="begin"/>
            </w:r>
            <w:r>
              <w:rPr>
                <w:webHidden/>
              </w:rPr>
              <w:instrText xml:space="preserve"> PAGEREF _Toc214721925 \h </w:instrText>
            </w:r>
            <w:r>
              <w:rPr>
                <w:webHidden/>
              </w:rPr>
            </w:r>
            <w:r>
              <w:rPr>
                <w:webHidden/>
              </w:rPr>
              <w:fldChar w:fldCharType="separate"/>
            </w:r>
            <w:r>
              <w:rPr>
                <w:webHidden/>
              </w:rPr>
              <w:t>96</w:t>
            </w:r>
            <w:r>
              <w:rPr>
                <w:webHidden/>
              </w:rPr>
              <w:fldChar w:fldCharType="end"/>
            </w:r>
          </w:hyperlink>
        </w:p>
        <w:p w14:paraId="2B960F7E" w14:textId="4140CDB3" w:rsidR="002C51B7" w:rsidRDefault="002C51B7">
          <w:pPr>
            <w:pStyle w:val="TOC2"/>
            <w:rPr>
              <w:rFonts w:eastAsiaTheme="minorEastAsia" w:cstheme="minorBidi"/>
              <w:b w:val="0"/>
              <w:bCs w:val="0"/>
              <w:smallCaps w:val="0"/>
              <w:sz w:val="24"/>
              <w:szCs w:val="24"/>
              <w14:ligatures w14:val="standardContextual"/>
            </w:rPr>
          </w:pPr>
          <w:hyperlink w:anchor="_Toc214721926" w:history="1">
            <w:r w:rsidRPr="009300E5">
              <w:rPr>
                <w:rStyle w:val="Hyperlink"/>
                <w:rFonts w:eastAsiaTheme="majorEastAsia"/>
              </w:rPr>
              <w:t>5.6 Plain Language Summary: What Fee Structures Mean for You</w:t>
            </w:r>
            <w:r>
              <w:rPr>
                <w:webHidden/>
              </w:rPr>
              <w:tab/>
            </w:r>
            <w:r>
              <w:rPr>
                <w:webHidden/>
              </w:rPr>
              <w:fldChar w:fldCharType="begin"/>
            </w:r>
            <w:r>
              <w:rPr>
                <w:webHidden/>
              </w:rPr>
              <w:instrText xml:space="preserve"> PAGEREF _Toc214721926 \h </w:instrText>
            </w:r>
            <w:r>
              <w:rPr>
                <w:webHidden/>
              </w:rPr>
            </w:r>
            <w:r>
              <w:rPr>
                <w:webHidden/>
              </w:rPr>
              <w:fldChar w:fldCharType="separate"/>
            </w:r>
            <w:r>
              <w:rPr>
                <w:webHidden/>
              </w:rPr>
              <w:t>96</w:t>
            </w:r>
            <w:r>
              <w:rPr>
                <w:webHidden/>
              </w:rPr>
              <w:fldChar w:fldCharType="end"/>
            </w:r>
          </w:hyperlink>
        </w:p>
        <w:p w14:paraId="36DD1E5B" w14:textId="63031FB0" w:rsidR="002C51B7" w:rsidRDefault="002C51B7">
          <w:pPr>
            <w:pStyle w:val="TOC3"/>
            <w:rPr>
              <w:rFonts w:eastAsiaTheme="minorEastAsia" w:cstheme="minorBidi"/>
              <w:i w:val="0"/>
              <w:iCs w:val="0"/>
              <w:noProof/>
              <w:sz w:val="24"/>
              <w:szCs w:val="24"/>
              <w14:ligatures w14:val="standardContextual"/>
            </w:rPr>
          </w:pPr>
          <w:hyperlink w:anchor="_Toc214721927" w:history="1">
            <w:r w:rsidRPr="009300E5">
              <w:rPr>
                <w:rStyle w:val="Hyperlink"/>
                <w:rFonts w:eastAsiaTheme="majorEastAsia"/>
                <w:noProof/>
              </w:rPr>
              <w:t>5.6.1 The Core Problem: Fixed Costs vs. Position Size</w:t>
            </w:r>
            <w:r>
              <w:rPr>
                <w:noProof/>
                <w:webHidden/>
              </w:rPr>
              <w:tab/>
            </w:r>
            <w:r>
              <w:rPr>
                <w:noProof/>
                <w:webHidden/>
              </w:rPr>
              <w:fldChar w:fldCharType="begin"/>
            </w:r>
            <w:r>
              <w:rPr>
                <w:noProof/>
                <w:webHidden/>
              </w:rPr>
              <w:instrText xml:space="preserve"> PAGEREF _Toc214721927 \h </w:instrText>
            </w:r>
            <w:r>
              <w:rPr>
                <w:noProof/>
                <w:webHidden/>
              </w:rPr>
            </w:r>
            <w:r>
              <w:rPr>
                <w:noProof/>
                <w:webHidden/>
              </w:rPr>
              <w:fldChar w:fldCharType="separate"/>
            </w:r>
            <w:r>
              <w:rPr>
                <w:noProof/>
                <w:webHidden/>
              </w:rPr>
              <w:t>96</w:t>
            </w:r>
            <w:r>
              <w:rPr>
                <w:noProof/>
                <w:webHidden/>
              </w:rPr>
              <w:fldChar w:fldCharType="end"/>
            </w:r>
          </w:hyperlink>
        </w:p>
        <w:p w14:paraId="5BE24AC5" w14:textId="7AF6C4C4" w:rsidR="002C51B7" w:rsidRDefault="002C51B7">
          <w:pPr>
            <w:pStyle w:val="TOC3"/>
            <w:rPr>
              <w:rFonts w:eastAsiaTheme="minorEastAsia" w:cstheme="minorBidi"/>
              <w:i w:val="0"/>
              <w:iCs w:val="0"/>
              <w:noProof/>
              <w:sz w:val="24"/>
              <w:szCs w:val="24"/>
              <w14:ligatures w14:val="standardContextual"/>
            </w:rPr>
          </w:pPr>
          <w:hyperlink w:anchor="_Toc214721928" w:history="1">
            <w:r w:rsidRPr="009300E5">
              <w:rPr>
                <w:rStyle w:val="Hyperlink"/>
                <w:rFonts w:eastAsiaTheme="majorEastAsia"/>
                <w:noProof/>
              </w:rPr>
              <w:t>5.6.2 Why Different Networks Have Different Minimums</w:t>
            </w:r>
            <w:r>
              <w:rPr>
                <w:noProof/>
                <w:webHidden/>
              </w:rPr>
              <w:tab/>
            </w:r>
            <w:r>
              <w:rPr>
                <w:noProof/>
                <w:webHidden/>
              </w:rPr>
              <w:fldChar w:fldCharType="begin"/>
            </w:r>
            <w:r>
              <w:rPr>
                <w:noProof/>
                <w:webHidden/>
              </w:rPr>
              <w:instrText xml:space="preserve"> PAGEREF _Toc214721928 \h </w:instrText>
            </w:r>
            <w:r>
              <w:rPr>
                <w:noProof/>
                <w:webHidden/>
              </w:rPr>
            </w:r>
            <w:r>
              <w:rPr>
                <w:noProof/>
                <w:webHidden/>
              </w:rPr>
              <w:fldChar w:fldCharType="separate"/>
            </w:r>
            <w:r>
              <w:rPr>
                <w:noProof/>
                <w:webHidden/>
              </w:rPr>
              <w:t>97</w:t>
            </w:r>
            <w:r>
              <w:rPr>
                <w:noProof/>
                <w:webHidden/>
              </w:rPr>
              <w:fldChar w:fldCharType="end"/>
            </w:r>
          </w:hyperlink>
        </w:p>
        <w:p w14:paraId="135B4CDF" w14:textId="3AAFC749" w:rsidR="002C51B7" w:rsidRDefault="002C51B7">
          <w:pPr>
            <w:pStyle w:val="TOC3"/>
            <w:rPr>
              <w:rFonts w:eastAsiaTheme="minorEastAsia" w:cstheme="minorBidi"/>
              <w:i w:val="0"/>
              <w:iCs w:val="0"/>
              <w:noProof/>
              <w:sz w:val="24"/>
              <w:szCs w:val="24"/>
              <w14:ligatures w14:val="standardContextual"/>
            </w:rPr>
          </w:pPr>
          <w:hyperlink w:anchor="_Toc214721929" w:history="1">
            <w:r w:rsidRPr="009300E5">
              <w:rPr>
                <w:rStyle w:val="Hyperlink"/>
                <w:rFonts w:eastAsiaTheme="majorEastAsia"/>
                <w:noProof/>
              </w:rPr>
              <w:t>5.6.3 The Maker-Taker Illusion</w:t>
            </w:r>
            <w:r>
              <w:rPr>
                <w:noProof/>
                <w:webHidden/>
              </w:rPr>
              <w:tab/>
            </w:r>
            <w:r>
              <w:rPr>
                <w:noProof/>
                <w:webHidden/>
              </w:rPr>
              <w:fldChar w:fldCharType="begin"/>
            </w:r>
            <w:r>
              <w:rPr>
                <w:noProof/>
                <w:webHidden/>
              </w:rPr>
              <w:instrText xml:space="preserve"> PAGEREF _Toc214721929 \h </w:instrText>
            </w:r>
            <w:r>
              <w:rPr>
                <w:noProof/>
                <w:webHidden/>
              </w:rPr>
            </w:r>
            <w:r>
              <w:rPr>
                <w:noProof/>
                <w:webHidden/>
              </w:rPr>
              <w:fldChar w:fldCharType="separate"/>
            </w:r>
            <w:r>
              <w:rPr>
                <w:noProof/>
                <w:webHidden/>
              </w:rPr>
              <w:t>97</w:t>
            </w:r>
            <w:r>
              <w:rPr>
                <w:noProof/>
                <w:webHidden/>
              </w:rPr>
              <w:fldChar w:fldCharType="end"/>
            </w:r>
          </w:hyperlink>
        </w:p>
        <w:p w14:paraId="30A0D0AB" w14:textId="4E8C51E0" w:rsidR="002C51B7" w:rsidRDefault="002C51B7">
          <w:pPr>
            <w:pStyle w:val="TOC3"/>
            <w:rPr>
              <w:rFonts w:eastAsiaTheme="minorEastAsia" w:cstheme="minorBidi"/>
              <w:i w:val="0"/>
              <w:iCs w:val="0"/>
              <w:noProof/>
              <w:sz w:val="24"/>
              <w:szCs w:val="24"/>
              <w14:ligatures w14:val="standardContextual"/>
            </w:rPr>
          </w:pPr>
          <w:hyperlink w:anchor="_Toc214721930" w:history="1">
            <w:r w:rsidRPr="009300E5">
              <w:rPr>
                <w:rStyle w:val="Hyperlink"/>
                <w:rFonts w:eastAsiaTheme="majorEastAsia"/>
                <w:noProof/>
              </w:rPr>
              <w:t>5.6.4 Volume-Based Fee Tiers: The Treadmill Effect</w:t>
            </w:r>
            <w:r>
              <w:rPr>
                <w:noProof/>
                <w:webHidden/>
              </w:rPr>
              <w:tab/>
            </w:r>
            <w:r>
              <w:rPr>
                <w:noProof/>
                <w:webHidden/>
              </w:rPr>
              <w:fldChar w:fldCharType="begin"/>
            </w:r>
            <w:r>
              <w:rPr>
                <w:noProof/>
                <w:webHidden/>
              </w:rPr>
              <w:instrText xml:space="preserve"> PAGEREF _Toc214721930 \h </w:instrText>
            </w:r>
            <w:r>
              <w:rPr>
                <w:noProof/>
                <w:webHidden/>
              </w:rPr>
            </w:r>
            <w:r>
              <w:rPr>
                <w:noProof/>
                <w:webHidden/>
              </w:rPr>
              <w:fldChar w:fldCharType="separate"/>
            </w:r>
            <w:r>
              <w:rPr>
                <w:noProof/>
                <w:webHidden/>
              </w:rPr>
              <w:t>97</w:t>
            </w:r>
            <w:r>
              <w:rPr>
                <w:noProof/>
                <w:webHidden/>
              </w:rPr>
              <w:fldChar w:fldCharType="end"/>
            </w:r>
          </w:hyperlink>
        </w:p>
        <w:p w14:paraId="2471F8CE" w14:textId="14AF466B" w:rsidR="002C51B7" w:rsidRDefault="002C51B7">
          <w:pPr>
            <w:pStyle w:val="TOC3"/>
            <w:rPr>
              <w:rFonts w:eastAsiaTheme="minorEastAsia" w:cstheme="minorBidi"/>
              <w:i w:val="0"/>
              <w:iCs w:val="0"/>
              <w:noProof/>
              <w:sz w:val="24"/>
              <w:szCs w:val="24"/>
              <w14:ligatures w14:val="standardContextual"/>
            </w:rPr>
          </w:pPr>
          <w:hyperlink w:anchor="_Toc214721931" w:history="1">
            <w:r w:rsidRPr="009300E5">
              <w:rPr>
                <w:rStyle w:val="Hyperlink"/>
                <w:rFonts w:eastAsiaTheme="majorEastAsia"/>
                <w:noProof/>
              </w:rPr>
              <w:t>5.6.5 DEX Fee Structures: Democratic by Design, Concentrated by Outcome</w:t>
            </w:r>
            <w:r>
              <w:rPr>
                <w:noProof/>
                <w:webHidden/>
              </w:rPr>
              <w:tab/>
            </w:r>
            <w:r>
              <w:rPr>
                <w:noProof/>
                <w:webHidden/>
              </w:rPr>
              <w:fldChar w:fldCharType="begin"/>
            </w:r>
            <w:r>
              <w:rPr>
                <w:noProof/>
                <w:webHidden/>
              </w:rPr>
              <w:instrText xml:space="preserve"> PAGEREF _Toc214721931 \h </w:instrText>
            </w:r>
            <w:r>
              <w:rPr>
                <w:noProof/>
                <w:webHidden/>
              </w:rPr>
            </w:r>
            <w:r>
              <w:rPr>
                <w:noProof/>
                <w:webHidden/>
              </w:rPr>
              <w:fldChar w:fldCharType="separate"/>
            </w:r>
            <w:r>
              <w:rPr>
                <w:noProof/>
                <w:webHidden/>
              </w:rPr>
              <w:t>98</w:t>
            </w:r>
            <w:r>
              <w:rPr>
                <w:noProof/>
                <w:webHidden/>
              </w:rPr>
              <w:fldChar w:fldCharType="end"/>
            </w:r>
          </w:hyperlink>
        </w:p>
        <w:p w14:paraId="4362B1A8" w14:textId="18F1D0A9" w:rsidR="002C51B7" w:rsidRDefault="002C51B7">
          <w:pPr>
            <w:pStyle w:val="TOC3"/>
            <w:rPr>
              <w:rFonts w:eastAsiaTheme="minorEastAsia" w:cstheme="minorBidi"/>
              <w:i w:val="0"/>
              <w:iCs w:val="0"/>
              <w:noProof/>
              <w:sz w:val="24"/>
              <w:szCs w:val="24"/>
              <w14:ligatures w14:val="standardContextual"/>
            </w:rPr>
          </w:pPr>
          <w:hyperlink w:anchor="_Toc214721932" w:history="1">
            <w:r w:rsidRPr="009300E5">
              <w:rPr>
                <w:rStyle w:val="Hyperlink"/>
                <w:rFonts w:eastAsiaTheme="majorEastAsia"/>
                <w:noProof/>
              </w:rPr>
              <w:t>Table 5.E: Gas Cost Timing Optimization Patterns - When to Transact</w:t>
            </w:r>
            <w:r>
              <w:rPr>
                <w:noProof/>
                <w:webHidden/>
              </w:rPr>
              <w:tab/>
            </w:r>
            <w:r>
              <w:rPr>
                <w:noProof/>
                <w:webHidden/>
              </w:rPr>
              <w:fldChar w:fldCharType="begin"/>
            </w:r>
            <w:r>
              <w:rPr>
                <w:noProof/>
                <w:webHidden/>
              </w:rPr>
              <w:instrText xml:space="preserve"> PAGEREF _Toc214721932 \h </w:instrText>
            </w:r>
            <w:r>
              <w:rPr>
                <w:noProof/>
                <w:webHidden/>
              </w:rPr>
            </w:r>
            <w:r>
              <w:rPr>
                <w:noProof/>
                <w:webHidden/>
              </w:rPr>
              <w:fldChar w:fldCharType="separate"/>
            </w:r>
            <w:r>
              <w:rPr>
                <w:noProof/>
                <w:webHidden/>
              </w:rPr>
              <w:t>99</w:t>
            </w:r>
            <w:r>
              <w:rPr>
                <w:noProof/>
                <w:webHidden/>
              </w:rPr>
              <w:fldChar w:fldCharType="end"/>
            </w:r>
          </w:hyperlink>
        </w:p>
        <w:p w14:paraId="3C464410" w14:textId="68ECFF14" w:rsidR="002C51B7" w:rsidRDefault="002C51B7">
          <w:pPr>
            <w:pStyle w:val="TOC3"/>
            <w:rPr>
              <w:rFonts w:eastAsiaTheme="minorEastAsia" w:cstheme="minorBidi"/>
              <w:i w:val="0"/>
              <w:iCs w:val="0"/>
              <w:noProof/>
              <w:sz w:val="24"/>
              <w:szCs w:val="24"/>
              <w14:ligatures w14:val="standardContextual"/>
            </w:rPr>
          </w:pPr>
          <w:hyperlink w:anchor="_Toc214721933" w:history="1">
            <w:r w:rsidRPr="009300E5">
              <w:rPr>
                <w:rStyle w:val="Hyperlink"/>
                <w:rFonts w:eastAsiaTheme="majorEastAsia"/>
                <w:noProof/>
              </w:rPr>
              <w:t>5.6.6 The MEV Tax: A Hidden Cost</w:t>
            </w:r>
            <w:r>
              <w:rPr>
                <w:noProof/>
                <w:webHidden/>
              </w:rPr>
              <w:tab/>
            </w:r>
            <w:r>
              <w:rPr>
                <w:noProof/>
                <w:webHidden/>
              </w:rPr>
              <w:fldChar w:fldCharType="begin"/>
            </w:r>
            <w:r>
              <w:rPr>
                <w:noProof/>
                <w:webHidden/>
              </w:rPr>
              <w:instrText xml:space="preserve"> PAGEREF _Toc214721933 \h </w:instrText>
            </w:r>
            <w:r>
              <w:rPr>
                <w:noProof/>
                <w:webHidden/>
              </w:rPr>
            </w:r>
            <w:r>
              <w:rPr>
                <w:noProof/>
                <w:webHidden/>
              </w:rPr>
              <w:fldChar w:fldCharType="separate"/>
            </w:r>
            <w:r>
              <w:rPr>
                <w:noProof/>
                <w:webHidden/>
              </w:rPr>
              <w:t>100</w:t>
            </w:r>
            <w:r>
              <w:rPr>
                <w:noProof/>
                <w:webHidden/>
              </w:rPr>
              <w:fldChar w:fldCharType="end"/>
            </w:r>
          </w:hyperlink>
        </w:p>
        <w:p w14:paraId="6EADDEF8" w14:textId="690EBF0F" w:rsidR="002C51B7" w:rsidRDefault="002C51B7">
          <w:pPr>
            <w:pStyle w:val="TOC3"/>
            <w:rPr>
              <w:rFonts w:eastAsiaTheme="minorEastAsia" w:cstheme="minorBidi"/>
              <w:i w:val="0"/>
              <w:iCs w:val="0"/>
              <w:noProof/>
              <w:sz w:val="24"/>
              <w:szCs w:val="24"/>
              <w14:ligatures w14:val="standardContextual"/>
            </w:rPr>
          </w:pPr>
          <w:hyperlink w:anchor="_Toc214721934" w:history="1">
            <w:r w:rsidRPr="009300E5">
              <w:rPr>
                <w:rStyle w:val="Hyperlink"/>
                <w:rFonts w:eastAsiaTheme="majorEastAsia"/>
                <w:noProof/>
              </w:rPr>
              <w:t>5.6.7 Capital Efficiency: The 4000x Myth</w:t>
            </w:r>
            <w:r>
              <w:rPr>
                <w:noProof/>
                <w:webHidden/>
              </w:rPr>
              <w:tab/>
            </w:r>
            <w:r>
              <w:rPr>
                <w:noProof/>
                <w:webHidden/>
              </w:rPr>
              <w:fldChar w:fldCharType="begin"/>
            </w:r>
            <w:r>
              <w:rPr>
                <w:noProof/>
                <w:webHidden/>
              </w:rPr>
              <w:instrText xml:space="preserve"> PAGEREF _Toc214721934 \h </w:instrText>
            </w:r>
            <w:r>
              <w:rPr>
                <w:noProof/>
                <w:webHidden/>
              </w:rPr>
            </w:r>
            <w:r>
              <w:rPr>
                <w:noProof/>
                <w:webHidden/>
              </w:rPr>
              <w:fldChar w:fldCharType="separate"/>
            </w:r>
            <w:r>
              <w:rPr>
                <w:noProof/>
                <w:webHidden/>
              </w:rPr>
              <w:t>101</w:t>
            </w:r>
            <w:r>
              <w:rPr>
                <w:noProof/>
                <w:webHidden/>
              </w:rPr>
              <w:fldChar w:fldCharType="end"/>
            </w:r>
          </w:hyperlink>
        </w:p>
        <w:p w14:paraId="1F4FC309" w14:textId="123682A3" w:rsidR="002C51B7" w:rsidRDefault="002C51B7">
          <w:pPr>
            <w:pStyle w:val="TOC3"/>
            <w:rPr>
              <w:rFonts w:eastAsiaTheme="minorEastAsia" w:cstheme="minorBidi"/>
              <w:i w:val="0"/>
              <w:iCs w:val="0"/>
              <w:noProof/>
              <w:sz w:val="24"/>
              <w:szCs w:val="24"/>
              <w14:ligatures w14:val="standardContextual"/>
            </w:rPr>
          </w:pPr>
          <w:hyperlink w:anchor="_Toc214721935" w:history="1">
            <w:r w:rsidRPr="009300E5">
              <w:rPr>
                <w:rStyle w:val="Hyperlink"/>
                <w:rFonts w:eastAsiaTheme="majorEastAsia"/>
                <w:noProof/>
              </w:rPr>
              <w:t>5.6.8 Key Takeaways in Plain Language</w:t>
            </w:r>
            <w:r>
              <w:rPr>
                <w:noProof/>
                <w:webHidden/>
              </w:rPr>
              <w:tab/>
            </w:r>
            <w:r>
              <w:rPr>
                <w:noProof/>
                <w:webHidden/>
              </w:rPr>
              <w:fldChar w:fldCharType="begin"/>
            </w:r>
            <w:r>
              <w:rPr>
                <w:noProof/>
                <w:webHidden/>
              </w:rPr>
              <w:instrText xml:space="preserve"> PAGEREF _Toc214721935 \h </w:instrText>
            </w:r>
            <w:r>
              <w:rPr>
                <w:noProof/>
                <w:webHidden/>
              </w:rPr>
            </w:r>
            <w:r>
              <w:rPr>
                <w:noProof/>
                <w:webHidden/>
              </w:rPr>
              <w:fldChar w:fldCharType="separate"/>
            </w:r>
            <w:r>
              <w:rPr>
                <w:noProof/>
                <w:webHidden/>
              </w:rPr>
              <w:t>101</w:t>
            </w:r>
            <w:r>
              <w:rPr>
                <w:noProof/>
                <w:webHidden/>
              </w:rPr>
              <w:fldChar w:fldCharType="end"/>
            </w:r>
          </w:hyperlink>
        </w:p>
        <w:p w14:paraId="51F9FC2C" w14:textId="062C6751" w:rsidR="002C51B7" w:rsidRDefault="002C51B7">
          <w:pPr>
            <w:pStyle w:val="TOC3"/>
            <w:rPr>
              <w:rFonts w:eastAsiaTheme="minorEastAsia" w:cstheme="minorBidi"/>
              <w:i w:val="0"/>
              <w:iCs w:val="0"/>
              <w:noProof/>
              <w:sz w:val="24"/>
              <w:szCs w:val="24"/>
              <w14:ligatures w14:val="standardContextual"/>
            </w:rPr>
          </w:pPr>
          <w:hyperlink w:anchor="_Toc214721936" w:history="1">
            <w:r w:rsidRPr="009300E5">
              <w:rPr>
                <w:rStyle w:val="Hyperlink"/>
                <w:rFonts w:eastAsiaTheme="majorEastAsia"/>
                <w:noProof/>
              </w:rPr>
              <w:t>5.6.9 What This Means for Decision-making</w:t>
            </w:r>
            <w:r>
              <w:rPr>
                <w:noProof/>
                <w:webHidden/>
              </w:rPr>
              <w:tab/>
            </w:r>
            <w:r>
              <w:rPr>
                <w:noProof/>
                <w:webHidden/>
              </w:rPr>
              <w:fldChar w:fldCharType="begin"/>
            </w:r>
            <w:r>
              <w:rPr>
                <w:noProof/>
                <w:webHidden/>
              </w:rPr>
              <w:instrText xml:space="preserve"> PAGEREF _Toc214721936 \h </w:instrText>
            </w:r>
            <w:r>
              <w:rPr>
                <w:noProof/>
                <w:webHidden/>
              </w:rPr>
            </w:r>
            <w:r>
              <w:rPr>
                <w:noProof/>
                <w:webHidden/>
              </w:rPr>
              <w:fldChar w:fldCharType="separate"/>
            </w:r>
            <w:r>
              <w:rPr>
                <w:noProof/>
                <w:webHidden/>
              </w:rPr>
              <w:t>102</w:t>
            </w:r>
            <w:r>
              <w:rPr>
                <w:noProof/>
                <w:webHidden/>
              </w:rPr>
              <w:fldChar w:fldCharType="end"/>
            </w:r>
          </w:hyperlink>
        </w:p>
        <w:p w14:paraId="7E4BFDE5" w14:textId="1E063F67" w:rsidR="002C51B7" w:rsidRDefault="002C51B7">
          <w:pPr>
            <w:pStyle w:val="TOC3"/>
            <w:rPr>
              <w:rFonts w:eastAsiaTheme="minorEastAsia" w:cstheme="minorBidi"/>
              <w:i w:val="0"/>
              <w:iCs w:val="0"/>
              <w:noProof/>
              <w:sz w:val="24"/>
              <w:szCs w:val="24"/>
              <w14:ligatures w14:val="standardContextual"/>
            </w:rPr>
          </w:pPr>
          <w:hyperlink w:anchor="_Toc214721937" w:history="1">
            <w:r w:rsidRPr="009300E5">
              <w:rPr>
                <w:rStyle w:val="Hyperlink"/>
                <w:rFonts w:eastAsiaTheme="majorEastAsia"/>
                <w:noProof/>
              </w:rPr>
              <w:t>5.6.10 The Bottom Line</w:t>
            </w:r>
            <w:r>
              <w:rPr>
                <w:noProof/>
                <w:webHidden/>
              </w:rPr>
              <w:tab/>
            </w:r>
            <w:r>
              <w:rPr>
                <w:noProof/>
                <w:webHidden/>
              </w:rPr>
              <w:fldChar w:fldCharType="begin"/>
            </w:r>
            <w:r>
              <w:rPr>
                <w:noProof/>
                <w:webHidden/>
              </w:rPr>
              <w:instrText xml:space="preserve"> PAGEREF _Toc214721937 \h </w:instrText>
            </w:r>
            <w:r>
              <w:rPr>
                <w:noProof/>
                <w:webHidden/>
              </w:rPr>
            </w:r>
            <w:r>
              <w:rPr>
                <w:noProof/>
                <w:webHidden/>
              </w:rPr>
              <w:fldChar w:fldCharType="separate"/>
            </w:r>
            <w:r>
              <w:rPr>
                <w:noProof/>
                <w:webHidden/>
              </w:rPr>
              <w:t>102</w:t>
            </w:r>
            <w:r>
              <w:rPr>
                <w:noProof/>
                <w:webHidden/>
              </w:rPr>
              <w:fldChar w:fldCharType="end"/>
            </w:r>
          </w:hyperlink>
        </w:p>
        <w:p w14:paraId="44583932" w14:textId="520BF1CB" w:rsidR="002C51B7" w:rsidRDefault="002C51B7">
          <w:pPr>
            <w:pStyle w:val="TOC1"/>
            <w:tabs>
              <w:tab w:val="right" w:leader="dot" w:pos="9350"/>
            </w:tabs>
            <w:rPr>
              <w:rFonts w:eastAsiaTheme="minorEastAsia" w:cstheme="minorBidi"/>
              <w:b w:val="0"/>
              <w:bCs w:val="0"/>
              <w:caps w:val="0"/>
              <w:noProof/>
              <w:sz w:val="24"/>
              <w:szCs w:val="24"/>
              <w14:ligatures w14:val="standardContextual"/>
            </w:rPr>
          </w:pPr>
          <w:hyperlink w:anchor="_Toc214721938" w:history="1">
            <w:r w:rsidRPr="009300E5">
              <w:rPr>
                <w:rStyle w:val="Hyperlink"/>
                <w:rFonts w:eastAsiaTheme="majorEastAsia"/>
                <w:noProof/>
              </w:rPr>
              <w:t>CHAPTER 6: PROTOCOL-LEVEL FEE MECHANISMS</w:t>
            </w:r>
            <w:r>
              <w:rPr>
                <w:noProof/>
                <w:webHidden/>
              </w:rPr>
              <w:tab/>
            </w:r>
            <w:r>
              <w:rPr>
                <w:noProof/>
                <w:webHidden/>
              </w:rPr>
              <w:fldChar w:fldCharType="begin"/>
            </w:r>
            <w:r>
              <w:rPr>
                <w:noProof/>
                <w:webHidden/>
              </w:rPr>
              <w:instrText xml:space="preserve"> PAGEREF _Toc214721938 \h </w:instrText>
            </w:r>
            <w:r>
              <w:rPr>
                <w:noProof/>
                <w:webHidden/>
              </w:rPr>
            </w:r>
            <w:r>
              <w:rPr>
                <w:noProof/>
                <w:webHidden/>
              </w:rPr>
              <w:fldChar w:fldCharType="separate"/>
            </w:r>
            <w:r>
              <w:rPr>
                <w:noProof/>
                <w:webHidden/>
              </w:rPr>
              <w:t>104</w:t>
            </w:r>
            <w:r>
              <w:rPr>
                <w:noProof/>
                <w:webHidden/>
              </w:rPr>
              <w:fldChar w:fldCharType="end"/>
            </w:r>
          </w:hyperlink>
        </w:p>
        <w:p w14:paraId="07970883" w14:textId="72F34450" w:rsidR="002C51B7" w:rsidRDefault="002C51B7">
          <w:pPr>
            <w:pStyle w:val="TOC2"/>
            <w:rPr>
              <w:rFonts w:eastAsiaTheme="minorEastAsia" w:cstheme="minorBidi"/>
              <w:b w:val="0"/>
              <w:bCs w:val="0"/>
              <w:smallCaps w:val="0"/>
              <w:sz w:val="24"/>
              <w:szCs w:val="24"/>
              <w14:ligatures w14:val="standardContextual"/>
            </w:rPr>
          </w:pPr>
          <w:hyperlink w:anchor="_Toc214721939" w:history="1">
            <w:r w:rsidRPr="009300E5">
              <w:rPr>
                <w:rStyle w:val="Hyperlink"/>
                <w:rFonts w:eastAsiaTheme="majorEastAsia"/>
              </w:rPr>
              <w:t>6.1 Comparative Analysis of Protocol Fee Mechanisms</w:t>
            </w:r>
            <w:r>
              <w:rPr>
                <w:webHidden/>
              </w:rPr>
              <w:tab/>
            </w:r>
            <w:r>
              <w:rPr>
                <w:webHidden/>
              </w:rPr>
              <w:fldChar w:fldCharType="begin"/>
            </w:r>
            <w:r>
              <w:rPr>
                <w:webHidden/>
              </w:rPr>
              <w:instrText xml:space="preserve"> PAGEREF _Toc214721939 \h </w:instrText>
            </w:r>
            <w:r>
              <w:rPr>
                <w:webHidden/>
              </w:rPr>
            </w:r>
            <w:r>
              <w:rPr>
                <w:webHidden/>
              </w:rPr>
              <w:fldChar w:fldCharType="separate"/>
            </w:r>
            <w:r>
              <w:rPr>
                <w:webHidden/>
              </w:rPr>
              <w:t>104</w:t>
            </w:r>
            <w:r>
              <w:rPr>
                <w:webHidden/>
              </w:rPr>
              <w:fldChar w:fldCharType="end"/>
            </w:r>
          </w:hyperlink>
        </w:p>
        <w:p w14:paraId="482E38CB" w14:textId="3FDEC496" w:rsidR="002C51B7" w:rsidRDefault="002C51B7">
          <w:pPr>
            <w:pStyle w:val="TOC3"/>
            <w:rPr>
              <w:rFonts w:eastAsiaTheme="minorEastAsia" w:cstheme="minorBidi"/>
              <w:i w:val="0"/>
              <w:iCs w:val="0"/>
              <w:noProof/>
              <w:sz w:val="24"/>
              <w:szCs w:val="24"/>
              <w14:ligatures w14:val="standardContextual"/>
            </w:rPr>
          </w:pPr>
          <w:hyperlink w:anchor="_Toc214721940" w:history="1">
            <w:r w:rsidRPr="009300E5">
              <w:rPr>
                <w:rStyle w:val="Hyperlink"/>
                <w:rFonts w:eastAsiaTheme="majorEastAsia"/>
                <w:noProof/>
              </w:rPr>
              <w:t>6.1.1 EIP-1559 and Fee Burning: Natural Experiment in Economics</w:t>
            </w:r>
            <w:r>
              <w:rPr>
                <w:noProof/>
                <w:webHidden/>
              </w:rPr>
              <w:tab/>
            </w:r>
            <w:r>
              <w:rPr>
                <w:noProof/>
                <w:webHidden/>
              </w:rPr>
              <w:fldChar w:fldCharType="begin"/>
            </w:r>
            <w:r>
              <w:rPr>
                <w:noProof/>
                <w:webHidden/>
              </w:rPr>
              <w:instrText xml:space="preserve"> PAGEREF _Toc214721940 \h </w:instrText>
            </w:r>
            <w:r>
              <w:rPr>
                <w:noProof/>
                <w:webHidden/>
              </w:rPr>
            </w:r>
            <w:r>
              <w:rPr>
                <w:noProof/>
                <w:webHidden/>
              </w:rPr>
              <w:fldChar w:fldCharType="separate"/>
            </w:r>
            <w:r>
              <w:rPr>
                <w:noProof/>
                <w:webHidden/>
              </w:rPr>
              <w:t>104</w:t>
            </w:r>
            <w:r>
              <w:rPr>
                <w:noProof/>
                <w:webHidden/>
              </w:rPr>
              <w:fldChar w:fldCharType="end"/>
            </w:r>
          </w:hyperlink>
        </w:p>
        <w:p w14:paraId="3045AE38" w14:textId="0EDD6CBA" w:rsidR="002C51B7" w:rsidRDefault="002C51B7">
          <w:pPr>
            <w:pStyle w:val="TOC3"/>
            <w:rPr>
              <w:rFonts w:eastAsiaTheme="minorEastAsia" w:cstheme="minorBidi"/>
              <w:i w:val="0"/>
              <w:iCs w:val="0"/>
              <w:noProof/>
              <w:sz w:val="24"/>
              <w:szCs w:val="24"/>
              <w14:ligatures w14:val="standardContextual"/>
            </w:rPr>
          </w:pPr>
          <w:hyperlink w:anchor="_Toc214721941" w:history="1">
            <w:r w:rsidRPr="009300E5">
              <w:rPr>
                <w:rStyle w:val="Hyperlink"/>
                <w:rFonts w:eastAsiaTheme="majorEastAsia"/>
                <w:noProof/>
              </w:rPr>
              <w:t>Table 6A: EIP-1559 Impact Analysis - Before and After Comparison (Ethereum)</w:t>
            </w:r>
            <w:r>
              <w:rPr>
                <w:noProof/>
                <w:webHidden/>
              </w:rPr>
              <w:tab/>
            </w:r>
            <w:r>
              <w:rPr>
                <w:noProof/>
                <w:webHidden/>
              </w:rPr>
              <w:fldChar w:fldCharType="begin"/>
            </w:r>
            <w:r>
              <w:rPr>
                <w:noProof/>
                <w:webHidden/>
              </w:rPr>
              <w:instrText xml:space="preserve"> PAGEREF _Toc214721941 \h </w:instrText>
            </w:r>
            <w:r>
              <w:rPr>
                <w:noProof/>
                <w:webHidden/>
              </w:rPr>
            </w:r>
            <w:r>
              <w:rPr>
                <w:noProof/>
                <w:webHidden/>
              </w:rPr>
              <w:fldChar w:fldCharType="separate"/>
            </w:r>
            <w:r>
              <w:rPr>
                <w:noProof/>
                <w:webHidden/>
              </w:rPr>
              <w:t>104</w:t>
            </w:r>
            <w:r>
              <w:rPr>
                <w:noProof/>
                <w:webHidden/>
              </w:rPr>
              <w:fldChar w:fldCharType="end"/>
            </w:r>
          </w:hyperlink>
        </w:p>
        <w:p w14:paraId="7C397873" w14:textId="36311CAC" w:rsidR="002C51B7" w:rsidRDefault="002C51B7">
          <w:pPr>
            <w:pStyle w:val="TOC3"/>
            <w:rPr>
              <w:rFonts w:eastAsiaTheme="minorEastAsia" w:cstheme="minorBidi"/>
              <w:i w:val="0"/>
              <w:iCs w:val="0"/>
              <w:noProof/>
              <w:sz w:val="24"/>
              <w:szCs w:val="24"/>
              <w14:ligatures w14:val="standardContextual"/>
            </w:rPr>
          </w:pPr>
          <w:hyperlink w:anchor="_Toc214721942" w:history="1">
            <w:r w:rsidRPr="009300E5">
              <w:rPr>
                <w:rStyle w:val="Hyperlink"/>
                <w:rFonts w:eastAsiaTheme="majorEastAsia"/>
                <w:noProof/>
              </w:rPr>
              <w:t>6.1.2 Alternative Consensus Mechanisms: Different Games, Different Rules</w:t>
            </w:r>
            <w:r>
              <w:rPr>
                <w:noProof/>
                <w:webHidden/>
              </w:rPr>
              <w:tab/>
            </w:r>
            <w:r>
              <w:rPr>
                <w:noProof/>
                <w:webHidden/>
              </w:rPr>
              <w:fldChar w:fldCharType="begin"/>
            </w:r>
            <w:r>
              <w:rPr>
                <w:noProof/>
                <w:webHidden/>
              </w:rPr>
              <w:instrText xml:space="preserve"> PAGEREF _Toc214721942 \h </w:instrText>
            </w:r>
            <w:r>
              <w:rPr>
                <w:noProof/>
                <w:webHidden/>
              </w:rPr>
            </w:r>
            <w:r>
              <w:rPr>
                <w:noProof/>
                <w:webHidden/>
              </w:rPr>
              <w:fldChar w:fldCharType="separate"/>
            </w:r>
            <w:r>
              <w:rPr>
                <w:noProof/>
                <w:webHidden/>
              </w:rPr>
              <w:t>106</w:t>
            </w:r>
            <w:r>
              <w:rPr>
                <w:noProof/>
                <w:webHidden/>
              </w:rPr>
              <w:fldChar w:fldCharType="end"/>
            </w:r>
          </w:hyperlink>
        </w:p>
        <w:p w14:paraId="43CED960" w14:textId="64227495" w:rsidR="002C51B7" w:rsidRDefault="002C51B7">
          <w:pPr>
            <w:pStyle w:val="TOC3"/>
            <w:rPr>
              <w:rFonts w:eastAsiaTheme="minorEastAsia" w:cstheme="minorBidi"/>
              <w:i w:val="0"/>
              <w:iCs w:val="0"/>
              <w:noProof/>
              <w:sz w:val="24"/>
              <w:szCs w:val="24"/>
              <w14:ligatures w14:val="standardContextual"/>
            </w:rPr>
          </w:pPr>
          <w:hyperlink w:anchor="_Toc214721943" w:history="1">
            <w:r w:rsidRPr="009300E5">
              <w:rPr>
                <w:rStyle w:val="Hyperlink"/>
                <w:rFonts w:eastAsiaTheme="majorEastAsia"/>
                <w:noProof/>
              </w:rPr>
              <w:t>Table 6.B: Protocol-Level Fee Models Comparison Across Major Blockchains</w:t>
            </w:r>
            <w:r>
              <w:rPr>
                <w:noProof/>
                <w:webHidden/>
              </w:rPr>
              <w:tab/>
            </w:r>
            <w:r>
              <w:rPr>
                <w:noProof/>
                <w:webHidden/>
              </w:rPr>
              <w:fldChar w:fldCharType="begin"/>
            </w:r>
            <w:r>
              <w:rPr>
                <w:noProof/>
                <w:webHidden/>
              </w:rPr>
              <w:instrText xml:space="preserve"> PAGEREF _Toc214721943 \h </w:instrText>
            </w:r>
            <w:r>
              <w:rPr>
                <w:noProof/>
                <w:webHidden/>
              </w:rPr>
            </w:r>
            <w:r>
              <w:rPr>
                <w:noProof/>
                <w:webHidden/>
              </w:rPr>
              <w:fldChar w:fldCharType="separate"/>
            </w:r>
            <w:r>
              <w:rPr>
                <w:noProof/>
                <w:webHidden/>
              </w:rPr>
              <w:t>107</w:t>
            </w:r>
            <w:r>
              <w:rPr>
                <w:noProof/>
                <w:webHidden/>
              </w:rPr>
              <w:fldChar w:fldCharType="end"/>
            </w:r>
          </w:hyperlink>
        </w:p>
        <w:p w14:paraId="71760C9E" w14:textId="4F7CED89" w:rsidR="002C51B7" w:rsidRDefault="002C51B7">
          <w:pPr>
            <w:pStyle w:val="TOC2"/>
            <w:rPr>
              <w:rFonts w:eastAsiaTheme="minorEastAsia" w:cstheme="minorBidi"/>
              <w:b w:val="0"/>
              <w:bCs w:val="0"/>
              <w:smallCaps w:val="0"/>
              <w:sz w:val="24"/>
              <w:szCs w:val="24"/>
              <w14:ligatures w14:val="standardContextual"/>
            </w:rPr>
          </w:pPr>
          <w:hyperlink w:anchor="_Toc214721944" w:history="1">
            <w:r w:rsidRPr="009300E5">
              <w:rPr>
                <w:rStyle w:val="Hyperlink"/>
                <w:rFonts w:eastAsiaTheme="majorEastAsia"/>
              </w:rPr>
              <w:t>6.2 Fee Market Dynamics: Patterns and Exploitation</w:t>
            </w:r>
            <w:r>
              <w:rPr>
                <w:webHidden/>
              </w:rPr>
              <w:tab/>
            </w:r>
            <w:r>
              <w:rPr>
                <w:webHidden/>
              </w:rPr>
              <w:fldChar w:fldCharType="begin"/>
            </w:r>
            <w:r>
              <w:rPr>
                <w:webHidden/>
              </w:rPr>
              <w:instrText xml:space="preserve"> PAGEREF _Toc214721944 \h </w:instrText>
            </w:r>
            <w:r>
              <w:rPr>
                <w:webHidden/>
              </w:rPr>
            </w:r>
            <w:r>
              <w:rPr>
                <w:webHidden/>
              </w:rPr>
              <w:fldChar w:fldCharType="separate"/>
            </w:r>
            <w:r>
              <w:rPr>
                <w:webHidden/>
              </w:rPr>
              <w:t>109</w:t>
            </w:r>
            <w:r>
              <w:rPr>
                <w:webHidden/>
              </w:rPr>
              <w:fldChar w:fldCharType="end"/>
            </w:r>
          </w:hyperlink>
        </w:p>
        <w:p w14:paraId="58CEF3F2" w14:textId="6083124F" w:rsidR="002C51B7" w:rsidRDefault="002C51B7">
          <w:pPr>
            <w:pStyle w:val="TOC3"/>
            <w:rPr>
              <w:rFonts w:eastAsiaTheme="minorEastAsia" w:cstheme="minorBidi"/>
              <w:i w:val="0"/>
              <w:iCs w:val="0"/>
              <w:noProof/>
              <w:sz w:val="24"/>
              <w:szCs w:val="24"/>
              <w14:ligatures w14:val="standardContextual"/>
            </w:rPr>
          </w:pPr>
          <w:hyperlink w:anchor="_Toc214721945" w:history="1">
            <w:r w:rsidRPr="009300E5">
              <w:rPr>
                <w:rStyle w:val="Hyperlink"/>
                <w:rFonts w:eastAsiaTheme="majorEastAsia"/>
                <w:noProof/>
              </w:rPr>
              <w:t>6.2.1 Temporal Patterns</w:t>
            </w:r>
            <w:r>
              <w:rPr>
                <w:noProof/>
                <w:webHidden/>
              </w:rPr>
              <w:tab/>
            </w:r>
            <w:r>
              <w:rPr>
                <w:noProof/>
                <w:webHidden/>
              </w:rPr>
              <w:fldChar w:fldCharType="begin"/>
            </w:r>
            <w:r>
              <w:rPr>
                <w:noProof/>
                <w:webHidden/>
              </w:rPr>
              <w:instrText xml:space="preserve"> PAGEREF _Toc214721945 \h </w:instrText>
            </w:r>
            <w:r>
              <w:rPr>
                <w:noProof/>
                <w:webHidden/>
              </w:rPr>
            </w:r>
            <w:r>
              <w:rPr>
                <w:noProof/>
                <w:webHidden/>
              </w:rPr>
              <w:fldChar w:fldCharType="separate"/>
            </w:r>
            <w:r>
              <w:rPr>
                <w:noProof/>
                <w:webHidden/>
              </w:rPr>
              <w:t>109</w:t>
            </w:r>
            <w:r>
              <w:rPr>
                <w:noProof/>
                <w:webHidden/>
              </w:rPr>
              <w:fldChar w:fldCharType="end"/>
            </w:r>
          </w:hyperlink>
        </w:p>
        <w:p w14:paraId="16716FFF" w14:textId="19D0AAC0" w:rsidR="002C51B7" w:rsidRDefault="002C51B7">
          <w:pPr>
            <w:pStyle w:val="TOC3"/>
            <w:rPr>
              <w:rFonts w:eastAsiaTheme="minorEastAsia" w:cstheme="minorBidi"/>
              <w:i w:val="0"/>
              <w:iCs w:val="0"/>
              <w:noProof/>
              <w:sz w:val="24"/>
              <w:szCs w:val="24"/>
              <w14:ligatures w14:val="standardContextual"/>
            </w:rPr>
          </w:pPr>
          <w:hyperlink w:anchor="_Toc214721946" w:history="1">
            <w:r w:rsidRPr="009300E5">
              <w:rPr>
                <w:rStyle w:val="Hyperlink"/>
                <w:rFonts w:eastAsiaTheme="majorEastAsia"/>
                <w:noProof/>
              </w:rPr>
              <w:t>6.2.2 MEV and Fee Market Manipulation</w:t>
            </w:r>
            <w:r>
              <w:rPr>
                <w:noProof/>
                <w:webHidden/>
              </w:rPr>
              <w:tab/>
            </w:r>
            <w:r>
              <w:rPr>
                <w:noProof/>
                <w:webHidden/>
              </w:rPr>
              <w:fldChar w:fldCharType="begin"/>
            </w:r>
            <w:r>
              <w:rPr>
                <w:noProof/>
                <w:webHidden/>
              </w:rPr>
              <w:instrText xml:space="preserve"> PAGEREF _Toc214721946 \h </w:instrText>
            </w:r>
            <w:r>
              <w:rPr>
                <w:noProof/>
                <w:webHidden/>
              </w:rPr>
            </w:r>
            <w:r>
              <w:rPr>
                <w:noProof/>
                <w:webHidden/>
              </w:rPr>
              <w:fldChar w:fldCharType="separate"/>
            </w:r>
            <w:r>
              <w:rPr>
                <w:noProof/>
                <w:webHidden/>
              </w:rPr>
              <w:t>109</w:t>
            </w:r>
            <w:r>
              <w:rPr>
                <w:noProof/>
                <w:webHidden/>
              </w:rPr>
              <w:fldChar w:fldCharType="end"/>
            </w:r>
          </w:hyperlink>
        </w:p>
        <w:p w14:paraId="18E23E64" w14:textId="4C98CD88" w:rsidR="002C51B7" w:rsidRDefault="002C51B7">
          <w:pPr>
            <w:pStyle w:val="TOC3"/>
            <w:rPr>
              <w:rFonts w:eastAsiaTheme="minorEastAsia" w:cstheme="minorBidi"/>
              <w:i w:val="0"/>
              <w:iCs w:val="0"/>
              <w:noProof/>
              <w:sz w:val="24"/>
              <w:szCs w:val="24"/>
              <w14:ligatures w14:val="standardContextual"/>
            </w:rPr>
          </w:pPr>
          <w:hyperlink w:anchor="_Toc214721947" w:history="1">
            <w:r w:rsidRPr="009300E5">
              <w:rPr>
                <w:rStyle w:val="Hyperlink"/>
                <w:rFonts w:eastAsiaTheme="majorEastAsia"/>
                <w:noProof/>
              </w:rPr>
              <w:t>Table 6.C: MEV Extraction Patterns - Concentration and Success Rates</w:t>
            </w:r>
            <w:r>
              <w:rPr>
                <w:noProof/>
                <w:webHidden/>
              </w:rPr>
              <w:tab/>
            </w:r>
            <w:r>
              <w:rPr>
                <w:noProof/>
                <w:webHidden/>
              </w:rPr>
              <w:fldChar w:fldCharType="begin"/>
            </w:r>
            <w:r>
              <w:rPr>
                <w:noProof/>
                <w:webHidden/>
              </w:rPr>
              <w:instrText xml:space="preserve"> PAGEREF _Toc214721947 \h </w:instrText>
            </w:r>
            <w:r>
              <w:rPr>
                <w:noProof/>
                <w:webHidden/>
              </w:rPr>
            </w:r>
            <w:r>
              <w:rPr>
                <w:noProof/>
                <w:webHidden/>
              </w:rPr>
              <w:fldChar w:fldCharType="separate"/>
            </w:r>
            <w:r>
              <w:rPr>
                <w:noProof/>
                <w:webHidden/>
              </w:rPr>
              <w:t>109</w:t>
            </w:r>
            <w:r>
              <w:rPr>
                <w:noProof/>
                <w:webHidden/>
              </w:rPr>
              <w:fldChar w:fldCharType="end"/>
            </w:r>
          </w:hyperlink>
        </w:p>
        <w:p w14:paraId="3A803102" w14:textId="4AB86C82" w:rsidR="002C51B7" w:rsidRDefault="002C51B7">
          <w:pPr>
            <w:pStyle w:val="TOC2"/>
            <w:rPr>
              <w:rFonts w:eastAsiaTheme="minorEastAsia" w:cstheme="minorBidi"/>
              <w:b w:val="0"/>
              <w:bCs w:val="0"/>
              <w:smallCaps w:val="0"/>
              <w:sz w:val="24"/>
              <w:szCs w:val="24"/>
              <w14:ligatures w14:val="standardContextual"/>
            </w:rPr>
          </w:pPr>
          <w:hyperlink w:anchor="_Toc214721948" w:history="1">
            <w:r w:rsidRPr="009300E5">
              <w:rPr>
                <w:rStyle w:val="Hyperlink"/>
                <w:rFonts w:eastAsiaTheme="majorEastAsia"/>
              </w:rPr>
              <w:t>6.3 Long-Term Viability of Fee-Based Revenue Models</w:t>
            </w:r>
            <w:r>
              <w:rPr>
                <w:webHidden/>
              </w:rPr>
              <w:tab/>
            </w:r>
            <w:r>
              <w:rPr>
                <w:webHidden/>
              </w:rPr>
              <w:fldChar w:fldCharType="begin"/>
            </w:r>
            <w:r>
              <w:rPr>
                <w:webHidden/>
              </w:rPr>
              <w:instrText xml:space="preserve"> PAGEREF _Toc214721948 \h </w:instrText>
            </w:r>
            <w:r>
              <w:rPr>
                <w:webHidden/>
              </w:rPr>
            </w:r>
            <w:r>
              <w:rPr>
                <w:webHidden/>
              </w:rPr>
              <w:fldChar w:fldCharType="separate"/>
            </w:r>
            <w:r>
              <w:rPr>
                <w:webHidden/>
              </w:rPr>
              <w:t>111</w:t>
            </w:r>
            <w:r>
              <w:rPr>
                <w:webHidden/>
              </w:rPr>
              <w:fldChar w:fldCharType="end"/>
            </w:r>
          </w:hyperlink>
        </w:p>
        <w:p w14:paraId="62E4F9C8" w14:textId="288D8F81" w:rsidR="002C51B7" w:rsidRDefault="002C51B7">
          <w:pPr>
            <w:pStyle w:val="TOC3"/>
            <w:rPr>
              <w:rFonts w:eastAsiaTheme="minorEastAsia" w:cstheme="minorBidi"/>
              <w:i w:val="0"/>
              <w:iCs w:val="0"/>
              <w:noProof/>
              <w:sz w:val="24"/>
              <w:szCs w:val="24"/>
              <w14:ligatures w14:val="standardContextual"/>
            </w:rPr>
          </w:pPr>
          <w:hyperlink w:anchor="_Toc214721949" w:history="1">
            <w:r w:rsidRPr="009300E5">
              <w:rPr>
                <w:rStyle w:val="Hyperlink"/>
                <w:rFonts w:eastAsiaTheme="majorEastAsia"/>
                <w:noProof/>
              </w:rPr>
              <w:t>6.3.1 Bitcoin's Fee Transition: Mathematical Reality</w:t>
            </w:r>
            <w:r>
              <w:rPr>
                <w:noProof/>
                <w:webHidden/>
              </w:rPr>
              <w:tab/>
            </w:r>
            <w:r>
              <w:rPr>
                <w:noProof/>
                <w:webHidden/>
              </w:rPr>
              <w:fldChar w:fldCharType="begin"/>
            </w:r>
            <w:r>
              <w:rPr>
                <w:noProof/>
                <w:webHidden/>
              </w:rPr>
              <w:instrText xml:space="preserve"> PAGEREF _Toc214721949 \h </w:instrText>
            </w:r>
            <w:r>
              <w:rPr>
                <w:noProof/>
                <w:webHidden/>
              </w:rPr>
            </w:r>
            <w:r>
              <w:rPr>
                <w:noProof/>
                <w:webHidden/>
              </w:rPr>
              <w:fldChar w:fldCharType="separate"/>
            </w:r>
            <w:r>
              <w:rPr>
                <w:noProof/>
                <w:webHidden/>
              </w:rPr>
              <w:t>111</w:t>
            </w:r>
            <w:r>
              <w:rPr>
                <w:noProof/>
                <w:webHidden/>
              </w:rPr>
              <w:fldChar w:fldCharType="end"/>
            </w:r>
          </w:hyperlink>
        </w:p>
        <w:p w14:paraId="054F689E" w14:textId="469011A2" w:rsidR="002C51B7" w:rsidRDefault="002C51B7">
          <w:pPr>
            <w:pStyle w:val="TOC3"/>
            <w:rPr>
              <w:rFonts w:eastAsiaTheme="minorEastAsia" w:cstheme="minorBidi"/>
              <w:i w:val="0"/>
              <w:iCs w:val="0"/>
              <w:noProof/>
              <w:sz w:val="24"/>
              <w:szCs w:val="24"/>
              <w14:ligatures w14:val="standardContextual"/>
            </w:rPr>
          </w:pPr>
          <w:hyperlink w:anchor="_Toc214721950" w:history="1">
            <w:r w:rsidRPr="009300E5">
              <w:rPr>
                <w:rStyle w:val="Hyperlink"/>
                <w:rFonts w:eastAsiaTheme="majorEastAsia"/>
                <w:noProof/>
              </w:rPr>
              <w:t>6.3.2 Fee Sustainability Across Protocols</w:t>
            </w:r>
            <w:r>
              <w:rPr>
                <w:noProof/>
                <w:webHidden/>
              </w:rPr>
              <w:tab/>
            </w:r>
            <w:r>
              <w:rPr>
                <w:noProof/>
                <w:webHidden/>
              </w:rPr>
              <w:fldChar w:fldCharType="begin"/>
            </w:r>
            <w:r>
              <w:rPr>
                <w:noProof/>
                <w:webHidden/>
              </w:rPr>
              <w:instrText xml:space="preserve"> PAGEREF _Toc214721950 \h </w:instrText>
            </w:r>
            <w:r>
              <w:rPr>
                <w:noProof/>
                <w:webHidden/>
              </w:rPr>
            </w:r>
            <w:r>
              <w:rPr>
                <w:noProof/>
                <w:webHidden/>
              </w:rPr>
              <w:fldChar w:fldCharType="separate"/>
            </w:r>
            <w:r>
              <w:rPr>
                <w:noProof/>
                <w:webHidden/>
              </w:rPr>
              <w:t>112</w:t>
            </w:r>
            <w:r>
              <w:rPr>
                <w:noProof/>
                <w:webHidden/>
              </w:rPr>
              <w:fldChar w:fldCharType="end"/>
            </w:r>
          </w:hyperlink>
        </w:p>
        <w:p w14:paraId="526D2BA5" w14:textId="6CB2551C" w:rsidR="002C51B7" w:rsidRDefault="002C51B7">
          <w:pPr>
            <w:pStyle w:val="TOC3"/>
            <w:rPr>
              <w:rFonts w:eastAsiaTheme="minorEastAsia" w:cstheme="minorBidi"/>
              <w:i w:val="0"/>
              <w:iCs w:val="0"/>
              <w:noProof/>
              <w:sz w:val="24"/>
              <w:szCs w:val="24"/>
              <w14:ligatures w14:val="standardContextual"/>
            </w:rPr>
          </w:pPr>
          <w:hyperlink w:anchor="_Toc214721951" w:history="1">
            <w:r w:rsidRPr="009300E5">
              <w:rPr>
                <w:rStyle w:val="Hyperlink"/>
                <w:rFonts w:eastAsiaTheme="majorEastAsia"/>
                <w:noProof/>
              </w:rPr>
              <w:t>Table 6.D: Protocol Sustainability During 2022 Bear Market</w:t>
            </w:r>
            <w:r>
              <w:rPr>
                <w:noProof/>
                <w:webHidden/>
              </w:rPr>
              <w:tab/>
            </w:r>
            <w:r>
              <w:rPr>
                <w:noProof/>
                <w:webHidden/>
              </w:rPr>
              <w:fldChar w:fldCharType="begin"/>
            </w:r>
            <w:r>
              <w:rPr>
                <w:noProof/>
                <w:webHidden/>
              </w:rPr>
              <w:instrText xml:space="preserve"> PAGEREF _Toc214721951 \h </w:instrText>
            </w:r>
            <w:r>
              <w:rPr>
                <w:noProof/>
                <w:webHidden/>
              </w:rPr>
            </w:r>
            <w:r>
              <w:rPr>
                <w:noProof/>
                <w:webHidden/>
              </w:rPr>
              <w:fldChar w:fldCharType="separate"/>
            </w:r>
            <w:r>
              <w:rPr>
                <w:noProof/>
                <w:webHidden/>
              </w:rPr>
              <w:t>112</w:t>
            </w:r>
            <w:r>
              <w:rPr>
                <w:noProof/>
                <w:webHidden/>
              </w:rPr>
              <w:fldChar w:fldCharType="end"/>
            </w:r>
          </w:hyperlink>
        </w:p>
        <w:p w14:paraId="41304643" w14:textId="663F01A4" w:rsidR="002C51B7" w:rsidRDefault="002C51B7">
          <w:pPr>
            <w:pStyle w:val="TOC2"/>
            <w:rPr>
              <w:rFonts w:eastAsiaTheme="minorEastAsia" w:cstheme="minorBidi"/>
              <w:b w:val="0"/>
              <w:bCs w:val="0"/>
              <w:smallCaps w:val="0"/>
              <w:sz w:val="24"/>
              <w:szCs w:val="24"/>
              <w14:ligatures w14:val="standardContextual"/>
            </w:rPr>
          </w:pPr>
          <w:hyperlink w:anchor="_Toc214721952" w:history="1">
            <w:r w:rsidRPr="009300E5">
              <w:rPr>
                <w:rStyle w:val="Hyperlink"/>
                <w:rFonts w:eastAsiaTheme="majorEastAsia"/>
              </w:rPr>
              <w:t>6.4 Fee Abstraction Services: The Convenience Premium</w:t>
            </w:r>
            <w:r>
              <w:rPr>
                <w:webHidden/>
              </w:rPr>
              <w:tab/>
            </w:r>
            <w:r>
              <w:rPr>
                <w:webHidden/>
              </w:rPr>
              <w:fldChar w:fldCharType="begin"/>
            </w:r>
            <w:r>
              <w:rPr>
                <w:webHidden/>
              </w:rPr>
              <w:instrText xml:space="preserve"> PAGEREF _Toc214721952 \h </w:instrText>
            </w:r>
            <w:r>
              <w:rPr>
                <w:webHidden/>
              </w:rPr>
            </w:r>
            <w:r>
              <w:rPr>
                <w:webHidden/>
              </w:rPr>
              <w:fldChar w:fldCharType="separate"/>
            </w:r>
            <w:r>
              <w:rPr>
                <w:webHidden/>
              </w:rPr>
              <w:t>114</w:t>
            </w:r>
            <w:r>
              <w:rPr>
                <w:webHidden/>
              </w:rPr>
              <w:fldChar w:fldCharType="end"/>
            </w:r>
          </w:hyperlink>
        </w:p>
        <w:p w14:paraId="740452B3" w14:textId="146AEAC1" w:rsidR="002C51B7" w:rsidRDefault="002C51B7">
          <w:pPr>
            <w:pStyle w:val="TOC3"/>
            <w:rPr>
              <w:rFonts w:eastAsiaTheme="minorEastAsia" w:cstheme="minorBidi"/>
              <w:i w:val="0"/>
              <w:iCs w:val="0"/>
              <w:noProof/>
              <w:sz w:val="24"/>
              <w:szCs w:val="24"/>
              <w14:ligatures w14:val="standardContextual"/>
            </w:rPr>
          </w:pPr>
          <w:hyperlink w:anchor="_Toc214721953" w:history="1">
            <w:r w:rsidRPr="009300E5">
              <w:rPr>
                <w:rStyle w:val="Hyperlink"/>
                <w:rFonts w:eastAsiaTheme="majorEastAsia"/>
                <w:noProof/>
              </w:rPr>
              <w:t>6.4.1 Meta-Transaction Services</w:t>
            </w:r>
            <w:r>
              <w:rPr>
                <w:noProof/>
                <w:webHidden/>
              </w:rPr>
              <w:tab/>
            </w:r>
            <w:r>
              <w:rPr>
                <w:noProof/>
                <w:webHidden/>
              </w:rPr>
              <w:fldChar w:fldCharType="begin"/>
            </w:r>
            <w:r>
              <w:rPr>
                <w:noProof/>
                <w:webHidden/>
              </w:rPr>
              <w:instrText xml:space="preserve"> PAGEREF _Toc214721953 \h </w:instrText>
            </w:r>
            <w:r>
              <w:rPr>
                <w:noProof/>
                <w:webHidden/>
              </w:rPr>
            </w:r>
            <w:r>
              <w:rPr>
                <w:noProof/>
                <w:webHidden/>
              </w:rPr>
              <w:fldChar w:fldCharType="separate"/>
            </w:r>
            <w:r>
              <w:rPr>
                <w:noProof/>
                <w:webHidden/>
              </w:rPr>
              <w:t>114</w:t>
            </w:r>
            <w:r>
              <w:rPr>
                <w:noProof/>
                <w:webHidden/>
              </w:rPr>
              <w:fldChar w:fldCharType="end"/>
            </w:r>
          </w:hyperlink>
        </w:p>
        <w:p w14:paraId="64E59F7A" w14:textId="373065C2" w:rsidR="002C51B7" w:rsidRDefault="002C51B7">
          <w:pPr>
            <w:pStyle w:val="TOC3"/>
            <w:rPr>
              <w:rFonts w:eastAsiaTheme="minorEastAsia" w:cstheme="minorBidi"/>
              <w:i w:val="0"/>
              <w:iCs w:val="0"/>
              <w:noProof/>
              <w:sz w:val="24"/>
              <w:szCs w:val="24"/>
              <w14:ligatures w14:val="standardContextual"/>
            </w:rPr>
          </w:pPr>
          <w:hyperlink w:anchor="_Toc214721954" w:history="1">
            <w:r w:rsidRPr="009300E5">
              <w:rPr>
                <w:rStyle w:val="Hyperlink"/>
                <w:rFonts w:eastAsiaTheme="majorEastAsia"/>
                <w:noProof/>
              </w:rPr>
              <w:t>6.4.2 Fee Prediction Services</w:t>
            </w:r>
            <w:r>
              <w:rPr>
                <w:noProof/>
                <w:webHidden/>
              </w:rPr>
              <w:tab/>
            </w:r>
            <w:r>
              <w:rPr>
                <w:noProof/>
                <w:webHidden/>
              </w:rPr>
              <w:fldChar w:fldCharType="begin"/>
            </w:r>
            <w:r>
              <w:rPr>
                <w:noProof/>
                <w:webHidden/>
              </w:rPr>
              <w:instrText xml:space="preserve"> PAGEREF _Toc214721954 \h </w:instrText>
            </w:r>
            <w:r>
              <w:rPr>
                <w:noProof/>
                <w:webHidden/>
              </w:rPr>
            </w:r>
            <w:r>
              <w:rPr>
                <w:noProof/>
                <w:webHidden/>
              </w:rPr>
              <w:fldChar w:fldCharType="separate"/>
            </w:r>
            <w:r>
              <w:rPr>
                <w:noProof/>
                <w:webHidden/>
              </w:rPr>
              <w:t>114</w:t>
            </w:r>
            <w:r>
              <w:rPr>
                <w:noProof/>
                <w:webHidden/>
              </w:rPr>
              <w:fldChar w:fldCharType="end"/>
            </w:r>
          </w:hyperlink>
        </w:p>
        <w:p w14:paraId="5823EE4D" w14:textId="18D88D0C" w:rsidR="002C51B7" w:rsidRDefault="002C51B7">
          <w:pPr>
            <w:pStyle w:val="TOC2"/>
            <w:rPr>
              <w:rFonts w:eastAsiaTheme="minorEastAsia" w:cstheme="minorBidi"/>
              <w:b w:val="0"/>
              <w:bCs w:val="0"/>
              <w:smallCaps w:val="0"/>
              <w:sz w:val="24"/>
              <w:szCs w:val="24"/>
              <w14:ligatures w14:val="standardContextual"/>
            </w:rPr>
          </w:pPr>
          <w:hyperlink w:anchor="_Toc214721955" w:history="1">
            <w:r w:rsidRPr="009300E5">
              <w:rPr>
                <w:rStyle w:val="Hyperlink"/>
                <w:rFonts w:eastAsiaTheme="majorEastAsia"/>
              </w:rPr>
              <w:t>6.5 Emerging Opportunities: Empirical Validation</w:t>
            </w:r>
            <w:r>
              <w:rPr>
                <w:webHidden/>
              </w:rPr>
              <w:tab/>
            </w:r>
            <w:r>
              <w:rPr>
                <w:webHidden/>
              </w:rPr>
              <w:fldChar w:fldCharType="begin"/>
            </w:r>
            <w:r>
              <w:rPr>
                <w:webHidden/>
              </w:rPr>
              <w:instrText xml:space="preserve"> PAGEREF _Toc214721955 \h </w:instrText>
            </w:r>
            <w:r>
              <w:rPr>
                <w:webHidden/>
              </w:rPr>
            </w:r>
            <w:r>
              <w:rPr>
                <w:webHidden/>
              </w:rPr>
              <w:fldChar w:fldCharType="separate"/>
            </w:r>
            <w:r>
              <w:rPr>
                <w:webHidden/>
              </w:rPr>
              <w:t>114</w:t>
            </w:r>
            <w:r>
              <w:rPr>
                <w:webHidden/>
              </w:rPr>
              <w:fldChar w:fldCharType="end"/>
            </w:r>
          </w:hyperlink>
        </w:p>
        <w:p w14:paraId="7579D7C9" w14:textId="2B50DC94" w:rsidR="002C51B7" w:rsidRDefault="002C51B7">
          <w:pPr>
            <w:pStyle w:val="TOC3"/>
            <w:rPr>
              <w:rFonts w:eastAsiaTheme="minorEastAsia" w:cstheme="minorBidi"/>
              <w:i w:val="0"/>
              <w:iCs w:val="0"/>
              <w:noProof/>
              <w:sz w:val="24"/>
              <w:szCs w:val="24"/>
              <w14:ligatures w14:val="standardContextual"/>
            </w:rPr>
          </w:pPr>
          <w:hyperlink w:anchor="_Toc214721956" w:history="1">
            <w:r w:rsidRPr="009300E5">
              <w:rPr>
                <w:rStyle w:val="Hyperlink"/>
                <w:rFonts w:eastAsiaTheme="majorEastAsia"/>
                <w:noProof/>
              </w:rPr>
              <w:t>6.5.1 Cross-Chain Fee Arbitrage</w:t>
            </w:r>
            <w:r>
              <w:rPr>
                <w:noProof/>
                <w:webHidden/>
              </w:rPr>
              <w:tab/>
            </w:r>
            <w:r>
              <w:rPr>
                <w:noProof/>
                <w:webHidden/>
              </w:rPr>
              <w:fldChar w:fldCharType="begin"/>
            </w:r>
            <w:r>
              <w:rPr>
                <w:noProof/>
                <w:webHidden/>
              </w:rPr>
              <w:instrText xml:space="preserve"> PAGEREF _Toc214721956 \h </w:instrText>
            </w:r>
            <w:r>
              <w:rPr>
                <w:noProof/>
                <w:webHidden/>
              </w:rPr>
            </w:r>
            <w:r>
              <w:rPr>
                <w:noProof/>
                <w:webHidden/>
              </w:rPr>
              <w:fldChar w:fldCharType="separate"/>
            </w:r>
            <w:r>
              <w:rPr>
                <w:noProof/>
                <w:webHidden/>
              </w:rPr>
              <w:t>114</w:t>
            </w:r>
            <w:r>
              <w:rPr>
                <w:noProof/>
                <w:webHidden/>
              </w:rPr>
              <w:fldChar w:fldCharType="end"/>
            </w:r>
          </w:hyperlink>
        </w:p>
        <w:p w14:paraId="5E5835BA" w14:textId="028E35F6" w:rsidR="002C51B7" w:rsidRDefault="002C51B7">
          <w:pPr>
            <w:pStyle w:val="TOC3"/>
            <w:rPr>
              <w:rFonts w:eastAsiaTheme="minorEastAsia" w:cstheme="minorBidi"/>
              <w:i w:val="0"/>
              <w:iCs w:val="0"/>
              <w:noProof/>
              <w:sz w:val="24"/>
              <w:szCs w:val="24"/>
              <w14:ligatures w14:val="standardContextual"/>
            </w:rPr>
          </w:pPr>
          <w:hyperlink w:anchor="_Toc214721957" w:history="1">
            <w:r w:rsidRPr="009300E5">
              <w:rPr>
                <w:rStyle w:val="Hyperlink"/>
                <w:rFonts w:eastAsiaTheme="majorEastAsia"/>
                <w:noProof/>
              </w:rPr>
              <w:t>6.5.2 Behavioral Fee Optimization</w:t>
            </w:r>
            <w:r>
              <w:rPr>
                <w:noProof/>
                <w:webHidden/>
              </w:rPr>
              <w:tab/>
            </w:r>
            <w:r>
              <w:rPr>
                <w:noProof/>
                <w:webHidden/>
              </w:rPr>
              <w:fldChar w:fldCharType="begin"/>
            </w:r>
            <w:r>
              <w:rPr>
                <w:noProof/>
                <w:webHidden/>
              </w:rPr>
              <w:instrText xml:space="preserve"> PAGEREF _Toc214721957 \h </w:instrText>
            </w:r>
            <w:r>
              <w:rPr>
                <w:noProof/>
                <w:webHidden/>
              </w:rPr>
            </w:r>
            <w:r>
              <w:rPr>
                <w:noProof/>
                <w:webHidden/>
              </w:rPr>
              <w:fldChar w:fldCharType="separate"/>
            </w:r>
            <w:r>
              <w:rPr>
                <w:noProof/>
                <w:webHidden/>
              </w:rPr>
              <w:t>115</w:t>
            </w:r>
            <w:r>
              <w:rPr>
                <w:noProof/>
                <w:webHidden/>
              </w:rPr>
              <w:fldChar w:fldCharType="end"/>
            </w:r>
          </w:hyperlink>
        </w:p>
        <w:p w14:paraId="7911F636" w14:textId="5E3AE0F7" w:rsidR="002C51B7" w:rsidRDefault="002C51B7">
          <w:pPr>
            <w:pStyle w:val="TOC2"/>
            <w:rPr>
              <w:rFonts w:eastAsiaTheme="minorEastAsia" w:cstheme="minorBidi"/>
              <w:b w:val="0"/>
              <w:bCs w:val="0"/>
              <w:smallCaps w:val="0"/>
              <w:sz w:val="24"/>
              <w:szCs w:val="24"/>
              <w14:ligatures w14:val="standardContextual"/>
            </w:rPr>
          </w:pPr>
          <w:hyperlink w:anchor="_Toc214721958" w:history="1">
            <w:r w:rsidRPr="009300E5">
              <w:rPr>
                <w:rStyle w:val="Hyperlink"/>
                <w:rFonts w:eastAsiaTheme="majorEastAsia"/>
              </w:rPr>
              <w:t>6.6 Synthesis: Protocol-Level Realities</w:t>
            </w:r>
            <w:r>
              <w:rPr>
                <w:webHidden/>
              </w:rPr>
              <w:tab/>
            </w:r>
            <w:r>
              <w:rPr>
                <w:webHidden/>
              </w:rPr>
              <w:fldChar w:fldCharType="begin"/>
            </w:r>
            <w:r>
              <w:rPr>
                <w:webHidden/>
              </w:rPr>
              <w:instrText xml:space="preserve"> PAGEREF _Toc214721958 \h </w:instrText>
            </w:r>
            <w:r>
              <w:rPr>
                <w:webHidden/>
              </w:rPr>
            </w:r>
            <w:r>
              <w:rPr>
                <w:webHidden/>
              </w:rPr>
              <w:fldChar w:fldCharType="separate"/>
            </w:r>
            <w:r>
              <w:rPr>
                <w:webHidden/>
              </w:rPr>
              <w:t>115</w:t>
            </w:r>
            <w:r>
              <w:rPr>
                <w:webHidden/>
              </w:rPr>
              <w:fldChar w:fldCharType="end"/>
            </w:r>
          </w:hyperlink>
        </w:p>
        <w:p w14:paraId="411F670F" w14:textId="78A1C4F2" w:rsidR="002C51B7" w:rsidRDefault="002C51B7">
          <w:pPr>
            <w:pStyle w:val="TOC2"/>
            <w:rPr>
              <w:rFonts w:eastAsiaTheme="minorEastAsia" w:cstheme="minorBidi"/>
              <w:b w:val="0"/>
              <w:bCs w:val="0"/>
              <w:smallCaps w:val="0"/>
              <w:sz w:val="24"/>
              <w:szCs w:val="24"/>
              <w14:ligatures w14:val="standardContextual"/>
            </w:rPr>
          </w:pPr>
          <w:hyperlink w:anchor="_Toc214721959" w:history="1">
            <w:r w:rsidRPr="009300E5">
              <w:rPr>
                <w:rStyle w:val="Hyperlink"/>
                <w:rFonts w:eastAsiaTheme="majorEastAsia"/>
              </w:rPr>
              <w:t>6.7 Plain Language Summary: How Blockchain Design Affect Income</w:t>
            </w:r>
            <w:r>
              <w:rPr>
                <w:webHidden/>
              </w:rPr>
              <w:tab/>
            </w:r>
            <w:r>
              <w:rPr>
                <w:webHidden/>
              </w:rPr>
              <w:fldChar w:fldCharType="begin"/>
            </w:r>
            <w:r>
              <w:rPr>
                <w:webHidden/>
              </w:rPr>
              <w:instrText xml:space="preserve"> PAGEREF _Toc214721959 \h </w:instrText>
            </w:r>
            <w:r>
              <w:rPr>
                <w:webHidden/>
              </w:rPr>
            </w:r>
            <w:r>
              <w:rPr>
                <w:webHidden/>
              </w:rPr>
              <w:fldChar w:fldCharType="separate"/>
            </w:r>
            <w:r>
              <w:rPr>
                <w:webHidden/>
              </w:rPr>
              <w:t>115</w:t>
            </w:r>
            <w:r>
              <w:rPr>
                <w:webHidden/>
              </w:rPr>
              <w:fldChar w:fldCharType="end"/>
            </w:r>
          </w:hyperlink>
        </w:p>
        <w:p w14:paraId="6CC18470" w14:textId="2D3EA337" w:rsidR="002C51B7" w:rsidRDefault="002C51B7">
          <w:pPr>
            <w:pStyle w:val="TOC3"/>
            <w:rPr>
              <w:rFonts w:eastAsiaTheme="minorEastAsia" w:cstheme="minorBidi"/>
              <w:i w:val="0"/>
              <w:iCs w:val="0"/>
              <w:noProof/>
              <w:sz w:val="24"/>
              <w:szCs w:val="24"/>
              <w14:ligatures w14:val="standardContextual"/>
            </w:rPr>
          </w:pPr>
          <w:hyperlink w:anchor="_Toc214721960" w:history="1">
            <w:r w:rsidRPr="009300E5">
              <w:rPr>
                <w:rStyle w:val="Hyperlink"/>
                <w:rFonts w:eastAsiaTheme="majorEastAsia"/>
                <w:noProof/>
              </w:rPr>
              <w:t>6.7.1 Understanding Protocol-Level vs. Application-Level Fees</w:t>
            </w:r>
            <w:r>
              <w:rPr>
                <w:noProof/>
                <w:webHidden/>
              </w:rPr>
              <w:tab/>
            </w:r>
            <w:r>
              <w:rPr>
                <w:noProof/>
                <w:webHidden/>
              </w:rPr>
              <w:fldChar w:fldCharType="begin"/>
            </w:r>
            <w:r>
              <w:rPr>
                <w:noProof/>
                <w:webHidden/>
              </w:rPr>
              <w:instrText xml:space="preserve"> PAGEREF _Toc214721960 \h </w:instrText>
            </w:r>
            <w:r>
              <w:rPr>
                <w:noProof/>
                <w:webHidden/>
              </w:rPr>
            </w:r>
            <w:r>
              <w:rPr>
                <w:noProof/>
                <w:webHidden/>
              </w:rPr>
              <w:fldChar w:fldCharType="separate"/>
            </w:r>
            <w:r>
              <w:rPr>
                <w:noProof/>
                <w:webHidden/>
              </w:rPr>
              <w:t>115</w:t>
            </w:r>
            <w:r>
              <w:rPr>
                <w:noProof/>
                <w:webHidden/>
              </w:rPr>
              <w:fldChar w:fldCharType="end"/>
            </w:r>
          </w:hyperlink>
        </w:p>
        <w:p w14:paraId="57029C4B" w14:textId="72D07676" w:rsidR="002C51B7" w:rsidRDefault="002C51B7">
          <w:pPr>
            <w:pStyle w:val="TOC3"/>
            <w:rPr>
              <w:rFonts w:eastAsiaTheme="minorEastAsia" w:cstheme="minorBidi"/>
              <w:i w:val="0"/>
              <w:iCs w:val="0"/>
              <w:noProof/>
              <w:sz w:val="24"/>
              <w:szCs w:val="24"/>
              <w14:ligatures w14:val="standardContextual"/>
            </w:rPr>
          </w:pPr>
          <w:hyperlink w:anchor="_Toc214721961" w:history="1">
            <w:r w:rsidRPr="009300E5">
              <w:rPr>
                <w:rStyle w:val="Hyperlink"/>
                <w:rFonts w:eastAsiaTheme="majorEastAsia"/>
                <w:noProof/>
              </w:rPr>
              <w:t>6.7.2. Proof of Stake (Ethereum, Cardano, Algorand)</w:t>
            </w:r>
            <w:r>
              <w:rPr>
                <w:noProof/>
                <w:webHidden/>
              </w:rPr>
              <w:tab/>
            </w:r>
            <w:r>
              <w:rPr>
                <w:noProof/>
                <w:webHidden/>
              </w:rPr>
              <w:fldChar w:fldCharType="begin"/>
            </w:r>
            <w:r>
              <w:rPr>
                <w:noProof/>
                <w:webHidden/>
              </w:rPr>
              <w:instrText xml:space="preserve"> PAGEREF _Toc214721961 \h </w:instrText>
            </w:r>
            <w:r>
              <w:rPr>
                <w:noProof/>
                <w:webHidden/>
              </w:rPr>
            </w:r>
            <w:r>
              <w:rPr>
                <w:noProof/>
                <w:webHidden/>
              </w:rPr>
              <w:fldChar w:fldCharType="separate"/>
            </w:r>
            <w:r>
              <w:rPr>
                <w:noProof/>
                <w:webHidden/>
              </w:rPr>
              <w:t>116</w:t>
            </w:r>
            <w:r>
              <w:rPr>
                <w:noProof/>
                <w:webHidden/>
              </w:rPr>
              <w:fldChar w:fldCharType="end"/>
            </w:r>
          </w:hyperlink>
        </w:p>
        <w:p w14:paraId="1A32E0C2" w14:textId="1822527F" w:rsidR="002C51B7" w:rsidRDefault="002C51B7">
          <w:pPr>
            <w:pStyle w:val="TOC3"/>
            <w:rPr>
              <w:rFonts w:eastAsiaTheme="minorEastAsia" w:cstheme="minorBidi"/>
              <w:i w:val="0"/>
              <w:iCs w:val="0"/>
              <w:noProof/>
              <w:sz w:val="24"/>
              <w:szCs w:val="24"/>
              <w14:ligatures w14:val="standardContextual"/>
            </w:rPr>
          </w:pPr>
          <w:hyperlink w:anchor="_Toc214721962" w:history="1">
            <w:r w:rsidRPr="009300E5">
              <w:rPr>
                <w:rStyle w:val="Hyperlink"/>
                <w:rFonts w:eastAsiaTheme="majorEastAsia"/>
                <w:noProof/>
              </w:rPr>
              <w:t>6.7.3 Proof of Authority (BSC Validators, Polygon)</w:t>
            </w:r>
            <w:r>
              <w:rPr>
                <w:noProof/>
                <w:webHidden/>
              </w:rPr>
              <w:tab/>
            </w:r>
            <w:r>
              <w:rPr>
                <w:noProof/>
                <w:webHidden/>
              </w:rPr>
              <w:fldChar w:fldCharType="begin"/>
            </w:r>
            <w:r>
              <w:rPr>
                <w:noProof/>
                <w:webHidden/>
              </w:rPr>
              <w:instrText xml:space="preserve"> PAGEREF _Toc214721962 \h </w:instrText>
            </w:r>
            <w:r>
              <w:rPr>
                <w:noProof/>
                <w:webHidden/>
              </w:rPr>
            </w:r>
            <w:r>
              <w:rPr>
                <w:noProof/>
                <w:webHidden/>
              </w:rPr>
              <w:fldChar w:fldCharType="separate"/>
            </w:r>
            <w:r>
              <w:rPr>
                <w:noProof/>
                <w:webHidden/>
              </w:rPr>
              <w:t>116</w:t>
            </w:r>
            <w:r>
              <w:rPr>
                <w:noProof/>
                <w:webHidden/>
              </w:rPr>
              <w:fldChar w:fldCharType="end"/>
            </w:r>
          </w:hyperlink>
        </w:p>
        <w:p w14:paraId="2CE54174" w14:textId="27701597" w:rsidR="002C51B7" w:rsidRDefault="002C51B7">
          <w:pPr>
            <w:pStyle w:val="TOC3"/>
            <w:rPr>
              <w:rFonts w:eastAsiaTheme="minorEastAsia" w:cstheme="minorBidi"/>
              <w:i w:val="0"/>
              <w:iCs w:val="0"/>
              <w:noProof/>
              <w:sz w:val="24"/>
              <w:szCs w:val="24"/>
              <w14:ligatures w14:val="standardContextual"/>
            </w:rPr>
          </w:pPr>
          <w:hyperlink w:anchor="_Toc214721963" w:history="1">
            <w:r w:rsidRPr="009300E5">
              <w:rPr>
                <w:rStyle w:val="Hyperlink"/>
                <w:rFonts w:eastAsiaTheme="majorEastAsia"/>
                <w:noProof/>
              </w:rPr>
              <w:t>6.7.4 Gas Price Patterns: Timing Transactions</w:t>
            </w:r>
            <w:r>
              <w:rPr>
                <w:noProof/>
                <w:webHidden/>
              </w:rPr>
              <w:tab/>
            </w:r>
            <w:r>
              <w:rPr>
                <w:noProof/>
                <w:webHidden/>
              </w:rPr>
              <w:fldChar w:fldCharType="begin"/>
            </w:r>
            <w:r>
              <w:rPr>
                <w:noProof/>
                <w:webHidden/>
              </w:rPr>
              <w:instrText xml:space="preserve"> PAGEREF _Toc214721963 \h </w:instrText>
            </w:r>
            <w:r>
              <w:rPr>
                <w:noProof/>
                <w:webHidden/>
              </w:rPr>
            </w:r>
            <w:r>
              <w:rPr>
                <w:noProof/>
                <w:webHidden/>
              </w:rPr>
              <w:fldChar w:fldCharType="separate"/>
            </w:r>
            <w:r>
              <w:rPr>
                <w:noProof/>
                <w:webHidden/>
              </w:rPr>
              <w:t>117</w:t>
            </w:r>
            <w:r>
              <w:rPr>
                <w:noProof/>
                <w:webHidden/>
              </w:rPr>
              <w:fldChar w:fldCharType="end"/>
            </w:r>
          </w:hyperlink>
        </w:p>
        <w:p w14:paraId="720CC3D9" w14:textId="1AEDA141" w:rsidR="002C51B7" w:rsidRDefault="002C51B7">
          <w:pPr>
            <w:pStyle w:val="TOC3"/>
            <w:rPr>
              <w:rFonts w:eastAsiaTheme="minorEastAsia" w:cstheme="minorBidi"/>
              <w:i w:val="0"/>
              <w:iCs w:val="0"/>
              <w:noProof/>
              <w:sz w:val="24"/>
              <w:szCs w:val="24"/>
              <w14:ligatures w14:val="standardContextual"/>
            </w:rPr>
          </w:pPr>
          <w:hyperlink w:anchor="_Toc214721964" w:history="1">
            <w:r w:rsidRPr="009300E5">
              <w:rPr>
                <w:rStyle w:val="Hyperlink"/>
                <w:rFonts w:eastAsiaTheme="majorEastAsia"/>
                <w:noProof/>
              </w:rPr>
              <w:t>6.7.5. Practical takeaway:</w:t>
            </w:r>
            <w:r>
              <w:rPr>
                <w:noProof/>
                <w:webHidden/>
              </w:rPr>
              <w:tab/>
            </w:r>
            <w:r>
              <w:rPr>
                <w:noProof/>
                <w:webHidden/>
              </w:rPr>
              <w:fldChar w:fldCharType="begin"/>
            </w:r>
            <w:r>
              <w:rPr>
                <w:noProof/>
                <w:webHidden/>
              </w:rPr>
              <w:instrText xml:space="preserve"> PAGEREF _Toc214721964 \h </w:instrText>
            </w:r>
            <w:r>
              <w:rPr>
                <w:noProof/>
                <w:webHidden/>
              </w:rPr>
            </w:r>
            <w:r>
              <w:rPr>
                <w:noProof/>
                <w:webHidden/>
              </w:rPr>
              <w:fldChar w:fldCharType="separate"/>
            </w:r>
            <w:r>
              <w:rPr>
                <w:noProof/>
                <w:webHidden/>
              </w:rPr>
              <w:t>117</w:t>
            </w:r>
            <w:r>
              <w:rPr>
                <w:noProof/>
                <w:webHidden/>
              </w:rPr>
              <w:fldChar w:fldCharType="end"/>
            </w:r>
          </w:hyperlink>
        </w:p>
        <w:p w14:paraId="6EC24B53" w14:textId="7D7B96D9" w:rsidR="002C51B7" w:rsidRDefault="002C51B7">
          <w:pPr>
            <w:pStyle w:val="TOC1"/>
            <w:tabs>
              <w:tab w:val="right" w:leader="dot" w:pos="9350"/>
            </w:tabs>
            <w:rPr>
              <w:rFonts w:eastAsiaTheme="minorEastAsia" w:cstheme="minorBidi"/>
              <w:b w:val="0"/>
              <w:bCs w:val="0"/>
              <w:caps w:val="0"/>
              <w:noProof/>
              <w:sz w:val="24"/>
              <w:szCs w:val="24"/>
              <w14:ligatures w14:val="standardContextual"/>
            </w:rPr>
          </w:pPr>
          <w:hyperlink w:anchor="_Toc214721965" w:history="1">
            <w:r w:rsidRPr="009300E5">
              <w:rPr>
                <w:rStyle w:val="Hyperlink"/>
                <w:rFonts w:eastAsiaTheme="majorEastAsia"/>
                <w:noProof/>
              </w:rPr>
              <w:t>CHAPTER 7: RISK ARCHITECTURE IN CRYPTOCURRENCY VENTURES</w:t>
            </w:r>
            <w:r>
              <w:rPr>
                <w:noProof/>
                <w:webHidden/>
              </w:rPr>
              <w:tab/>
            </w:r>
            <w:r>
              <w:rPr>
                <w:noProof/>
                <w:webHidden/>
              </w:rPr>
              <w:fldChar w:fldCharType="begin"/>
            </w:r>
            <w:r>
              <w:rPr>
                <w:noProof/>
                <w:webHidden/>
              </w:rPr>
              <w:instrText xml:space="preserve"> PAGEREF _Toc214721965 \h </w:instrText>
            </w:r>
            <w:r>
              <w:rPr>
                <w:noProof/>
                <w:webHidden/>
              </w:rPr>
            </w:r>
            <w:r>
              <w:rPr>
                <w:noProof/>
                <w:webHidden/>
              </w:rPr>
              <w:fldChar w:fldCharType="separate"/>
            </w:r>
            <w:r>
              <w:rPr>
                <w:noProof/>
                <w:webHidden/>
              </w:rPr>
              <w:t>119</w:t>
            </w:r>
            <w:r>
              <w:rPr>
                <w:noProof/>
                <w:webHidden/>
              </w:rPr>
              <w:fldChar w:fldCharType="end"/>
            </w:r>
          </w:hyperlink>
        </w:p>
        <w:p w14:paraId="2ED093C8" w14:textId="68C91146" w:rsidR="002C51B7" w:rsidRDefault="002C51B7">
          <w:pPr>
            <w:pStyle w:val="TOC2"/>
            <w:rPr>
              <w:rFonts w:eastAsiaTheme="minorEastAsia" w:cstheme="minorBidi"/>
              <w:b w:val="0"/>
              <w:bCs w:val="0"/>
              <w:smallCaps w:val="0"/>
              <w:sz w:val="24"/>
              <w:szCs w:val="24"/>
              <w14:ligatures w14:val="standardContextual"/>
            </w:rPr>
          </w:pPr>
          <w:hyperlink w:anchor="_Toc214721966" w:history="1">
            <w:r w:rsidRPr="009300E5">
              <w:rPr>
                <w:rStyle w:val="Hyperlink"/>
                <w:rFonts w:eastAsiaTheme="majorEastAsia"/>
              </w:rPr>
              <w:t>7.1 The Inadequacy of Traditional Risk Frameworks</w:t>
            </w:r>
            <w:r>
              <w:rPr>
                <w:webHidden/>
              </w:rPr>
              <w:tab/>
            </w:r>
            <w:r>
              <w:rPr>
                <w:webHidden/>
              </w:rPr>
              <w:fldChar w:fldCharType="begin"/>
            </w:r>
            <w:r>
              <w:rPr>
                <w:webHidden/>
              </w:rPr>
              <w:instrText xml:space="preserve"> PAGEREF _Toc214721966 \h </w:instrText>
            </w:r>
            <w:r>
              <w:rPr>
                <w:webHidden/>
              </w:rPr>
            </w:r>
            <w:r>
              <w:rPr>
                <w:webHidden/>
              </w:rPr>
              <w:fldChar w:fldCharType="separate"/>
            </w:r>
            <w:r>
              <w:rPr>
                <w:webHidden/>
              </w:rPr>
              <w:t>119</w:t>
            </w:r>
            <w:r>
              <w:rPr>
                <w:webHidden/>
              </w:rPr>
              <w:fldChar w:fldCharType="end"/>
            </w:r>
          </w:hyperlink>
        </w:p>
        <w:p w14:paraId="12C23766" w14:textId="54C3C4BD" w:rsidR="002C51B7" w:rsidRDefault="002C51B7">
          <w:pPr>
            <w:pStyle w:val="TOC2"/>
            <w:rPr>
              <w:rFonts w:eastAsiaTheme="minorEastAsia" w:cstheme="minorBidi"/>
              <w:b w:val="0"/>
              <w:bCs w:val="0"/>
              <w:smallCaps w:val="0"/>
              <w:sz w:val="24"/>
              <w:szCs w:val="24"/>
              <w14:ligatures w14:val="standardContextual"/>
            </w:rPr>
          </w:pPr>
          <w:hyperlink w:anchor="_Toc214721967" w:history="1">
            <w:r w:rsidRPr="009300E5">
              <w:rPr>
                <w:rStyle w:val="Hyperlink"/>
                <w:rFonts w:eastAsiaTheme="majorEastAsia"/>
              </w:rPr>
              <w:t>7.2 Technical Risk: Beyond Smart Contract Audits</w:t>
            </w:r>
            <w:r>
              <w:rPr>
                <w:webHidden/>
              </w:rPr>
              <w:tab/>
            </w:r>
            <w:r>
              <w:rPr>
                <w:webHidden/>
              </w:rPr>
              <w:fldChar w:fldCharType="begin"/>
            </w:r>
            <w:r>
              <w:rPr>
                <w:webHidden/>
              </w:rPr>
              <w:instrText xml:space="preserve"> PAGEREF _Toc214721967 \h </w:instrText>
            </w:r>
            <w:r>
              <w:rPr>
                <w:webHidden/>
              </w:rPr>
            </w:r>
            <w:r>
              <w:rPr>
                <w:webHidden/>
              </w:rPr>
              <w:fldChar w:fldCharType="separate"/>
            </w:r>
            <w:r>
              <w:rPr>
                <w:webHidden/>
              </w:rPr>
              <w:t>119</w:t>
            </w:r>
            <w:r>
              <w:rPr>
                <w:webHidden/>
              </w:rPr>
              <w:fldChar w:fldCharType="end"/>
            </w:r>
          </w:hyperlink>
        </w:p>
        <w:p w14:paraId="3FD4126E" w14:textId="69C060BE" w:rsidR="002C51B7" w:rsidRDefault="002C51B7">
          <w:pPr>
            <w:pStyle w:val="TOC3"/>
            <w:rPr>
              <w:rFonts w:eastAsiaTheme="minorEastAsia" w:cstheme="minorBidi"/>
              <w:i w:val="0"/>
              <w:iCs w:val="0"/>
              <w:noProof/>
              <w:sz w:val="24"/>
              <w:szCs w:val="24"/>
              <w14:ligatures w14:val="standardContextual"/>
            </w:rPr>
          </w:pPr>
          <w:hyperlink w:anchor="_Toc214721968" w:history="1">
            <w:r w:rsidRPr="009300E5">
              <w:rPr>
                <w:rStyle w:val="Hyperlink"/>
                <w:rFonts w:eastAsiaTheme="majorEastAsia"/>
                <w:noProof/>
              </w:rPr>
              <w:t>7.2.1 The Audit Paradox</w:t>
            </w:r>
            <w:r>
              <w:rPr>
                <w:noProof/>
                <w:webHidden/>
              </w:rPr>
              <w:tab/>
            </w:r>
            <w:r>
              <w:rPr>
                <w:noProof/>
                <w:webHidden/>
              </w:rPr>
              <w:fldChar w:fldCharType="begin"/>
            </w:r>
            <w:r>
              <w:rPr>
                <w:noProof/>
                <w:webHidden/>
              </w:rPr>
              <w:instrText xml:space="preserve"> PAGEREF _Toc214721968 \h </w:instrText>
            </w:r>
            <w:r>
              <w:rPr>
                <w:noProof/>
                <w:webHidden/>
              </w:rPr>
            </w:r>
            <w:r>
              <w:rPr>
                <w:noProof/>
                <w:webHidden/>
              </w:rPr>
              <w:fldChar w:fldCharType="separate"/>
            </w:r>
            <w:r>
              <w:rPr>
                <w:noProof/>
                <w:webHidden/>
              </w:rPr>
              <w:t>119</w:t>
            </w:r>
            <w:r>
              <w:rPr>
                <w:noProof/>
                <w:webHidden/>
              </w:rPr>
              <w:fldChar w:fldCharType="end"/>
            </w:r>
          </w:hyperlink>
        </w:p>
        <w:p w14:paraId="45D3DFA6" w14:textId="4F611F3E" w:rsidR="002C51B7" w:rsidRDefault="002C51B7">
          <w:pPr>
            <w:pStyle w:val="TOC3"/>
            <w:rPr>
              <w:rFonts w:eastAsiaTheme="minorEastAsia" w:cstheme="minorBidi"/>
              <w:i w:val="0"/>
              <w:iCs w:val="0"/>
              <w:noProof/>
              <w:sz w:val="24"/>
              <w:szCs w:val="24"/>
              <w14:ligatures w14:val="standardContextual"/>
            </w:rPr>
          </w:pPr>
          <w:hyperlink w:anchor="_Toc214721969" w:history="1">
            <w:r w:rsidRPr="009300E5">
              <w:rPr>
                <w:rStyle w:val="Hyperlink"/>
                <w:rFonts w:eastAsiaTheme="majorEastAsia"/>
                <w:noProof/>
              </w:rPr>
              <w:t>7.2.2 True Cost of Technical Risk</w:t>
            </w:r>
            <w:r>
              <w:rPr>
                <w:noProof/>
                <w:webHidden/>
              </w:rPr>
              <w:tab/>
            </w:r>
            <w:r>
              <w:rPr>
                <w:noProof/>
                <w:webHidden/>
              </w:rPr>
              <w:fldChar w:fldCharType="begin"/>
            </w:r>
            <w:r>
              <w:rPr>
                <w:noProof/>
                <w:webHidden/>
              </w:rPr>
              <w:instrText xml:space="preserve"> PAGEREF _Toc214721969 \h </w:instrText>
            </w:r>
            <w:r>
              <w:rPr>
                <w:noProof/>
                <w:webHidden/>
              </w:rPr>
            </w:r>
            <w:r>
              <w:rPr>
                <w:noProof/>
                <w:webHidden/>
              </w:rPr>
              <w:fldChar w:fldCharType="separate"/>
            </w:r>
            <w:r>
              <w:rPr>
                <w:noProof/>
                <w:webHidden/>
              </w:rPr>
              <w:t>120</w:t>
            </w:r>
            <w:r>
              <w:rPr>
                <w:noProof/>
                <w:webHidden/>
              </w:rPr>
              <w:fldChar w:fldCharType="end"/>
            </w:r>
          </w:hyperlink>
        </w:p>
        <w:p w14:paraId="6C37CD67" w14:textId="64E41DF8" w:rsidR="002C51B7" w:rsidRDefault="002C51B7">
          <w:pPr>
            <w:pStyle w:val="TOC3"/>
            <w:rPr>
              <w:rFonts w:eastAsiaTheme="minorEastAsia" w:cstheme="minorBidi"/>
              <w:i w:val="0"/>
              <w:iCs w:val="0"/>
              <w:noProof/>
              <w:sz w:val="24"/>
              <w:szCs w:val="24"/>
              <w14:ligatures w14:val="standardContextual"/>
            </w:rPr>
          </w:pPr>
          <w:hyperlink w:anchor="_Toc214721970" w:history="1">
            <w:r w:rsidRPr="009300E5">
              <w:rPr>
                <w:rStyle w:val="Hyperlink"/>
                <w:rFonts w:eastAsiaTheme="majorEastAsia"/>
                <w:noProof/>
              </w:rPr>
              <w:t>Table 7.A Technical Risk Cost Overview</w:t>
            </w:r>
            <w:r>
              <w:rPr>
                <w:noProof/>
                <w:webHidden/>
              </w:rPr>
              <w:tab/>
            </w:r>
            <w:r>
              <w:rPr>
                <w:noProof/>
                <w:webHidden/>
              </w:rPr>
              <w:fldChar w:fldCharType="begin"/>
            </w:r>
            <w:r>
              <w:rPr>
                <w:noProof/>
                <w:webHidden/>
              </w:rPr>
              <w:instrText xml:space="preserve"> PAGEREF _Toc214721970 \h </w:instrText>
            </w:r>
            <w:r>
              <w:rPr>
                <w:noProof/>
                <w:webHidden/>
              </w:rPr>
            </w:r>
            <w:r>
              <w:rPr>
                <w:noProof/>
                <w:webHidden/>
              </w:rPr>
              <w:fldChar w:fldCharType="separate"/>
            </w:r>
            <w:r>
              <w:rPr>
                <w:noProof/>
                <w:webHidden/>
              </w:rPr>
              <w:t>120</w:t>
            </w:r>
            <w:r>
              <w:rPr>
                <w:noProof/>
                <w:webHidden/>
              </w:rPr>
              <w:fldChar w:fldCharType="end"/>
            </w:r>
          </w:hyperlink>
        </w:p>
        <w:p w14:paraId="33CFCA0D" w14:textId="31D1FF21" w:rsidR="002C51B7" w:rsidRDefault="002C51B7">
          <w:pPr>
            <w:pStyle w:val="TOC3"/>
            <w:rPr>
              <w:rFonts w:eastAsiaTheme="minorEastAsia" w:cstheme="minorBidi"/>
              <w:i w:val="0"/>
              <w:iCs w:val="0"/>
              <w:noProof/>
              <w:sz w:val="24"/>
              <w:szCs w:val="24"/>
              <w14:ligatures w14:val="standardContextual"/>
            </w:rPr>
          </w:pPr>
          <w:hyperlink w:anchor="_Toc214721971" w:history="1">
            <w:r w:rsidRPr="009300E5">
              <w:rPr>
                <w:rStyle w:val="Hyperlink"/>
                <w:rFonts w:eastAsiaTheme="majorEastAsia"/>
                <w:noProof/>
              </w:rPr>
              <w:t>7.2.3 Estimating Annual Loss Probability: A Methodological Challenge</w:t>
            </w:r>
            <w:r>
              <w:rPr>
                <w:noProof/>
                <w:webHidden/>
              </w:rPr>
              <w:tab/>
            </w:r>
            <w:r>
              <w:rPr>
                <w:noProof/>
                <w:webHidden/>
              </w:rPr>
              <w:fldChar w:fldCharType="begin"/>
            </w:r>
            <w:r>
              <w:rPr>
                <w:noProof/>
                <w:webHidden/>
              </w:rPr>
              <w:instrText xml:space="preserve"> PAGEREF _Toc214721971 \h </w:instrText>
            </w:r>
            <w:r>
              <w:rPr>
                <w:noProof/>
                <w:webHidden/>
              </w:rPr>
            </w:r>
            <w:r>
              <w:rPr>
                <w:noProof/>
                <w:webHidden/>
              </w:rPr>
              <w:fldChar w:fldCharType="separate"/>
            </w:r>
            <w:r>
              <w:rPr>
                <w:noProof/>
                <w:webHidden/>
              </w:rPr>
              <w:t>120</w:t>
            </w:r>
            <w:r>
              <w:rPr>
                <w:noProof/>
                <w:webHidden/>
              </w:rPr>
              <w:fldChar w:fldCharType="end"/>
            </w:r>
          </w:hyperlink>
        </w:p>
        <w:p w14:paraId="45872246" w14:textId="792F379F" w:rsidR="002C51B7" w:rsidRDefault="002C51B7">
          <w:pPr>
            <w:pStyle w:val="TOC2"/>
            <w:rPr>
              <w:rFonts w:eastAsiaTheme="minorEastAsia" w:cstheme="minorBidi"/>
              <w:b w:val="0"/>
              <w:bCs w:val="0"/>
              <w:smallCaps w:val="0"/>
              <w:sz w:val="24"/>
              <w:szCs w:val="24"/>
              <w14:ligatures w14:val="standardContextual"/>
            </w:rPr>
          </w:pPr>
          <w:hyperlink w:anchor="_Toc214721972" w:history="1">
            <w:r w:rsidRPr="009300E5">
              <w:rPr>
                <w:rStyle w:val="Hyperlink"/>
                <w:rFonts w:eastAsiaTheme="majorEastAsia"/>
              </w:rPr>
              <w:t>7.3 Regulatory Risk: The Jurisdiction Shell Game</w:t>
            </w:r>
            <w:r>
              <w:rPr>
                <w:webHidden/>
              </w:rPr>
              <w:tab/>
            </w:r>
            <w:r>
              <w:rPr>
                <w:webHidden/>
              </w:rPr>
              <w:fldChar w:fldCharType="begin"/>
            </w:r>
            <w:r>
              <w:rPr>
                <w:webHidden/>
              </w:rPr>
              <w:instrText xml:space="preserve"> PAGEREF _Toc214721972 \h </w:instrText>
            </w:r>
            <w:r>
              <w:rPr>
                <w:webHidden/>
              </w:rPr>
            </w:r>
            <w:r>
              <w:rPr>
                <w:webHidden/>
              </w:rPr>
              <w:fldChar w:fldCharType="separate"/>
            </w:r>
            <w:r>
              <w:rPr>
                <w:webHidden/>
              </w:rPr>
              <w:t>121</w:t>
            </w:r>
            <w:r>
              <w:rPr>
                <w:webHidden/>
              </w:rPr>
              <w:fldChar w:fldCharType="end"/>
            </w:r>
          </w:hyperlink>
        </w:p>
        <w:p w14:paraId="6C3AB131" w14:textId="7792027F" w:rsidR="002C51B7" w:rsidRDefault="002C51B7">
          <w:pPr>
            <w:pStyle w:val="TOC3"/>
            <w:rPr>
              <w:rFonts w:eastAsiaTheme="minorEastAsia" w:cstheme="minorBidi"/>
              <w:i w:val="0"/>
              <w:iCs w:val="0"/>
              <w:noProof/>
              <w:sz w:val="24"/>
              <w:szCs w:val="24"/>
              <w14:ligatures w14:val="standardContextual"/>
            </w:rPr>
          </w:pPr>
          <w:hyperlink w:anchor="_Toc214721973" w:history="1">
            <w:r w:rsidRPr="009300E5">
              <w:rPr>
                <w:rStyle w:val="Hyperlink"/>
                <w:rFonts w:eastAsiaTheme="majorEastAsia"/>
                <w:noProof/>
              </w:rPr>
              <w:t>7.3.1 Cost of Regulatory Arbitrage</w:t>
            </w:r>
            <w:r>
              <w:rPr>
                <w:noProof/>
                <w:webHidden/>
              </w:rPr>
              <w:tab/>
            </w:r>
            <w:r>
              <w:rPr>
                <w:noProof/>
                <w:webHidden/>
              </w:rPr>
              <w:fldChar w:fldCharType="begin"/>
            </w:r>
            <w:r>
              <w:rPr>
                <w:noProof/>
                <w:webHidden/>
              </w:rPr>
              <w:instrText xml:space="preserve"> PAGEREF _Toc214721973 \h </w:instrText>
            </w:r>
            <w:r>
              <w:rPr>
                <w:noProof/>
                <w:webHidden/>
              </w:rPr>
            </w:r>
            <w:r>
              <w:rPr>
                <w:noProof/>
                <w:webHidden/>
              </w:rPr>
              <w:fldChar w:fldCharType="separate"/>
            </w:r>
            <w:r>
              <w:rPr>
                <w:noProof/>
                <w:webHidden/>
              </w:rPr>
              <w:t>121</w:t>
            </w:r>
            <w:r>
              <w:rPr>
                <w:noProof/>
                <w:webHidden/>
              </w:rPr>
              <w:fldChar w:fldCharType="end"/>
            </w:r>
          </w:hyperlink>
        </w:p>
        <w:p w14:paraId="22AC95DF" w14:textId="5DF6E439" w:rsidR="002C51B7" w:rsidRDefault="002C51B7">
          <w:pPr>
            <w:pStyle w:val="TOC3"/>
            <w:rPr>
              <w:rFonts w:eastAsiaTheme="minorEastAsia" w:cstheme="minorBidi"/>
              <w:i w:val="0"/>
              <w:iCs w:val="0"/>
              <w:noProof/>
              <w:sz w:val="24"/>
              <w:szCs w:val="24"/>
              <w14:ligatures w14:val="standardContextual"/>
            </w:rPr>
          </w:pPr>
          <w:hyperlink w:anchor="_Toc214721974" w:history="1">
            <w:r w:rsidRPr="009300E5">
              <w:rPr>
                <w:rStyle w:val="Hyperlink"/>
                <w:rFonts w:eastAsiaTheme="majorEastAsia"/>
                <w:noProof/>
              </w:rPr>
              <w:t>7.3.2 Regulatory Contagion</w:t>
            </w:r>
            <w:r>
              <w:rPr>
                <w:noProof/>
                <w:webHidden/>
              </w:rPr>
              <w:tab/>
            </w:r>
            <w:r>
              <w:rPr>
                <w:noProof/>
                <w:webHidden/>
              </w:rPr>
              <w:fldChar w:fldCharType="begin"/>
            </w:r>
            <w:r>
              <w:rPr>
                <w:noProof/>
                <w:webHidden/>
              </w:rPr>
              <w:instrText xml:space="preserve"> PAGEREF _Toc214721974 \h </w:instrText>
            </w:r>
            <w:r>
              <w:rPr>
                <w:noProof/>
                <w:webHidden/>
              </w:rPr>
            </w:r>
            <w:r>
              <w:rPr>
                <w:noProof/>
                <w:webHidden/>
              </w:rPr>
              <w:fldChar w:fldCharType="separate"/>
            </w:r>
            <w:r>
              <w:rPr>
                <w:noProof/>
                <w:webHidden/>
              </w:rPr>
              <w:t>122</w:t>
            </w:r>
            <w:r>
              <w:rPr>
                <w:noProof/>
                <w:webHidden/>
              </w:rPr>
              <w:fldChar w:fldCharType="end"/>
            </w:r>
          </w:hyperlink>
        </w:p>
        <w:p w14:paraId="51FE433C" w14:textId="47D245B2" w:rsidR="002C51B7" w:rsidRDefault="002C51B7">
          <w:pPr>
            <w:pStyle w:val="TOC2"/>
            <w:rPr>
              <w:rFonts w:eastAsiaTheme="minorEastAsia" w:cstheme="minorBidi"/>
              <w:b w:val="0"/>
              <w:bCs w:val="0"/>
              <w:smallCaps w:val="0"/>
              <w:sz w:val="24"/>
              <w:szCs w:val="24"/>
              <w14:ligatures w14:val="standardContextual"/>
            </w:rPr>
          </w:pPr>
          <w:hyperlink w:anchor="_Toc214721975" w:history="1">
            <w:r w:rsidRPr="009300E5">
              <w:rPr>
                <w:rStyle w:val="Hyperlink"/>
                <w:rFonts w:eastAsiaTheme="majorEastAsia"/>
              </w:rPr>
              <w:t>7.4 Volatility Impact: Beyond Price Risk</w:t>
            </w:r>
            <w:r>
              <w:rPr>
                <w:webHidden/>
              </w:rPr>
              <w:tab/>
            </w:r>
            <w:r>
              <w:rPr>
                <w:webHidden/>
              </w:rPr>
              <w:fldChar w:fldCharType="begin"/>
            </w:r>
            <w:r>
              <w:rPr>
                <w:webHidden/>
              </w:rPr>
              <w:instrText xml:space="preserve"> PAGEREF _Toc214721975 \h </w:instrText>
            </w:r>
            <w:r>
              <w:rPr>
                <w:webHidden/>
              </w:rPr>
            </w:r>
            <w:r>
              <w:rPr>
                <w:webHidden/>
              </w:rPr>
              <w:fldChar w:fldCharType="separate"/>
            </w:r>
            <w:r>
              <w:rPr>
                <w:webHidden/>
              </w:rPr>
              <w:t>122</w:t>
            </w:r>
            <w:r>
              <w:rPr>
                <w:webHidden/>
              </w:rPr>
              <w:fldChar w:fldCharType="end"/>
            </w:r>
          </w:hyperlink>
        </w:p>
        <w:p w14:paraId="2266299E" w14:textId="7226E482" w:rsidR="002C51B7" w:rsidRDefault="002C51B7">
          <w:pPr>
            <w:pStyle w:val="TOC2"/>
            <w:rPr>
              <w:rFonts w:eastAsiaTheme="minorEastAsia" w:cstheme="minorBidi"/>
              <w:b w:val="0"/>
              <w:bCs w:val="0"/>
              <w:smallCaps w:val="0"/>
              <w:sz w:val="24"/>
              <w:szCs w:val="24"/>
              <w14:ligatures w14:val="standardContextual"/>
            </w:rPr>
          </w:pPr>
          <w:hyperlink w:anchor="_Toc214721976" w:history="1">
            <w:r w:rsidRPr="009300E5">
              <w:rPr>
                <w:rStyle w:val="Hyperlink"/>
                <w:rFonts w:eastAsiaTheme="majorEastAsia"/>
              </w:rPr>
              <w:t>7.5 Security Incidents: Patterns in Chaos</w:t>
            </w:r>
            <w:r>
              <w:rPr>
                <w:webHidden/>
              </w:rPr>
              <w:tab/>
            </w:r>
            <w:r>
              <w:rPr>
                <w:webHidden/>
              </w:rPr>
              <w:fldChar w:fldCharType="begin"/>
            </w:r>
            <w:r>
              <w:rPr>
                <w:webHidden/>
              </w:rPr>
              <w:instrText xml:space="preserve"> PAGEREF _Toc214721976 \h </w:instrText>
            </w:r>
            <w:r>
              <w:rPr>
                <w:webHidden/>
              </w:rPr>
            </w:r>
            <w:r>
              <w:rPr>
                <w:webHidden/>
              </w:rPr>
              <w:fldChar w:fldCharType="separate"/>
            </w:r>
            <w:r>
              <w:rPr>
                <w:webHidden/>
              </w:rPr>
              <w:t>123</w:t>
            </w:r>
            <w:r>
              <w:rPr>
                <w:webHidden/>
              </w:rPr>
              <w:fldChar w:fldCharType="end"/>
            </w:r>
          </w:hyperlink>
        </w:p>
        <w:p w14:paraId="44575D8D" w14:textId="37ECC475" w:rsidR="002C51B7" w:rsidRDefault="002C51B7">
          <w:pPr>
            <w:pStyle w:val="TOC3"/>
            <w:rPr>
              <w:rFonts w:eastAsiaTheme="minorEastAsia" w:cstheme="minorBidi"/>
              <w:i w:val="0"/>
              <w:iCs w:val="0"/>
              <w:noProof/>
              <w:sz w:val="24"/>
              <w:szCs w:val="24"/>
              <w14:ligatures w14:val="standardContextual"/>
            </w:rPr>
          </w:pPr>
          <w:hyperlink w:anchor="_Toc214721977" w:history="1">
            <w:r w:rsidRPr="009300E5">
              <w:rPr>
                <w:rStyle w:val="Hyperlink"/>
                <w:rFonts w:eastAsiaTheme="majorEastAsia"/>
                <w:noProof/>
              </w:rPr>
              <w:t>7.5.1 Temporal Clustering</w:t>
            </w:r>
            <w:r>
              <w:rPr>
                <w:noProof/>
                <w:webHidden/>
              </w:rPr>
              <w:tab/>
            </w:r>
            <w:r>
              <w:rPr>
                <w:noProof/>
                <w:webHidden/>
              </w:rPr>
              <w:fldChar w:fldCharType="begin"/>
            </w:r>
            <w:r>
              <w:rPr>
                <w:noProof/>
                <w:webHidden/>
              </w:rPr>
              <w:instrText xml:space="preserve"> PAGEREF _Toc214721977 \h </w:instrText>
            </w:r>
            <w:r>
              <w:rPr>
                <w:noProof/>
                <w:webHidden/>
              </w:rPr>
            </w:r>
            <w:r>
              <w:rPr>
                <w:noProof/>
                <w:webHidden/>
              </w:rPr>
              <w:fldChar w:fldCharType="separate"/>
            </w:r>
            <w:r>
              <w:rPr>
                <w:noProof/>
                <w:webHidden/>
              </w:rPr>
              <w:t>123</w:t>
            </w:r>
            <w:r>
              <w:rPr>
                <w:noProof/>
                <w:webHidden/>
              </w:rPr>
              <w:fldChar w:fldCharType="end"/>
            </w:r>
          </w:hyperlink>
        </w:p>
        <w:p w14:paraId="66ACCB2E" w14:textId="67D0F095" w:rsidR="002C51B7" w:rsidRDefault="002C51B7">
          <w:pPr>
            <w:pStyle w:val="TOC3"/>
            <w:rPr>
              <w:rFonts w:eastAsiaTheme="minorEastAsia" w:cstheme="minorBidi"/>
              <w:i w:val="0"/>
              <w:iCs w:val="0"/>
              <w:noProof/>
              <w:sz w:val="24"/>
              <w:szCs w:val="24"/>
              <w14:ligatures w14:val="standardContextual"/>
            </w:rPr>
          </w:pPr>
          <w:hyperlink w:anchor="_Toc214721978" w:history="1">
            <w:r w:rsidRPr="009300E5">
              <w:rPr>
                <w:rStyle w:val="Hyperlink"/>
                <w:rFonts w:eastAsiaTheme="majorEastAsia"/>
                <w:noProof/>
              </w:rPr>
              <w:t>7.5.2 Governance as Attack Vector</w:t>
            </w:r>
            <w:r>
              <w:rPr>
                <w:noProof/>
                <w:webHidden/>
              </w:rPr>
              <w:tab/>
            </w:r>
            <w:r>
              <w:rPr>
                <w:noProof/>
                <w:webHidden/>
              </w:rPr>
              <w:fldChar w:fldCharType="begin"/>
            </w:r>
            <w:r>
              <w:rPr>
                <w:noProof/>
                <w:webHidden/>
              </w:rPr>
              <w:instrText xml:space="preserve"> PAGEREF _Toc214721978 \h </w:instrText>
            </w:r>
            <w:r>
              <w:rPr>
                <w:noProof/>
                <w:webHidden/>
              </w:rPr>
            </w:r>
            <w:r>
              <w:rPr>
                <w:noProof/>
                <w:webHidden/>
              </w:rPr>
              <w:fldChar w:fldCharType="separate"/>
            </w:r>
            <w:r>
              <w:rPr>
                <w:noProof/>
                <w:webHidden/>
              </w:rPr>
              <w:t>123</w:t>
            </w:r>
            <w:r>
              <w:rPr>
                <w:noProof/>
                <w:webHidden/>
              </w:rPr>
              <w:fldChar w:fldCharType="end"/>
            </w:r>
          </w:hyperlink>
        </w:p>
        <w:p w14:paraId="0DFB7F34" w14:textId="043CE0C3" w:rsidR="002C51B7" w:rsidRDefault="002C51B7">
          <w:pPr>
            <w:pStyle w:val="TOC2"/>
            <w:rPr>
              <w:rFonts w:eastAsiaTheme="minorEastAsia" w:cstheme="minorBidi"/>
              <w:b w:val="0"/>
              <w:bCs w:val="0"/>
              <w:smallCaps w:val="0"/>
              <w:sz w:val="24"/>
              <w:szCs w:val="24"/>
              <w14:ligatures w14:val="standardContextual"/>
            </w:rPr>
          </w:pPr>
          <w:hyperlink w:anchor="_Toc214721979" w:history="1">
            <w:r w:rsidRPr="009300E5">
              <w:rPr>
                <w:rStyle w:val="Hyperlink"/>
                <w:rFonts w:eastAsiaTheme="majorEastAsia"/>
              </w:rPr>
              <w:t>7.6 Contagion Dynamics: Mapping Cascades</w:t>
            </w:r>
            <w:r>
              <w:rPr>
                <w:webHidden/>
              </w:rPr>
              <w:tab/>
            </w:r>
            <w:r>
              <w:rPr>
                <w:webHidden/>
              </w:rPr>
              <w:fldChar w:fldCharType="begin"/>
            </w:r>
            <w:r>
              <w:rPr>
                <w:webHidden/>
              </w:rPr>
              <w:instrText xml:space="preserve"> PAGEREF _Toc214721979 \h </w:instrText>
            </w:r>
            <w:r>
              <w:rPr>
                <w:webHidden/>
              </w:rPr>
            </w:r>
            <w:r>
              <w:rPr>
                <w:webHidden/>
              </w:rPr>
              <w:fldChar w:fldCharType="separate"/>
            </w:r>
            <w:r>
              <w:rPr>
                <w:webHidden/>
              </w:rPr>
              <w:t>123</w:t>
            </w:r>
            <w:r>
              <w:rPr>
                <w:webHidden/>
              </w:rPr>
              <w:fldChar w:fldCharType="end"/>
            </w:r>
          </w:hyperlink>
        </w:p>
        <w:p w14:paraId="044B990E" w14:textId="159087BC" w:rsidR="002C51B7" w:rsidRDefault="002C51B7">
          <w:pPr>
            <w:pStyle w:val="TOC3"/>
            <w:rPr>
              <w:rFonts w:eastAsiaTheme="minorEastAsia" w:cstheme="minorBidi"/>
              <w:i w:val="0"/>
              <w:iCs w:val="0"/>
              <w:noProof/>
              <w:sz w:val="24"/>
              <w:szCs w:val="24"/>
              <w14:ligatures w14:val="standardContextual"/>
            </w:rPr>
          </w:pPr>
          <w:hyperlink w:anchor="_Toc214721980" w:history="1">
            <w:r w:rsidRPr="009300E5">
              <w:rPr>
                <w:rStyle w:val="Hyperlink"/>
                <w:rFonts w:eastAsiaTheme="majorEastAsia"/>
                <w:noProof/>
              </w:rPr>
              <w:t>Table 7.B: Terra/Luna Contagion Cascade (May 2022) - Empirical TVL Loss Progression</w:t>
            </w:r>
            <w:r>
              <w:rPr>
                <w:noProof/>
                <w:webHidden/>
              </w:rPr>
              <w:tab/>
            </w:r>
            <w:r>
              <w:rPr>
                <w:noProof/>
                <w:webHidden/>
              </w:rPr>
              <w:fldChar w:fldCharType="begin"/>
            </w:r>
            <w:r>
              <w:rPr>
                <w:noProof/>
                <w:webHidden/>
              </w:rPr>
              <w:instrText xml:space="preserve"> PAGEREF _Toc214721980 \h </w:instrText>
            </w:r>
            <w:r>
              <w:rPr>
                <w:noProof/>
                <w:webHidden/>
              </w:rPr>
            </w:r>
            <w:r>
              <w:rPr>
                <w:noProof/>
                <w:webHidden/>
              </w:rPr>
              <w:fldChar w:fldCharType="separate"/>
            </w:r>
            <w:r>
              <w:rPr>
                <w:noProof/>
                <w:webHidden/>
              </w:rPr>
              <w:t>123</w:t>
            </w:r>
            <w:r>
              <w:rPr>
                <w:noProof/>
                <w:webHidden/>
              </w:rPr>
              <w:fldChar w:fldCharType="end"/>
            </w:r>
          </w:hyperlink>
        </w:p>
        <w:p w14:paraId="633B532C" w14:textId="64092DB2" w:rsidR="002C51B7" w:rsidRDefault="002C51B7">
          <w:pPr>
            <w:pStyle w:val="TOC2"/>
            <w:rPr>
              <w:rFonts w:eastAsiaTheme="minorEastAsia" w:cstheme="minorBidi"/>
              <w:b w:val="0"/>
              <w:bCs w:val="0"/>
              <w:smallCaps w:val="0"/>
              <w:sz w:val="24"/>
              <w:szCs w:val="24"/>
              <w14:ligatures w14:val="standardContextual"/>
            </w:rPr>
          </w:pPr>
          <w:hyperlink w:anchor="_Toc214721981" w:history="1">
            <w:r w:rsidRPr="009300E5">
              <w:rPr>
                <w:rStyle w:val="Hyperlink"/>
                <w:rFonts w:eastAsiaTheme="majorEastAsia"/>
              </w:rPr>
              <w:t>7.7 Risk Interaction Effects</w:t>
            </w:r>
            <w:r>
              <w:rPr>
                <w:webHidden/>
              </w:rPr>
              <w:tab/>
            </w:r>
            <w:r>
              <w:rPr>
                <w:webHidden/>
              </w:rPr>
              <w:fldChar w:fldCharType="begin"/>
            </w:r>
            <w:r>
              <w:rPr>
                <w:webHidden/>
              </w:rPr>
              <w:instrText xml:space="preserve"> PAGEREF _Toc214721981 \h </w:instrText>
            </w:r>
            <w:r>
              <w:rPr>
                <w:webHidden/>
              </w:rPr>
            </w:r>
            <w:r>
              <w:rPr>
                <w:webHidden/>
              </w:rPr>
              <w:fldChar w:fldCharType="separate"/>
            </w:r>
            <w:r>
              <w:rPr>
                <w:webHidden/>
              </w:rPr>
              <w:t>124</w:t>
            </w:r>
            <w:r>
              <w:rPr>
                <w:webHidden/>
              </w:rPr>
              <w:fldChar w:fldCharType="end"/>
            </w:r>
          </w:hyperlink>
        </w:p>
        <w:p w14:paraId="75F2BBD0" w14:textId="3ECF5B5E" w:rsidR="002C51B7" w:rsidRDefault="002C51B7">
          <w:pPr>
            <w:pStyle w:val="TOC3"/>
            <w:rPr>
              <w:rFonts w:eastAsiaTheme="minorEastAsia" w:cstheme="minorBidi"/>
              <w:i w:val="0"/>
              <w:iCs w:val="0"/>
              <w:noProof/>
              <w:sz w:val="24"/>
              <w:szCs w:val="24"/>
              <w14:ligatures w14:val="standardContextual"/>
            </w:rPr>
          </w:pPr>
          <w:hyperlink w:anchor="_Toc214721982" w:history="1">
            <w:r w:rsidRPr="009300E5">
              <w:rPr>
                <w:rStyle w:val="Hyperlink"/>
                <w:rFonts w:eastAsiaTheme="majorEastAsia"/>
                <w:noProof/>
              </w:rPr>
              <w:t>Table 7.C: Risk Correlation Matrix Across Market Regimes</w:t>
            </w:r>
            <w:r>
              <w:rPr>
                <w:noProof/>
                <w:webHidden/>
              </w:rPr>
              <w:tab/>
            </w:r>
            <w:r>
              <w:rPr>
                <w:noProof/>
                <w:webHidden/>
              </w:rPr>
              <w:fldChar w:fldCharType="begin"/>
            </w:r>
            <w:r>
              <w:rPr>
                <w:noProof/>
                <w:webHidden/>
              </w:rPr>
              <w:instrText xml:space="preserve"> PAGEREF _Toc214721982 \h </w:instrText>
            </w:r>
            <w:r>
              <w:rPr>
                <w:noProof/>
                <w:webHidden/>
              </w:rPr>
            </w:r>
            <w:r>
              <w:rPr>
                <w:noProof/>
                <w:webHidden/>
              </w:rPr>
              <w:fldChar w:fldCharType="separate"/>
            </w:r>
            <w:r>
              <w:rPr>
                <w:noProof/>
                <w:webHidden/>
              </w:rPr>
              <w:t>124</w:t>
            </w:r>
            <w:r>
              <w:rPr>
                <w:noProof/>
                <w:webHidden/>
              </w:rPr>
              <w:fldChar w:fldCharType="end"/>
            </w:r>
          </w:hyperlink>
        </w:p>
        <w:p w14:paraId="7C1C0BED" w14:textId="3D5F3982" w:rsidR="002C51B7" w:rsidRDefault="002C51B7">
          <w:pPr>
            <w:pStyle w:val="TOC3"/>
            <w:rPr>
              <w:rFonts w:eastAsiaTheme="minorEastAsia" w:cstheme="minorBidi"/>
              <w:i w:val="0"/>
              <w:iCs w:val="0"/>
              <w:noProof/>
              <w:sz w:val="24"/>
              <w:szCs w:val="24"/>
              <w14:ligatures w14:val="standardContextual"/>
            </w:rPr>
          </w:pPr>
          <w:hyperlink w:anchor="_Toc214721983" w:history="1">
            <w:r w:rsidRPr="009300E5">
              <w:rPr>
                <w:rStyle w:val="Hyperlink"/>
                <w:rFonts w:eastAsiaTheme="majorEastAsia"/>
                <w:noProof/>
              </w:rPr>
              <w:t>Table 7.D: Cascade Pattern Overview</w:t>
            </w:r>
            <w:r>
              <w:rPr>
                <w:noProof/>
                <w:webHidden/>
              </w:rPr>
              <w:tab/>
            </w:r>
            <w:r>
              <w:rPr>
                <w:noProof/>
                <w:webHidden/>
              </w:rPr>
              <w:fldChar w:fldCharType="begin"/>
            </w:r>
            <w:r>
              <w:rPr>
                <w:noProof/>
                <w:webHidden/>
              </w:rPr>
              <w:instrText xml:space="preserve"> PAGEREF _Toc214721983 \h </w:instrText>
            </w:r>
            <w:r>
              <w:rPr>
                <w:noProof/>
                <w:webHidden/>
              </w:rPr>
            </w:r>
            <w:r>
              <w:rPr>
                <w:noProof/>
                <w:webHidden/>
              </w:rPr>
              <w:fldChar w:fldCharType="separate"/>
            </w:r>
            <w:r>
              <w:rPr>
                <w:noProof/>
                <w:webHidden/>
              </w:rPr>
              <w:t>125</w:t>
            </w:r>
            <w:r>
              <w:rPr>
                <w:noProof/>
                <w:webHidden/>
              </w:rPr>
              <w:fldChar w:fldCharType="end"/>
            </w:r>
          </w:hyperlink>
        </w:p>
        <w:p w14:paraId="5B027C8E" w14:textId="4578E908" w:rsidR="002C51B7" w:rsidRDefault="002C51B7">
          <w:pPr>
            <w:pStyle w:val="TOC2"/>
            <w:rPr>
              <w:rFonts w:eastAsiaTheme="minorEastAsia" w:cstheme="minorBidi"/>
              <w:b w:val="0"/>
              <w:bCs w:val="0"/>
              <w:smallCaps w:val="0"/>
              <w:sz w:val="24"/>
              <w:szCs w:val="24"/>
              <w14:ligatures w14:val="standardContextual"/>
            </w:rPr>
          </w:pPr>
          <w:hyperlink w:anchor="_Toc214721984" w:history="1">
            <w:r w:rsidRPr="009300E5">
              <w:rPr>
                <w:rStyle w:val="Hyperlink"/>
                <w:rFonts w:eastAsiaTheme="majorEastAsia"/>
              </w:rPr>
              <w:t>7.8 Synthesis: Risk Reality</w:t>
            </w:r>
            <w:r>
              <w:rPr>
                <w:webHidden/>
              </w:rPr>
              <w:tab/>
            </w:r>
            <w:r>
              <w:rPr>
                <w:webHidden/>
              </w:rPr>
              <w:fldChar w:fldCharType="begin"/>
            </w:r>
            <w:r>
              <w:rPr>
                <w:webHidden/>
              </w:rPr>
              <w:instrText xml:space="preserve"> PAGEREF _Toc214721984 \h </w:instrText>
            </w:r>
            <w:r>
              <w:rPr>
                <w:webHidden/>
              </w:rPr>
            </w:r>
            <w:r>
              <w:rPr>
                <w:webHidden/>
              </w:rPr>
              <w:fldChar w:fldCharType="separate"/>
            </w:r>
            <w:r>
              <w:rPr>
                <w:webHidden/>
              </w:rPr>
              <w:t>125</w:t>
            </w:r>
            <w:r>
              <w:rPr>
                <w:webHidden/>
              </w:rPr>
              <w:fldChar w:fldCharType="end"/>
            </w:r>
          </w:hyperlink>
        </w:p>
        <w:p w14:paraId="09713E5D" w14:textId="29C9778A" w:rsidR="002C51B7" w:rsidRDefault="002C51B7">
          <w:pPr>
            <w:pStyle w:val="TOC2"/>
            <w:rPr>
              <w:rFonts w:eastAsiaTheme="minorEastAsia" w:cstheme="minorBidi"/>
              <w:b w:val="0"/>
              <w:bCs w:val="0"/>
              <w:smallCaps w:val="0"/>
              <w:sz w:val="24"/>
              <w:szCs w:val="24"/>
              <w14:ligatures w14:val="standardContextual"/>
            </w:rPr>
          </w:pPr>
          <w:hyperlink w:anchor="_Toc214721985" w:history="1">
            <w:r w:rsidRPr="009300E5">
              <w:rPr>
                <w:rStyle w:val="Hyperlink"/>
                <w:rFonts w:eastAsiaTheme="majorEastAsia"/>
              </w:rPr>
              <w:t>7.9 Plain Language Summary: Understanding DeFi's Risk Reality</w:t>
            </w:r>
            <w:r>
              <w:rPr>
                <w:webHidden/>
              </w:rPr>
              <w:tab/>
            </w:r>
            <w:r>
              <w:rPr>
                <w:webHidden/>
              </w:rPr>
              <w:fldChar w:fldCharType="begin"/>
            </w:r>
            <w:r>
              <w:rPr>
                <w:webHidden/>
              </w:rPr>
              <w:instrText xml:space="preserve"> PAGEREF _Toc214721985 \h </w:instrText>
            </w:r>
            <w:r>
              <w:rPr>
                <w:webHidden/>
              </w:rPr>
            </w:r>
            <w:r>
              <w:rPr>
                <w:webHidden/>
              </w:rPr>
              <w:fldChar w:fldCharType="separate"/>
            </w:r>
            <w:r>
              <w:rPr>
                <w:webHidden/>
              </w:rPr>
              <w:t>125</w:t>
            </w:r>
            <w:r>
              <w:rPr>
                <w:webHidden/>
              </w:rPr>
              <w:fldChar w:fldCharType="end"/>
            </w:r>
          </w:hyperlink>
        </w:p>
        <w:p w14:paraId="5872230A" w14:textId="40913463" w:rsidR="002C51B7" w:rsidRDefault="002C51B7">
          <w:pPr>
            <w:pStyle w:val="TOC3"/>
            <w:rPr>
              <w:rFonts w:eastAsiaTheme="minorEastAsia" w:cstheme="minorBidi"/>
              <w:i w:val="0"/>
              <w:iCs w:val="0"/>
              <w:noProof/>
              <w:sz w:val="24"/>
              <w:szCs w:val="24"/>
              <w14:ligatures w14:val="standardContextual"/>
            </w:rPr>
          </w:pPr>
          <w:hyperlink w:anchor="_Toc214721986" w:history="1">
            <w:r w:rsidRPr="009300E5">
              <w:rPr>
                <w:rStyle w:val="Hyperlink"/>
                <w:rFonts w:eastAsiaTheme="majorEastAsia"/>
                <w:noProof/>
              </w:rPr>
              <w:t>7.9.1 The Audit Paradox: Why Security Reviews Don't Prevent Losses</w:t>
            </w:r>
            <w:r>
              <w:rPr>
                <w:noProof/>
                <w:webHidden/>
              </w:rPr>
              <w:tab/>
            </w:r>
            <w:r>
              <w:rPr>
                <w:noProof/>
                <w:webHidden/>
              </w:rPr>
              <w:fldChar w:fldCharType="begin"/>
            </w:r>
            <w:r>
              <w:rPr>
                <w:noProof/>
                <w:webHidden/>
              </w:rPr>
              <w:instrText xml:space="preserve"> PAGEREF _Toc214721986 \h </w:instrText>
            </w:r>
            <w:r>
              <w:rPr>
                <w:noProof/>
                <w:webHidden/>
              </w:rPr>
            </w:r>
            <w:r>
              <w:rPr>
                <w:noProof/>
                <w:webHidden/>
              </w:rPr>
              <w:fldChar w:fldCharType="separate"/>
            </w:r>
            <w:r>
              <w:rPr>
                <w:noProof/>
                <w:webHidden/>
              </w:rPr>
              <w:t>126</w:t>
            </w:r>
            <w:r>
              <w:rPr>
                <w:noProof/>
                <w:webHidden/>
              </w:rPr>
              <w:fldChar w:fldCharType="end"/>
            </w:r>
          </w:hyperlink>
        </w:p>
        <w:p w14:paraId="2DB72BBF" w14:textId="3FF94A43" w:rsidR="002C51B7" w:rsidRDefault="002C51B7">
          <w:pPr>
            <w:pStyle w:val="TOC3"/>
            <w:rPr>
              <w:rFonts w:eastAsiaTheme="minorEastAsia" w:cstheme="minorBidi"/>
              <w:i w:val="0"/>
              <w:iCs w:val="0"/>
              <w:noProof/>
              <w:sz w:val="24"/>
              <w:szCs w:val="24"/>
              <w14:ligatures w14:val="standardContextual"/>
            </w:rPr>
          </w:pPr>
          <w:hyperlink w:anchor="_Toc214721987" w:history="1">
            <w:r w:rsidRPr="009300E5">
              <w:rPr>
                <w:rStyle w:val="Hyperlink"/>
                <w:rFonts w:eastAsiaTheme="majorEastAsia"/>
                <w:noProof/>
              </w:rPr>
              <w:t>7.9.2 True Cost of Technical Risk Goes Far Beyond Direct Losses</w:t>
            </w:r>
            <w:r>
              <w:rPr>
                <w:noProof/>
                <w:webHidden/>
              </w:rPr>
              <w:tab/>
            </w:r>
            <w:r>
              <w:rPr>
                <w:noProof/>
                <w:webHidden/>
              </w:rPr>
              <w:fldChar w:fldCharType="begin"/>
            </w:r>
            <w:r>
              <w:rPr>
                <w:noProof/>
                <w:webHidden/>
              </w:rPr>
              <w:instrText xml:space="preserve"> PAGEREF _Toc214721987 \h </w:instrText>
            </w:r>
            <w:r>
              <w:rPr>
                <w:noProof/>
                <w:webHidden/>
              </w:rPr>
            </w:r>
            <w:r>
              <w:rPr>
                <w:noProof/>
                <w:webHidden/>
              </w:rPr>
              <w:fldChar w:fldCharType="separate"/>
            </w:r>
            <w:r>
              <w:rPr>
                <w:noProof/>
                <w:webHidden/>
              </w:rPr>
              <w:t>127</w:t>
            </w:r>
            <w:r>
              <w:rPr>
                <w:noProof/>
                <w:webHidden/>
              </w:rPr>
              <w:fldChar w:fldCharType="end"/>
            </w:r>
          </w:hyperlink>
        </w:p>
        <w:p w14:paraId="6716148D" w14:textId="5218A139" w:rsidR="002C51B7" w:rsidRDefault="002C51B7">
          <w:pPr>
            <w:pStyle w:val="TOC3"/>
            <w:rPr>
              <w:rFonts w:eastAsiaTheme="minorEastAsia" w:cstheme="minorBidi"/>
              <w:i w:val="0"/>
              <w:iCs w:val="0"/>
              <w:noProof/>
              <w:sz w:val="24"/>
              <w:szCs w:val="24"/>
              <w14:ligatures w14:val="standardContextual"/>
            </w:rPr>
          </w:pPr>
          <w:hyperlink w:anchor="_Toc214721988" w:history="1">
            <w:r w:rsidRPr="009300E5">
              <w:rPr>
                <w:rStyle w:val="Hyperlink"/>
                <w:rFonts w:eastAsiaTheme="majorEastAsia"/>
                <w:noProof/>
              </w:rPr>
              <w:t>7.9.3 Annual Loss Probability: The Math Behind Survival</w:t>
            </w:r>
            <w:r>
              <w:rPr>
                <w:noProof/>
                <w:webHidden/>
              </w:rPr>
              <w:tab/>
            </w:r>
            <w:r>
              <w:rPr>
                <w:noProof/>
                <w:webHidden/>
              </w:rPr>
              <w:fldChar w:fldCharType="begin"/>
            </w:r>
            <w:r>
              <w:rPr>
                <w:noProof/>
                <w:webHidden/>
              </w:rPr>
              <w:instrText xml:space="preserve"> PAGEREF _Toc214721988 \h </w:instrText>
            </w:r>
            <w:r>
              <w:rPr>
                <w:noProof/>
                <w:webHidden/>
              </w:rPr>
            </w:r>
            <w:r>
              <w:rPr>
                <w:noProof/>
                <w:webHidden/>
              </w:rPr>
              <w:fldChar w:fldCharType="separate"/>
            </w:r>
            <w:r>
              <w:rPr>
                <w:noProof/>
                <w:webHidden/>
              </w:rPr>
              <w:t>127</w:t>
            </w:r>
            <w:r>
              <w:rPr>
                <w:noProof/>
                <w:webHidden/>
              </w:rPr>
              <w:fldChar w:fldCharType="end"/>
            </w:r>
          </w:hyperlink>
        </w:p>
        <w:p w14:paraId="551F6114" w14:textId="619F2D48" w:rsidR="002C51B7" w:rsidRDefault="002C51B7">
          <w:pPr>
            <w:pStyle w:val="TOC3"/>
            <w:rPr>
              <w:rFonts w:eastAsiaTheme="minorEastAsia" w:cstheme="minorBidi"/>
              <w:i w:val="0"/>
              <w:iCs w:val="0"/>
              <w:noProof/>
              <w:sz w:val="24"/>
              <w:szCs w:val="24"/>
              <w14:ligatures w14:val="standardContextual"/>
            </w:rPr>
          </w:pPr>
          <w:hyperlink w:anchor="_Toc214721989" w:history="1">
            <w:r w:rsidRPr="009300E5">
              <w:rPr>
                <w:rStyle w:val="Hyperlink"/>
                <w:rFonts w:eastAsiaTheme="majorEastAsia"/>
                <w:noProof/>
              </w:rPr>
              <w:t>7.9.4 Contagion Mechanics: How One Protocol's Problem Becomes Everyone's Problem</w:t>
            </w:r>
            <w:r>
              <w:rPr>
                <w:noProof/>
                <w:webHidden/>
              </w:rPr>
              <w:tab/>
            </w:r>
            <w:r>
              <w:rPr>
                <w:noProof/>
                <w:webHidden/>
              </w:rPr>
              <w:fldChar w:fldCharType="begin"/>
            </w:r>
            <w:r>
              <w:rPr>
                <w:noProof/>
                <w:webHidden/>
              </w:rPr>
              <w:instrText xml:space="preserve"> PAGEREF _Toc214721989 \h </w:instrText>
            </w:r>
            <w:r>
              <w:rPr>
                <w:noProof/>
                <w:webHidden/>
              </w:rPr>
            </w:r>
            <w:r>
              <w:rPr>
                <w:noProof/>
                <w:webHidden/>
              </w:rPr>
              <w:fldChar w:fldCharType="separate"/>
            </w:r>
            <w:r>
              <w:rPr>
                <w:noProof/>
                <w:webHidden/>
              </w:rPr>
              <w:t>129</w:t>
            </w:r>
            <w:r>
              <w:rPr>
                <w:noProof/>
                <w:webHidden/>
              </w:rPr>
              <w:fldChar w:fldCharType="end"/>
            </w:r>
          </w:hyperlink>
        </w:p>
        <w:p w14:paraId="2FDC1FC6" w14:textId="32C6ED75" w:rsidR="002C51B7" w:rsidRDefault="002C51B7">
          <w:pPr>
            <w:pStyle w:val="TOC3"/>
            <w:rPr>
              <w:rFonts w:eastAsiaTheme="minorEastAsia" w:cstheme="minorBidi"/>
              <w:i w:val="0"/>
              <w:iCs w:val="0"/>
              <w:noProof/>
              <w:sz w:val="24"/>
              <w:szCs w:val="24"/>
              <w14:ligatures w14:val="standardContextual"/>
            </w:rPr>
          </w:pPr>
          <w:hyperlink w:anchor="_Toc214721990" w:history="1">
            <w:r w:rsidRPr="009300E5">
              <w:rPr>
                <w:rStyle w:val="Hyperlink"/>
                <w:rFonts w:eastAsiaTheme="majorEastAsia"/>
                <w:noProof/>
              </w:rPr>
              <w:t>Figure 7.E: Position Sizing Decision Framework Based on Capital Thresholds and Risk Profile</w:t>
            </w:r>
            <w:r>
              <w:rPr>
                <w:noProof/>
                <w:webHidden/>
              </w:rPr>
              <w:tab/>
            </w:r>
            <w:r>
              <w:rPr>
                <w:noProof/>
                <w:webHidden/>
              </w:rPr>
              <w:fldChar w:fldCharType="begin"/>
            </w:r>
            <w:r>
              <w:rPr>
                <w:noProof/>
                <w:webHidden/>
              </w:rPr>
              <w:instrText xml:space="preserve"> PAGEREF _Toc214721990 \h </w:instrText>
            </w:r>
            <w:r>
              <w:rPr>
                <w:noProof/>
                <w:webHidden/>
              </w:rPr>
            </w:r>
            <w:r>
              <w:rPr>
                <w:noProof/>
                <w:webHidden/>
              </w:rPr>
              <w:fldChar w:fldCharType="separate"/>
            </w:r>
            <w:r>
              <w:rPr>
                <w:noProof/>
                <w:webHidden/>
              </w:rPr>
              <w:t>131</w:t>
            </w:r>
            <w:r>
              <w:rPr>
                <w:noProof/>
                <w:webHidden/>
              </w:rPr>
              <w:fldChar w:fldCharType="end"/>
            </w:r>
          </w:hyperlink>
        </w:p>
        <w:p w14:paraId="2ABBAACD" w14:textId="01CAFF55" w:rsidR="002C51B7" w:rsidRDefault="002C51B7">
          <w:pPr>
            <w:pStyle w:val="TOC1"/>
            <w:tabs>
              <w:tab w:val="right" w:leader="dot" w:pos="9350"/>
            </w:tabs>
            <w:rPr>
              <w:rFonts w:eastAsiaTheme="minorEastAsia" w:cstheme="minorBidi"/>
              <w:b w:val="0"/>
              <w:bCs w:val="0"/>
              <w:caps w:val="0"/>
              <w:noProof/>
              <w:sz w:val="24"/>
              <w:szCs w:val="24"/>
              <w14:ligatures w14:val="standardContextual"/>
            </w:rPr>
          </w:pPr>
          <w:hyperlink w:anchor="_Toc214721991" w:history="1">
            <w:r w:rsidRPr="009300E5">
              <w:rPr>
                <w:rStyle w:val="Hyperlink"/>
                <w:rFonts w:eastAsiaTheme="majorEastAsia"/>
                <w:noProof/>
              </w:rPr>
              <w:t>CHAPTER 8: EMPIRICAL ANALYSIS OF PASSIVE INCOME MECHANISMS AND RETURNS</w:t>
            </w:r>
            <w:r>
              <w:rPr>
                <w:noProof/>
                <w:webHidden/>
              </w:rPr>
              <w:tab/>
            </w:r>
            <w:r>
              <w:rPr>
                <w:noProof/>
                <w:webHidden/>
              </w:rPr>
              <w:fldChar w:fldCharType="begin"/>
            </w:r>
            <w:r>
              <w:rPr>
                <w:noProof/>
                <w:webHidden/>
              </w:rPr>
              <w:instrText xml:space="preserve"> PAGEREF _Toc214721991 \h </w:instrText>
            </w:r>
            <w:r>
              <w:rPr>
                <w:noProof/>
                <w:webHidden/>
              </w:rPr>
            </w:r>
            <w:r>
              <w:rPr>
                <w:noProof/>
                <w:webHidden/>
              </w:rPr>
              <w:fldChar w:fldCharType="separate"/>
            </w:r>
            <w:r>
              <w:rPr>
                <w:noProof/>
                <w:webHidden/>
              </w:rPr>
              <w:t>135</w:t>
            </w:r>
            <w:r>
              <w:rPr>
                <w:noProof/>
                <w:webHidden/>
              </w:rPr>
              <w:fldChar w:fldCharType="end"/>
            </w:r>
          </w:hyperlink>
        </w:p>
        <w:p w14:paraId="7C9432F7" w14:textId="40474B1F" w:rsidR="002C51B7" w:rsidRDefault="002C51B7">
          <w:pPr>
            <w:pStyle w:val="TOC2"/>
            <w:rPr>
              <w:rFonts w:eastAsiaTheme="minorEastAsia" w:cstheme="minorBidi"/>
              <w:b w:val="0"/>
              <w:bCs w:val="0"/>
              <w:smallCaps w:val="0"/>
              <w:sz w:val="24"/>
              <w:szCs w:val="24"/>
              <w14:ligatures w14:val="standardContextual"/>
            </w:rPr>
          </w:pPr>
          <w:hyperlink w:anchor="_Toc214721992" w:history="1">
            <w:r w:rsidRPr="009300E5">
              <w:rPr>
                <w:rStyle w:val="Hyperlink"/>
                <w:rFonts w:eastAsiaTheme="majorEastAsia"/>
              </w:rPr>
              <w:t>8.1 Introduction: What Actually Happened to Real Positions</w:t>
            </w:r>
            <w:r>
              <w:rPr>
                <w:webHidden/>
              </w:rPr>
              <w:tab/>
            </w:r>
            <w:r>
              <w:rPr>
                <w:webHidden/>
              </w:rPr>
              <w:fldChar w:fldCharType="begin"/>
            </w:r>
            <w:r>
              <w:rPr>
                <w:webHidden/>
              </w:rPr>
              <w:instrText xml:space="preserve"> PAGEREF _Toc214721992 \h </w:instrText>
            </w:r>
            <w:r>
              <w:rPr>
                <w:webHidden/>
              </w:rPr>
            </w:r>
            <w:r>
              <w:rPr>
                <w:webHidden/>
              </w:rPr>
              <w:fldChar w:fldCharType="separate"/>
            </w:r>
            <w:r>
              <w:rPr>
                <w:webHidden/>
              </w:rPr>
              <w:t>135</w:t>
            </w:r>
            <w:r>
              <w:rPr>
                <w:webHidden/>
              </w:rPr>
              <w:fldChar w:fldCharType="end"/>
            </w:r>
          </w:hyperlink>
        </w:p>
        <w:p w14:paraId="5C742C48" w14:textId="1AC0E48C" w:rsidR="002C51B7" w:rsidRDefault="002C51B7">
          <w:pPr>
            <w:pStyle w:val="TOC2"/>
            <w:rPr>
              <w:rFonts w:eastAsiaTheme="minorEastAsia" w:cstheme="minorBidi"/>
              <w:b w:val="0"/>
              <w:bCs w:val="0"/>
              <w:smallCaps w:val="0"/>
              <w:sz w:val="24"/>
              <w:szCs w:val="24"/>
              <w14:ligatures w14:val="standardContextual"/>
            </w:rPr>
          </w:pPr>
          <w:hyperlink w:anchor="_Toc214721993" w:history="1">
            <w:r w:rsidRPr="009300E5">
              <w:rPr>
                <w:rStyle w:val="Hyperlink"/>
                <w:rFonts w:eastAsiaTheme="majorEastAsia"/>
              </w:rPr>
              <w:t>8.2 Staking: The Volatility Problem</w:t>
            </w:r>
            <w:r>
              <w:rPr>
                <w:webHidden/>
              </w:rPr>
              <w:tab/>
            </w:r>
            <w:r>
              <w:rPr>
                <w:webHidden/>
              </w:rPr>
              <w:fldChar w:fldCharType="begin"/>
            </w:r>
            <w:r>
              <w:rPr>
                <w:webHidden/>
              </w:rPr>
              <w:instrText xml:space="preserve"> PAGEREF _Toc214721993 \h </w:instrText>
            </w:r>
            <w:r>
              <w:rPr>
                <w:webHidden/>
              </w:rPr>
            </w:r>
            <w:r>
              <w:rPr>
                <w:webHidden/>
              </w:rPr>
              <w:fldChar w:fldCharType="separate"/>
            </w:r>
            <w:r>
              <w:rPr>
                <w:webHidden/>
              </w:rPr>
              <w:t>137</w:t>
            </w:r>
            <w:r>
              <w:rPr>
                <w:webHidden/>
              </w:rPr>
              <w:fldChar w:fldCharType="end"/>
            </w:r>
          </w:hyperlink>
        </w:p>
        <w:p w14:paraId="6FD3BE6A" w14:textId="7F43C8A1" w:rsidR="002C51B7" w:rsidRDefault="002C51B7">
          <w:pPr>
            <w:pStyle w:val="TOC2"/>
            <w:rPr>
              <w:rFonts w:eastAsiaTheme="minorEastAsia" w:cstheme="minorBidi"/>
              <w:b w:val="0"/>
              <w:bCs w:val="0"/>
              <w:smallCaps w:val="0"/>
              <w:sz w:val="24"/>
              <w:szCs w:val="24"/>
              <w14:ligatures w14:val="standardContextual"/>
            </w:rPr>
          </w:pPr>
          <w:hyperlink w:anchor="_Toc214721994" w:history="1">
            <w:r w:rsidRPr="009300E5">
              <w:rPr>
                <w:rStyle w:val="Hyperlink"/>
                <w:rFonts w:eastAsiaTheme="majorEastAsia"/>
              </w:rPr>
              <w:t>8.3 Yield Farming: The Compression Problem</w:t>
            </w:r>
            <w:r>
              <w:rPr>
                <w:webHidden/>
              </w:rPr>
              <w:tab/>
            </w:r>
            <w:r>
              <w:rPr>
                <w:webHidden/>
              </w:rPr>
              <w:fldChar w:fldCharType="begin"/>
            </w:r>
            <w:r>
              <w:rPr>
                <w:webHidden/>
              </w:rPr>
              <w:instrText xml:space="preserve"> PAGEREF _Toc214721994 \h </w:instrText>
            </w:r>
            <w:r>
              <w:rPr>
                <w:webHidden/>
              </w:rPr>
            </w:r>
            <w:r>
              <w:rPr>
                <w:webHidden/>
              </w:rPr>
              <w:fldChar w:fldCharType="separate"/>
            </w:r>
            <w:r>
              <w:rPr>
                <w:webHidden/>
              </w:rPr>
              <w:t>138</w:t>
            </w:r>
            <w:r>
              <w:rPr>
                <w:webHidden/>
              </w:rPr>
              <w:fldChar w:fldCharType="end"/>
            </w:r>
          </w:hyperlink>
        </w:p>
        <w:p w14:paraId="293CD6CE" w14:textId="2A5DB360" w:rsidR="002C51B7" w:rsidRDefault="002C51B7">
          <w:pPr>
            <w:pStyle w:val="TOC2"/>
            <w:rPr>
              <w:rFonts w:eastAsiaTheme="minorEastAsia" w:cstheme="minorBidi"/>
              <w:b w:val="0"/>
              <w:bCs w:val="0"/>
              <w:smallCaps w:val="0"/>
              <w:sz w:val="24"/>
              <w:szCs w:val="24"/>
              <w14:ligatures w14:val="standardContextual"/>
            </w:rPr>
          </w:pPr>
          <w:hyperlink w:anchor="_Toc214721995" w:history="1">
            <w:r w:rsidRPr="009300E5">
              <w:rPr>
                <w:rStyle w:val="Hyperlink"/>
                <w:rFonts w:eastAsiaTheme="majorEastAsia"/>
              </w:rPr>
              <w:t>8.4 Liquidity Provision: The Only Real Income Mechanism</w:t>
            </w:r>
            <w:r>
              <w:rPr>
                <w:webHidden/>
              </w:rPr>
              <w:tab/>
            </w:r>
            <w:r>
              <w:rPr>
                <w:webHidden/>
              </w:rPr>
              <w:fldChar w:fldCharType="begin"/>
            </w:r>
            <w:r>
              <w:rPr>
                <w:webHidden/>
              </w:rPr>
              <w:instrText xml:space="preserve"> PAGEREF _Toc214721995 \h </w:instrText>
            </w:r>
            <w:r>
              <w:rPr>
                <w:webHidden/>
              </w:rPr>
            </w:r>
            <w:r>
              <w:rPr>
                <w:webHidden/>
              </w:rPr>
              <w:fldChar w:fldCharType="separate"/>
            </w:r>
            <w:r>
              <w:rPr>
                <w:webHidden/>
              </w:rPr>
              <w:t>139</w:t>
            </w:r>
            <w:r>
              <w:rPr>
                <w:webHidden/>
              </w:rPr>
              <w:fldChar w:fldCharType="end"/>
            </w:r>
          </w:hyperlink>
        </w:p>
        <w:p w14:paraId="1E095EB3" w14:textId="7A9F8CD1" w:rsidR="002C51B7" w:rsidRDefault="002C51B7">
          <w:pPr>
            <w:pStyle w:val="TOC2"/>
            <w:rPr>
              <w:rFonts w:eastAsiaTheme="minorEastAsia" w:cstheme="minorBidi"/>
              <w:b w:val="0"/>
              <w:bCs w:val="0"/>
              <w:smallCaps w:val="0"/>
              <w:sz w:val="24"/>
              <w:szCs w:val="24"/>
              <w14:ligatures w14:val="standardContextual"/>
            </w:rPr>
          </w:pPr>
          <w:hyperlink w:anchor="_Toc214721996" w:history="1">
            <w:r w:rsidRPr="009300E5">
              <w:rPr>
                <w:rStyle w:val="Hyperlink"/>
                <w:rFonts w:eastAsiaTheme="majorEastAsia"/>
              </w:rPr>
              <w:t>8.5 Operational Reality: Why "Passive" Required 20 Hours Weekly</w:t>
            </w:r>
            <w:r>
              <w:rPr>
                <w:webHidden/>
              </w:rPr>
              <w:tab/>
            </w:r>
            <w:r>
              <w:rPr>
                <w:webHidden/>
              </w:rPr>
              <w:fldChar w:fldCharType="begin"/>
            </w:r>
            <w:r>
              <w:rPr>
                <w:webHidden/>
              </w:rPr>
              <w:instrText xml:space="preserve"> PAGEREF _Toc214721996 \h </w:instrText>
            </w:r>
            <w:r>
              <w:rPr>
                <w:webHidden/>
              </w:rPr>
            </w:r>
            <w:r>
              <w:rPr>
                <w:webHidden/>
              </w:rPr>
              <w:fldChar w:fldCharType="separate"/>
            </w:r>
            <w:r>
              <w:rPr>
                <w:webHidden/>
              </w:rPr>
              <w:t>139</w:t>
            </w:r>
            <w:r>
              <w:rPr>
                <w:webHidden/>
              </w:rPr>
              <w:fldChar w:fldCharType="end"/>
            </w:r>
          </w:hyperlink>
        </w:p>
        <w:p w14:paraId="6882C5E7" w14:textId="11F03112" w:rsidR="002C51B7" w:rsidRDefault="002C51B7">
          <w:pPr>
            <w:pStyle w:val="TOC2"/>
            <w:rPr>
              <w:rFonts w:eastAsiaTheme="minorEastAsia" w:cstheme="minorBidi"/>
              <w:b w:val="0"/>
              <w:bCs w:val="0"/>
              <w:smallCaps w:val="0"/>
              <w:sz w:val="24"/>
              <w:szCs w:val="24"/>
              <w14:ligatures w14:val="standardContextual"/>
            </w:rPr>
          </w:pPr>
          <w:hyperlink w:anchor="_Toc214721997" w:history="1">
            <w:r w:rsidRPr="009300E5">
              <w:rPr>
                <w:rStyle w:val="Hyperlink"/>
                <w:rFonts w:eastAsiaTheme="majorEastAsia"/>
              </w:rPr>
              <w:t>8.6 Capital Requirements: Empirical Thresholds and Opportunity Zones</w:t>
            </w:r>
            <w:r>
              <w:rPr>
                <w:webHidden/>
              </w:rPr>
              <w:tab/>
            </w:r>
            <w:r>
              <w:rPr>
                <w:webHidden/>
              </w:rPr>
              <w:fldChar w:fldCharType="begin"/>
            </w:r>
            <w:r>
              <w:rPr>
                <w:webHidden/>
              </w:rPr>
              <w:instrText xml:space="preserve"> PAGEREF _Toc214721997 \h </w:instrText>
            </w:r>
            <w:r>
              <w:rPr>
                <w:webHidden/>
              </w:rPr>
            </w:r>
            <w:r>
              <w:rPr>
                <w:webHidden/>
              </w:rPr>
              <w:fldChar w:fldCharType="separate"/>
            </w:r>
            <w:r>
              <w:rPr>
                <w:webHidden/>
              </w:rPr>
              <w:t>140</w:t>
            </w:r>
            <w:r>
              <w:rPr>
                <w:webHidden/>
              </w:rPr>
              <w:fldChar w:fldCharType="end"/>
            </w:r>
          </w:hyperlink>
        </w:p>
        <w:p w14:paraId="7BEF16B1" w14:textId="3408358C" w:rsidR="002C51B7" w:rsidRDefault="002C51B7">
          <w:pPr>
            <w:pStyle w:val="TOC3"/>
            <w:rPr>
              <w:rFonts w:eastAsiaTheme="minorEastAsia" w:cstheme="minorBidi"/>
              <w:i w:val="0"/>
              <w:iCs w:val="0"/>
              <w:noProof/>
              <w:sz w:val="24"/>
              <w:szCs w:val="24"/>
              <w14:ligatures w14:val="standardContextual"/>
            </w:rPr>
          </w:pPr>
          <w:hyperlink w:anchor="_Toc214721998" w:history="1">
            <w:r w:rsidRPr="009300E5">
              <w:rPr>
                <w:rStyle w:val="Hyperlink"/>
                <w:rFonts w:eastAsiaTheme="majorEastAsia"/>
                <w:noProof/>
              </w:rPr>
              <w:t>8.6.1 Statistical Comparison of Strategy Performance Across Capital Levels</w:t>
            </w:r>
            <w:r>
              <w:rPr>
                <w:noProof/>
                <w:webHidden/>
              </w:rPr>
              <w:tab/>
            </w:r>
            <w:r>
              <w:rPr>
                <w:noProof/>
                <w:webHidden/>
              </w:rPr>
              <w:fldChar w:fldCharType="begin"/>
            </w:r>
            <w:r>
              <w:rPr>
                <w:noProof/>
                <w:webHidden/>
              </w:rPr>
              <w:instrText xml:space="preserve"> PAGEREF _Toc214721998 \h </w:instrText>
            </w:r>
            <w:r>
              <w:rPr>
                <w:noProof/>
                <w:webHidden/>
              </w:rPr>
            </w:r>
            <w:r>
              <w:rPr>
                <w:noProof/>
                <w:webHidden/>
              </w:rPr>
              <w:fldChar w:fldCharType="separate"/>
            </w:r>
            <w:r>
              <w:rPr>
                <w:noProof/>
                <w:webHidden/>
              </w:rPr>
              <w:t>141</w:t>
            </w:r>
            <w:r>
              <w:rPr>
                <w:noProof/>
                <w:webHidden/>
              </w:rPr>
              <w:fldChar w:fldCharType="end"/>
            </w:r>
          </w:hyperlink>
        </w:p>
        <w:p w14:paraId="1E467419" w14:textId="6C29977D" w:rsidR="002C51B7" w:rsidRDefault="002C51B7">
          <w:pPr>
            <w:pStyle w:val="TOC2"/>
            <w:rPr>
              <w:rFonts w:eastAsiaTheme="minorEastAsia" w:cstheme="minorBidi"/>
              <w:b w:val="0"/>
              <w:bCs w:val="0"/>
              <w:smallCaps w:val="0"/>
              <w:sz w:val="24"/>
              <w:szCs w:val="24"/>
              <w14:ligatures w14:val="standardContextual"/>
            </w:rPr>
          </w:pPr>
          <w:hyperlink w:anchor="_Toc214721999" w:history="1">
            <w:r w:rsidRPr="009300E5">
              <w:rPr>
                <w:rStyle w:val="Hyperlink"/>
                <w:rFonts w:eastAsiaTheme="majorEastAsia"/>
              </w:rPr>
              <w:t>8.7 Risk Materialization: What Actually Killed Positions</w:t>
            </w:r>
            <w:r>
              <w:rPr>
                <w:webHidden/>
              </w:rPr>
              <w:tab/>
            </w:r>
            <w:r>
              <w:rPr>
                <w:webHidden/>
              </w:rPr>
              <w:fldChar w:fldCharType="begin"/>
            </w:r>
            <w:r>
              <w:rPr>
                <w:webHidden/>
              </w:rPr>
              <w:instrText xml:space="preserve"> PAGEREF _Toc214721999 \h </w:instrText>
            </w:r>
            <w:r>
              <w:rPr>
                <w:webHidden/>
              </w:rPr>
            </w:r>
            <w:r>
              <w:rPr>
                <w:webHidden/>
              </w:rPr>
              <w:fldChar w:fldCharType="separate"/>
            </w:r>
            <w:r>
              <w:rPr>
                <w:webHidden/>
              </w:rPr>
              <w:t>144</w:t>
            </w:r>
            <w:r>
              <w:rPr>
                <w:webHidden/>
              </w:rPr>
              <w:fldChar w:fldCharType="end"/>
            </w:r>
          </w:hyperlink>
        </w:p>
        <w:p w14:paraId="0FE096DC" w14:textId="71CCE207" w:rsidR="002C51B7" w:rsidRDefault="002C51B7">
          <w:pPr>
            <w:pStyle w:val="TOC3"/>
            <w:rPr>
              <w:rFonts w:eastAsiaTheme="minorEastAsia" w:cstheme="minorBidi"/>
              <w:i w:val="0"/>
              <w:iCs w:val="0"/>
              <w:noProof/>
              <w:sz w:val="24"/>
              <w:szCs w:val="24"/>
              <w14:ligatures w14:val="standardContextual"/>
            </w:rPr>
          </w:pPr>
          <w:hyperlink w:anchor="_Toc214722000" w:history="1">
            <w:r w:rsidRPr="009300E5">
              <w:rPr>
                <w:rStyle w:val="Hyperlink"/>
                <w:rFonts w:eastAsiaTheme="majorEastAsia"/>
                <w:noProof/>
              </w:rPr>
              <w:t>8.7.1 Position Duration and Attrition Patterns</w:t>
            </w:r>
            <w:r>
              <w:rPr>
                <w:noProof/>
                <w:webHidden/>
              </w:rPr>
              <w:tab/>
            </w:r>
            <w:r>
              <w:rPr>
                <w:noProof/>
                <w:webHidden/>
              </w:rPr>
              <w:fldChar w:fldCharType="begin"/>
            </w:r>
            <w:r>
              <w:rPr>
                <w:noProof/>
                <w:webHidden/>
              </w:rPr>
              <w:instrText xml:space="preserve"> PAGEREF _Toc214722000 \h </w:instrText>
            </w:r>
            <w:r>
              <w:rPr>
                <w:noProof/>
                <w:webHidden/>
              </w:rPr>
            </w:r>
            <w:r>
              <w:rPr>
                <w:noProof/>
                <w:webHidden/>
              </w:rPr>
              <w:fldChar w:fldCharType="separate"/>
            </w:r>
            <w:r>
              <w:rPr>
                <w:noProof/>
                <w:webHidden/>
              </w:rPr>
              <w:t>145</w:t>
            </w:r>
            <w:r>
              <w:rPr>
                <w:noProof/>
                <w:webHidden/>
              </w:rPr>
              <w:fldChar w:fldCharType="end"/>
            </w:r>
          </w:hyperlink>
        </w:p>
        <w:p w14:paraId="36083D1B" w14:textId="3F9DE0BD" w:rsidR="002C51B7" w:rsidRDefault="002C51B7">
          <w:pPr>
            <w:pStyle w:val="TOC2"/>
            <w:rPr>
              <w:rFonts w:eastAsiaTheme="minorEastAsia" w:cstheme="minorBidi"/>
              <w:b w:val="0"/>
              <w:bCs w:val="0"/>
              <w:smallCaps w:val="0"/>
              <w:sz w:val="24"/>
              <w:szCs w:val="24"/>
              <w14:ligatures w14:val="standardContextual"/>
            </w:rPr>
          </w:pPr>
          <w:hyperlink w:anchor="_Toc214722001" w:history="1">
            <w:r w:rsidRPr="009300E5">
              <w:rPr>
                <w:rStyle w:val="Hyperlink"/>
                <w:rFonts w:eastAsiaTheme="majorEastAsia"/>
              </w:rPr>
              <w:t>8.8 Success Patterns: What Actually Worked</w:t>
            </w:r>
            <w:r>
              <w:rPr>
                <w:webHidden/>
              </w:rPr>
              <w:tab/>
            </w:r>
            <w:r>
              <w:rPr>
                <w:webHidden/>
              </w:rPr>
              <w:fldChar w:fldCharType="begin"/>
            </w:r>
            <w:r>
              <w:rPr>
                <w:webHidden/>
              </w:rPr>
              <w:instrText xml:space="preserve"> PAGEREF _Toc214722001 \h </w:instrText>
            </w:r>
            <w:r>
              <w:rPr>
                <w:webHidden/>
              </w:rPr>
            </w:r>
            <w:r>
              <w:rPr>
                <w:webHidden/>
              </w:rPr>
              <w:fldChar w:fldCharType="separate"/>
            </w:r>
            <w:r>
              <w:rPr>
                <w:webHidden/>
              </w:rPr>
              <w:t>148</w:t>
            </w:r>
            <w:r>
              <w:rPr>
                <w:webHidden/>
              </w:rPr>
              <w:fldChar w:fldCharType="end"/>
            </w:r>
          </w:hyperlink>
        </w:p>
        <w:p w14:paraId="751CFDB6" w14:textId="392822B2" w:rsidR="002C51B7" w:rsidRDefault="002C51B7">
          <w:pPr>
            <w:pStyle w:val="TOC3"/>
            <w:rPr>
              <w:rFonts w:eastAsiaTheme="minorEastAsia" w:cstheme="minorBidi"/>
              <w:i w:val="0"/>
              <w:iCs w:val="0"/>
              <w:noProof/>
              <w:sz w:val="24"/>
              <w:szCs w:val="24"/>
              <w14:ligatures w14:val="standardContextual"/>
            </w:rPr>
          </w:pPr>
          <w:hyperlink w:anchor="_Toc214722002" w:history="1">
            <w:r w:rsidRPr="009300E5">
              <w:rPr>
                <w:rStyle w:val="Hyperlink"/>
                <w:rFonts w:eastAsiaTheme="majorEastAsia"/>
                <w:noProof/>
              </w:rPr>
              <w:t>Figure 8.A: Decision Framework for DeFi Participation Viability</w:t>
            </w:r>
            <w:r>
              <w:rPr>
                <w:noProof/>
                <w:webHidden/>
              </w:rPr>
              <w:tab/>
            </w:r>
            <w:r>
              <w:rPr>
                <w:noProof/>
                <w:webHidden/>
              </w:rPr>
              <w:fldChar w:fldCharType="begin"/>
            </w:r>
            <w:r>
              <w:rPr>
                <w:noProof/>
                <w:webHidden/>
              </w:rPr>
              <w:instrText xml:space="preserve"> PAGEREF _Toc214722002 \h </w:instrText>
            </w:r>
            <w:r>
              <w:rPr>
                <w:noProof/>
                <w:webHidden/>
              </w:rPr>
            </w:r>
            <w:r>
              <w:rPr>
                <w:noProof/>
                <w:webHidden/>
              </w:rPr>
              <w:fldChar w:fldCharType="separate"/>
            </w:r>
            <w:r>
              <w:rPr>
                <w:noProof/>
                <w:webHidden/>
              </w:rPr>
              <w:t>149</w:t>
            </w:r>
            <w:r>
              <w:rPr>
                <w:noProof/>
                <w:webHidden/>
              </w:rPr>
              <w:fldChar w:fldCharType="end"/>
            </w:r>
          </w:hyperlink>
        </w:p>
        <w:p w14:paraId="743E2534" w14:textId="34FCB20C" w:rsidR="002C51B7" w:rsidRDefault="002C51B7">
          <w:pPr>
            <w:pStyle w:val="TOC2"/>
            <w:rPr>
              <w:rFonts w:eastAsiaTheme="minorEastAsia" w:cstheme="minorBidi"/>
              <w:b w:val="0"/>
              <w:bCs w:val="0"/>
              <w:smallCaps w:val="0"/>
              <w:sz w:val="24"/>
              <w:szCs w:val="24"/>
              <w14:ligatures w14:val="standardContextual"/>
            </w:rPr>
          </w:pPr>
          <w:hyperlink w:anchor="_Toc214722003" w:history="1">
            <w:r w:rsidRPr="009300E5">
              <w:rPr>
                <w:rStyle w:val="Hyperlink"/>
                <w:rFonts w:eastAsiaTheme="majorEastAsia"/>
              </w:rPr>
              <w:t>8.9 Synthesis: The Reality of DeFi Passive Income</w:t>
            </w:r>
            <w:r>
              <w:rPr>
                <w:webHidden/>
              </w:rPr>
              <w:tab/>
            </w:r>
            <w:r>
              <w:rPr>
                <w:webHidden/>
              </w:rPr>
              <w:fldChar w:fldCharType="begin"/>
            </w:r>
            <w:r>
              <w:rPr>
                <w:webHidden/>
              </w:rPr>
              <w:instrText xml:space="preserve"> PAGEREF _Toc214722003 \h </w:instrText>
            </w:r>
            <w:r>
              <w:rPr>
                <w:webHidden/>
              </w:rPr>
            </w:r>
            <w:r>
              <w:rPr>
                <w:webHidden/>
              </w:rPr>
              <w:fldChar w:fldCharType="separate"/>
            </w:r>
            <w:r>
              <w:rPr>
                <w:webHidden/>
              </w:rPr>
              <w:t>151</w:t>
            </w:r>
            <w:r>
              <w:rPr>
                <w:webHidden/>
              </w:rPr>
              <w:fldChar w:fldCharType="end"/>
            </w:r>
          </w:hyperlink>
        </w:p>
        <w:p w14:paraId="0F261FEC" w14:textId="11448414" w:rsidR="002C51B7" w:rsidRDefault="002C51B7">
          <w:pPr>
            <w:pStyle w:val="TOC1"/>
            <w:tabs>
              <w:tab w:val="right" w:leader="dot" w:pos="9350"/>
            </w:tabs>
            <w:rPr>
              <w:rFonts w:eastAsiaTheme="minorEastAsia" w:cstheme="minorBidi"/>
              <w:b w:val="0"/>
              <w:bCs w:val="0"/>
              <w:caps w:val="0"/>
              <w:noProof/>
              <w:sz w:val="24"/>
              <w:szCs w:val="24"/>
              <w14:ligatures w14:val="standardContextual"/>
            </w:rPr>
          </w:pPr>
          <w:hyperlink w:anchor="_Toc214722004" w:history="1">
            <w:r w:rsidRPr="009300E5">
              <w:rPr>
                <w:rStyle w:val="Hyperlink"/>
                <w:rFonts w:eastAsiaTheme="majorEastAsia"/>
                <w:noProof/>
              </w:rPr>
              <w:t>CHAPTER 9: SIMULATION MODELING AND FUTURE SCENARIOS</w:t>
            </w:r>
            <w:r>
              <w:rPr>
                <w:noProof/>
                <w:webHidden/>
              </w:rPr>
              <w:tab/>
            </w:r>
            <w:r>
              <w:rPr>
                <w:noProof/>
                <w:webHidden/>
              </w:rPr>
              <w:fldChar w:fldCharType="begin"/>
            </w:r>
            <w:r>
              <w:rPr>
                <w:noProof/>
                <w:webHidden/>
              </w:rPr>
              <w:instrText xml:space="preserve"> PAGEREF _Toc214722004 \h </w:instrText>
            </w:r>
            <w:r>
              <w:rPr>
                <w:noProof/>
                <w:webHidden/>
              </w:rPr>
            </w:r>
            <w:r>
              <w:rPr>
                <w:noProof/>
                <w:webHidden/>
              </w:rPr>
              <w:fldChar w:fldCharType="separate"/>
            </w:r>
            <w:r>
              <w:rPr>
                <w:noProof/>
                <w:webHidden/>
              </w:rPr>
              <w:t>152</w:t>
            </w:r>
            <w:r>
              <w:rPr>
                <w:noProof/>
                <w:webHidden/>
              </w:rPr>
              <w:fldChar w:fldCharType="end"/>
            </w:r>
          </w:hyperlink>
        </w:p>
        <w:p w14:paraId="44A36718" w14:textId="636645C1" w:rsidR="002C51B7" w:rsidRDefault="002C51B7">
          <w:pPr>
            <w:pStyle w:val="TOC2"/>
            <w:rPr>
              <w:rFonts w:eastAsiaTheme="minorEastAsia" w:cstheme="minorBidi"/>
              <w:b w:val="0"/>
              <w:bCs w:val="0"/>
              <w:smallCaps w:val="0"/>
              <w:sz w:val="24"/>
              <w:szCs w:val="24"/>
              <w14:ligatures w14:val="standardContextual"/>
            </w:rPr>
          </w:pPr>
          <w:hyperlink w:anchor="_Toc214722005" w:history="1">
            <w:r w:rsidRPr="009300E5">
              <w:rPr>
                <w:rStyle w:val="Hyperlink"/>
                <w:rFonts w:eastAsiaTheme="majorEastAsia"/>
              </w:rPr>
              <w:t>9.1 Introduction: Testing Beyond Historical Patterns</w:t>
            </w:r>
            <w:r>
              <w:rPr>
                <w:webHidden/>
              </w:rPr>
              <w:tab/>
            </w:r>
            <w:r>
              <w:rPr>
                <w:webHidden/>
              </w:rPr>
              <w:fldChar w:fldCharType="begin"/>
            </w:r>
            <w:r>
              <w:rPr>
                <w:webHidden/>
              </w:rPr>
              <w:instrText xml:space="preserve"> PAGEREF _Toc214722005 \h </w:instrText>
            </w:r>
            <w:r>
              <w:rPr>
                <w:webHidden/>
              </w:rPr>
            </w:r>
            <w:r>
              <w:rPr>
                <w:webHidden/>
              </w:rPr>
              <w:fldChar w:fldCharType="separate"/>
            </w:r>
            <w:r>
              <w:rPr>
                <w:webHidden/>
              </w:rPr>
              <w:t>152</w:t>
            </w:r>
            <w:r>
              <w:rPr>
                <w:webHidden/>
              </w:rPr>
              <w:fldChar w:fldCharType="end"/>
            </w:r>
          </w:hyperlink>
        </w:p>
        <w:p w14:paraId="4BB6CCB3" w14:textId="38AA48D5" w:rsidR="002C51B7" w:rsidRDefault="002C51B7">
          <w:pPr>
            <w:pStyle w:val="TOC3"/>
            <w:rPr>
              <w:rFonts w:eastAsiaTheme="minorEastAsia" w:cstheme="minorBidi"/>
              <w:i w:val="0"/>
              <w:iCs w:val="0"/>
              <w:noProof/>
              <w:sz w:val="24"/>
              <w:szCs w:val="24"/>
              <w14:ligatures w14:val="standardContextual"/>
            </w:rPr>
          </w:pPr>
          <w:hyperlink w:anchor="_Toc214722006" w:history="1">
            <w:r w:rsidRPr="009300E5">
              <w:rPr>
                <w:rStyle w:val="Hyperlink"/>
                <w:rFonts w:eastAsiaTheme="majorEastAsia"/>
                <w:noProof/>
              </w:rPr>
              <w:t>9.1.1 Simulation Limitations and Methodological Constraints</w:t>
            </w:r>
            <w:r>
              <w:rPr>
                <w:noProof/>
                <w:webHidden/>
              </w:rPr>
              <w:tab/>
            </w:r>
            <w:r>
              <w:rPr>
                <w:noProof/>
                <w:webHidden/>
              </w:rPr>
              <w:fldChar w:fldCharType="begin"/>
            </w:r>
            <w:r>
              <w:rPr>
                <w:noProof/>
                <w:webHidden/>
              </w:rPr>
              <w:instrText xml:space="preserve"> PAGEREF _Toc214722006 \h </w:instrText>
            </w:r>
            <w:r>
              <w:rPr>
                <w:noProof/>
                <w:webHidden/>
              </w:rPr>
            </w:r>
            <w:r>
              <w:rPr>
                <w:noProof/>
                <w:webHidden/>
              </w:rPr>
              <w:fldChar w:fldCharType="separate"/>
            </w:r>
            <w:r>
              <w:rPr>
                <w:noProof/>
                <w:webHidden/>
              </w:rPr>
              <w:t>152</w:t>
            </w:r>
            <w:r>
              <w:rPr>
                <w:noProof/>
                <w:webHidden/>
              </w:rPr>
              <w:fldChar w:fldCharType="end"/>
            </w:r>
          </w:hyperlink>
        </w:p>
        <w:p w14:paraId="3ED7C5B8" w14:textId="0BE4755B" w:rsidR="002C51B7" w:rsidRDefault="002C51B7">
          <w:pPr>
            <w:pStyle w:val="TOC2"/>
            <w:rPr>
              <w:rFonts w:eastAsiaTheme="minorEastAsia" w:cstheme="minorBidi"/>
              <w:b w:val="0"/>
              <w:bCs w:val="0"/>
              <w:smallCaps w:val="0"/>
              <w:sz w:val="24"/>
              <w:szCs w:val="24"/>
              <w14:ligatures w14:val="standardContextual"/>
            </w:rPr>
          </w:pPr>
          <w:hyperlink w:anchor="_Toc214722007" w:history="1">
            <w:r w:rsidRPr="009300E5">
              <w:rPr>
                <w:rStyle w:val="Hyperlink"/>
                <w:rFonts w:eastAsiaTheme="majorEastAsia"/>
              </w:rPr>
              <w:t>9.2 Simulation Architecture and Validation</w:t>
            </w:r>
            <w:r>
              <w:rPr>
                <w:webHidden/>
              </w:rPr>
              <w:tab/>
            </w:r>
            <w:r>
              <w:rPr>
                <w:webHidden/>
              </w:rPr>
              <w:fldChar w:fldCharType="begin"/>
            </w:r>
            <w:r>
              <w:rPr>
                <w:webHidden/>
              </w:rPr>
              <w:instrText xml:space="preserve"> PAGEREF _Toc214722007 \h </w:instrText>
            </w:r>
            <w:r>
              <w:rPr>
                <w:webHidden/>
              </w:rPr>
            </w:r>
            <w:r>
              <w:rPr>
                <w:webHidden/>
              </w:rPr>
              <w:fldChar w:fldCharType="separate"/>
            </w:r>
            <w:r>
              <w:rPr>
                <w:webHidden/>
              </w:rPr>
              <w:t>153</w:t>
            </w:r>
            <w:r>
              <w:rPr>
                <w:webHidden/>
              </w:rPr>
              <w:fldChar w:fldCharType="end"/>
            </w:r>
          </w:hyperlink>
        </w:p>
        <w:p w14:paraId="76C903C0" w14:textId="29AD23A1" w:rsidR="002C51B7" w:rsidRDefault="002C51B7">
          <w:pPr>
            <w:pStyle w:val="TOC2"/>
            <w:rPr>
              <w:rFonts w:eastAsiaTheme="minorEastAsia" w:cstheme="minorBidi"/>
              <w:b w:val="0"/>
              <w:bCs w:val="0"/>
              <w:smallCaps w:val="0"/>
              <w:sz w:val="24"/>
              <w:szCs w:val="24"/>
              <w14:ligatures w14:val="standardContextual"/>
            </w:rPr>
          </w:pPr>
          <w:hyperlink w:anchor="_Toc214722008" w:history="1">
            <w:r w:rsidRPr="009300E5">
              <w:rPr>
                <w:rStyle w:val="Hyperlink"/>
                <w:rFonts w:eastAsiaTheme="majorEastAsia"/>
              </w:rPr>
              <w:t>9.3 Four Plausible Futures</w:t>
            </w:r>
            <w:r>
              <w:rPr>
                <w:webHidden/>
              </w:rPr>
              <w:tab/>
            </w:r>
            <w:r>
              <w:rPr>
                <w:webHidden/>
              </w:rPr>
              <w:fldChar w:fldCharType="begin"/>
            </w:r>
            <w:r>
              <w:rPr>
                <w:webHidden/>
              </w:rPr>
              <w:instrText xml:space="preserve"> PAGEREF _Toc214722008 \h </w:instrText>
            </w:r>
            <w:r>
              <w:rPr>
                <w:webHidden/>
              </w:rPr>
            </w:r>
            <w:r>
              <w:rPr>
                <w:webHidden/>
              </w:rPr>
              <w:fldChar w:fldCharType="separate"/>
            </w:r>
            <w:r>
              <w:rPr>
                <w:webHidden/>
              </w:rPr>
              <w:t>154</w:t>
            </w:r>
            <w:r>
              <w:rPr>
                <w:webHidden/>
              </w:rPr>
              <w:fldChar w:fldCharType="end"/>
            </w:r>
          </w:hyperlink>
        </w:p>
        <w:p w14:paraId="18A1C9C6" w14:textId="1D8E33A3" w:rsidR="002C51B7" w:rsidRDefault="002C51B7">
          <w:pPr>
            <w:pStyle w:val="TOC3"/>
            <w:rPr>
              <w:rFonts w:eastAsiaTheme="minorEastAsia" w:cstheme="minorBidi"/>
              <w:i w:val="0"/>
              <w:iCs w:val="0"/>
              <w:noProof/>
              <w:sz w:val="24"/>
              <w:szCs w:val="24"/>
              <w14:ligatures w14:val="standardContextual"/>
            </w:rPr>
          </w:pPr>
          <w:hyperlink w:anchor="_Toc214722009" w:history="1">
            <w:r w:rsidRPr="009300E5">
              <w:rPr>
                <w:rStyle w:val="Hyperlink"/>
                <w:rFonts w:eastAsiaTheme="majorEastAsia"/>
                <w:noProof/>
              </w:rPr>
              <w:t>Table 9.A: Combined Outcome Box</w:t>
            </w:r>
            <w:r>
              <w:rPr>
                <w:noProof/>
                <w:webHidden/>
              </w:rPr>
              <w:tab/>
            </w:r>
            <w:r>
              <w:rPr>
                <w:noProof/>
                <w:webHidden/>
              </w:rPr>
              <w:fldChar w:fldCharType="begin"/>
            </w:r>
            <w:r>
              <w:rPr>
                <w:noProof/>
                <w:webHidden/>
              </w:rPr>
              <w:instrText xml:space="preserve"> PAGEREF _Toc214722009 \h </w:instrText>
            </w:r>
            <w:r>
              <w:rPr>
                <w:noProof/>
                <w:webHidden/>
              </w:rPr>
            </w:r>
            <w:r>
              <w:rPr>
                <w:noProof/>
                <w:webHidden/>
              </w:rPr>
              <w:fldChar w:fldCharType="separate"/>
            </w:r>
            <w:r>
              <w:rPr>
                <w:noProof/>
                <w:webHidden/>
              </w:rPr>
              <w:t>154</w:t>
            </w:r>
            <w:r>
              <w:rPr>
                <w:noProof/>
                <w:webHidden/>
              </w:rPr>
              <w:fldChar w:fldCharType="end"/>
            </w:r>
          </w:hyperlink>
        </w:p>
        <w:p w14:paraId="11C66F7F" w14:textId="3BB614AD" w:rsidR="002C51B7" w:rsidRDefault="002C51B7">
          <w:pPr>
            <w:pStyle w:val="TOC3"/>
            <w:rPr>
              <w:rFonts w:eastAsiaTheme="minorEastAsia" w:cstheme="minorBidi"/>
              <w:i w:val="0"/>
              <w:iCs w:val="0"/>
              <w:noProof/>
              <w:sz w:val="24"/>
              <w:szCs w:val="24"/>
              <w14:ligatures w14:val="standardContextual"/>
            </w:rPr>
          </w:pPr>
          <w:hyperlink w:anchor="_Toc214722010" w:history="1">
            <w:r w:rsidRPr="009300E5">
              <w:rPr>
                <w:rStyle w:val="Hyperlink"/>
                <w:rFonts w:eastAsiaTheme="majorEastAsia"/>
                <w:noProof/>
              </w:rPr>
              <w:t>Table 9.B: Comparative Summary of Future Scenarios (2025-2030 Horizon)</w:t>
            </w:r>
            <w:r>
              <w:rPr>
                <w:noProof/>
                <w:webHidden/>
              </w:rPr>
              <w:tab/>
            </w:r>
            <w:r>
              <w:rPr>
                <w:noProof/>
                <w:webHidden/>
              </w:rPr>
              <w:fldChar w:fldCharType="begin"/>
            </w:r>
            <w:r>
              <w:rPr>
                <w:noProof/>
                <w:webHidden/>
              </w:rPr>
              <w:instrText xml:space="preserve"> PAGEREF _Toc214722010 \h </w:instrText>
            </w:r>
            <w:r>
              <w:rPr>
                <w:noProof/>
                <w:webHidden/>
              </w:rPr>
            </w:r>
            <w:r>
              <w:rPr>
                <w:noProof/>
                <w:webHidden/>
              </w:rPr>
              <w:fldChar w:fldCharType="separate"/>
            </w:r>
            <w:r>
              <w:rPr>
                <w:noProof/>
                <w:webHidden/>
              </w:rPr>
              <w:t>155</w:t>
            </w:r>
            <w:r>
              <w:rPr>
                <w:noProof/>
                <w:webHidden/>
              </w:rPr>
              <w:fldChar w:fldCharType="end"/>
            </w:r>
          </w:hyperlink>
        </w:p>
        <w:p w14:paraId="04B02851" w14:textId="71A8F2A5" w:rsidR="002C51B7" w:rsidRDefault="002C51B7">
          <w:pPr>
            <w:pStyle w:val="TOC3"/>
            <w:rPr>
              <w:rFonts w:eastAsiaTheme="minorEastAsia" w:cstheme="minorBidi"/>
              <w:i w:val="0"/>
              <w:iCs w:val="0"/>
              <w:noProof/>
              <w:sz w:val="24"/>
              <w:szCs w:val="24"/>
              <w14:ligatures w14:val="standardContextual"/>
            </w:rPr>
          </w:pPr>
          <w:hyperlink w:anchor="_Toc214722011" w:history="1">
            <w:r w:rsidRPr="009300E5">
              <w:rPr>
                <w:rStyle w:val="Hyperlink"/>
                <w:rFonts w:eastAsiaTheme="majorEastAsia"/>
                <w:noProof/>
              </w:rPr>
              <w:t>Table 9.C: Scenario Probability Tree and Retail Participation Outcomes (2025-2030)</w:t>
            </w:r>
            <w:r>
              <w:rPr>
                <w:noProof/>
                <w:webHidden/>
              </w:rPr>
              <w:tab/>
            </w:r>
            <w:r>
              <w:rPr>
                <w:noProof/>
                <w:webHidden/>
              </w:rPr>
              <w:fldChar w:fldCharType="begin"/>
            </w:r>
            <w:r>
              <w:rPr>
                <w:noProof/>
                <w:webHidden/>
              </w:rPr>
              <w:instrText xml:space="preserve"> PAGEREF _Toc214722011 \h </w:instrText>
            </w:r>
            <w:r>
              <w:rPr>
                <w:noProof/>
                <w:webHidden/>
              </w:rPr>
            </w:r>
            <w:r>
              <w:rPr>
                <w:noProof/>
                <w:webHidden/>
              </w:rPr>
              <w:fldChar w:fldCharType="separate"/>
            </w:r>
            <w:r>
              <w:rPr>
                <w:noProof/>
                <w:webHidden/>
              </w:rPr>
              <w:t>156</w:t>
            </w:r>
            <w:r>
              <w:rPr>
                <w:noProof/>
                <w:webHidden/>
              </w:rPr>
              <w:fldChar w:fldCharType="end"/>
            </w:r>
          </w:hyperlink>
        </w:p>
        <w:p w14:paraId="75076258" w14:textId="165FC074" w:rsidR="002C51B7" w:rsidRDefault="002C51B7">
          <w:pPr>
            <w:pStyle w:val="TOC3"/>
            <w:rPr>
              <w:rFonts w:eastAsiaTheme="minorEastAsia" w:cstheme="minorBidi"/>
              <w:i w:val="0"/>
              <w:iCs w:val="0"/>
              <w:noProof/>
              <w:sz w:val="24"/>
              <w:szCs w:val="24"/>
              <w14:ligatures w14:val="standardContextual"/>
            </w:rPr>
          </w:pPr>
          <w:hyperlink w:anchor="_Toc214722012" w:history="1">
            <w:r w:rsidRPr="009300E5">
              <w:rPr>
                <w:rStyle w:val="Hyperlink"/>
                <w:rFonts w:eastAsiaTheme="majorEastAsia"/>
                <w:noProof/>
              </w:rPr>
              <w:t>Table 9.D: Evolution Pathways (2025-2030)</w:t>
            </w:r>
            <w:r>
              <w:rPr>
                <w:noProof/>
                <w:webHidden/>
              </w:rPr>
              <w:tab/>
            </w:r>
            <w:r>
              <w:rPr>
                <w:noProof/>
                <w:webHidden/>
              </w:rPr>
              <w:fldChar w:fldCharType="begin"/>
            </w:r>
            <w:r>
              <w:rPr>
                <w:noProof/>
                <w:webHidden/>
              </w:rPr>
              <w:instrText xml:space="preserve"> PAGEREF _Toc214722012 \h </w:instrText>
            </w:r>
            <w:r>
              <w:rPr>
                <w:noProof/>
                <w:webHidden/>
              </w:rPr>
            </w:r>
            <w:r>
              <w:rPr>
                <w:noProof/>
                <w:webHidden/>
              </w:rPr>
              <w:fldChar w:fldCharType="separate"/>
            </w:r>
            <w:r>
              <w:rPr>
                <w:noProof/>
                <w:webHidden/>
              </w:rPr>
              <w:t>157</w:t>
            </w:r>
            <w:r>
              <w:rPr>
                <w:noProof/>
                <w:webHidden/>
              </w:rPr>
              <w:fldChar w:fldCharType="end"/>
            </w:r>
          </w:hyperlink>
        </w:p>
        <w:p w14:paraId="3754CFA4" w14:textId="6D3DAA28" w:rsidR="002C51B7" w:rsidRDefault="002C51B7">
          <w:pPr>
            <w:pStyle w:val="TOC2"/>
            <w:rPr>
              <w:rFonts w:eastAsiaTheme="minorEastAsia" w:cstheme="minorBidi"/>
              <w:b w:val="0"/>
              <w:bCs w:val="0"/>
              <w:smallCaps w:val="0"/>
              <w:sz w:val="24"/>
              <w:szCs w:val="24"/>
              <w14:ligatures w14:val="standardContextual"/>
            </w:rPr>
          </w:pPr>
          <w:hyperlink w:anchor="_Toc214722013" w:history="1">
            <w:r w:rsidRPr="009300E5">
              <w:rPr>
                <w:rStyle w:val="Hyperlink"/>
                <w:rFonts w:eastAsiaTheme="majorEastAsia"/>
              </w:rPr>
              <w:t>9.4 The Anti-Inductive Market Problem</w:t>
            </w:r>
            <w:r>
              <w:rPr>
                <w:webHidden/>
              </w:rPr>
              <w:tab/>
            </w:r>
            <w:r>
              <w:rPr>
                <w:webHidden/>
              </w:rPr>
              <w:fldChar w:fldCharType="begin"/>
            </w:r>
            <w:r>
              <w:rPr>
                <w:webHidden/>
              </w:rPr>
              <w:instrText xml:space="preserve"> PAGEREF _Toc214722013 \h </w:instrText>
            </w:r>
            <w:r>
              <w:rPr>
                <w:webHidden/>
              </w:rPr>
            </w:r>
            <w:r>
              <w:rPr>
                <w:webHidden/>
              </w:rPr>
              <w:fldChar w:fldCharType="separate"/>
            </w:r>
            <w:r>
              <w:rPr>
                <w:webHidden/>
              </w:rPr>
              <w:t>158</w:t>
            </w:r>
            <w:r>
              <w:rPr>
                <w:webHidden/>
              </w:rPr>
              <w:fldChar w:fldCharType="end"/>
            </w:r>
          </w:hyperlink>
        </w:p>
        <w:p w14:paraId="4BAEA237" w14:textId="610C67F2" w:rsidR="002C51B7" w:rsidRDefault="002C51B7">
          <w:pPr>
            <w:pStyle w:val="TOC2"/>
            <w:rPr>
              <w:rFonts w:eastAsiaTheme="minorEastAsia" w:cstheme="minorBidi"/>
              <w:b w:val="0"/>
              <w:bCs w:val="0"/>
              <w:smallCaps w:val="0"/>
              <w:sz w:val="24"/>
              <w:szCs w:val="24"/>
              <w14:ligatures w14:val="standardContextual"/>
            </w:rPr>
          </w:pPr>
          <w:hyperlink w:anchor="_Toc214722014" w:history="1">
            <w:r w:rsidRPr="009300E5">
              <w:rPr>
                <w:rStyle w:val="Hyperlink"/>
                <w:rFonts w:eastAsiaTheme="majorEastAsia"/>
              </w:rPr>
              <w:t>9.5 Natural Experiments: Learning from Protocol Changes</w:t>
            </w:r>
            <w:r>
              <w:rPr>
                <w:webHidden/>
              </w:rPr>
              <w:tab/>
            </w:r>
            <w:r>
              <w:rPr>
                <w:webHidden/>
              </w:rPr>
              <w:fldChar w:fldCharType="begin"/>
            </w:r>
            <w:r>
              <w:rPr>
                <w:webHidden/>
              </w:rPr>
              <w:instrText xml:space="preserve"> PAGEREF _Toc214722014 \h </w:instrText>
            </w:r>
            <w:r>
              <w:rPr>
                <w:webHidden/>
              </w:rPr>
            </w:r>
            <w:r>
              <w:rPr>
                <w:webHidden/>
              </w:rPr>
              <w:fldChar w:fldCharType="separate"/>
            </w:r>
            <w:r>
              <w:rPr>
                <w:webHidden/>
              </w:rPr>
              <w:t>158</w:t>
            </w:r>
            <w:r>
              <w:rPr>
                <w:webHidden/>
              </w:rPr>
              <w:fldChar w:fldCharType="end"/>
            </w:r>
          </w:hyperlink>
        </w:p>
        <w:p w14:paraId="0591F771" w14:textId="79F4A755" w:rsidR="002C51B7" w:rsidRDefault="002C51B7">
          <w:pPr>
            <w:pStyle w:val="TOC2"/>
            <w:rPr>
              <w:rFonts w:eastAsiaTheme="minorEastAsia" w:cstheme="minorBidi"/>
              <w:b w:val="0"/>
              <w:bCs w:val="0"/>
              <w:smallCaps w:val="0"/>
              <w:sz w:val="24"/>
              <w:szCs w:val="24"/>
              <w14:ligatures w14:val="standardContextual"/>
            </w:rPr>
          </w:pPr>
          <w:hyperlink w:anchor="_Toc214722015" w:history="1">
            <w:r w:rsidRPr="009300E5">
              <w:rPr>
                <w:rStyle w:val="Hyperlink"/>
                <w:rFonts w:eastAsiaTheme="majorEastAsia"/>
              </w:rPr>
              <w:t>9.6 Critical Limitations and Uncertainty</w:t>
            </w:r>
            <w:r>
              <w:rPr>
                <w:webHidden/>
              </w:rPr>
              <w:tab/>
            </w:r>
            <w:r>
              <w:rPr>
                <w:webHidden/>
              </w:rPr>
              <w:fldChar w:fldCharType="begin"/>
            </w:r>
            <w:r>
              <w:rPr>
                <w:webHidden/>
              </w:rPr>
              <w:instrText xml:space="preserve"> PAGEREF _Toc214722015 \h </w:instrText>
            </w:r>
            <w:r>
              <w:rPr>
                <w:webHidden/>
              </w:rPr>
            </w:r>
            <w:r>
              <w:rPr>
                <w:webHidden/>
              </w:rPr>
              <w:fldChar w:fldCharType="separate"/>
            </w:r>
            <w:r>
              <w:rPr>
                <w:webHidden/>
              </w:rPr>
              <w:t>159</w:t>
            </w:r>
            <w:r>
              <w:rPr>
                <w:webHidden/>
              </w:rPr>
              <w:fldChar w:fldCharType="end"/>
            </w:r>
          </w:hyperlink>
        </w:p>
        <w:p w14:paraId="4BCE6D43" w14:textId="4071ED03" w:rsidR="002C51B7" w:rsidRDefault="002C51B7">
          <w:pPr>
            <w:pStyle w:val="TOC2"/>
            <w:rPr>
              <w:rFonts w:eastAsiaTheme="minorEastAsia" w:cstheme="minorBidi"/>
              <w:b w:val="0"/>
              <w:bCs w:val="0"/>
              <w:smallCaps w:val="0"/>
              <w:sz w:val="24"/>
              <w:szCs w:val="24"/>
              <w14:ligatures w14:val="standardContextual"/>
            </w:rPr>
          </w:pPr>
          <w:hyperlink w:anchor="_Toc214722016" w:history="1">
            <w:r w:rsidRPr="009300E5">
              <w:rPr>
                <w:rStyle w:val="Hyperlink"/>
                <w:rFonts w:eastAsiaTheme="majorEastAsia"/>
              </w:rPr>
              <w:t>9.7 Synthesis: Bounded Opportunities in Constrained Environments</w:t>
            </w:r>
            <w:r>
              <w:rPr>
                <w:webHidden/>
              </w:rPr>
              <w:tab/>
            </w:r>
            <w:r>
              <w:rPr>
                <w:webHidden/>
              </w:rPr>
              <w:fldChar w:fldCharType="begin"/>
            </w:r>
            <w:r>
              <w:rPr>
                <w:webHidden/>
              </w:rPr>
              <w:instrText xml:space="preserve"> PAGEREF _Toc214722016 \h </w:instrText>
            </w:r>
            <w:r>
              <w:rPr>
                <w:webHidden/>
              </w:rPr>
            </w:r>
            <w:r>
              <w:rPr>
                <w:webHidden/>
              </w:rPr>
              <w:fldChar w:fldCharType="separate"/>
            </w:r>
            <w:r>
              <w:rPr>
                <w:webHidden/>
              </w:rPr>
              <w:t>159</w:t>
            </w:r>
            <w:r>
              <w:rPr>
                <w:webHidden/>
              </w:rPr>
              <w:fldChar w:fldCharType="end"/>
            </w:r>
          </w:hyperlink>
        </w:p>
        <w:p w14:paraId="49427A8E" w14:textId="703D92B1" w:rsidR="002C51B7" w:rsidRDefault="002C51B7">
          <w:pPr>
            <w:pStyle w:val="TOC1"/>
            <w:tabs>
              <w:tab w:val="right" w:leader="dot" w:pos="9350"/>
            </w:tabs>
            <w:rPr>
              <w:rFonts w:eastAsiaTheme="minorEastAsia" w:cstheme="minorBidi"/>
              <w:b w:val="0"/>
              <w:bCs w:val="0"/>
              <w:caps w:val="0"/>
              <w:noProof/>
              <w:sz w:val="24"/>
              <w:szCs w:val="24"/>
              <w14:ligatures w14:val="standardContextual"/>
            </w:rPr>
          </w:pPr>
          <w:hyperlink w:anchor="_Toc214722017" w:history="1">
            <w:r w:rsidRPr="009300E5">
              <w:rPr>
                <w:rStyle w:val="Hyperlink"/>
                <w:rFonts w:eastAsiaTheme="majorEastAsia"/>
                <w:noProof/>
              </w:rPr>
              <w:t>CHAPTER 10: IMPLEMENTATION GUIDANCE AND OPTIMIZATION REALITIES</w:t>
            </w:r>
            <w:r>
              <w:rPr>
                <w:noProof/>
                <w:webHidden/>
              </w:rPr>
              <w:tab/>
            </w:r>
            <w:r>
              <w:rPr>
                <w:noProof/>
                <w:webHidden/>
              </w:rPr>
              <w:fldChar w:fldCharType="begin"/>
            </w:r>
            <w:r>
              <w:rPr>
                <w:noProof/>
                <w:webHidden/>
              </w:rPr>
              <w:instrText xml:space="preserve"> PAGEREF _Toc214722017 \h </w:instrText>
            </w:r>
            <w:r>
              <w:rPr>
                <w:noProof/>
                <w:webHidden/>
              </w:rPr>
            </w:r>
            <w:r>
              <w:rPr>
                <w:noProof/>
                <w:webHidden/>
              </w:rPr>
              <w:fldChar w:fldCharType="separate"/>
            </w:r>
            <w:r>
              <w:rPr>
                <w:noProof/>
                <w:webHidden/>
              </w:rPr>
              <w:t>161</w:t>
            </w:r>
            <w:r>
              <w:rPr>
                <w:noProof/>
                <w:webHidden/>
              </w:rPr>
              <w:fldChar w:fldCharType="end"/>
            </w:r>
          </w:hyperlink>
        </w:p>
        <w:p w14:paraId="166483E9" w14:textId="57429079" w:rsidR="002C51B7" w:rsidRDefault="002C51B7">
          <w:pPr>
            <w:pStyle w:val="TOC2"/>
            <w:rPr>
              <w:rFonts w:eastAsiaTheme="minorEastAsia" w:cstheme="minorBidi"/>
              <w:b w:val="0"/>
              <w:bCs w:val="0"/>
              <w:smallCaps w:val="0"/>
              <w:sz w:val="24"/>
              <w:szCs w:val="24"/>
              <w14:ligatures w14:val="standardContextual"/>
            </w:rPr>
          </w:pPr>
          <w:hyperlink w:anchor="_Toc214722018" w:history="1">
            <w:r w:rsidRPr="009300E5">
              <w:rPr>
                <w:rStyle w:val="Hyperlink"/>
                <w:rFonts w:eastAsiaTheme="majorEastAsia"/>
              </w:rPr>
              <w:t>10.1 Introduction: When Optimization Helps and When It Hurts</w:t>
            </w:r>
            <w:r>
              <w:rPr>
                <w:webHidden/>
              </w:rPr>
              <w:tab/>
            </w:r>
            <w:r>
              <w:rPr>
                <w:webHidden/>
              </w:rPr>
              <w:fldChar w:fldCharType="begin"/>
            </w:r>
            <w:r>
              <w:rPr>
                <w:webHidden/>
              </w:rPr>
              <w:instrText xml:space="preserve"> PAGEREF _Toc214722018 \h </w:instrText>
            </w:r>
            <w:r>
              <w:rPr>
                <w:webHidden/>
              </w:rPr>
            </w:r>
            <w:r>
              <w:rPr>
                <w:webHidden/>
              </w:rPr>
              <w:fldChar w:fldCharType="separate"/>
            </w:r>
            <w:r>
              <w:rPr>
                <w:webHidden/>
              </w:rPr>
              <w:t>161</w:t>
            </w:r>
            <w:r>
              <w:rPr>
                <w:webHidden/>
              </w:rPr>
              <w:fldChar w:fldCharType="end"/>
            </w:r>
          </w:hyperlink>
        </w:p>
        <w:p w14:paraId="292551D2" w14:textId="2A049775" w:rsidR="002C51B7" w:rsidRDefault="002C51B7">
          <w:pPr>
            <w:pStyle w:val="TOC2"/>
            <w:rPr>
              <w:rFonts w:eastAsiaTheme="minorEastAsia" w:cstheme="minorBidi"/>
              <w:b w:val="0"/>
              <w:bCs w:val="0"/>
              <w:smallCaps w:val="0"/>
              <w:sz w:val="24"/>
              <w:szCs w:val="24"/>
              <w14:ligatures w14:val="standardContextual"/>
            </w:rPr>
          </w:pPr>
          <w:hyperlink w:anchor="_Toc214722019" w:history="1">
            <w:r w:rsidRPr="009300E5">
              <w:rPr>
                <w:rStyle w:val="Hyperlink"/>
                <w:rFonts w:eastAsiaTheme="majorEastAsia"/>
              </w:rPr>
              <w:t>10.2 Operational Efficiency: The Optimization Trap</w:t>
            </w:r>
            <w:r>
              <w:rPr>
                <w:webHidden/>
              </w:rPr>
              <w:tab/>
            </w:r>
            <w:r>
              <w:rPr>
                <w:webHidden/>
              </w:rPr>
              <w:fldChar w:fldCharType="begin"/>
            </w:r>
            <w:r>
              <w:rPr>
                <w:webHidden/>
              </w:rPr>
              <w:instrText xml:space="preserve"> PAGEREF _Toc214722019 \h </w:instrText>
            </w:r>
            <w:r>
              <w:rPr>
                <w:webHidden/>
              </w:rPr>
            </w:r>
            <w:r>
              <w:rPr>
                <w:webHidden/>
              </w:rPr>
              <w:fldChar w:fldCharType="separate"/>
            </w:r>
            <w:r>
              <w:rPr>
                <w:webHidden/>
              </w:rPr>
              <w:t>161</w:t>
            </w:r>
            <w:r>
              <w:rPr>
                <w:webHidden/>
              </w:rPr>
              <w:fldChar w:fldCharType="end"/>
            </w:r>
          </w:hyperlink>
        </w:p>
        <w:p w14:paraId="17C0A668" w14:textId="01C80A84" w:rsidR="002C51B7" w:rsidRDefault="002C51B7">
          <w:pPr>
            <w:pStyle w:val="TOC3"/>
            <w:rPr>
              <w:rFonts w:eastAsiaTheme="minorEastAsia" w:cstheme="minorBidi"/>
              <w:i w:val="0"/>
              <w:iCs w:val="0"/>
              <w:noProof/>
              <w:sz w:val="24"/>
              <w:szCs w:val="24"/>
              <w14:ligatures w14:val="standardContextual"/>
            </w:rPr>
          </w:pPr>
          <w:hyperlink w:anchor="_Toc214722020" w:history="1">
            <w:r w:rsidRPr="009300E5">
              <w:rPr>
                <w:rStyle w:val="Hyperlink"/>
                <w:rFonts w:eastAsiaTheme="majorEastAsia"/>
                <w:b/>
                <w:bCs/>
                <w:noProof/>
              </w:rPr>
              <w:t>10.2.1 Optimization Decision Tree</w:t>
            </w:r>
            <w:r>
              <w:rPr>
                <w:noProof/>
                <w:webHidden/>
              </w:rPr>
              <w:tab/>
            </w:r>
            <w:r>
              <w:rPr>
                <w:noProof/>
                <w:webHidden/>
              </w:rPr>
              <w:fldChar w:fldCharType="begin"/>
            </w:r>
            <w:r>
              <w:rPr>
                <w:noProof/>
                <w:webHidden/>
              </w:rPr>
              <w:instrText xml:space="preserve"> PAGEREF _Toc214722020 \h </w:instrText>
            </w:r>
            <w:r>
              <w:rPr>
                <w:noProof/>
                <w:webHidden/>
              </w:rPr>
            </w:r>
            <w:r>
              <w:rPr>
                <w:noProof/>
                <w:webHidden/>
              </w:rPr>
              <w:fldChar w:fldCharType="separate"/>
            </w:r>
            <w:r>
              <w:rPr>
                <w:noProof/>
                <w:webHidden/>
              </w:rPr>
              <w:t>162</w:t>
            </w:r>
            <w:r>
              <w:rPr>
                <w:noProof/>
                <w:webHidden/>
              </w:rPr>
              <w:fldChar w:fldCharType="end"/>
            </w:r>
          </w:hyperlink>
        </w:p>
        <w:p w14:paraId="54BC9156" w14:textId="52EE7E86" w:rsidR="002C51B7" w:rsidRDefault="002C51B7">
          <w:pPr>
            <w:pStyle w:val="TOC3"/>
            <w:rPr>
              <w:rFonts w:eastAsiaTheme="minorEastAsia" w:cstheme="minorBidi"/>
              <w:i w:val="0"/>
              <w:iCs w:val="0"/>
              <w:noProof/>
              <w:sz w:val="24"/>
              <w:szCs w:val="24"/>
              <w14:ligatures w14:val="standardContextual"/>
            </w:rPr>
          </w:pPr>
          <w:hyperlink w:anchor="_Toc214722021" w:history="1">
            <w:r w:rsidRPr="009300E5">
              <w:rPr>
                <w:rStyle w:val="Hyperlink"/>
                <w:rFonts w:eastAsiaTheme="majorEastAsia"/>
                <w:noProof/>
              </w:rPr>
              <w:t>Table 10.A Optimization Decision Framework</w:t>
            </w:r>
            <w:r>
              <w:rPr>
                <w:noProof/>
                <w:webHidden/>
              </w:rPr>
              <w:tab/>
            </w:r>
            <w:r>
              <w:rPr>
                <w:noProof/>
                <w:webHidden/>
              </w:rPr>
              <w:fldChar w:fldCharType="begin"/>
            </w:r>
            <w:r>
              <w:rPr>
                <w:noProof/>
                <w:webHidden/>
              </w:rPr>
              <w:instrText xml:space="preserve"> PAGEREF _Toc214722021 \h </w:instrText>
            </w:r>
            <w:r>
              <w:rPr>
                <w:noProof/>
                <w:webHidden/>
              </w:rPr>
            </w:r>
            <w:r>
              <w:rPr>
                <w:noProof/>
                <w:webHidden/>
              </w:rPr>
              <w:fldChar w:fldCharType="separate"/>
            </w:r>
            <w:r>
              <w:rPr>
                <w:noProof/>
                <w:webHidden/>
              </w:rPr>
              <w:t>162</w:t>
            </w:r>
            <w:r>
              <w:rPr>
                <w:noProof/>
                <w:webHidden/>
              </w:rPr>
              <w:fldChar w:fldCharType="end"/>
            </w:r>
          </w:hyperlink>
        </w:p>
        <w:p w14:paraId="61207ADD" w14:textId="0C811AAE" w:rsidR="002C51B7" w:rsidRDefault="002C51B7">
          <w:pPr>
            <w:pStyle w:val="TOC3"/>
            <w:rPr>
              <w:rFonts w:eastAsiaTheme="minorEastAsia" w:cstheme="minorBidi"/>
              <w:i w:val="0"/>
              <w:iCs w:val="0"/>
              <w:noProof/>
              <w:sz w:val="24"/>
              <w:szCs w:val="24"/>
              <w14:ligatures w14:val="standardContextual"/>
            </w:rPr>
          </w:pPr>
          <w:hyperlink w:anchor="_Toc214722022" w:history="1">
            <w:r w:rsidRPr="009300E5">
              <w:rPr>
                <w:rStyle w:val="Hyperlink"/>
                <w:rFonts w:eastAsiaTheme="majorEastAsia"/>
                <w:noProof/>
              </w:rPr>
              <w:t>Figure 10.B: Should I Optimize? Decision Flowchart</w:t>
            </w:r>
            <w:r>
              <w:rPr>
                <w:noProof/>
                <w:webHidden/>
              </w:rPr>
              <w:tab/>
            </w:r>
            <w:r>
              <w:rPr>
                <w:noProof/>
                <w:webHidden/>
              </w:rPr>
              <w:fldChar w:fldCharType="begin"/>
            </w:r>
            <w:r>
              <w:rPr>
                <w:noProof/>
                <w:webHidden/>
              </w:rPr>
              <w:instrText xml:space="preserve"> PAGEREF _Toc214722022 \h </w:instrText>
            </w:r>
            <w:r>
              <w:rPr>
                <w:noProof/>
                <w:webHidden/>
              </w:rPr>
            </w:r>
            <w:r>
              <w:rPr>
                <w:noProof/>
                <w:webHidden/>
              </w:rPr>
              <w:fldChar w:fldCharType="separate"/>
            </w:r>
            <w:r>
              <w:rPr>
                <w:noProof/>
                <w:webHidden/>
              </w:rPr>
              <w:t>163</w:t>
            </w:r>
            <w:r>
              <w:rPr>
                <w:noProof/>
                <w:webHidden/>
              </w:rPr>
              <w:fldChar w:fldCharType="end"/>
            </w:r>
          </w:hyperlink>
        </w:p>
        <w:p w14:paraId="36165C55" w14:textId="42A638CC" w:rsidR="002C51B7" w:rsidRDefault="002C51B7">
          <w:pPr>
            <w:pStyle w:val="TOC2"/>
            <w:rPr>
              <w:rFonts w:eastAsiaTheme="minorEastAsia" w:cstheme="minorBidi"/>
              <w:b w:val="0"/>
              <w:bCs w:val="0"/>
              <w:smallCaps w:val="0"/>
              <w:sz w:val="24"/>
              <w:szCs w:val="24"/>
              <w14:ligatures w14:val="standardContextual"/>
            </w:rPr>
          </w:pPr>
          <w:hyperlink w:anchor="_Toc214722023" w:history="1">
            <w:r w:rsidRPr="009300E5">
              <w:rPr>
                <w:rStyle w:val="Hyperlink"/>
                <w:rFonts w:eastAsiaTheme="majorEastAsia"/>
              </w:rPr>
              <w:t>10.3 Position Management: Finding the Goldilocks Zone</w:t>
            </w:r>
            <w:r>
              <w:rPr>
                <w:webHidden/>
              </w:rPr>
              <w:tab/>
            </w:r>
            <w:r>
              <w:rPr>
                <w:webHidden/>
              </w:rPr>
              <w:fldChar w:fldCharType="begin"/>
            </w:r>
            <w:r>
              <w:rPr>
                <w:webHidden/>
              </w:rPr>
              <w:instrText xml:space="preserve"> PAGEREF _Toc214722023 \h </w:instrText>
            </w:r>
            <w:r>
              <w:rPr>
                <w:webHidden/>
              </w:rPr>
            </w:r>
            <w:r>
              <w:rPr>
                <w:webHidden/>
              </w:rPr>
              <w:fldChar w:fldCharType="separate"/>
            </w:r>
            <w:r>
              <w:rPr>
                <w:webHidden/>
              </w:rPr>
              <w:t>164</w:t>
            </w:r>
            <w:r>
              <w:rPr>
                <w:webHidden/>
              </w:rPr>
              <w:fldChar w:fldCharType="end"/>
            </w:r>
          </w:hyperlink>
        </w:p>
        <w:p w14:paraId="12E0FFE0" w14:textId="3FD59166" w:rsidR="002C51B7" w:rsidRDefault="002C51B7">
          <w:pPr>
            <w:pStyle w:val="TOC2"/>
            <w:rPr>
              <w:rFonts w:eastAsiaTheme="minorEastAsia" w:cstheme="minorBidi"/>
              <w:b w:val="0"/>
              <w:bCs w:val="0"/>
              <w:smallCaps w:val="0"/>
              <w:sz w:val="24"/>
              <w:szCs w:val="24"/>
              <w14:ligatures w14:val="standardContextual"/>
            </w:rPr>
          </w:pPr>
          <w:hyperlink w:anchor="_Toc214722024" w:history="1">
            <w:r w:rsidRPr="009300E5">
              <w:rPr>
                <w:rStyle w:val="Hyperlink"/>
                <w:rFonts w:eastAsiaTheme="majorEastAsia"/>
              </w:rPr>
              <w:t>10.4 Automation: Liberation or Complication?</w:t>
            </w:r>
            <w:r>
              <w:rPr>
                <w:webHidden/>
              </w:rPr>
              <w:tab/>
            </w:r>
            <w:r>
              <w:rPr>
                <w:webHidden/>
              </w:rPr>
              <w:fldChar w:fldCharType="begin"/>
            </w:r>
            <w:r>
              <w:rPr>
                <w:webHidden/>
              </w:rPr>
              <w:instrText xml:space="preserve"> PAGEREF _Toc214722024 \h </w:instrText>
            </w:r>
            <w:r>
              <w:rPr>
                <w:webHidden/>
              </w:rPr>
            </w:r>
            <w:r>
              <w:rPr>
                <w:webHidden/>
              </w:rPr>
              <w:fldChar w:fldCharType="separate"/>
            </w:r>
            <w:r>
              <w:rPr>
                <w:webHidden/>
              </w:rPr>
              <w:t>165</w:t>
            </w:r>
            <w:r>
              <w:rPr>
                <w:webHidden/>
              </w:rPr>
              <w:fldChar w:fldCharType="end"/>
            </w:r>
          </w:hyperlink>
        </w:p>
        <w:p w14:paraId="5CC4E36E" w14:textId="1974A9C8" w:rsidR="002C51B7" w:rsidRDefault="002C51B7">
          <w:pPr>
            <w:pStyle w:val="TOC2"/>
            <w:rPr>
              <w:rFonts w:eastAsiaTheme="minorEastAsia" w:cstheme="minorBidi"/>
              <w:b w:val="0"/>
              <w:bCs w:val="0"/>
              <w:smallCaps w:val="0"/>
              <w:sz w:val="24"/>
              <w:szCs w:val="24"/>
              <w14:ligatures w14:val="standardContextual"/>
            </w:rPr>
          </w:pPr>
          <w:hyperlink w:anchor="_Toc214722025" w:history="1">
            <w:r w:rsidRPr="009300E5">
              <w:rPr>
                <w:rStyle w:val="Hyperlink"/>
                <w:rFonts w:eastAsiaTheme="majorEastAsia"/>
              </w:rPr>
              <w:t>10.5 Multi-Strategy Implementation: Diversification or Dilution?</w:t>
            </w:r>
            <w:r>
              <w:rPr>
                <w:webHidden/>
              </w:rPr>
              <w:tab/>
            </w:r>
            <w:r>
              <w:rPr>
                <w:webHidden/>
              </w:rPr>
              <w:fldChar w:fldCharType="begin"/>
            </w:r>
            <w:r>
              <w:rPr>
                <w:webHidden/>
              </w:rPr>
              <w:instrText xml:space="preserve"> PAGEREF _Toc214722025 \h </w:instrText>
            </w:r>
            <w:r>
              <w:rPr>
                <w:webHidden/>
              </w:rPr>
            </w:r>
            <w:r>
              <w:rPr>
                <w:webHidden/>
              </w:rPr>
              <w:fldChar w:fldCharType="separate"/>
            </w:r>
            <w:r>
              <w:rPr>
                <w:webHidden/>
              </w:rPr>
              <w:t>166</w:t>
            </w:r>
            <w:r>
              <w:rPr>
                <w:webHidden/>
              </w:rPr>
              <w:fldChar w:fldCharType="end"/>
            </w:r>
          </w:hyperlink>
        </w:p>
        <w:p w14:paraId="0855CF80" w14:textId="0685F3DA" w:rsidR="002C51B7" w:rsidRDefault="002C51B7">
          <w:pPr>
            <w:pStyle w:val="TOC2"/>
            <w:rPr>
              <w:rFonts w:eastAsiaTheme="minorEastAsia" w:cstheme="minorBidi"/>
              <w:b w:val="0"/>
              <w:bCs w:val="0"/>
              <w:smallCaps w:val="0"/>
              <w:sz w:val="24"/>
              <w:szCs w:val="24"/>
              <w14:ligatures w14:val="standardContextual"/>
            </w:rPr>
          </w:pPr>
          <w:hyperlink w:anchor="_Toc214722026" w:history="1">
            <w:r w:rsidRPr="009300E5">
              <w:rPr>
                <w:rStyle w:val="Hyperlink"/>
                <w:rFonts w:eastAsiaTheme="majorEastAsia"/>
              </w:rPr>
              <w:t>10.6 Performance Attribution: Decomposing Success</w:t>
            </w:r>
            <w:r>
              <w:rPr>
                <w:webHidden/>
              </w:rPr>
              <w:tab/>
            </w:r>
            <w:r>
              <w:rPr>
                <w:webHidden/>
              </w:rPr>
              <w:fldChar w:fldCharType="begin"/>
            </w:r>
            <w:r>
              <w:rPr>
                <w:webHidden/>
              </w:rPr>
              <w:instrText xml:space="preserve"> PAGEREF _Toc214722026 \h </w:instrText>
            </w:r>
            <w:r>
              <w:rPr>
                <w:webHidden/>
              </w:rPr>
            </w:r>
            <w:r>
              <w:rPr>
                <w:webHidden/>
              </w:rPr>
              <w:fldChar w:fldCharType="separate"/>
            </w:r>
            <w:r>
              <w:rPr>
                <w:webHidden/>
              </w:rPr>
              <w:t>167</w:t>
            </w:r>
            <w:r>
              <w:rPr>
                <w:webHidden/>
              </w:rPr>
              <w:fldChar w:fldCharType="end"/>
            </w:r>
          </w:hyperlink>
        </w:p>
        <w:p w14:paraId="5F06217D" w14:textId="05D5586C" w:rsidR="002C51B7" w:rsidRDefault="002C51B7">
          <w:pPr>
            <w:pStyle w:val="TOC2"/>
            <w:rPr>
              <w:rFonts w:eastAsiaTheme="minorEastAsia" w:cstheme="minorBidi"/>
              <w:b w:val="0"/>
              <w:bCs w:val="0"/>
              <w:smallCaps w:val="0"/>
              <w:sz w:val="24"/>
              <w:szCs w:val="24"/>
              <w14:ligatures w14:val="standardContextual"/>
            </w:rPr>
          </w:pPr>
          <w:hyperlink w:anchor="_Toc214722027" w:history="1">
            <w:r w:rsidRPr="009300E5">
              <w:rPr>
                <w:rStyle w:val="Hyperlink"/>
                <w:rFonts w:eastAsiaTheme="majorEastAsia"/>
              </w:rPr>
              <w:t>10.7 Tax Implications: The Hidden Destroyer</w:t>
            </w:r>
            <w:r>
              <w:rPr>
                <w:webHidden/>
              </w:rPr>
              <w:tab/>
            </w:r>
            <w:r>
              <w:rPr>
                <w:webHidden/>
              </w:rPr>
              <w:fldChar w:fldCharType="begin"/>
            </w:r>
            <w:r>
              <w:rPr>
                <w:webHidden/>
              </w:rPr>
              <w:instrText xml:space="preserve"> PAGEREF _Toc214722027 \h </w:instrText>
            </w:r>
            <w:r>
              <w:rPr>
                <w:webHidden/>
              </w:rPr>
            </w:r>
            <w:r>
              <w:rPr>
                <w:webHidden/>
              </w:rPr>
              <w:fldChar w:fldCharType="separate"/>
            </w:r>
            <w:r>
              <w:rPr>
                <w:webHidden/>
              </w:rPr>
              <w:t>168</w:t>
            </w:r>
            <w:r>
              <w:rPr>
                <w:webHidden/>
              </w:rPr>
              <w:fldChar w:fldCharType="end"/>
            </w:r>
          </w:hyperlink>
        </w:p>
        <w:p w14:paraId="093F96E6" w14:textId="7ABDE008" w:rsidR="002C51B7" w:rsidRDefault="002C51B7">
          <w:pPr>
            <w:pStyle w:val="TOC2"/>
            <w:rPr>
              <w:rFonts w:eastAsiaTheme="minorEastAsia" w:cstheme="minorBidi"/>
              <w:b w:val="0"/>
              <w:bCs w:val="0"/>
              <w:smallCaps w:val="0"/>
              <w:sz w:val="24"/>
              <w:szCs w:val="24"/>
              <w14:ligatures w14:val="standardContextual"/>
            </w:rPr>
          </w:pPr>
          <w:hyperlink w:anchor="_Toc214722028" w:history="1">
            <w:r w:rsidRPr="009300E5">
              <w:rPr>
                <w:rStyle w:val="Hyperlink"/>
                <w:rFonts w:eastAsiaTheme="majorEastAsia"/>
              </w:rPr>
              <w:t>10.8 Geographic and Regulatory Considerations</w:t>
            </w:r>
            <w:r>
              <w:rPr>
                <w:webHidden/>
              </w:rPr>
              <w:tab/>
            </w:r>
            <w:r>
              <w:rPr>
                <w:webHidden/>
              </w:rPr>
              <w:fldChar w:fldCharType="begin"/>
            </w:r>
            <w:r>
              <w:rPr>
                <w:webHidden/>
              </w:rPr>
              <w:instrText xml:space="preserve"> PAGEREF _Toc214722028 \h </w:instrText>
            </w:r>
            <w:r>
              <w:rPr>
                <w:webHidden/>
              </w:rPr>
            </w:r>
            <w:r>
              <w:rPr>
                <w:webHidden/>
              </w:rPr>
              <w:fldChar w:fldCharType="separate"/>
            </w:r>
            <w:r>
              <w:rPr>
                <w:webHidden/>
              </w:rPr>
              <w:t>168</w:t>
            </w:r>
            <w:r>
              <w:rPr>
                <w:webHidden/>
              </w:rPr>
              <w:fldChar w:fldCharType="end"/>
            </w:r>
          </w:hyperlink>
        </w:p>
        <w:p w14:paraId="678CAAE7" w14:textId="352CCE5B" w:rsidR="002C51B7" w:rsidRDefault="002C51B7">
          <w:pPr>
            <w:pStyle w:val="TOC2"/>
            <w:rPr>
              <w:rFonts w:eastAsiaTheme="minorEastAsia" w:cstheme="minorBidi"/>
              <w:b w:val="0"/>
              <w:bCs w:val="0"/>
              <w:smallCaps w:val="0"/>
              <w:sz w:val="24"/>
              <w:szCs w:val="24"/>
              <w14:ligatures w14:val="standardContextual"/>
            </w:rPr>
          </w:pPr>
          <w:hyperlink w:anchor="_Toc214722029" w:history="1">
            <w:r w:rsidRPr="009300E5">
              <w:rPr>
                <w:rStyle w:val="Hyperlink"/>
                <w:rFonts w:eastAsiaTheme="majorEastAsia"/>
              </w:rPr>
              <w:t>10.9 Implementation Framework: Practical Guidance</w:t>
            </w:r>
            <w:r>
              <w:rPr>
                <w:webHidden/>
              </w:rPr>
              <w:tab/>
            </w:r>
            <w:r>
              <w:rPr>
                <w:webHidden/>
              </w:rPr>
              <w:fldChar w:fldCharType="begin"/>
            </w:r>
            <w:r>
              <w:rPr>
                <w:webHidden/>
              </w:rPr>
              <w:instrText xml:space="preserve"> PAGEREF _Toc214722029 \h </w:instrText>
            </w:r>
            <w:r>
              <w:rPr>
                <w:webHidden/>
              </w:rPr>
            </w:r>
            <w:r>
              <w:rPr>
                <w:webHidden/>
              </w:rPr>
              <w:fldChar w:fldCharType="separate"/>
            </w:r>
            <w:r>
              <w:rPr>
                <w:webHidden/>
              </w:rPr>
              <w:t>168</w:t>
            </w:r>
            <w:r>
              <w:rPr>
                <w:webHidden/>
              </w:rPr>
              <w:fldChar w:fldCharType="end"/>
            </w:r>
          </w:hyperlink>
        </w:p>
        <w:p w14:paraId="1A854659" w14:textId="66328D7A" w:rsidR="002C51B7" w:rsidRDefault="002C51B7">
          <w:pPr>
            <w:pStyle w:val="TOC3"/>
            <w:rPr>
              <w:rFonts w:eastAsiaTheme="minorEastAsia" w:cstheme="minorBidi"/>
              <w:i w:val="0"/>
              <w:iCs w:val="0"/>
              <w:noProof/>
              <w:sz w:val="24"/>
              <w:szCs w:val="24"/>
              <w14:ligatures w14:val="standardContextual"/>
            </w:rPr>
          </w:pPr>
          <w:hyperlink w:anchor="_Toc214722030" w:history="1">
            <w:r w:rsidRPr="009300E5">
              <w:rPr>
                <w:rStyle w:val="Hyperlink"/>
                <w:rFonts w:eastAsiaTheme="majorEastAsia"/>
                <w:noProof/>
              </w:rPr>
              <w:t>10.9.1 Pre-Implementation Readiness Assessment</w:t>
            </w:r>
            <w:r>
              <w:rPr>
                <w:noProof/>
                <w:webHidden/>
              </w:rPr>
              <w:tab/>
            </w:r>
            <w:r>
              <w:rPr>
                <w:noProof/>
                <w:webHidden/>
              </w:rPr>
              <w:fldChar w:fldCharType="begin"/>
            </w:r>
            <w:r>
              <w:rPr>
                <w:noProof/>
                <w:webHidden/>
              </w:rPr>
              <w:instrText xml:space="preserve"> PAGEREF _Toc214722030 \h </w:instrText>
            </w:r>
            <w:r>
              <w:rPr>
                <w:noProof/>
                <w:webHidden/>
              </w:rPr>
            </w:r>
            <w:r>
              <w:rPr>
                <w:noProof/>
                <w:webHidden/>
              </w:rPr>
              <w:fldChar w:fldCharType="separate"/>
            </w:r>
            <w:r>
              <w:rPr>
                <w:noProof/>
                <w:webHidden/>
              </w:rPr>
              <w:t>169</w:t>
            </w:r>
            <w:r>
              <w:rPr>
                <w:noProof/>
                <w:webHidden/>
              </w:rPr>
              <w:fldChar w:fldCharType="end"/>
            </w:r>
          </w:hyperlink>
        </w:p>
        <w:p w14:paraId="05E8836D" w14:textId="5BC9F0EE" w:rsidR="002C51B7" w:rsidRDefault="002C51B7">
          <w:pPr>
            <w:pStyle w:val="TOC3"/>
            <w:rPr>
              <w:rFonts w:eastAsiaTheme="minorEastAsia" w:cstheme="minorBidi"/>
              <w:i w:val="0"/>
              <w:iCs w:val="0"/>
              <w:noProof/>
              <w:sz w:val="24"/>
              <w:szCs w:val="24"/>
              <w14:ligatures w14:val="standardContextual"/>
            </w:rPr>
          </w:pPr>
          <w:hyperlink w:anchor="_Toc214722031" w:history="1">
            <w:r w:rsidRPr="009300E5">
              <w:rPr>
                <w:rStyle w:val="Hyperlink"/>
                <w:rFonts w:eastAsiaTheme="majorEastAsia"/>
                <w:noProof/>
              </w:rPr>
              <w:t>Table 10.C: Micro Capital Implementation Checklist (&lt;$3,500)</w:t>
            </w:r>
            <w:r>
              <w:rPr>
                <w:noProof/>
                <w:webHidden/>
              </w:rPr>
              <w:tab/>
            </w:r>
            <w:r>
              <w:rPr>
                <w:noProof/>
                <w:webHidden/>
              </w:rPr>
              <w:fldChar w:fldCharType="begin"/>
            </w:r>
            <w:r>
              <w:rPr>
                <w:noProof/>
                <w:webHidden/>
              </w:rPr>
              <w:instrText xml:space="preserve"> PAGEREF _Toc214722031 \h </w:instrText>
            </w:r>
            <w:r>
              <w:rPr>
                <w:noProof/>
                <w:webHidden/>
              </w:rPr>
            </w:r>
            <w:r>
              <w:rPr>
                <w:noProof/>
                <w:webHidden/>
              </w:rPr>
              <w:fldChar w:fldCharType="separate"/>
            </w:r>
            <w:r>
              <w:rPr>
                <w:noProof/>
                <w:webHidden/>
              </w:rPr>
              <w:t>169</w:t>
            </w:r>
            <w:r>
              <w:rPr>
                <w:noProof/>
                <w:webHidden/>
              </w:rPr>
              <w:fldChar w:fldCharType="end"/>
            </w:r>
          </w:hyperlink>
        </w:p>
        <w:p w14:paraId="44069DD3" w14:textId="68978DED" w:rsidR="002C51B7" w:rsidRDefault="002C51B7">
          <w:pPr>
            <w:pStyle w:val="TOC3"/>
            <w:rPr>
              <w:rFonts w:eastAsiaTheme="minorEastAsia" w:cstheme="minorBidi"/>
              <w:i w:val="0"/>
              <w:iCs w:val="0"/>
              <w:noProof/>
              <w:sz w:val="24"/>
              <w:szCs w:val="24"/>
              <w14:ligatures w14:val="standardContextual"/>
            </w:rPr>
          </w:pPr>
          <w:hyperlink w:anchor="_Toc214722032" w:history="1">
            <w:r w:rsidRPr="009300E5">
              <w:rPr>
                <w:rStyle w:val="Hyperlink"/>
                <w:rFonts w:eastAsiaTheme="majorEastAsia"/>
                <w:noProof/>
              </w:rPr>
              <w:t>Table 10.D: Small-Modest Capital Implementation Checklist ($3,500-$25,000)</w:t>
            </w:r>
            <w:r>
              <w:rPr>
                <w:noProof/>
                <w:webHidden/>
              </w:rPr>
              <w:tab/>
            </w:r>
            <w:r>
              <w:rPr>
                <w:noProof/>
                <w:webHidden/>
              </w:rPr>
              <w:fldChar w:fldCharType="begin"/>
            </w:r>
            <w:r>
              <w:rPr>
                <w:noProof/>
                <w:webHidden/>
              </w:rPr>
              <w:instrText xml:space="preserve"> PAGEREF _Toc214722032 \h </w:instrText>
            </w:r>
            <w:r>
              <w:rPr>
                <w:noProof/>
                <w:webHidden/>
              </w:rPr>
            </w:r>
            <w:r>
              <w:rPr>
                <w:noProof/>
                <w:webHidden/>
              </w:rPr>
              <w:fldChar w:fldCharType="separate"/>
            </w:r>
            <w:r>
              <w:rPr>
                <w:noProof/>
                <w:webHidden/>
              </w:rPr>
              <w:t>170</w:t>
            </w:r>
            <w:r>
              <w:rPr>
                <w:noProof/>
                <w:webHidden/>
              </w:rPr>
              <w:fldChar w:fldCharType="end"/>
            </w:r>
          </w:hyperlink>
        </w:p>
        <w:p w14:paraId="4CE18E74" w14:textId="6039B4C1" w:rsidR="002C51B7" w:rsidRDefault="002C51B7">
          <w:pPr>
            <w:pStyle w:val="TOC3"/>
            <w:rPr>
              <w:rFonts w:eastAsiaTheme="minorEastAsia" w:cstheme="minorBidi"/>
              <w:i w:val="0"/>
              <w:iCs w:val="0"/>
              <w:noProof/>
              <w:sz w:val="24"/>
              <w:szCs w:val="24"/>
              <w14:ligatures w14:val="standardContextual"/>
            </w:rPr>
          </w:pPr>
          <w:hyperlink w:anchor="_Toc214722033" w:history="1">
            <w:r w:rsidRPr="009300E5">
              <w:rPr>
                <w:rStyle w:val="Hyperlink"/>
                <w:rFonts w:eastAsiaTheme="majorEastAsia"/>
                <w:noProof/>
              </w:rPr>
              <w:t>Table 10.E: Substantial Capital Implementation Checklist ($25,000-$100,000)</w:t>
            </w:r>
            <w:r>
              <w:rPr>
                <w:noProof/>
                <w:webHidden/>
              </w:rPr>
              <w:tab/>
            </w:r>
            <w:r>
              <w:rPr>
                <w:noProof/>
                <w:webHidden/>
              </w:rPr>
              <w:fldChar w:fldCharType="begin"/>
            </w:r>
            <w:r>
              <w:rPr>
                <w:noProof/>
                <w:webHidden/>
              </w:rPr>
              <w:instrText xml:space="preserve"> PAGEREF _Toc214722033 \h </w:instrText>
            </w:r>
            <w:r>
              <w:rPr>
                <w:noProof/>
                <w:webHidden/>
              </w:rPr>
            </w:r>
            <w:r>
              <w:rPr>
                <w:noProof/>
                <w:webHidden/>
              </w:rPr>
              <w:fldChar w:fldCharType="separate"/>
            </w:r>
            <w:r>
              <w:rPr>
                <w:noProof/>
                <w:webHidden/>
              </w:rPr>
              <w:t>171</w:t>
            </w:r>
            <w:r>
              <w:rPr>
                <w:noProof/>
                <w:webHidden/>
              </w:rPr>
              <w:fldChar w:fldCharType="end"/>
            </w:r>
          </w:hyperlink>
        </w:p>
        <w:p w14:paraId="0422DA13" w14:textId="1F838AAD" w:rsidR="002C51B7" w:rsidRDefault="002C51B7">
          <w:pPr>
            <w:pStyle w:val="TOC3"/>
            <w:rPr>
              <w:rFonts w:eastAsiaTheme="minorEastAsia" w:cstheme="minorBidi"/>
              <w:i w:val="0"/>
              <w:iCs w:val="0"/>
              <w:noProof/>
              <w:sz w:val="24"/>
              <w:szCs w:val="24"/>
              <w14:ligatures w14:val="standardContextual"/>
            </w:rPr>
          </w:pPr>
          <w:hyperlink w:anchor="_Toc214722034" w:history="1">
            <w:r w:rsidRPr="009300E5">
              <w:rPr>
                <w:rStyle w:val="Hyperlink"/>
                <w:rFonts w:eastAsiaTheme="majorEastAsia"/>
                <w:noProof/>
              </w:rPr>
              <w:t>Table 10.F: Large Capital Implementation Checklist ($100,000+)</w:t>
            </w:r>
            <w:r>
              <w:rPr>
                <w:noProof/>
                <w:webHidden/>
              </w:rPr>
              <w:tab/>
            </w:r>
            <w:r>
              <w:rPr>
                <w:noProof/>
                <w:webHidden/>
              </w:rPr>
              <w:fldChar w:fldCharType="begin"/>
            </w:r>
            <w:r>
              <w:rPr>
                <w:noProof/>
                <w:webHidden/>
              </w:rPr>
              <w:instrText xml:space="preserve"> PAGEREF _Toc214722034 \h </w:instrText>
            </w:r>
            <w:r>
              <w:rPr>
                <w:noProof/>
                <w:webHidden/>
              </w:rPr>
            </w:r>
            <w:r>
              <w:rPr>
                <w:noProof/>
                <w:webHidden/>
              </w:rPr>
              <w:fldChar w:fldCharType="separate"/>
            </w:r>
            <w:r>
              <w:rPr>
                <w:noProof/>
                <w:webHidden/>
              </w:rPr>
              <w:t>172</w:t>
            </w:r>
            <w:r>
              <w:rPr>
                <w:noProof/>
                <w:webHidden/>
              </w:rPr>
              <w:fldChar w:fldCharType="end"/>
            </w:r>
          </w:hyperlink>
        </w:p>
        <w:p w14:paraId="4814CDE3" w14:textId="09888819" w:rsidR="002C51B7" w:rsidRDefault="002C51B7">
          <w:pPr>
            <w:pStyle w:val="TOC2"/>
            <w:rPr>
              <w:rFonts w:eastAsiaTheme="minorEastAsia" w:cstheme="minorBidi"/>
              <w:b w:val="0"/>
              <w:bCs w:val="0"/>
              <w:smallCaps w:val="0"/>
              <w:sz w:val="24"/>
              <w:szCs w:val="24"/>
              <w14:ligatures w14:val="standardContextual"/>
            </w:rPr>
          </w:pPr>
          <w:hyperlink w:anchor="_Toc214722035" w:history="1">
            <w:r w:rsidRPr="009300E5">
              <w:rPr>
                <w:rStyle w:val="Hyperlink"/>
                <w:rFonts w:eastAsiaTheme="majorEastAsia"/>
              </w:rPr>
              <w:t>10.10 Synthesis: The Optimization Sweet Spot</w:t>
            </w:r>
            <w:r>
              <w:rPr>
                <w:webHidden/>
              </w:rPr>
              <w:tab/>
            </w:r>
            <w:r>
              <w:rPr>
                <w:webHidden/>
              </w:rPr>
              <w:fldChar w:fldCharType="begin"/>
            </w:r>
            <w:r>
              <w:rPr>
                <w:webHidden/>
              </w:rPr>
              <w:instrText xml:space="preserve"> PAGEREF _Toc214722035 \h </w:instrText>
            </w:r>
            <w:r>
              <w:rPr>
                <w:webHidden/>
              </w:rPr>
            </w:r>
            <w:r>
              <w:rPr>
                <w:webHidden/>
              </w:rPr>
              <w:fldChar w:fldCharType="separate"/>
            </w:r>
            <w:r>
              <w:rPr>
                <w:webHidden/>
              </w:rPr>
              <w:t>173</w:t>
            </w:r>
            <w:r>
              <w:rPr>
                <w:webHidden/>
              </w:rPr>
              <w:fldChar w:fldCharType="end"/>
            </w:r>
          </w:hyperlink>
        </w:p>
        <w:p w14:paraId="612B6623" w14:textId="21BF3054" w:rsidR="002C51B7" w:rsidRDefault="002C51B7">
          <w:pPr>
            <w:pStyle w:val="TOC3"/>
            <w:rPr>
              <w:rFonts w:eastAsiaTheme="minorEastAsia" w:cstheme="minorBidi"/>
              <w:i w:val="0"/>
              <w:iCs w:val="0"/>
              <w:noProof/>
              <w:sz w:val="24"/>
              <w:szCs w:val="24"/>
              <w14:ligatures w14:val="standardContextual"/>
            </w:rPr>
          </w:pPr>
          <w:hyperlink w:anchor="_Toc214722036" w:history="1">
            <w:r w:rsidRPr="009300E5">
              <w:rPr>
                <w:rStyle w:val="Hyperlink"/>
                <w:rFonts w:eastAsiaTheme="majorEastAsia"/>
                <w:noProof/>
              </w:rPr>
              <w:t>10.10.1 Troubleshooting Guide: Common Failure Modes</w:t>
            </w:r>
            <w:r>
              <w:rPr>
                <w:noProof/>
                <w:webHidden/>
              </w:rPr>
              <w:tab/>
            </w:r>
            <w:r>
              <w:rPr>
                <w:noProof/>
                <w:webHidden/>
              </w:rPr>
              <w:fldChar w:fldCharType="begin"/>
            </w:r>
            <w:r>
              <w:rPr>
                <w:noProof/>
                <w:webHidden/>
              </w:rPr>
              <w:instrText xml:space="preserve"> PAGEREF _Toc214722036 \h </w:instrText>
            </w:r>
            <w:r>
              <w:rPr>
                <w:noProof/>
                <w:webHidden/>
              </w:rPr>
            </w:r>
            <w:r>
              <w:rPr>
                <w:noProof/>
                <w:webHidden/>
              </w:rPr>
              <w:fldChar w:fldCharType="separate"/>
            </w:r>
            <w:r>
              <w:rPr>
                <w:noProof/>
                <w:webHidden/>
              </w:rPr>
              <w:t>173</w:t>
            </w:r>
            <w:r>
              <w:rPr>
                <w:noProof/>
                <w:webHidden/>
              </w:rPr>
              <w:fldChar w:fldCharType="end"/>
            </w:r>
          </w:hyperlink>
        </w:p>
        <w:p w14:paraId="58FA4366" w14:textId="2F065A6C" w:rsidR="002C51B7" w:rsidRDefault="002C51B7">
          <w:pPr>
            <w:pStyle w:val="TOC3"/>
            <w:rPr>
              <w:rFonts w:eastAsiaTheme="minorEastAsia" w:cstheme="minorBidi"/>
              <w:i w:val="0"/>
              <w:iCs w:val="0"/>
              <w:noProof/>
              <w:sz w:val="24"/>
              <w:szCs w:val="24"/>
              <w14:ligatures w14:val="standardContextual"/>
            </w:rPr>
          </w:pPr>
          <w:hyperlink w:anchor="_Toc214722037" w:history="1">
            <w:r w:rsidRPr="009300E5">
              <w:rPr>
                <w:rStyle w:val="Hyperlink"/>
                <w:rFonts w:eastAsiaTheme="majorEastAsia"/>
                <w:noProof/>
              </w:rPr>
              <w:t>Table 10.G: Implementation Failure Diagnosis and Correction</w:t>
            </w:r>
            <w:r>
              <w:rPr>
                <w:noProof/>
                <w:webHidden/>
              </w:rPr>
              <w:tab/>
            </w:r>
            <w:r>
              <w:rPr>
                <w:noProof/>
                <w:webHidden/>
              </w:rPr>
              <w:fldChar w:fldCharType="begin"/>
            </w:r>
            <w:r>
              <w:rPr>
                <w:noProof/>
                <w:webHidden/>
              </w:rPr>
              <w:instrText xml:space="preserve"> PAGEREF _Toc214722037 \h </w:instrText>
            </w:r>
            <w:r>
              <w:rPr>
                <w:noProof/>
                <w:webHidden/>
              </w:rPr>
            </w:r>
            <w:r>
              <w:rPr>
                <w:noProof/>
                <w:webHidden/>
              </w:rPr>
              <w:fldChar w:fldCharType="separate"/>
            </w:r>
            <w:r>
              <w:rPr>
                <w:noProof/>
                <w:webHidden/>
              </w:rPr>
              <w:t>173</w:t>
            </w:r>
            <w:r>
              <w:rPr>
                <w:noProof/>
                <w:webHidden/>
              </w:rPr>
              <w:fldChar w:fldCharType="end"/>
            </w:r>
          </w:hyperlink>
        </w:p>
        <w:p w14:paraId="13F89578" w14:textId="04BCEC76" w:rsidR="002C51B7" w:rsidRDefault="002C51B7">
          <w:pPr>
            <w:pStyle w:val="TOC1"/>
            <w:tabs>
              <w:tab w:val="right" w:leader="dot" w:pos="9350"/>
            </w:tabs>
            <w:rPr>
              <w:rFonts w:eastAsiaTheme="minorEastAsia" w:cstheme="minorBidi"/>
              <w:b w:val="0"/>
              <w:bCs w:val="0"/>
              <w:caps w:val="0"/>
              <w:noProof/>
              <w:sz w:val="24"/>
              <w:szCs w:val="24"/>
              <w14:ligatures w14:val="standardContextual"/>
            </w:rPr>
          </w:pPr>
          <w:hyperlink w:anchor="_Toc214722038" w:history="1">
            <w:r w:rsidRPr="009300E5">
              <w:rPr>
                <w:rStyle w:val="Hyperlink"/>
                <w:rFonts w:eastAsiaTheme="majorEastAsia"/>
                <w:noProof/>
              </w:rPr>
              <w:t>CHAPTER 11: THEORETICAL CONTRIBUTIONS AND PRACTICAL CONCLUSIONS</w:t>
            </w:r>
            <w:r>
              <w:rPr>
                <w:noProof/>
                <w:webHidden/>
              </w:rPr>
              <w:tab/>
            </w:r>
            <w:r>
              <w:rPr>
                <w:noProof/>
                <w:webHidden/>
              </w:rPr>
              <w:fldChar w:fldCharType="begin"/>
            </w:r>
            <w:r>
              <w:rPr>
                <w:noProof/>
                <w:webHidden/>
              </w:rPr>
              <w:instrText xml:space="preserve"> PAGEREF _Toc214722038 \h </w:instrText>
            </w:r>
            <w:r>
              <w:rPr>
                <w:noProof/>
                <w:webHidden/>
              </w:rPr>
            </w:r>
            <w:r>
              <w:rPr>
                <w:noProof/>
                <w:webHidden/>
              </w:rPr>
              <w:fldChar w:fldCharType="separate"/>
            </w:r>
            <w:r>
              <w:rPr>
                <w:noProof/>
                <w:webHidden/>
              </w:rPr>
              <w:t>177</w:t>
            </w:r>
            <w:r>
              <w:rPr>
                <w:noProof/>
                <w:webHidden/>
              </w:rPr>
              <w:fldChar w:fldCharType="end"/>
            </w:r>
          </w:hyperlink>
        </w:p>
        <w:p w14:paraId="428AE846" w14:textId="3C5DFD5E" w:rsidR="002C51B7" w:rsidRDefault="002C51B7">
          <w:pPr>
            <w:pStyle w:val="TOC2"/>
            <w:rPr>
              <w:rFonts w:eastAsiaTheme="minorEastAsia" w:cstheme="minorBidi"/>
              <w:b w:val="0"/>
              <w:bCs w:val="0"/>
              <w:smallCaps w:val="0"/>
              <w:sz w:val="24"/>
              <w:szCs w:val="24"/>
              <w14:ligatures w14:val="standardContextual"/>
            </w:rPr>
          </w:pPr>
          <w:hyperlink w:anchor="_Toc214722039" w:history="1">
            <w:r w:rsidRPr="009300E5">
              <w:rPr>
                <w:rStyle w:val="Hyperlink"/>
                <w:rFonts w:eastAsiaTheme="majorEastAsia"/>
              </w:rPr>
              <w:t>11.1 Research Summary: Opportunities Within Constraints</w:t>
            </w:r>
            <w:r>
              <w:rPr>
                <w:webHidden/>
              </w:rPr>
              <w:tab/>
            </w:r>
            <w:r>
              <w:rPr>
                <w:webHidden/>
              </w:rPr>
              <w:fldChar w:fldCharType="begin"/>
            </w:r>
            <w:r>
              <w:rPr>
                <w:webHidden/>
              </w:rPr>
              <w:instrText xml:space="preserve"> PAGEREF _Toc214722039 \h </w:instrText>
            </w:r>
            <w:r>
              <w:rPr>
                <w:webHidden/>
              </w:rPr>
            </w:r>
            <w:r>
              <w:rPr>
                <w:webHidden/>
              </w:rPr>
              <w:fldChar w:fldCharType="separate"/>
            </w:r>
            <w:r>
              <w:rPr>
                <w:webHidden/>
              </w:rPr>
              <w:t>177</w:t>
            </w:r>
            <w:r>
              <w:rPr>
                <w:webHidden/>
              </w:rPr>
              <w:fldChar w:fldCharType="end"/>
            </w:r>
          </w:hyperlink>
        </w:p>
        <w:p w14:paraId="65FD8A70" w14:textId="003DF142" w:rsidR="002C51B7" w:rsidRDefault="002C51B7">
          <w:pPr>
            <w:pStyle w:val="TOC3"/>
            <w:rPr>
              <w:rFonts w:eastAsiaTheme="minorEastAsia" w:cstheme="minorBidi"/>
              <w:i w:val="0"/>
              <w:iCs w:val="0"/>
              <w:noProof/>
              <w:sz w:val="24"/>
              <w:szCs w:val="24"/>
              <w14:ligatures w14:val="standardContextual"/>
            </w:rPr>
          </w:pPr>
          <w:hyperlink w:anchor="_Toc214722040" w:history="1">
            <w:r w:rsidRPr="009300E5">
              <w:rPr>
                <w:rStyle w:val="Hyperlink"/>
                <w:rFonts w:eastAsiaTheme="majorEastAsia"/>
                <w:noProof/>
              </w:rPr>
              <w:t>11.1.1 Overview of Theoretical Contributions</w:t>
            </w:r>
            <w:r>
              <w:rPr>
                <w:noProof/>
                <w:webHidden/>
              </w:rPr>
              <w:tab/>
            </w:r>
            <w:r>
              <w:rPr>
                <w:noProof/>
                <w:webHidden/>
              </w:rPr>
              <w:fldChar w:fldCharType="begin"/>
            </w:r>
            <w:r>
              <w:rPr>
                <w:noProof/>
                <w:webHidden/>
              </w:rPr>
              <w:instrText xml:space="preserve"> PAGEREF _Toc214722040 \h </w:instrText>
            </w:r>
            <w:r>
              <w:rPr>
                <w:noProof/>
                <w:webHidden/>
              </w:rPr>
            </w:r>
            <w:r>
              <w:rPr>
                <w:noProof/>
                <w:webHidden/>
              </w:rPr>
              <w:fldChar w:fldCharType="separate"/>
            </w:r>
            <w:r>
              <w:rPr>
                <w:noProof/>
                <w:webHidden/>
              </w:rPr>
              <w:t>177</w:t>
            </w:r>
            <w:r>
              <w:rPr>
                <w:noProof/>
                <w:webHidden/>
              </w:rPr>
              <w:fldChar w:fldCharType="end"/>
            </w:r>
          </w:hyperlink>
        </w:p>
        <w:p w14:paraId="4AB4CFB1" w14:textId="079CC432" w:rsidR="002C51B7" w:rsidRDefault="002C51B7">
          <w:pPr>
            <w:pStyle w:val="TOC2"/>
            <w:rPr>
              <w:rFonts w:eastAsiaTheme="minorEastAsia" w:cstheme="minorBidi"/>
              <w:b w:val="0"/>
              <w:bCs w:val="0"/>
              <w:smallCaps w:val="0"/>
              <w:sz w:val="24"/>
              <w:szCs w:val="24"/>
              <w14:ligatures w14:val="standardContextual"/>
            </w:rPr>
          </w:pPr>
          <w:hyperlink w:anchor="_Toc214722041" w:history="1">
            <w:r w:rsidRPr="009300E5">
              <w:rPr>
                <w:rStyle w:val="Hyperlink"/>
                <w:rFonts w:eastAsiaTheme="majorEastAsia"/>
              </w:rPr>
              <w:t>11.2 Theoretical Contributions</w:t>
            </w:r>
            <w:r>
              <w:rPr>
                <w:webHidden/>
              </w:rPr>
              <w:tab/>
            </w:r>
            <w:r>
              <w:rPr>
                <w:webHidden/>
              </w:rPr>
              <w:fldChar w:fldCharType="begin"/>
            </w:r>
            <w:r>
              <w:rPr>
                <w:webHidden/>
              </w:rPr>
              <w:instrText xml:space="preserve"> PAGEREF _Toc214722041 \h </w:instrText>
            </w:r>
            <w:r>
              <w:rPr>
                <w:webHidden/>
              </w:rPr>
            </w:r>
            <w:r>
              <w:rPr>
                <w:webHidden/>
              </w:rPr>
              <w:fldChar w:fldCharType="separate"/>
            </w:r>
            <w:r>
              <w:rPr>
                <w:webHidden/>
              </w:rPr>
              <w:t>178</w:t>
            </w:r>
            <w:r>
              <w:rPr>
                <w:webHidden/>
              </w:rPr>
              <w:fldChar w:fldCharType="end"/>
            </w:r>
          </w:hyperlink>
        </w:p>
        <w:p w14:paraId="15908D73" w14:textId="65963EB6" w:rsidR="002C51B7" w:rsidRDefault="002C51B7">
          <w:pPr>
            <w:pStyle w:val="TOC3"/>
            <w:rPr>
              <w:rFonts w:eastAsiaTheme="minorEastAsia" w:cstheme="minorBidi"/>
              <w:i w:val="0"/>
              <w:iCs w:val="0"/>
              <w:noProof/>
              <w:sz w:val="24"/>
              <w:szCs w:val="24"/>
              <w14:ligatures w14:val="standardContextual"/>
            </w:rPr>
          </w:pPr>
          <w:hyperlink w:anchor="_Toc214722042" w:history="1">
            <w:r w:rsidRPr="009300E5">
              <w:rPr>
                <w:rStyle w:val="Hyperlink"/>
                <w:rFonts w:eastAsiaTheme="majorEastAsia"/>
                <w:noProof/>
              </w:rPr>
              <w:t>11.2.1 From Disintermediation to Reintermediation: A Theoretical Revision</w:t>
            </w:r>
            <w:r>
              <w:rPr>
                <w:noProof/>
                <w:webHidden/>
              </w:rPr>
              <w:tab/>
            </w:r>
            <w:r>
              <w:rPr>
                <w:noProof/>
                <w:webHidden/>
              </w:rPr>
              <w:fldChar w:fldCharType="begin"/>
            </w:r>
            <w:r>
              <w:rPr>
                <w:noProof/>
                <w:webHidden/>
              </w:rPr>
              <w:instrText xml:space="preserve"> PAGEREF _Toc214722042 \h </w:instrText>
            </w:r>
            <w:r>
              <w:rPr>
                <w:noProof/>
                <w:webHidden/>
              </w:rPr>
            </w:r>
            <w:r>
              <w:rPr>
                <w:noProof/>
                <w:webHidden/>
              </w:rPr>
              <w:fldChar w:fldCharType="separate"/>
            </w:r>
            <w:r>
              <w:rPr>
                <w:noProof/>
                <w:webHidden/>
              </w:rPr>
              <w:t>178</w:t>
            </w:r>
            <w:r>
              <w:rPr>
                <w:noProof/>
                <w:webHidden/>
              </w:rPr>
              <w:fldChar w:fldCharType="end"/>
            </w:r>
          </w:hyperlink>
        </w:p>
        <w:p w14:paraId="658F2794" w14:textId="609F5CB5" w:rsidR="002C51B7" w:rsidRDefault="002C51B7">
          <w:pPr>
            <w:pStyle w:val="TOC3"/>
            <w:rPr>
              <w:rFonts w:eastAsiaTheme="minorEastAsia" w:cstheme="minorBidi"/>
              <w:i w:val="0"/>
              <w:iCs w:val="0"/>
              <w:noProof/>
              <w:sz w:val="24"/>
              <w:szCs w:val="24"/>
              <w14:ligatures w14:val="standardContextual"/>
            </w:rPr>
          </w:pPr>
          <w:hyperlink w:anchor="_Toc214722043" w:history="1">
            <w:r w:rsidRPr="009300E5">
              <w:rPr>
                <w:rStyle w:val="Hyperlink"/>
                <w:rFonts w:eastAsiaTheme="majorEastAsia"/>
                <w:noProof/>
              </w:rPr>
              <w:t>11.2.2 Capital Formation in Algorithmic Markets</w:t>
            </w:r>
            <w:r>
              <w:rPr>
                <w:noProof/>
                <w:webHidden/>
              </w:rPr>
              <w:tab/>
            </w:r>
            <w:r>
              <w:rPr>
                <w:noProof/>
                <w:webHidden/>
              </w:rPr>
              <w:fldChar w:fldCharType="begin"/>
            </w:r>
            <w:r>
              <w:rPr>
                <w:noProof/>
                <w:webHidden/>
              </w:rPr>
              <w:instrText xml:space="preserve"> PAGEREF _Toc214722043 \h </w:instrText>
            </w:r>
            <w:r>
              <w:rPr>
                <w:noProof/>
                <w:webHidden/>
              </w:rPr>
            </w:r>
            <w:r>
              <w:rPr>
                <w:noProof/>
                <w:webHidden/>
              </w:rPr>
              <w:fldChar w:fldCharType="separate"/>
            </w:r>
            <w:r>
              <w:rPr>
                <w:noProof/>
                <w:webHidden/>
              </w:rPr>
              <w:t>179</w:t>
            </w:r>
            <w:r>
              <w:rPr>
                <w:noProof/>
                <w:webHidden/>
              </w:rPr>
              <w:fldChar w:fldCharType="end"/>
            </w:r>
          </w:hyperlink>
        </w:p>
        <w:p w14:paraId="3FEE3873" w14:textId="0F3D0ECF" w:rsidR="002C51B7" w:rsidRDefault="002C51B7">
          <w:pPr>
            <w:pStyle w:val="TOC3"/>
            <w:rPr>
              <w:rFonts w:eastAsiaTheme="minorEastAsia" w:cstheme="minorBidi"/>
              <w:i w:val="0"/>
              <w:iCs w:val="0"/>
              <w:noProof/>
              <w:sz w:val="24"/>
              <w:szCs w:val="24"/>
              <w14:ligatures w14:val="standardContextual"/>
            </w:rPr>
          </w:pPr>
          <w:hyperlink w:anchor="_Toc214722044" w:history="1">
            <w:r w:rsidRPr="009300E5">
              <w:rPr>
                <w:rStyle w:val="Hyperlink"/>
                <w:rFonts w:eastAsiaTheme="majorEastAsia"/>
                <w:noProof/>
              </w:rPr>
              <w:t>11.2.3 Anti-Inductive Market Dynamics</w:t>
            </w:r>
            <w:r>
              <w:rPr>
                <w:noProof/>
                <w:webHidden/>
              </w:rPr>
              <w:tab/>
            </w:r>
            <w:r>
              <w:rPr>
                <w:noProof/>
                <w:webHidden/>
              </w:rPr>
              <w:fldChar w:fldCharType="begin"/>
            </w:r>
            <w:r>
              <w:rPr>
                <w:noProof/>
                <w:webHidden/>
              </w:rPr>
              <w:instrText xml:space="preserve"> PAGEREF _Toc214722044 \h </w:instrText>
            </w:r>
            <w:r>
              <w:rPr>
                <w:noProof/>
                <w:webHidden/>
              </w:rPr>
            </w:r>
            <w:r>
              <w:rPr>
                <w:noProof/>
                <w:webHidden/>
              </w:rPr>
              <w:fldChar w:fldCharType="separate"/>
            </w:r>
            <w:r>
              <w:rPr>
                <w:noProof/>
                <w:webHidden/>
              </w:rPr>
              <w:t>179</w:t>
            </w:r>
            <w:r>
              <w:rPr>
                <w:noProof/>
                <w:webHidden/>
              </w:rPr>
              <w:fldChar w:fldCharType="end"/>
            </w:r>
          </w:hyperlink>
        </w:p>
        <w:p w14:paraId="30F86BE5" w14:textId="74060FDC" w:rsidR="002C51B7" w:rsidRDefault="002C51B7">
          <w:pPr>
            <w:pStyle w:val="TOC3"/>
            <w:rPr>
              <w:rFonts w:eastAsiaTheme="minorEastAsia" w:cstheme="minorBidi"/>
              <w:i w:val="0"/>
              <w:iCs w:val="0"/>
              <w:noProof/>
              <w:sz w:val="24"/>
              <w:szCs w:val="24"/>
              <w14:ligatures w14:val="standardContextual"/>
            </w:rPr>
          </w:pPr>
          <w:hyperlink w:anchor="_Toc214722045" w:history="1">
            <w:r w:rsidRPr="009300E5">
              <w:rPr>
                <w:rStyle w:val="Hyperlink"/>
                <w:rFonts w:eastAsiaTheme="majorEastAsia"/>
                <w:noProof/>
              </w:rPr>
              <w:t>11.2.4 The Accessibility Gradient: A New Framework</w:t>
            </w:r>
            <w:r>
              <w:rPr>
                <w:noProof/>
                <w:webHidden/>
              </w:rPr>
              <w:tab/>
            </w:r>
            <w:r>
              <w:rPr>
                <w:noProof/>
                <w:webHidden/>
              </w:rPr>
              <w:fldChar w:fldCharType="begin"/>
            </w:r>
            <w:r>
              <w:rPr>
                <w:noProof/>
                <w:webHidden/>
              </w:rPr>
              <w:instrText xml:space="preserve"> PAGEREF _Toc214722045 \h </w:instrText>
            </w:r>
            <w:r>
              <w:rPr>
                <w:noProof/>
                <w:webHidden/>
              </w:rPr>
            </w:r>
            <w:r>
              <w:rPr>
                <w:noProof/>
                <w:webHidden/>
              </w:rPr>
              <w:fldChar w:fldCharType="separate"/>
            </w:r>
            <w:r>
              <w:rPr>
                <w:noProof/>
                <w:webHidden/>
              </w:rPr>
              <w:t>179</w:t>
            </w:r>
            <w:r>
              <w:rPr>
                <w:noProof/>
                <w:webHidden/>
              </w:rPr>
              <w:fldChar w:fldCharType="end"/>
            </w:r>
          </w:hyperlink>
        </w:p>
        <w:p w14:paraId="454FFB0B" w14:textId="111BB45B" w:rsidR="002C51B7" w:rsidRDefault="002C51B7">
          <w:pPr>
            <w:pStyle w:val="TOC3"/>
            <w:rPr>
              <w:rFonts w:eastAsiaTheme="minorEastAsia" w:cstheme="minorBidi"/>
              <w:i w:val="0"/>
              <w:iCs w:val="0"/>
              <w:noProof/>
              <w:sz w:val="24"/>
              <w:szCs w:val="24"/>
              <w14:ligatures w14:val="standardContextual"/>
            </w:rPr>
          </w:pPr>
          <w:hyperlink w:anchor="_Toc214722046" w:history="1">
            <w:r w:rsidRPr="009300E5">
              <w:rPr>
                <w:rStyle w:val="Hyperlink"/>
                <w:rFonts w:eastAsiaTheme="majorEastAsia"/>
                <w:noProof/>
              </w:rPr>
              <w:t>Table 11.A Financial Accessibility Comparison</w:t>
            </w:r>
            <w:r>
              <w:rPr>
                <w:noProof/>
                <w:webHidden/>
              </w:rPr>
              <w:tab/>
            </w:r>
            <w:r>
              <w:rPr>
                <w:noProof/>
                <w:webHidden/>
              </w:rPr>
              <w:fldChar w:fldCharType="begin"/>
            </w:r>
            <w:r>
              <w:rPr>
                <w:noProof/>
                <w:webHidden/>
              </w:rPr>
              <w:instrText xml:space="preserve"> PAGEREF _Toc214722046 \h </w:instrText>
            </w:r>
            <w:r>
              <w:rPr>
                <w:noProof/>
                <w:webHidden/>
              </w:rPr>
            </w:r>
            <w:r>
              <w:rPr>
                <w:noProof/>
                <w:webHidden/>
              </w:rPr>
              <w:fldChar w:fldCharType="separate"/>
            </w:r>
            <w:r>
              <w:rPr>
                <w:noProof/>
                <w:webHidden/>
              </w:rPr>
              <w:t>182</w:t>
            </w:r>
            <w:r>
              <w:rPr>
                <w:noProof/>
                <w:webHidden/>
              </w:rPr>
              <w:fldChar w:fldCharType="end"/>
            </w:r>
          </w:hyperlink>
        </w:p>
        <w:p w14:paraId="285EC072" w14:textId="0E0929B1" w:rsidR="002C51B7" w:rsidRDefault="002C51B7">
          <w:pPr>
            <w:pStyle w:val="TOC3"/>
            <w:rPr>
              <w:rFonts w:eastAsiaTheme="minorEastAsia" w:cstheme="minorBidi"/>
              <w:i w:val="0"/>
              <w:iCs w:val="0"/>
              <w:noProof/>
              <w:sz w:val="24"/>
              <w:szCs w:val="24"/>
              <w14:ligatures w14:val="standardContextual"/>
            </w:rPr>
          </w:pPr>
          <w:hyperlink w:anchor="_Toc214722047" w:history="1">
            <w:r w:rsidRPr="009300E5">
              <w:rPr>
                <w:rStyle w:val="Hyperlink"/>
                <w:rFonts w:eastAsiaTheme="majorEastAsia"/>
                <w:noProof/>
              </w:rPr>
              <w:t>11.2.5 Conditional Democratization: Beyond Binary Narratives</w:t>
            </w:r>
            <w:r>
              <w:rPr>
                <w:noProof/>
                <w:webHidden/>
              </w:rPr>
              <w:tab/>
            </w:r>
            <w:r>
              <w:rPr>
                <w:noProof/>
                <w:webHidden/>
              </w:rPr>
              <w:fldChar w:fldCharType="begin"/>
            </w:r>
            <w:r>
              <w:rPr>
                <w:noProof/>
                <w:webHidden/>
              </w:rPr>
              <w:instrText xml:space="preserve"> PAGEREF _Toc214722047 \h </w:instrText>
            </w:r>
            <w:r>
              <w:rPr>
                <w:noProof/>
                <w:webHidden/>
              </w:rPr>
            </w:r>
            <w:r>
              <w:rPr>
                <w:noProof/>
                <w:webHidden/>
              </w:rPr>
              <w:fldChar w:fldCharType="separate"/>
            </w:r>
            <w:r>
              <w:rPr>
                <w:noProof/>
                <w:webHidden/>
              </w:rPr>
              <w:t>184</w:t>
            </w:r>
            <w:r>
              <w:rPr>
                <w:noProof/>
                <w:webHidden/>
              </w:rPr>
              <w:fldChar w:fldCharType="end"/>
            </w:r>
          </w:hyperlink>
        </w:p>
        <w:p w14:paraId="56099B05" w14:textId="2A118D12" w:rsidR="002C51B7" w:rsidRDefault="002C51B7">
          <w:pPr>
            <w:pStyle w:val="TOC3"/>
            <w:rPr>
              <w:rFonts w:eastAsiaTheme="minorEastAsia" w:cstheme="minorBidi"/>
              <w:i w:val="0"/>
              <w:iCs w:val="0"/>
              <w:noProof/>
              <w:sz w:val="24"/>
              <w:szCs w:val="24"/>
              <w14:ligatures w14:val="standardContextual"/>
            </w:rPr>
          </w:pPr>
          <w:hyperlink w:anchor="_Toc214722048" w:history="1">
            <w:r w:rsidRPr="009300E5">
              <w:rPr>
                <w:rStyle w:val="Hyperlink"/>
                <w:rFonts w:eastAsiaTheme="majorEastAsia"/>
                <w:noProof/>
              </w:rPr>
              <w:t>Table 11.B Comparative Analysis</w:t>
            </w:r>
            <w:r>
              <w:rPr>
                <w:noProof/>
                <w:webHidden/>
              </w:rPr>
              <w:tab/>
            </w:r>
            <w:r>
              <w:rPr>
                <w:noProof/>
                <w:webHidden/>
              </w:rPr>
              <w:fldChar w:fldCharType="begin"/>
            </w:r>
            <w:r>
              <w:rPr>
                <w:noProof/>
                <w:webHidden/>
              </w:rPr>
              <w:instrText xml:space="preserve"> PAGEREF _Toc214722048 \h </w:instrText>
            </w:r>
            <w:r>
              <w:rPr>
                <w:noProof/>
                <w:webHidden/>
              </w:rPr>
            </w:r>
            <w:r>
              <w:rPr>
                <w:noProof/>
                <w:webHidden/>
              </w:rPr>
              <w:fldChar w:fldCharType="separate"/>
            </w:r>
            <w:r>
              <w:rPr>
                <w:noProof/>
                <w:webHidden/>
              </w:rPr>
              <w:t>186</w:t>
            </w:r>
            <w:r>
              <w:rPr>
                <w:noProof/>
                <w:webHidden/>
              </w:rPr>
              <w:fldChar w:fldCharType="end"/>
            </w:r>
          </w:hyperlink>
        </w:p>
        <w:p w14:paraId="498D0534" w14:textId="6BEBC89E" w:rsidR="002C51B7" w:rsidRDefault="002C51B7">
          <w:pPr>
            <w:pStyle w:val="TOC2"/>
            <w:rPr>
              <w:rFonts w:eastAsiaTheme="minorEastAsia" w:cstheme="minorBidi"/>
              <w:b w:val="0"/>
              <w:bCs w:val="0"/>
              <w:smallCaps w:val="0"/>
              <w:sz w:val="24"/>
              <w:szCs w:val="24"/>
              <w14:ligatures w14:val="standardContextual"/>
            </w:rPr>
          </w:pPr>
          <w:hyperlink w:anchor="_Toc214722049" w:history="1">
            <w:r w:rsidRPr="009300E5">
              <w:rPr>
                <w:rStyle w:val="Hyperlink"/>
                <w:rFonts w:eastAsiaTheme="majorEastAsia"/>
              </w:rPr>
              <w:t>11.3 Practical Implications for Limited-Capital Investors</w:t>
            </w:r>
            <w:r>
              <w:rPr>
                <w:webHidden/>
              </w:rPr>
              <w:tab/>
            </w:r>
            <w:r>
              <w:rPr>
                <w:webHidden/>
              </w:rPr>
              <w:fldChar w:fldCharType="begin"/>
            </w:r>
            <w:r>
              <w:rPr>
                <w:webHidden/>
              </w:rPr>
              <w:instrText xml:space="preserve"> PAGEREF _Toc214722049 \h </w:instrText>
            </w:r>
            <w:r>
              <w:rPr>
                <w:webHidden/>
              </w:rPr>
            </w:r>
            <w:r>
              <w:rPr>
                <w:webHidden/>
              </w:rPr>
              <w:fldChar w:fldCharType="separate"/>
            </w:r>
            <w:r>
              <w:rPr>
                <w:webHidden/>
              </w:rPr>
              <w:t>188</w:t>
            </w:r>
            <w:r>
              <w:rPr>
                <w:webHidden/>
              </w:rPr>
              <w:fldChar w:fldCharType="end"/>
            </w:r>
          </w:hyperlink>
        </w:p>
        <w:p w14:paraId="420D756E" w14:textId="6EFB518E" w:rsidR="002C51B7" w:rsidRDefault="002C51B7">
          <w:pPr>
            <w:pStyle w:val="TOC3"/>
            <w:rPr>
              <w:rFonts w:eastAsiaTheme="minorEastAsia" w:cstheme="minorBidi"/>
              <w:i w:val="0"/>
              <w:iCs w:val="0"/>
              <w:noProof/>
              <w:sz w:val="24"/>
              <w:szCs w:val="24"/>
              <w14:ligatures w14:val="standardContextual"/>
            </w:rPr>
          </w:pPr>
          <w:hyperlink w:anchor="_Toc214722050" w:history="1">
            <w:r w:rsidRPr="009300E5">
              <w:rPr>
                <w:rStyle w:val="Hyperlink"/>
                <w:rFonts w:eastAsiaTheme="majorEastAsia"/>
                <w:noProof/>
              </w:rPr>
              <w:t>11.3.1 Viable Strategies by Capital Level</w:t>
            </w:r>
            <w:r>
              <w:rPr>
                <w:noProof/>
                <w:webHidden/>
              </w:rPr>
              <w:tab/>
            </w:r>
            <w:r>
              <w:rPr>
                <w:noProof/>
                <w:webHidden/>
              </w:rPr>
              <w:fldChar w:fldCharType="begin"/>
            </w:r>
            <w:r>
              <w:rPr>
                <w:noProof/>
                <w:webHidden/>
              </w:rPr>
              <w:instrText xml:space="preserve"> PAGEREF _Toc214722050 \h </w:instrText>
            </w:r>
            <w:r>
              <w:rPr>
                <w:noProof/>
                <w:webHidden/>
              </w:rPr>
            </w:r>
            <w:r>
              <w:rPr>
                <w:noProof/>
                <w:webHidden/>
              </w:rPr>
              <w:fldChar w:fldCharType="separate"/>
            </w:r>
            <w:r>
              <w:rPr>
                <w:noProof/>
                <w:webHidden/>
              </w:rPr>
              <w:t>188</w:t>
            </w:r>
            <w:r>
              <w:rPr>
                <w:noProof/>
                <w:webHidden/>
              </w:rPr>
              <w:fldChar w:fldCharType="end"/>
            </w:r>
          </w:hyperlink>
        </w:p>
        <w:p w14:paraId="195ED920" w14:textId="25A55078" w:rsidR="002C51B7" w:rsidRDefault="002C51B7">
          <w:pPr>
            <w:pStyle w:val="TOC3"/>
            <w:rPr>
              <w:rFonts w:eastAsiaTheme="minorEastAsia" w:cstheme="minorBidi"/>
              <w:i w:val="0"/>
              <w:iCs w:val="0"/>
              <w:noProof/>
              <w:sz w:val="24"/>
              <w:szCs w:val="24"/>
              <w14:ligatures w14:val="standardContextual"/>
            </w:rPr>
          </w:pPr>
          <w:hyperlink w:anchor="_Toc214722051" w:history="1">
            <w:r w:rsidRPr="009300E5">
              <w:rPr>
                <w:rStyle w:val="Hyperlink"/>
                <w:rFonts w:eastAsiaTheme="majorEastAsia"/>
                <w:noProof/>
              </w:rPr>
              <w:t>11.3.2 Critical Success Factors</w:t>
            </w:r>
            <w:r>
              <w:rPr>
                <w:noProof/>
                <w:webHidden/>
              </w:rPr>
              <w:tab/>
            </w:r>
            <w:r>
              <w:rPr>
                <w:noProof/>
                <w:webHidden/>
              </w:rPr>
              <w:fldChar w:fldCharType="begin"/>
            </w:r>
            <w:r>
              <w:rPr>
                <w:noProof/>
                <w:webHidden/>
              </w:rPr>
              <w:instrText xml:space="preserve"> PAGEREF _Toc214722051 \h </w:instrText>
            </w:r>
            <w:r>
              <w:rPr>
                <w:noProof/>
                <w:webHidden/>
              </w:rPr>
            </w:r>
            <w:r>
              <w:rPr>
                <w:noProof/>
                <w:webHidden/>
              </w:rPr>
              <w:fldChar w:fldCharType="separate"/>
            </w:r>
            <w:r>
              <w:rPr>
                <w:noProof/>
                <w:webHidden/>
              </w:rPr>
              <w:t>188</w:t>
            </w:r>
            <w:r>
              <w:rPr>
                <w:noProof/>
                <w:webHidden/>
              </w:rPr>
              <w:fldChar w:fldCharType="end"/>
            </w:r>
          </w:hyperlink>
        </w:p>
        <w:p w14:paraId="66BC6422" w14:textId="50132FCD" w:rsidR="002C51B7" w:rsidRDefault="002C51B7">
          <w:pPr>
            <w:pStyle w:val="TOC2"/>
            <w:rPr>
              <w:rFonts w:eastAsiaTheme="minorEastAsia" w:cstheme="minorBidi"/>
              <w:b w:val="0"/>
              <w:bCs w:val="0"/>
              <w:smallCaps w:val="0"/>
              <w:sz w:val="24"/>
              <w:szCs w:val="24"/>
              <w14:ligatures w14:val="standardContextual"/>
            </w:rPr>
          </w:pPr>
          <w:hyperlink w:anchor="_Toc214722052" w:history="1">
            <w:r w:rsidRPr="009300E5">
              <w:rPr>
                <w:rStyle w:val="Hyperlink"/>
                <w:rFonts w:eastAsiaTheme="majorEastAsia"/>
              </w:rPr>
              <w:t>11.4 Limitations and Future Research</w:t>
            </w:r>
            <w:r>
              <w:rPr>
                <w:webHidden/>
              </w:rPr>
              <w:tab/>
            </w:r>
            <w:r>
              <w:rPr>
                <w:webHidden/>
              </w:rPr>
              <w:fldChar w:fldCharType="begin"/>
            </w:r>
            <w:r>
              <w:rPr>
                <w:webHidden/>
              </w:rPr>
              <w:instrText xml:space="preserve"> PAGEREF _Toc214722052 \h </w:instrText>
            </w:r>
            <w:r>
              <w:rPr>
                <w:webHidden/>
              </w:rPr>
            </w:r>
            <w:r>
              <w:rPr>
                <w:webHidden/>
              </w:rPr>
              <w:fldChar w:fldCharType="separate"/>
            </w:r>
            <w:r>
              <w:rPr>
                <w:webHidden/>
              </w:rPr>
              <w:t>188</w:t>
            </w:r>
            <w:r>
              <w:rPr>
                <w:webHidden/>
              </w:rPr>
              <w:fldChar w:fldCharType="end"/>
            </w:r>
          </w:hyperlink>
        </w:p>
        <w:p w14:paraId="645A5F71" w14:textId="0E7DBBA8" w:rsidR="002C51B7" w:rsidRDefault="002C51B7">
          <w:pPr>
            <w:pStyle w:val="TOC3"/>
            <w:rPr>
              <w:rFonts w:eastAsiaTheme="minorEastAsia" w:cstheme="minorBidi"/>
              <w:i w:val="0"/>
              <w:iCs w:val="0"/>
              <w:noProof/>
              <w:sz w:val="24"/>
              <w:szCs w:val="24"/>
              <w14:ligatures w14:val="standardContextual"/>
            </w:rPr>
          </w:pPr>
          <w:hyperlink w:anchor="_Toc214722053" w:history="1">
            <w:r w:rsidRPr="009300E5">
              <w:rPr>
                <w:rStyle w:val="Hyperlink"/>
                <w:rFonts w:eastAsiaTheme="majorEastAsia"/>
                <w:noProof/>
              </w:rPr>
              <w:t>Table 11.C: Critical Research Limitations and Boundary Conditions</w:t>
            </w:r>
            <w:r>
              <w:rPr>
                <w:noProof/>
                <w:webHidden/>
              </w:rPr>
              <w:tab/>
            </w:r>
            <w:r>
              <w:rPr>
                <w:noProof/>
                <w:webHidden/>
              </w:rPr>
              <w:fldChar w:fldCharType="begin"/>
            </w:r>
            <w:r>
              <w:rPr>
                <w:noProof/>
                <w:webHidden/>
              </w:rPr>
              <w:instrText xml:space="preserve"> PAGEREF _Toc214722053 \h </w:instrText>
            </w:r>
            <w:r>
              <w:rPr>
                <w:noProof/>
                <w:webHidden/>
              </w:rPr>
            </w:r>
            <w:r>
              <w:rPr>
                <w:noProof/>
                <w:webHidden/>
              </w:rPr>
              <w:fldChar w:fldCharType="separate"/>
            </w:r>
            <w:r>
              <w:rPr>
                <w:noProof/>
                <w:webHidden/>
              </w:rPr>
              <w:t>189</w:t>
            </w:r>
            <w:r>
              <w:rPr>
                <w:noProof/>
                <w:webHidden/>
              </w:rPr>
              <w:fldChar w:fldCharType="end"/>
            </w:r>
          </w:hyperlink>
        </w:p>
        <w:p w14:paraId="7A0C4BE3" w14:textId="50035EBC" w:rsidR="002C51B7" w:rsidRDefault="002C51B7">
          <w:pPr>
            <w:pStyle w:val="TOC2"/>
            <w:rPr>
              <w:rFonts w:eastAsiaTheme="minorEastAsia" w:cstheme="minorBidi"/>
              <w:b w:val="0"/>
              <w:bCs w:val="0"/>
              <w:smallCaps w:val="0"/>
              <w:sz w:val="24"/>
              <w:szCs w:val="24"/>
              <w14:ligatures w14:val="standardContextual"/>
            </w:rPr>
          </w:pPr>
          <w:hyperlink w:anchor="_Toc214722054" w:history="1">
            <w:r w:rsidRPr="009300E5">
              <w:rPr>
                <w:rStyle w:val="Hyperlink"/>
                <w:rFonts w:eastAsiaTheme="majorEastAsia"/>
              </w:rPr>
              <w:t>11.5 Final Conclusions: Evolution, Not Revolution</w:t>
            </w:r>
            <w:r>
              <w:rPr>
                <w:webHidden/>
              </w:rPr>
              <w:tab/>
            </w:r>
            <w:r>
              <w:rPr>
                <w:webHidden/>
              </w:rPr>
              <w:fldChar w:fldCharType="begin"/>
            </w:r>
            <w:r>
              <w:rPr>
                <w:webHidden/>
              </w:rPr>
              <w:instrText xml:space="preserve"> PAGEREF _Toc214722054 \h </w:instrText>
            </w:r>
            <w:r>
              <w:rPr>
                <w:webHidden/>
              </w:rPr>
            </w:r>
            <w:r>
              <w:rPr>
                <w:webHidden/>
              </w:rPr>
              <w:fldChar w:fldCharType="separate"/>
            </w:r>
            <w:r>
              <w:rPr>
                <w:webHidden/>
              </w:rPr>
              <w:t>191</w:t>
            </w:r>
            <w:r>
              <w:rPr>
                <w:webHidden/>
              </w:rPr>
              <w:fldChar w:fldCharType="end"/>
            </w:r>
          </w:hyperlink>
        </w:p>
        <w:p w14:paraId="44C83B80" w14:textId="0107AAF8" w:rsidR="002C51B7" w:rsidRDefault="002C51B7">
          <w:pPr>
            <w:pStyle w:val="TOC2"/>
            <w:rPr>
              <w:rFonts w:eastAsiaTheme="minorEastAsia" w:cstheme="minorBidi"/>
              <w:b w:val="0"/>
              <w:bCs w:val="0"/>
              <w:smallCaps w:val="0"/>
              <w:sz w:val="24"/>
              <w:szCs w:val="24"/>
              <w14:ligatures w14:val="standardContextual"/>
            </w:rPr>
          </w:pPr>
          <w:hyperlink w:anchor="_Toc214722055" w:history="1">
            <w:r w:rsidRPr="009300E5">
              <w:rPr>
                <w:rStyle w:val="Hyperlink"/>
                <w:rFonts w:eastAsiaTheme="majorEastAsia"/>
              </w:rPr>
              <w:t>11.6 Closing Thoughts</w:t>
            </w:r>
            <w:r>
              <w:rPr>
                <w:webHidden/>
              </w:rPr>
              <w:tab/>
            </w:r>
            <w:r>
              <w:rPr>
                <w:webHidden/>
              </w:rPr>
              <w:fldChar w:fldCharType="begin"/>
            </w:r>
            <w:r>
              <w:rPr>
                <w:webHidden/>
              </w:rPr>
              <w:instrText xml:space="preserve"> PAGEREF _Toc214722055 \h </w:instrText>
            </w:r>
            <w:r>
              <w:rPr>
                <w:webHidden/>
              </w:rPr>
            </w:r>
            <w:r>
              <w:rPr>
                <w:webHidden/>
              </w:rPr>
              <w:fldChar w:fldCharType="separate"/>
            </w:r>
            <w:r>
              <w:rPr>
                <w:webHidden/>
              </w:rPr>
              <w:t>191</w:t>
            </w:r>
            <w:r>
              <w:rPr>
                <w:webHidden/>
              </w:rPr>
              <w:fldChar w:fldCharType="end"/>
            </w:r>
          </w:hyperlink>
        </w:p>
        <w:p w14:paraId="509F76E4" w14:textId="2F77E284" w:rsidR="002C51B7" w:rsidRDefault="002C51B7">
          <w:pPr>
            <w:pStyle w:val="TOC2"/>
            <w:rPr>
              <w:rFonts w:eastAsiaTheme="minorEastAsia" w:cstheme="minorBidi"/>
              <w:b w:val="0"/>
              <w:bCs w:val="0"/>
              <w:smallCaps w:val="0"/>
              <w:sz w:val="24"/>
              <w:szCs w:val="24"/>
              <w14:ligatures w14:val="standardContextual"/>
            </w:rPr>
          </w:pPr>
          <w:hyperlink w:anchor="_Toc214722056" w:history="1">
            <w:r w:rsidRPr="009300E5">
              <w:rPr>
                <w:rStyle w:val="Hyperlink"/>
                <w:rFonts w:eastAsiaTheme="majorEastAsia"/>
              </w:rPr>
              <w:t>11.7 Contributions to Theory and Practice</w:t>
            </w:r>
            <w:r>
              <w:rPr>
                <w:webHidden/>
              </w:rPr>
              <w:tab/>
            </w:r>
            <w:r>
              <w:rPr>
                <w:webHidden/>
              </w:rPr>
              <w:fldChar w:fldCharType="begin"/>
            </w:r>
            <w:r>
              <w:rPr>
                <w:webHidden/>
              </w:rPr>
              <w:instrText xml:space="preserve"> PAGEREF _Toc214722056 \h </w:instrText>
            </w:r>
            <w:r>
              <w:rPr>
                <w:webHidden/>
              </w:rPr>
            </w:r>
            <w:r>
              <w:rPr>
                <w:webHidden/>
              </w:rPr>
              <w:fldChar w:fldCharType="separate"/>
            </w:r>
            <w:r>
              <w:rPr>
                <w:webHidden/>
              </w:rPr>
              <w:t>191</w:t>
            </w:r>
            <w:r>
              <w:rPr>
                <w:webHidden/>
              </w:rPr>
              <w:fldChar w:fldCharType="end"/>
            </w:r>
          </w:hyperlink>
        </w:p>
        <w:p w14:paraId="10A0D70E" w14:textId="3274A187" w:rsidR="002C51B7" w:rsidRDefault="002C51B7">
          <w:pPr>
            <w:pStyle w:val="TOC3"/>
            <w:rPr>
              <w:rFonts w:eastAsiaTheme="minorEastAsia" w:cstheme="minorBidi"/>
              <w:i w:val="0"/>
              <w:iCs w:val="0"/>
              <w:noProof/>
              <w:sz w:val="24"/>
              <w:szCs w:val="24"/>
              <w14:ligatures w14:val="standardContextual"/>
            </w:rPr>
          </w:pPr>
          <w:hyperlink w:anchor="_Toc214722057" w:history="1">
            <w:r w:rsidRPr="009300E5">
              <w:rPr>
                <w:rStyle w:val="Hyperlink"/>
                <w:rFonts w:eastAsiaTheme="majorEastAsia"/>
                <w:noProof/>
              </w:rPr>
              <w:t>11.7.1 Theoretical Framework Integration: Connecting Contributions</w:t>
            </w:r>
            <w:r>
              <w:rPr>
                <w:noProof/>
                <w:webHidden/>
              </w:rPr>
              <w:tab/>
            </w:r>
            <w:r>
              <w:rPr>
                <w:noProof/>
                <w:webHidden/>
              </w:rPr>
              <w:fldChar w:fldCharType="begin"/>
            </w:r>
            <w:r>
              <w:rPr>
                <w:noProof/>
                <w:webHidden/>
              </w:rPr>
              <w:instrText xml:space="preserve"> PAGEREF _Toc214722057 \h </w:instrText>
            </w:r>
            <w:r>
              <w:rPr>
                <w:noProof/>
                <w:webHidden/>
              </w:rPr>
            </w:r>
            <w:r>
              <w:rPr>
                <w:noProof/>
                <w:webHidden/>
              </w:rPr>
              <w:fldChar w:fldCharType="separate"/>
            </w:r>
            <w:r>
              <w:rPr>
                <w:noProof/>
                <w:webHidden/>
              </w:rPr>
              <w:t>192</w:t>
            </w:r>
            <w:r>
              <w:rPr>
                <w:noProof/>
                <w:webHidden/>
              </w:rPr>
              <w:fldChar w:fldCharType="end"/>
            </w:r>
          </w:hyperlink>
        </w:p>
        <w:p w14:paraId="0566FFD8" w14:textId="350F1E8F" w:rsidR="002C51B7" w:rsidRDefault="002C51B7">
          <w:pPr>
            <w:pStyle w:val="TOC3"/>
            <w:rPr>
              <w:rFonts w:eastAsiaTheme="minorEastAsia" w:cstheme="minorBidi"/>
              <w:i w:val="0"/>
              <w:iCs w:val="0"/>
              <w:noProof/>
              <w:sz w:val="24"/>
              <w:szCs w:val="24"/>
              <w14:ligatures w14:val="standardContextual"/>
            </w:rPr>
          </w:pPr>
          <w:hyperlink w:anchor="_Toc214722058" w:history="1">
            <w:r w:rsidRPr="009300E5">
              <w:rPr>
                <w:rStyle w:val="Hyperlink"/>
                <w:rFonts w:eastAsiaTheme="majorEastAsia"/>
                <w:noProof/>
              </w:rPr>
              <w:t>Table 11.D: Theoretical Contributions and Empirical Grounding</w:t>
            </w:r>
            <w:r>
              <w:rPr>
                <w:noProof/>
                <w:webHidden/>
              </w:rPr>
              <w:tab/>
            </w:r>
            <w:r>
              <w:rPr>
                <w:noProof/>
                <w:webHidden/>
              </w:rPr>
              <w:fldChar w:fldCharType="begin"/>
            </w:r>
            <w:r>
              <w:rPr>
                <w:noProof/>
                <w:webHidden/>
              </w:rPr>
              <w:instrText xml:space="preserve"> PAGEREF _Toc214722058 \h </w:instrText>
            </w:r>
            <w:r>
              <w:rPr>
                <w:noProof/>
                <w:webHidden/>
              </w:rPr>
            </w:r>
            <w:r>
              <w:rPr>
                <w:noProof/>
                <w:webHidden/>
              </w:rPr>
              <w:fldChar w:fldCharType="separate"/>
            </w:r>
            <w:r>
              <w:rPr>
                <w:noProof/>
                <w:webHidden/>
              </w:rPr>
              <w:t>192</w:t>
            </w:r>
            <w:r>
              <w:rPr>
                <w:noProof/>
                <w:webHidden/>
              </w:rPr>
              <w:fldChar w:fldCharType="end"/>
            </w:r>
          </w:hyperlink>
        </w:p>
        <w:p w14:paraId="5B71A715" w14:textId="3CEC0112" w:rsidR="002C51B7" w:rsidRDefault="002C51B7">
          <w:pPr>
            <w:pStyle w:val="TOC3"/>
            <w:rPr>
              <w:rFonts w:eastAsiaTheme="minorEastAsia" w:cstheme="minorBidi"/>
              <w:i w:val="0"/>
              <w:iCs w:val="0"/>
              <w:noProof/>
              <w:sz w:val="24"/>
              <w:szCs w:val="24"/>
              <w14:ligatures w14:val="standardContextual"/>
            </w:rPr>
          </w:pPr>
          <w:hyperlink w:anchor="_Toc214722059" w:history="1">
            <w:r w:rsidRPr="009300E5">
              <w:rPr>
                <w:rStyle w:val="Hyperlink"/>
                <w:rFonts w:eastAsiaTheme="majorEastAsia"/>
                <w:noProof/>
              </w:rPr>
              <w:t>Table 11.E: Empirical Finding Overview and Validation</w:t>
            </w:r>
            <w:r>
              <w:rPr>
                <w:noProof/>
                <w:webHidden/>
              </w:rPr>
              <w:tab/>
            </w:r>
            <w:r>
              <w:rPr>
                <w:noProof/>
                <w:webHidden/>
              </w:rPr>
              <w:fldChar w:fldCharType="begin"/>
            </w:r>
            <w:r>
              <w:rPr>
                <w:noProof/>
                <w:webHidden/>
              </w:rPr>
              <w:instrText xml:space="preserve"> PAGEREF _Toc214722059 \h </w:instrText>
            </w:r>
            <w:r>
              <w:rPr>
                <w:noProof/>
                <w:webHidden/>
              </w:rPr>
            </w:r>
            <w:r>
              <w:rPr>
                <w:noProof/>
                <w:webHidden/>
              </w:rPr>
              <w:fldChar w:fldCharType="separate"/>
            </w:r>
            <w:r>
              <w:rPr>
                <w:noProof/>
                <w:webHidden/>
              </w:rPr>
              <w:t>193</w:t>
            </w:r>
            <w:r>
              <w:rPr>
                <w:noProof/>
                <w:webHidden/>
              </w:rPr>
              <w:fldChar w:fldCharType="end"/>
            </w:r>
          </w:hyperlink>
        </w:p>
        <w:p w14:paraId="3223B183" w14:textId="0DDB33B3" w:rsidR="002C51B7" w:rsidRDefault="002C51B7">
          <w:pPr>
            <w:pStyle w:val="TOC3"/>
            <w:rPr>
              <w:rFonts w:eastAsiaTheme="minorEastAsia" w:cstheme="minorBidi"/>
              <w:i w:val="0"/>
              <w:iCs w:val="0"/>
              <w:noProof/>
              <w:sz w:val="24"/>
              <w:szCs w:val="24"/>
              <w14:ligatures w14:val="standardContextual"/>
            </w:rPr>
          </w:pPr>
          <w:hyperlink w:anchor="_Toc214722060" w:history="1">
            <w:r w:rsidRPr="009300E5">
              <w:rPr>
                <w:rStyle w:val="Hyperlink"/>
                <w:rFonts w:eastAsiaTheme="majorEastAsia"/>
                <w:noProof/>
              </w:rPr>
              <w:t>Theoretical Implications Beyond DeFi</w:t>
            </w:r>
            <w:r>
              <w:rPr>
                <w:noProof/>
                <w:webHidden/>
              </w:rPr>
              <w:tab/>
            </w:r>
            <w:r>
              <w:rPr>
                <w:noProof/>
                <w:webHidden/>
              </w:rPr>
              <w:fldChar w:fldCharType="begin"/>
            </w:r>
            <w:r>
              <w:rPr>
                <w:noProof/>
                <w:webHidden/>
              </w:rPr>
              <w:instrText xml:space="preserve"> PAGEREF _Toc214722060 \h </w:instrText>
            </w:r>
            <w:r>
              <w:rPr>
                <w:noProof/>
                <w:webHidden/>
              </w:rPr>
            </w:r>
            <w:r>
              <w:rPr>
                <w:noProof/>
                <w:webHidden/>
              </w:rPr>
              <w:fldChar w:fldCharType="separate"/>
            </w:r>
            <w:r>
              <w:rPr>
                <w:noProof/>
                <w:webHidden/>
              </w:rPr>
              <w:t>193</w:t>
            </w:r>
            <w:r>
              <w:rPr>
                <w:noProof/>
                <w:webHidden/>
              </w:rPr>
              <w:fldChar w:fldCharType="end"/>
            </w:r>
          </w:hyperlink>
        </w:p>
        <w:p w14:paraId="1E5DC31D" w14:textId="1B91A379" w:rsidR="002C51B7" w:rsidRDefault="002C51B7">
          <w:pPr>
            <w:pStyle w:val="TOC3"/>
            <w:rPr>
              <w:rFonts w:eastAsiaTheme="minorEastAsia" w:cstheme="minorBidi"/>
              <w:i w:val="0"/>
              <w:iCs w:val="0"/>
              <w:noProof/>
              <w:sz w:val="24"/>
              <w:szCs w:val="24"/>
              <w14:ligatures w14:val="standardContextual"/>
            </w:rPr>
          </w:pPr>
          <w:hyperlink w:anchor="_Toc214722061" w:history="1">
            <w:r w:rsidRPr="009300E5">
              <w:rPr>
                <w:rStyle w:val="Hyperlink"/>
                <w:rFonts w:eastAsiaTheme="majorEastAsia"/>
                <w:noProof/>
              </w:rPr>
              <w:t>Future Theoretical Development</w:t>
            </w:r>
            <w:r>
              <w:rPr>
                <w:noProof/>
                <w:webHidden/>
              </w:rPr>
              <w:tab/>
            </w:r>
            <w:r>
              <w:rPr>
                <w:noProof/>
                <w:webHidden/>
              </w:rPr>
              <w:fldChar w:fldCharType="begin"/>
            </w:r>
            <w:r>
              <w:rPr>
                <w:noProof/>
                <w:webHidden/>
              </w:rPr>
              <w:instrText xml:space="preserve"> PAGEREF _Toc214722061 \h </w:instrText>
            </w:r>
            <w:r>
              <w:rPr>
                <w:noProof/>
                <w:webHidden/>
              </w:rPr>
            </w:r>
            <w:r>
              <w:rPr>
                <w:noProof/>
                <w:webHidden/>
              </w:rPr>
              <w:fldChar w:fldCharType="separate"/>
            </w:r>
            <w:r>
              <w:rPr>
                <w:noProof/>
                <w:webHidden/>
              </w:rPr>
              <w:t>194</w:t>
            </w:r>
            <w:r>
              <w:rPr>
                <w:noProof/>
                <w:webHidden/>
              </w:rPr>
              <w:fldChar w:fldCharType="end"/>
            </w:r>
          </w:hyperlink>
        </w:p>
        <w:p w14:paraId="0E12DED1" w14:textId="5484431E" w:rsidR="002C51B7" w:rsidRDefault="002C51B7">
          <w:pPr>
            <w:pStyle w:val="TOC2"/>
            <w:rPr>
              <w:rFonts w:eastAsiaTheme="minorEastAsia" w:cstheme="minorBidi"/>
              <w:b w:val="0"/>
              <w:bCs w:val="0"/>
              <w:smallCaps w:val="0"/>
              <w:sz w:val="24"/>
              <w:szCs w:val="24"/>
              <w14:ligatures w14:val="standardContextual"/>
            </w:rPr>
          </w:pPr>
          <w:hyperlink w:anchor="_Toc214722062" w:history="1">
            <w:r w:rsidRPr="009300E5">
              <w:rPr>
                <w:rStyle w:val="Hyperlink"/>
                <w:rFonts w:eastAsiaTheme="majorEastAsia"/>
              </w:rPr>
              <w:t>11.8 Key Takeaways: Actionable Insights for Stakeholders</w:t>
            </w:r>
            <w:r>
              <w:rPr>
                <w:webHidden/>
              </w:rPr>
              <w:tab/>
            </w:r>
            <w:r>
              <w:rPr>
                <w:webHidden/>
              </w:rPr>
              <w:fldChar w:fldCharType="begin"/>
            </w:r>
            <w:r>
              <w:rPr>
                <w:webHidden/>
              </w:rPr>
              <w:instrText xml:space="preserve"> PAGEREF _Toc214722062 \h </w:instrText>
            </w:r>
            <w:r>
              <w:rPr>
                <w:webHidden/>
              </w:rPr>
            </w:r>
            <w:r>
              <w:rPr>
                <w:webHidden/>
              </w:rPr>
              <w:fldChar w:fldCharType="separate"/>
            </w:r>
            <w:r>
              <w:rPr>
                <w:webHidden/>
              </w:rPr>
              <w:t>194</w:t>
            </w:r>
            <w:r>
              <w:rPr>
                <w:webHidden/>
              </w:rPr>
              <w:fldChar w:fldCharType="end"/>
            </w:r>
          </w:hyperlink>
        </w:p>
        <w:p w14:paraId="04FAC302" w14:textId="05EEE822" w:rsidR="002C51B7" w:rsidRDefault="002C51B7">
          <w:pPr>
            <w:pStyle w:val="TOC3"/>
            <w:rPr>
              <w:rFonts w:eastAsiaTheme="minorEastAsia" w:cstheme="minorBidi"/>
              <w:i w:val="0"/>
              <w:iCs w:val="0"/>
              <w:noProof/>
              <w:sz w:val="24"/>
              <w:szCs w:val="24"/>
              <w14:ligatures w14:val="standardContextual"/>
            </w:rPr>
          </w:pPr>
          <w:hyperlink w:anchor="_Toc214722063" w:history="1">
            <w:r w:rsidRPr="009300E5">
              <w:rPr>
                <w:rStyle w:val="Hyperlink"/>
                <w:rFonts w:eastAsiaTheme="majorEastAsia"/>
                <w:noProof/>
              </w:rPr>
              <w:t>11.8.1 For Prospective Participants: Decision Framework</w:t>
            </w:r>
            <w:r>
              <w:rPr>
                <w:noProof/>
                <w:webHidden/>
              </w:rPr>
              <w:tab/>
            </w:r>
            <w:r>
              <w:rPr>
                <w:noProof/>
                <w:webHidden/>
              </w:rPr>
              <w:fldChar w:fldCharType="begin"/>
            </w:r>
            <w:r>
              <w:rPr>
                <w:noProof/>
                <w:webHidden/>
              </w:rPr>
              <w:instrText xml:space="preserve"> PAGEREF _Toc214722063 \h </w:instrText>
            </w:r>
            <w:r>
              <w:rPr>
                <w:noProof/>
                <w:webHidden/>
              </w:rPr>
            </w:r>
            <w:r>
              <w:rPr>
                <w:noProof/>
                <w:webHidden/>
              </w:rPr>
              <w:fldChar w:fldCharType="separate"/>
            </w:r>
            <w:r>
              <w:rPr>
                <w:noProof/>
                <w:webHidden/>
              </w:rPr>
              <w:t>195</w:t>
            </w:r>
            <w:r>
              <w:rPr>
                <w:noProof/>
                <w:webHidden/>
              </w:rPr>
              <w:fldChar w:fldCharType="end"/>
            </w:r>
          </w:hyperlink>
        </w:p>
        <w:p w14:paraId="2317D75B" w14:textId="355F8C2C" w:rsidR="002C51B7" w:rsidRDefault="002C51B7">
          <w:pPr>
            <w:pStyle w:val="TOC3"/>
            <w:rPr>
              <w:rFonts w:eastAsiaTheme="minorEastAsia" w:cstheme="minorBidi"/>
              <w:i w:val="0"/>
              <w:iCs w:val="0"/>
              <w:noProof/>
              <w:sz w:val="24"/>
              <w:szCs w:val="24"/>
              <w14:ligatures w14:val="standardContextual"/>
            </w:rPr>
          </w:pPr>
          <w:hyperlink w:anchor="_Toc214722064" w:history="1">
            <w:r w:rsidRPr="009300E5">
              <w:rPr>
                <w:rStyle w:val="Hyperlink"/>
                <w:rFonts w:eastAsiaTheme="majorEastAsia"/>
                <w:noProof/>
              </w:rPr>
              <w:t>11.8.2 For Policymakers: Regulatory Framework Considerations</w:t>
            </w:r>
            <w:r>
              <w:rPr>
                <w:noProof/>
                <w:webHidden/>
              </w:rPr>
              <w:tab/>
            </w:r>
            <w:r>
              <w:rPr>
                <w:noProof/>
                <w:webHidden/>
              </w:rPr>
              <w:fldChar w:fldCharType="begin"/>
            </w:r>
            <w:r>
              <w:rPr>
                <w:noProof/>
                <w:webHidden/>
              </w:rPr>
              <w:instrText xml:space="preserve"> PAGEREF _Toc214722064 \h </w:instrText>
            </w:r>
            <w:r>
              <w:rPr>
                <w:noProof/>
                <w:webHidden/>
              </w:rPr>
            </w:r>
            <w:r>
              <w:rPr>
                <w:noProof/>
                <w:webHidden/>
              </w:rPr>
              <w:fldChar w:fldCharType="separate"/>
            </w:r>
            <w:r>
              <w:rPr>
                <w:noProof/>
                <w:webHidden/>
              </w:rPr>
              <w:t>195</w:t>
            </w:r>
            <w:r>
              <w:rPr>
                <w:noProof/>
                <w:webHidden/>
              </w:rPr>
              <w:fldChar w:fldCharType="end"/>
            </w:r>
          </w:hyperlink>
        </w:p>
        <w:p w14:paraId="64AD774D" w14:textId="3A802808" w:rsidR="002C51B7" w:rsidRDefault="002C51B7">
          <w:pPr>
            <w:pStyle w:val="TOC3"/>
            <w:rPr>
              <w:rFonts w:eastAsiaTheme="minorEastAsia" w:cstheme="minorBidi"/>
              <w:i w:val="0"/>
              <w:iCs w:val="0"/>
              <w:noProof/>
              <w:sz w:val="24"/>
              <w:szCs w:val="24"/>
              <w14:ligatures w14:val="standardContextual"/>
            </w:rPr>
          </w:pPr>
          <w:hyperlink w:anchor="_Toc214722065" w:history="1">
            <w:r w:rsidRPr="009300E5">
              <w:rPr>
                <w:rStyle w:val="Hyperlink"/>
                <w:rFonts w:eastAsiaTheme="majorEastAsia"/>
                <w:noProof/>
              </w:rPr>
              <w:t>11.8.3 For Protocol Developers: Design Implications</w:t>
            </w:r>
            <w:r>
              <w:rPr>
                <w:noProof/>
                <w:webHidden/>
              </w:rPr>
              <w:tab/>
            </w:r>
            <w:r>
              <w:rPr>
                <w:noProof/>
                <w:webHidden/>
              </w:rPr>
              <w:fldChar w:fldCharType="begin"/>
            </w:r>
            <w:r>
              <w:rPr>
                <w:noProof/>
                <w:webHidden/>
              </w:rPr>
              <w:instrText xml:space="preserve"> PAGEREF _Toc214722065 \h </w:instrText>
            </w:r>
            <w:r>
              <w:rPr>
                <w:noProof/>
                <w:webHidden/>
              </w:rPr>
            </w:r>
            <w:r>
              <w:rPr>
                <w:noProof/>
                <w:webHidden/>
              </w:rPr>
              <w:fldChar w:fldCharType="separate"/>
            </w:r>
            <w:r>
              <w:rPr>
                <w:noProof/>
                <w:webHidden/>
              </w:rPr>
              <w:t>196</w:t>
            </w:r>
            <w:r>
              <w:rPr>
                <w:noProof/>
                <w:webHidden/>
              </w:rPr>
              <w:fldChar w:fldCharType="end"/>
            </w:r>
          </w:hyperlink>
        </w:p>
        <w:p w14:paraId="6DC6BC7B" w14:textId="68B4BABF" w:rsidR="002C51B7" w:rsidRDefault="002C51B7">
          <w:pPr>
            <w:pStyle w:val="TOC3"/>
            <w:rPr>
              <w:rFonts w:eastAsiaTheme="minorEastAsia" w:cstheme="minorBidi"/>
              <w:i w:val="0"/>
              <w:iCs w:val="0"/>
              <w:noProof/>
              <w:sz w:val="24"/>
              <w:szCs w:val="24"/>
              <w14:ligatures w14:val="standardContextual"/>
            </w:rPr>
          </w:pPr>
          <w:hyperlink w:anchor="_Toc214722066" w:history="1">
            <w:r w:rsidRPr="009300E5">
              <w:rPr>
                <w:rStyle w:val="Hyperlink"/>
                <w:rFonts w:eastAsiaTheme="majorEastAsia"/>
                <w:noProof/>
              </w:rPr>
              <w:t>11.8.4 Cross-Cutting Insight: Conditional Viability Recognition</w:t>
            </w:r>
            <w:r>
              <w:rPr>
                <w:noProof/>
                <w:webHidden/>
              </w:rPr>
              <w:tab/>
            </w:r>
            <w:r>
              <w:rPr>
                <w:noProof/>
                <w:webHidden/>
              </w:rPr>
              <w:fldChar w:fldCharType="begin"/>
            </w:r>
            <w:r>
              <w:rPr>
                <w:noProof/>
                <w:webHidden/>
              </w:rPr>
              <w:instrText xml:space="preserve"> PAGEREF _Toc214722066 \h </w:instrText>
            </w:r>
            <w:r>
              <w:rPr>
                <w:noProof/>
                <w:webHidden/>
              </w:rPr>
            </w:r>
            <w:r>
              <w:rPr>
                <w:noProof/>
                <w:webHidden/>
              </w:rPr>
              <w:fldChar w:fldCharType="separate"/>
            </w:r>
            <w:r>
              <w:rPr>
                <w:noProof/>
                <w:webHidden/>
              </w:rPr>
              <w:t>197</w:t>
            </w:r>
            <w:r>
              <w:rPr>
                <w:noProof/>
                <w:webHidden/>
              </w:rPr>
              <w:fldChar w:fldCharType="end"/>
            </w:r>
          </w:hyperlink>
        </w:p>
        <w:p w14:paraId="7C39B005" w14:textId="0E70926A" w:rsidR="002C51B7" w:rsidRDefault="002C51B7">
          <w:pPr>
            <w:pStyle w:val="TOC1"/>
            <w:tabs>
              <w:tab w:val="right" w:leader="dot" w:pos="9350"/>
            </w:tabs>
            <w:rPr>
              <w:rFonts w:eastAsiaTheme="minorEastAsia" w:cstheme="minorBidi"/>
              <w:b w:val="0"/>
              <w:bCs w:val="0"/>
              <w:caps w:val="0"/>
              <w:noProof/>
              <w:sz w:val="24"/>
              <w:szCs w:val="24"/>
              <w14:ligatures w14:val="standardContextual"/>
            </w:rPr>
          </w:pPr>
          <w:hyperlink w:anchor="_Toc214722067" w:history="1">
            <w:r w:rsidRPr="009300E5">
              <w:rPr>
                <w:rStyle w:val="Hyperlink"/>
                <w:rFonts w:eastAsiaTheme="majorEastAsia"/>
                <w:noProof/>
              </w:rPr>
              <w:t>Appendix</w:t>
            </w:r>
            <w:r>
              <w:rPr>
                <w:noProof/>
                <w:webHidden/>
              </w:rPr>
              <w:tab/>
            </w:r>
            <w:r>
              <w:rPr>
                <w:noProof/>
                <w:webHidden/>
              </w:rPr>
              <w:fldChar w:fldCharType="begin"/>
            </w:r>
            <w:r>
              <w:rPr>
                <w:noProof/>
                <w:webHidden/>
              </w:rPr>
              <w:instrText xml:space="preserve"> PAGEREF _Toc214722067 \h </w:instrText>
            </w:r>
            <w:r>
              <w:rPr>
                <w:noProof/>
                <w:webHidden/>
              </w:rPr>
            </w:r>
            <w:r>
              <w:rPr>
                <w:noProof/>
                <w:webHidden/>
              </w:rPr>
              <w:fldChar w:fldCharType="separate"/>
            </w:r>
            <w:r>
              <w:rPr>
                <w:noProof/>
                <w:webHidden/>
              </w:rPr>
              <w:t>198</w:t>
            </w:r>
            <w:r>
              <w:rPr>
                <w:noProof/>
                <w:webHidden/>
              </w:rPr>
              <w:fldChar w:fldCharType="end"/>
            </w:r>
          </w:hyperlink>
        </w:p>
        <w:p w14:paraId="4C229AE3" w14:textId="10FC6DF3" w:rsidR="002C51B7" w:rsidRDefault="002C51B7">
          <w:pPr>
            <w:pStyle w:val="TOC2"/>
            <w:rPr>
              <w:rFonts w:eastAsiaTheme="minorEastAsia" w:cstheme="minorBidi"/>
              <w:b w:val="0"/>
              <w:bCs w:val="0"/>
              <w:smallCaps w:val="0"/>
              <w:sz w:val="24"/>
              <w:szCs w:val="24"/>
              <w14:ligatures w14:val="standardContextual"/>
            </w:rPr>
          </w:pPr>
          <w:hyperlink w:anchor="_Toc214722068" w:history="1">
            <w:r w:rsidRPr="009300E5">
              <w:rPr>
                <w:rStyle w:val="Hyperlink"/>
                <w:rFonts w:eastAsiaTheme="majorEastAsia"/>
              </w:rPr>
              <w:t>APPENDIX A: Complete List of Tracked Protocols and Positions</w:t>
            </w:r>
            <w:r>
              <w:rPr>
                <w:webHidden/>
              </w:rPr>
              <w:tab/>
            </w:r>
            <w:r>
              <w:rPr>
                <w:webHidden/>
              </w:rPr>
              <w:fldChar w:fldCharType="begin"/>
            </w:r>
            <w:r>
              <w:rPr>
                <w:webHidden/>
              </w:rPr>
              <w:instrText xml:space="preserve"> PAGEREF _Toc214722068 \h </w:instrText>
            </w:r>
            <w:r>
              <w:rPr>
                <w:webHidden/>
              </w:rPr>
            </w:r>
            <w:r>
              <w:rPr>
                <w:webHidden/>
              </w:rPr>
              <w:fldChar w:fldCharType="separate"/>
            </w:r>
            <w:r>
              <w:rPr>
                <w:webHidden/>
              </w:rPr>
              <w:t>198</w:t>
            </w:r>
            <w:r>
              <w:rPr>
                <w:webHidden/>
              </w:rPr>
              <w:fldChar w:fldCharType="end"/>
            </w:r>
          </w:hyperlink>
        </w:p>
        <w:p w14:paraId="669CE608" w14:textId="4C2D9975" w:rsidR="002C51B7" w:rsidRDefault="002C51B7">
          <w:pPr>
            <w:pStyle w:val="TOC3"/>
            <w:rPr>
              <w:rFonts w:eastAsiaTheme="minorEastAsia" w:cstheme="minorBidi"/>
              <w:i w:val="0"/>
              <w:iCs w:val="0"/>
              <w:noProof/>
              <w:sz w:val="24"/>
              <w:szCs w:val="24"/>
              <w14:ligatures w14:val="standardContextual"/>
            </w:rPr>
          </w:pPr>
          <w:hyperlink w:anchor="_Toc214722069" w:history="1">
            <w:r w:rsidRPr="009300E5">
              <w:rPr>
                <w:rStyle w:val="Hyperlink"/>
                <w:rFonts w:eastAsiaTheme="majorEastAsia"/>
                <w:noProof/>
              </w:rPr>
              <w:t>Table A.1: Distribution of 156 Tracked Positions by Protocol and Network</w:t>
            </w:r>
            <w:r>
              <w:rPr>
                <w:noProof/>
                <w:webHidden/>
              </w:rPr>
              <w:tab/>
            </w:r>
            <w:r>
              <w:rPr>
                <w:noProof/>
                <w:webHidden/>
              </w:rPr>
              <w:fldChar w:fldCharType="begin"/>
            </w:r>
            <w:r>
              <w:rPr>
                <w:noProof/>
                <w:webHidden/>
              </w:rPr>
              <w:instrText xml:space="preserve"> PAGEREF _Toc214722069 \h </w:instrText>
            </w:r>
            <w:r>
              <w:rPr>
                <w:noProof/>
                <w:webHidden/>
              </w:rPr>
            </w:r>
            <w:r>
              <w:rPr>
                <w:noProof/>
                <w:webHidden/>
              </w:rPr>
              <w:fldChar w:fldCharType="separate"/>
            </w:r>
            <w:r>
              <w:rPr>
                <w:noProof/>
                <w:webHidden/>
              </w:rPr>
              <w:t>198</w:t>
            </w:r>
            <w:r>
              <w:rPr>
                <w:noProof/>
                <w:webHidden/>
              </w:rPr>
              <w:fldChar w:fldCharType="end"/>
            </w:r>
          </w:hyperlink>
        </w:p>
        <w:p w14:paraId="2C31AC81" w14:textId="18C23906" w:rsidR="002C51B7" w:rsidRDefault="002C51B7">
          <w:pPr>
            <w:pStyle w:val="TOC3"/>
            <w:rPr>
              <w:rFonts w:eastAsiaTheme="minorEastAsia" w:cstheme="minorBidi"/>
              <w:i w:val="0"/>
              <w:iCs w:val="0"/>
              <w:noProof/>
              <w:sz w:val="24"/>
              <w:szCs w:val="24"/>
              <w14:ligatures w14:val="standardContextual"/>
            </w:rPr>
          </w:pPr>
          <w:hyperlink w:anchor="_Toc214722070" w:history="1">
            <w:r w:rsidRPr="009300E5">
              <w:rPr>
                <w:rStyle w:val="Hyperlink"/>
                <w:rFonts w:eastAsiaTheme="majorEastAsia"/>
                <w:noProof/>
              </w:rPr>
              <w:t>Table A.2: Position Characteristics</w:t>
            </w:r>
            <w:r>
              <w:rPr>
                <w:noProof/>
                <w:webHidden/>
              </w:rPr>
              <w:tab/>
            </w:r>
            <w:r>
              <w:rPr>
                <w:noProof/>
                <w:webHidden/>
              </w:rPr>
              <w:fldChar w:fldCharType="begin"/>
            </w:r>
            <w:r>
              <w:rPr>
                <w:noProof/>
                <w:webHidden/>
              </w:rPr>
              <w:instrText xml:space="preserve"> PAGEREF _Toc214722070 \h </w:instrText>
            </w:r>
            <w:r>
              <w:rPr>
                <w:noProof/>
                <w:webHidden/>
              </w:rPr>
            </w:r>
            <w:r>
              <w:rPr>
                <w:noProof/>
                <w:webHidden/>
              </w:rPr>
              <w:fldChar w:fldCharType="separate"/>
            </w:r>
            <w:r>
              <w:rPr>
                <w:noProof/>
                <w:webHidden/>
              </w:rPr>
              <w:t>198</w:t>
            </w:r>
            <w:r>
              <w:rPr>
                <w:noProof/>
                <w:webHidden/>
              </w:rPr>
              <w:fldChar w:fldCharType="end"/>
            </w:r>
          </w:hyperlink>
        </w:p>
        <w:p w14:paraId="08B3A469" w14:textId="4F4395FF" w:rsidR="002C51B7" w:rsidRDefault="002C51B7">
          <w:pPr>
            <w:pStyle w:val="TOC2"/>
            <w:rPr>
              <w:rFonts w:eastAsiaTheme="minorEastAsia" w:cstheme="minorBidi"/>
              <w:b w:val="0"/>
              <w:bCs w:val="0"/>
              <w:smallCaps w:val="0"/>
              <w:sz w:val="24"/>
              <w:szCs w:val="24"/>
              <w14:ligatures w14:val="standardContextual"/>
            </w:rPr>
          </w:pPr>
          <w:hyperlink w:anchor="_Toc214722071" w:history="1">
            <w:r w:rsidRPr="009300E5">
              <w:rPr>
                <w:rStyle w:val="Hyperlink"/>
                <w:rFonts w:eastAsiaTheme="majorEastAsia"/>
              </w:rPr>
              <w:t>APPENDIX B: Interview Protocol</w:t>
            </w:r>
            <w:r>
              <w:rPr>
                <w:webHidden/>
              </w:rPr>
              <w:tab/>
            </w:r>
            <w:r>
              <w:rPr>
                <w:webHidden/>
              </w:rPr>
              <w:fldChar w:fldCharType="begin"/>
            </w:r>
            <w:r>
              <w:rPr>
                <w:webHidden/>
              </w:rPr>
              <w:instrText xml:space="preserve"> PAGEREF _Toc214722071 \h </w:instrText>
            </w:r>
            <w:r>
              <w:rPr>
                <w:webHidden/>
              </w:rPr>
            </w:r>
            <w:r>
              <w:rPr>
                <w:webHidden/>
              </w:rPr>
              <w:fldChar w:fldCharType="separate"/>
            </w:r>
            <w:r>
              <w:rPr>
                <w:webHidden/>
              </w:rPr>
              <w:t>200</w:t>
            </w:r>
            <w:r>
              <w:rPr>
                <w:webHidden/>
              </w:rPr>
              <w:fldChar w:fldCharType="end"/>
            </w:r>
          </w:hyperlink>
        </w:p>
        <w:p w14:paraId="6EB717EC" w14:textId="5D78E2DA" w:rsidR="002C51B7" w:rsidRDefault="002C51B7">
          <w:pPr>
            <w:pStyle w:val="TOC2"/>
            <w:rPr>
              <w:rFonts w:eastAsiaTheme="minorEastAsia" w:cstheme="minorBidi"/>
              <w:b w:val="0"/>
              <w:bCs w:val="0"/>
              <w:smallCaps w:val="0"/>
              <w:sz w:val="24"/>
              <w:szCs w:val="24"/>
              <w14:ligatures w14:val="standardContextual"/>
            </w:rPr>
          </w:pPr>
          <w:hyperlink w:anchor="_Toc214722072" w:history="1">
            <w:r w:rsidRPr="009300E5">
              <w:rPr>
                <w:rStyle w:val="Hyperlink"/>
                <w:rFonts w:eastAsiaTheme="majorEastAsia"/>
              </w:rPr>
              <w:t>APPENDIX C: Statistical Tests and Assumptions</w:t>
            </w:r>
            <w:r>
              <w:rPr>
                <w:webHidden/>
              </w:rPr>
              <w:tab/>
            </w:r>
            <w:r>
              <w:rPr>
                <w:webHidden/>
              </w:rPr>
              <w:fldChar w:fldCharType="begin"/>
            </w:r>
            <w:r>
              <w:rPr>
                <w:webHidden/>
              </w:rPr>
              <w:instrText xml:space="preserve"> PAGEREF _Toc214722072 \h </w:instrText>
            </w:r>
            <w:r>
              <w:rPr>
                <w:webHidden/>
              </w:rPr>
            </w:r>
            <w:r>
              <w:rPr>
                <w:webHidden/>
              </w:rPr>
              <w:fldChar w:fldCharType="separate"/>
            </w:r>
            <w:r>
              <w:rPr>
                <w:webHidden/>
              </w:rPr>
              <w:t>201</w:t>
            </w:r>
            <w:r>
              <w:rPr>
                <w:webHidden/>
              </w:rPr>
              <w:fldChar w:fldCharType="end"/>
            </w:r>
          </w:hyperlink>
        </w:p>
        <w:p w14:paraId="011DB964" w14:textId="0043897A" w:rsidR="002C51B7" w:rsidRDefault="002C51B7">
          <w:pPr>
            <w:pStyle w:val="TOC3"/>
            <w:rPr>
              <w:rFonts w:eastAsiaTheme="minorEastAsia" w:cstheme="minorBidi"/>
              <w:i w:val="0"/>
              <w:iCs w:val="0"/>
              <w:noProof/>
              <w:sz w:val="24"/>
              <w:szCs w:val="24"/>
              <w14:ligatures w14:val="standardContextual"/>
            </w:rPr>
          </w:pPr>
          <w:hyperlink w:anchor="_Toc214722073" w:history="1">
            <w:r w:rsidRPr="009300E5">
              <w:rPr>
                <w:rStyle w:val="Hyperlink"/>
                <w:rFonts w:eastAsiaTheme="majorEastAsia"/>
                <w:noProof/>
              </w:rPr>
              <w:t>Table C.1: Primary Statistical Tests Employed</w:t>
            </w:r>
            <w:r>
              <w:rPr>
                <w:noProof/>
                <w:webHidden/>
              </w:rPr>
              <w:tab/>
            </w:r>
            <w:r>
              <w:rPr>
                <w:noProof/>
                <w:webHidden/>
              </w:rPr>
              <w:fldChar w:fldCharType="begin"/>
            </w:r>
            <w:r>
              <w:rPr>
                <w:noProof/>
                <w:webHidden/>
              </w:rPr>
              <w:instrText xml:space="preserve"> PAGEREF _Toc214722073 \h </w:instrText>
            </w:r>
            <w:r>
              <w:rPr>
                <w:noProof/>
                <w:webHidden/>
              </w:rPr>
            </w:r>
            <w:r>
              <w:rPr>
                <w:noProof/>
                <w:webHidden/>
              </w:rPr>
              <w:fldChar w:fldCharType="separate"/>
            </w:r>
            <w:r>
              <w:rPr>
                <w:noProof/>
                <w:webHidden/>
              </w:rPr>
              <w:t>201</w:t>
            </w:r>
            <w:r>
              <w:rPr>
                <w:noProof/>
                <w:webHidden/>
              </w:rPr>
              <w:fldChar w:fldCharType="end"/>
            </w:r>
          </w:hyperlink>
        </w:p>
        <w:p w14:paraId="6C5DE028" w14:textId="5519C374" w:rsidR="002C51B7" w:rsidRDefault="002C51B7">
          <w:pPr>
            <w:pStyle w:val="TOC3"/>
            <w:rPr>
              <w:rFonts w:eastAsiaTheme="minorEastAsia" w:cstheme="minorBidi"/>
              <w:i w:val="0"/>
              <w:iCs w:val="0"/>
              <w:noProof/>
              <w:sz w:val="24"/>
              <w:szCs w:val="24"/>
              <w14:ligatures w14:val="standardContextual"/>
            </w:rPr>
          </w:pPr>
          <w:hyperlink w:anchor="_Toc214722074" w:history="1">
            <w:r w:rsidRPr="009300E5">
              <w:rPr>
                <w:rStyle w:val="Hyperlink"/>
                <w:rFonts w:eastAsiaTheme="majorEastAsia"/>
                <w:noProof/>
              </w:rPr>
              <w:t>Table C.2: Sample Size and Power Calculations</w:t>
            </w:r>
            <w:r>
              <w:rPr>
                <w:noProof/>
                <w:webHidden/>
              </w:rPr>
              <w:tab/>
            </w:r>
            <w:r>
              <w:rPr>
                <w:noProof/>
                <w:webHidden/>
              </w:rPr>
              <w:fldChar w:fldCharType="begin"/>
            </w:r>
            <w:r>
              <w:rPr>
                <w:noProof/>
                <w:webHidden/>
              </w:rPr>
              <w:instrText xml:space="preserve"> PAGEREF _Toc214722074 \h </w:instrText>
            </w:r>
            <w:r>
              <w:rPr>
                <w:noProof/>
                <w:webHidden/>
              </w:rPr>
            </w:r>
            <w:r>
              <w:rPr>
                <w:noProof/>
                <w:webHidden/>
              </w:rPr>
              <w:fldChar w:fldCharType="separate"/>
            </w:r>
            <w:r>
              <w:rPr>
                <w:noProof/>
                <w:webHidden/>
              </w:rPr>
              <w:t>203</w:t>
            </w:r>
            <w:r>
              <w:rPr>
                <w:noProof/>
                <w:webHidden/>
              </w:rPr>
              <w:fldChar w:fldCharType="end"/>
            </w:r>
          </w:hyperlink>
        </w:p>
        <w:p w14:paraId="686D4C86" w14:textId="489930E5" w:rsidR="002C51B7" w:rsidRDefault="002C51B7">
          <w:pPr>
            <w:pStyle w:val="TOC3"/>
            <w:rPr>
              <w:rFonts w:eastAsiaTheme="minorEastAsia" w:cstheme="minorBidi"/>
              <w:i w:val="0"/>
              <w:iCs w:val="0"/>
              <w:noProof/>
              <w:sz w:val="24"/>
              <w:szCs w:val="24"/>
              <w14:ligatures w14:val="standardContextual"/>
            </w:rPr>
          </w:pPr>
          <w:hyperlink w:anchor="_Toc214722075" w:history="1">
            <w:r w:rsidRPr="009300E5">
              <w:rPr>
                <w:rStyle w:val="Hyperlink"/>
                <w:rFonts w:eastAsiaTheme="majorEastAsia"/>
                <w:noProof/>
              </w:rPr>
              <w:t>Table C.3: Robustness Checks Performed</w:t>
            </w:r>
            <w:r>
              <w:rPr>
                <w:noProof/>
                <w:webHidden/>
              </w:rPr>
              <w:tab/>
            </w:r>
            <w:r>
              <w:rPr>
                <w:noProof/>
                <w:webHidden/>
              </w:rPr>
              <w:fldChar w:fldCharType="begin"/>
            </w:r>
            <w:r>
              <w:rPr>
                <w:noProof/>
                <w:webHidden/>
              </w:rPr>
              <w:instrText xml:space="preserve"> PAGEREF _Toc214722075 \h </w:instrText>
            </w:r>
            <w:r>
              <w:rPr>
                <w:noProof/>
                <w:webHidden/>
              </w:rPr>
            </w:r>
            <w:r>
              <w:rPr>
                <w:noProof/>
                <w:webHidden/>
              </w:rPr>
              <w:fldChar w:fldCharType="separate"/>
            </w:r>
            <w:r>
              <w:rPr>
                <w:noProof/>
                <w:webHidden/>
              </w:rPr>
              <w:t>203</w:t>
            </w:r>
            <w:r>
              <w:rPr>
                <w:noProof/>
                <w:webHidden/>
              </w:rPr>
              <w:fldChar w:fldCharType="end"/>
            </w:r>
          </w:hyperlink>
        </w:p>
        <w:p w14:paraId="441DAEEF" w14:textId="631B8128" w:rsidR="002C51B7" w:rsidRDefault="002C51B7">
          <w:pPr>
            <w:pStyle w:val="TOC3"/>
            <w:rPr>
              <w:rFonts w:eastAsiaTheme="minorEastAsia" w:cstheme="minorBidi"/>
              <w:i w:val="0"/>
              <w:iCs w:val="0"/>
              <w:noProof/>
              <w:sz w:val="24"/>
              <w:szCs w:val="24"/>
              <w14:ligatures w14:val="standardContextual"/>
            </w:rPr>
          </w:pPr>
          <w:hyperlink w:anchor="_Toc214722076" w:history="1">
            <w:r w:rsidRPr="009300E5">
              <w:rPr>
                <w:rStyle w:val="Hyperlink"/>
                <w:rFonts w:eastAsiaTheme="majorEastAsia"/>
                <w:noProof/>
              </w:rPr>
              <w:t>Table C.4: Missing Data Treatment</w:t>
            </w:r>
            <w:r>
              <w:rPr>
                <w:noProof/>
                <w:webHidden/>
              </w:rPr>
              <w:tab/>
            </w:r>
            <w:r>
              <w:rPr>
                <w:noProof/>
                <w:webHidden/>
              </w:rPr>
              <w:fldChar w:fldCharType="begin"/>
            </w:r>
            <w:r>
              <w:rPr>
                <w:noProof/>
                <w:webHidden/>
              </w:rPr>
              <w:instrText xml:space="preserve"> PAGEREF _Toc214722076 \h </w:instrText>
            </w:r>
            <w:r>
              <w:rPr>
                <w:noProof/>
                <w:webHidden/>
              </w:rPr>
            </w:r>
            <w:r>
              <w:rPr>
                <w:noProof/>
                <w:webHidden/>
              </w:rPr>
              <w:fldChar w:fldCharType="separate"/>
            </w:r>
            <w:r>
              <w:rPr>
                <w:noProof/>
                <w:webHidden/>
              </w:rPr>
              <w:t>204</w:t>
            </w:r>
            <w:r>
              <w:rPr>
                <w:noProof/>
                <w:webHidden/>
              </w:rPr>
              <w:fldChar w:fldCharType="end"/>
            </w:r>
          </w:hyperlink>
        </w:p>
        <w:p w14:paraId="41CCE323" w14:textId="1C629D78" w:rsidR="002C51B7" w:rsidRDefault="002C51B7">
          <w:pPr>
            <w:pStyle w:val="TOC2"/>
            <w:rPr>
              <w:rFonts w:eastAsiaTheme="minorEastAsia" w:cstheme="minorBidi"/>
              <w:b w:val="0"/>
              <w:bCs w:val="0"/>
              <w:smallCaps w:val="0"/>
              <w:sz w:val="24"/>
              <w:szCs w:val="24"/>
              <w14:ligatures w14:val="standardContextual"/>
            </w:rPr>
          </w:pPr>
          <w:hyperlink w:anchor="_Toc214722077" w:history="1">
            <w:r w:rsidRPr="009300E5">
              <w:rPr>
                <w:rStyle w:val="Hyperlink"/>
                <w:rFonts w:eastAsiaTheme="majorEastAsia"/>
              </w:rPr>
              <w:t>APPENDIX D: Detailed Methodological Documentation</w:t>
            </w:r>
            <w:r>
              <w:rPr>
                <w:webHidden/>
              </w:rPr>
              <w:tab/>
            </w:r>
            <w:r>
              <w:rPr>
                <w:webHidden/>
              </w:rPr>
              <w:fldChar w:fldCharType="begin"/>
            </w:r>
            <w:r>
              <w:rPr>
                <w:webHidden/>
              </w:rPr>
              <w:instrText xml:space="preserve"> PAGEREF _Toc214722077 \h </w:instrText>
            </w:r>
            <w:r>
              <w:rPr>
                <w:webHidden/>
              </w:rPr>
            </w:r>
            <w:r>
              <w:rPr>
                <w:webHidden/>
              </w:rPr>
              <w:fldChar w:fldCharType="separate"/>
            </w:r>
            <w:r>
              <w:rPr>
                <w:webHidden/>
              </w:rPr>
              <w:t>206</w:t>
            </w:r>
            <w:r>
              <w:rPr>
                <w:webHidden/>
              </w:rPr>
              <w:fldChar w:fldCharType="end"/>
            </w:r>
          </w:hyperlink>
        </w:p>
        <w:p w14:paraId="6C328729" w14:textId="3F14EA3C" w:rsidR="002C51B7" w:rsidRDefault="002C51B7">
          <w:pPr>
            <w:pStyle w:val="TOC3"/>
            <w:rPr>
              <w:rFonts w:eastAsiaTheme="minorEastAsia" w:cstheme="minorBidi"/>
              <w:i w:val="0"/>
              <w:iCs w:val="0"/>
              <w:noProof/>
              <w:sz w:val="24"/>
              <w:szCs w:val="24"/>
              <w14:ligatures w14:val="standardContextual"/>
            </w:rPr>
          </w:pPr>
          <w:hyperlink w:anchor="_Toc214722078" w:history="1">
            <w:r w:rsidRPr="009300E5">
              <w:rPr>
                <w:rStyle w:val="Hyperlink"/>
                <w:rFonts w:eastAsiaTheme="majorEastAsia"/>
                <w:noProof/>
              </w:rPr>
              <w:t>Table D.1: Mixed Methods Research Design Matrix</w:t>
            </w:r>
            <w:r>
              <w:rPr>
                <w:noProof/>
                <w:webHidden/>
              </w:rPr>
              <w:tab/>
            </w:r>
            <w:r>
              <w:rPr>
                <w:noProof/>
                <w:webHidden/>
              </w:rPr>
              <w:fldChar w:fldCharType="begin"/>
            </w:r>
            <w:r>
              <w:rPr>
                <w:noProof/>
                <w:webHidden/>
              </w:rPr>
              <w:instrText xml:space="preserve"> PAGEREF _Toc214722078 \h </w:instrText>
            </w:r>
            <w:r>
              <w:rPr>
                <w:noProof/>
                <w:webHidden/>
              </w:rPr>
            </w:r>
            <w:r>
              <w:rPr>
                <w:noProof/>
                <w:webHidden/>
              </w:rPr>
              <w:fldChar w:fldCharType="separate"/>
            </w:r>
            <w:r>
              <w:rPr>
                <w:noProof/>
                <w:webHidden/>
              </w:rPr>
              <w:t>206</w:t>
            </w:r>
            <w:r>
              <w:rPr>
                <w:noProof/>
                <w:webHidden/>
              </w:rPr>
              <w:fldChar w:fldCharType="end"/>
            </w:r>
          </w:hyperlink>
        </w:p>
        <w:p w14:paraId="69781ABD" w14:textId="3E7F7023" w:rsidR="002C51B7" w:rsidRDefault="002C51B7">
          <w:pPr>
            <w:pStyle w:val="TOC3"/>
            <w:rPr>
              <w:rFonts w:eastAsiaTheme="minorEastAsia" w:cstheme="minorBidi"/>
              <w:i w:val="0"/>
              <w:iCs w:val="0"/>
              <w:noProof/>
              <w:sz w:val="24"/>
              <w:szCs w:val="24"/>
              <w14:ligatures w14:val="standardContextual"/>
            </w:rPr>
          </w:pPr>
          <w:hyperlink w:anchor="_Toc214722079" w:history="1">
            <w:r w:rsidRPr="009300E5">
              <w:rPr>
                <w:rStyle w:val="Hyperlink"/>
                <w:rFonts w:eastAsiaTheme="majorEastAsia"/>
                <w:noProof/>
              </w:rPr>
              <w:t>D.2 Transaction Data Collection Procedures</w:t>
            </w:r>
            <w:r>
              <w:rPr>
                <w:noProof/>
                <w:webHidden/>
              </w:rPr>
              <w:tab/>
            </w:r>
            <w:r>
              <w:rPr>
                <w:noProof/>
                <w:webHidden/>
              </w:rPr>
              <w:fldChar w:fldCharType="begin"/>
            </w:r>
            <w:r>
              <w:rPr>
                <w:noProof/>
                <w:webHidden/>
              </w:rPr>
              <w:instrText xml:space="preserve"> PAGEREF _Toc214722079 \h </w:instrText>
            </w:r>
            <w:r>
              <w:rPr>
                <w:noProof/>
                <w:webHidden/>
              </w:rPr>
            </w:r>
            <w:r>
              <w:rPr>
                <w:noProof/>
                <w:webHidden/>
              </w:rPr>
              <w:fldChar w:fldCharType="separate"/>
            </w:r>
            <w:r>
              <w:rPr>
                <w:noProof/>
                <w:webHidden/>
              </w:rPr>
              <w:t>206</w:t>
            </w:r>
            <w:r>
              <w:rPr>
                <w:noProof/>
                <w:webHidden/>
              </w:rPr>
              <w:fldChar w:fldCharType="end"/>
            </w:r>
          </w:hyperlink>
        </w:p>
        <w:p w14:paraId="3FA6C59D" w14:textId="5748E9AA" w:rsidR="002C51B7" w:rsidRDefault="002C51B7">
          <w:pPr>
            <w:pStyle w:val="TOC3"/>
            <w:rPr>
              <w:rFonts w:eastAsiaTheme="minorEastAsia" w:cstheme="minorBidi"/>
              <w:i w:val="0"/>
              <w:iCs w:val="0"/>
              <w:noProof/>
              <w:sz w:val="24"/>
              <w:szCs w:val="24"/>
              <w14:ligatures w14:val="standardContextual"/>
            </w:rPr>
          </w:pPr>
          <w:hyperlink w:anchor="_Toc214722080" w:history="1">
            <w:r w:rsidRPr="009300E5">
              <w:rPr>
                <w:rStyle w:val="Hyperlink"/>
                <w:rFonts w:eastAsiaTheme="majorEastAsia"/>
                <w:noProof/>
              </w:rPr>
              <w:t>D.3 Position Tracking Methodology</w:t>
            </w:r>
            <w:r>
              <w:rPr>
                <w:noProof/>
                <w:webHidden/>
              </w:rPr>
              <w:tab/>
            </w:r>
            <w:r>
              <w:rPr>
                <w:noProof/>
                <w:webHidden/>
              </w:rPr>
              <w:fldChar w:fldCharType="begin"/>
            </w:r>
            <w:r>
              <w:rPr>
                <w:noProof/>
                <w:webHidden/>
              </w:rPr>
              <w:instrText xml:space="preserve"> PAGEREF _Toc214722080 \h </w:instrText>
            </w:r>
            <w:r>
              <w:rPr>
                <w:noProof/>
                <w:webHidden/>
              </w:rPr>
            </w:r>
            <w:r>
              <w:rPr>
                <w:noProof/>
                <w:webHidden/>
              </w:rPr>
              <w:fldChar w:fldCharType="separate"/>
            </w:r>
            <w:r>
              <w:rPr>
                <w:noProof/>
                <w:webHidden/>
              </w:rPr>
              <w:t>207</w:t>
            </w:r>
            <w:r>
              <w:rPr>
                <w:noProof/>
                <w:webHidden/>
              </w:rPr>
              <w:fldChar w:fldCharType="end"/>
            </w:r>
          </w:hyperlink>
        </w:p>
        <w:p w14:paraId="7BF7E2A9" w14:textId="5B7AB931" w:rsidR="002C51B7" w:rsidRDefault="002C51B7">
          <w:pPr>
            <w:pStyle w:val="TOC3"/>
            <w:rPr>
              <w:rFonts w:eastAsiaTheme="minorEastAsia" w:cstheme="minorBidi"/>
              <w:i w:val="0"/>
              <w:iCs w:val="0"/>
              <w:noProof/>
              <w:sz w:val="24"/>
              <w:szCs w:val="24"/>
              <w14:ligatures w14:val="standardContextual"/>
            </w:rPr>
          </w:pPr>
          <w:hyperlink w:anchor="_Toc214722081" w:history="1">
            <w:r w:rsidRPr="009300E5">
              <w:rPr>
                <w:rStyle w:val="Hyperlink"/>
                <w:rFonts w:eastAsiaTheme="majorEastAsia"/>
                <w:noProof/>
              </w:rPr>
              <w:t>D.4 Interview Methodology</w:t>
            </w:r>
            <w:r>
              <w:rPr>
                <w:noProof/>
                <w:webHidden/>
              </w:rPr>
              <w:tab/>
            </w:r>
            <w:r>
              <w:rPr>
                <w:noProof/>
                <w:webHidden/>
              </w:rPr>
              <w:fldChar w:fldCharType="begin"/>
            </w:r>
            <w:r>
              <w:rPr>
                <w:noProof/>
                <w:webHidden/>
              </w:rPr>
              <w:instrText xml:space="preserve"> PAGEREF _Toc214722081 \h </w:instrText>
            </w:r>
            <w:r>
              <w:rPr>
                <w:noProof/>
                <w:webHidden/>
              </w:rPr>
            </w:r>
            <w:r>
              <w:rPr>
                <w:noProof/>
                <w:webHidden/>
              </w:rPr>
              <w:fldChar w:fldCharType="separate"/>
            </w:r>
            <w:r>
              <w:rPr>
                <w:noProof/>
                <w:webHidden/>
              </w:rPr>
              <w:t>208</w:t>
            </w:r>
            <w:r>
              <w:rPr>
                <w:noProof/>
                <w:webHidden/>
              </w:rPr>
              <w:fldChar w:fldCharType="end"/>
            </w:r>
          </w:hyperlink>
        </w:p>
        <w:p w14:paraId="6FBF6A4C" w14:textId="6923EB8B" w:rsidR="002C51B7" w:rsidRDefault="002C51B7">
          <w:pPr>
            <w:pStyle w:val="TOC3"/>
            <w:rPr>
              <w:rFonts w:eastAsiaTheme="minorEastAsia" w:cstheme="minorBidi"/>
              <w:i w:val="0"/>
              <w:iCs w:val="0"/>
              <w:noProof/>
              <w:sz w:val="24"/>
              <w:szCs w:val="24"/>
              <w14:ligatures w14:val="standardContextual"/>
            </w:rPr>
          </w:pPr>
          <w:hyperlink w:anchor="_Toc214722082" w:history="1">
            <w:r w:rsidRPr="009300E5">
              <w:rPr>
                <w:rStyle w:val="Hyperlink"/>
                <w:rFonts w:eastAsiaTheme="majorEastAsia"/>
                <w:noProof/>
              </w:rPr>
              <w:t>Table D.5 Validation Procedures</w:t>
            </w:r>
            <w:r>
              <w:rPr>
                <w:noProof/>
                <w:webHidden/>
              </w:rPr>
              <w:tab/>
            </w:r>
            <w:r>
              <w:rPr>
                <w:noProof/>
                <w:webHidden/>
              </w:rPr>
              <w:fldChar w:fldCharType="begin"/>
            </w:r>
            <w:r>
              <w:rPr>
                <w:noProof/>
                <w:webHidden/>
              </w:rPr>
              <w:instrText xml:space="preserve"> PAGEREF _Toc214722082 \h </w:instrText>
            </w:r>
            <w:r>
              <w:rPr>
                <w:noProof/>
                <w:webHidden/>
              </w:rPr>
            </w:r>
            <w:r>
              <w:rPr>
                <w:noProof/>
                <w:webHidden/>
              </w:rPr>
              <w:fldChar w:fldCharType="separate"/>
            </w:r>
            <w:r>
              <w:rPr>
                <w:noProof/>
                <w:webHidden/>
              </w:rPr>
              <w:t>209</w:t>
            </w:r>
            <w:r>
              <w:rPr>
                <w:noProof/>
                <w:webHidden/>
              </w:rPr>
              <w:fldChar w:fldCharType="end"/>
            </w:r>
          </w:hyperlink>
        </w:p>
        <w:p w14:paraId="1D5DDE06" w14:textId="62AA8B0D" w:rsidR="002C51B7" w:rsidRDefault="002C51B7">
          <w:pPr>
            <w:pStyle w:val="TOC3"/>
            <w:rPr>
              <w:rFonts w:eastAsiaTheme="minorEastAsia" w:cstheme="minorBidi"/>
              <w:i w:val="0"/>
              <w:iCs w:val="0"/>
              <w:noProof/>
              <w:sz w:val="24"/>
              <w:szCs w:val="24"/>
              <w14:ligatures w14:val="standardContextual"/>
            </w:rPr>
          </w:pPr>
          <w:hyperlink w:anchor="_Toc214722083" w:history="1">
            <w:r w:rsidRPr="009300E5">
              <w:rPr>
                <w:rStyle w:val="Hyperlink"/>
                <w:rFonts w:eastAsiaTheme="majorEastAsia"/>
                <w:noProof/>
              </w:rPr>
              <w:t>Table D.6 Decision Points</w:t>
            </w:r>
            <w:r>
              <w:rPr>
                <w:noProof/>
                <w:webHidden/>
              </w:rPr>
              <w:tab/>
            </w:r>
            <w:r>
              <w:rPr>
                <w:noProof/>
                <w:webHidden/>
              </w:rPr>
              <w:fldChar w:fldCharType="begin"/>
            </w:r>
            <w:r>
              <w:rPr>
                <w:noProof/>
                <w:webHidden/>
              </w:rPr>
              <w:instrText xml:space="preserve"> PAGEREF _Toc214722083 \h </w:instrText>
            </w:r>
            <w:r>
              <w:rPr>
                <w:noProof/>
                <w:webHidden/>
              </w:rPr>
            </w:r>
            <w:r>
              <w:rPr>
                <w:noProof/>
                <w:webHidden/>
              </w:rPr>
              <w:fldChar w:fldCharType="separate"/>
            </w:r>
            <w:r>
              <w:rPr>
                <w:noProof/>
                <w:webHidden/>
              </w:rPr>
              <w:t>210</w:t>
            </w:r>
            <w:r>
              <w:rPr>
                <w:noProof/>
                <w:webHidden/>
              </w:rPr>
              <w:fldChar w:fldCharType="end"/>
            </w:r>
          </w:hyperlink>
        </w:p>
        <w:p w14:paraId="351B3BC3" w14:textId="39E8A71C" w:rsidR="002C51B7" w:rsidRDefault="002C51B7">
          <w:pPr>
            <w:pStyle w:val="TOC3"/>
            <w:rPr>
              <w:rFonts w:eastAsiaTheme="minorEastAsia" w:cstheme="minorBidi"/>
              <w:i w:val="0"/>
              <w:iCs w:val="0"/>
              <w:noProof/>
              <w:sz w:val="24"/>
              <w:szCs w:val="24"/>
              <w14:ligatures w14:val="standardContextual"/>
            </w:rPr>
          </w:pPr>
          <w:hyperlink w:anchor="_Toc214722084" w:history="1">
            <w:r w:rsidRPr="009300E5">
              <w:rPr>
                <w:rStyle w:val="Hyperlink"/>
                <w:rFonts w:eastAsiaTheme="majorEastAsia"/>
                <w:noProof/>
              </w:rPr>
              <w:t>Table D.7Audit Trail Documentation</w:t>
            </w:r>
            <w:r>
              <w:rPr>
                <w:noProof/>
                <w:webHidden/>
              </w:rPr>
              <w:tab/>
            </w:r>
            <w:r>
              <w:rPr>
                <w:noProof/>
                <w:webHidden/>
              </w:rPr>
              <w:fldChar w:fldCharType="begin"/>
            </w:r>
            <w:r>
              <w:rPr>
                <w:noProof/>
                <w:webHidden/>
              </w:rPr>
              <w:instrText xml:space="preserve"> PAGEREF _Toc214722084 \h </w:instrText>
            </w:r>
            <w:r>
              <w:rPr>
                <w:noProof/>
                <w:webHidden/>
              </w:rPr>
            </w:r>
            <w:r>
              <w:rPr>
                <w:noProof/>
                <w:webHidden/>
              </w:rPr>
              <w:fldChar w:fldCharType="separate"/>
            </w:r>
            <w:r>
              <w:rPr>
                <w:noProof/>
                <w:webHidden/>
              </w:rPr>
              <w:t>210</w:t>
            </w:r>
            <w:r>
              <w:rPr>
                <w:noProof/>
                <w:webHidden/>
              </w:rPr>
              <w:fldChar w:fldCharType="end"/>
            </w:r>
          </w:hyperlink>
        </w:p>
        <w:p w14:paraId="70D0686D" w14:textId="4CFC9440" w:rsidR="002C51B7" w:rsidRDefault="002C51B7">
          <w:pPr>
            <w:pStyle w:val="TOC3"/>
            <w:rPr>
              <w:rFonts w:eastAsiaTheme="minorEastAsia" w:cstheme="minorBidi"/>
              <w:i w:val="0"/>
              <w:iCs w:val="0"/>
              <w:noProof/>
              <w:sz w:val="24"/>
              <w:szCs w:val="24"/>
              <w14:ligatures w14:val="standardContextual"/>
            </w:rPr>
          </w:pPr>
          <w:hyperlink w:anchor="_Toc214722085" w:history="1">
            <w:r w:rsidRPr="009300E5">
              <w:rPr>
                <w:rStyle w:val="Hyperlink"/>
                <w:rFonts w:eastAsiaTheme="majorEastAsia"/>
                <w:noProof/>
              </w:rPr>
              <w:t>Table D.8 Software and Tools</w:t>
            </w:r>
            <w:r>
              <w:rPr>
                <w:noProof/>
                <w:webHidden/>
              </w:rPr>
              <w:tab/>
            </w:r>
            <w:r>
              <w:rPr>
                <w:noProof/>
                <w:webHidden/>
              </w:rPr>
              <w:fldChar w:fldCharType="begin"/>
            </w:r>
            <w:r>
              <w:rPr>
                <w:noProof/>
                <w:webHidden/>
              </w:rPr>
              <w:instrText xml:space="preserve"> PAGEREF _Toc214722085 \h </w:instrText>
            </w:r>
            <w:r>
              <w:rPr>
                <w:noProof/>
                <w:webHidden/>
              </w:rPr>
            </w:r>
            <w:r>
              <w:rPr>
                <w:noProof/>
                <w:webHidden/>
              </w:rPr>
              <w:fldChar w:fldCharType="separate"/>
            </w:r>
            <w:r>
              <w:rPr>
                <w:noProof/>
                <w:webHidden/>
              </w:rPr>
              <w:t>211</w:t>
            </w:r>
            <w:r>
              <w:rPr>
                <w:noProof/>
                <w:webHidden/>
              </w:rPr>
              <w:fldChar w:fldCharType="end"/>
            </w:r>
          </w:hyperlink>
        </w:p>
        <w:p w14:paraId="06430D78" w14:textId="210708B5" w:rsidR="002C51B7" w:rsidRDefault="002C51B7">
          <w:pPr>
            <w:pStyle w:val="TOC3"/>
            <w:rPr>
              <w:rFonts w:eastAsiaTheme="minorEastAsia" w:cstheme="minorBidi"/>
              <w:i w:val="0"/>
              <w:iCs w:val="0"/>
              <w:noProof/>
              <w:sz w:val="24"/>
              <w:szCs w:val="24"/>
              <w14:ligatures w14:val="standardContextual"/>
            </w:rPr>
          </w:pPr>
          <w:hyperlink w:anchor="_Toc214722086" w:history="1">
            <w:r w:rsidRPr="009300E5">
              <w:rPr>
                <w:rStyle w:val="Hyperlink"/>
                <w:rFonts w:eastAsiaTheme="majorEastAsia"/>
                <w:noProof/>
              </w:rPr>
              <w:t>D.9 Ethical Considerations</w:t>
            </w:r>
            <w:r>
              <w:rPr>
                <w:noProof/>
                <w:webHidden/>
              </w:rPr>
              <w:tab/>
            </w:r>
            <w:r>
              <w:rPr>
                <w:noProof/>
                <w:webHidden/>
              </w:rPr>
              <w:fldChar w:fldCharType="begin"/>
            </w:r>
            <w:r>
              <w:rPr>
                <w:noProof/>
                <w:webHidden/>
              </w:rPr>
              <w:instrText xml:space="preserve"> PAGEREF _Toc214722086 \h </w:instrText>
            </w:r>
            <w:r>
              <w:rPr>
                <w:noProof/>
                <w:webHidden/>
              </w:rPr>
            </w:r>
            <w:r>
              <w:rPr>
                <w:noProof/>
                <w:webHidden/>
              </w:rPr>
              <w:fldChar w:fldCharType="separate"/>
            </w:r>
            <w:r>
              <w:rPr>
                <w:noProof/>
                <w:webHidden/>
              </w:rPr>
              <w:t>211</w:t>
            </w:r>
            <w:r>
              <w:rPr>
                <w:noProof/>
                <w:webHidden/>
              </w:rPr>
              <w:fldChar w:fldCharType="end"/>
            </w:r>
          </w:hyperlink>
        </w:p>
        <w:p w14:paraId="55686F69" w14:textId="7BF5D974" w:rsidR="002C51B7" w:rsidRDefault="002C51B7">
          <w:pPr>
            <w:pStyle w:val="TOC3"/>
            <w:rPr>
              <w:rFonts w:eastAsiaTheme="minorEastAsia" w:cstheme="minorBidi"/>
              <w:i w:val="0"/>
              <w:iCs w:val="0"/>
              <w:noProof/>
              <w:sz w:val="24"/>
              <w:szCs w:val="24"/>
              <w14:ligatures w14:val="standardContextual"/>
            </w:rPr>
          </w:pPr>
          <w:hyperlink w:anchor="_Toc214722087" w:history="1">
            <w:r w:rsidRPr="009300E5">
              <w:rPr>
                <w:rStyle w:val="Hyperlink"/>
                <w:rFonts w:eastAsiaTheme="majorEastAsia"/>
                <w:noProof/>
              </w:rPr>
              <w:t>D.10 Data Security Measures</w:t>
            </w:r>
            <w:r>
              <w:rPr>
                <w:noProof/>
                <w:webHidden/>
              </w:rPr>
              <w:tab/>
            </w:r>
            <w:r>
              <w:rPr>
                <w:noProof/>
                <w:webHidden/>
              </w:rPr>
              <w:fldChar w:fldCharType="begin"/>
            </w:r>
            <w:r>
              <w:rPr>
                <w:noProof/>
                <w:webHidden/>
              </w:rPr>
              <w:instrText xml:space="preserve"> PAGEREF _Toc214722087 \h </w:instrText>
            </w:r>
            <w:r>
              <w:rPr>
                <w:noProof/>
                <w:webHidden/>
              </w:rPr>
            </w:r>
            <w:r>
              <w:rPr>
                <w:noProof/>
                <w:webHidden/>
              </w:rPr>
              <w:fldChar w:fldCharType="separate"/>
            </w:r>
            <w:r>
              <w:rPr>
                <w:noProof/>
                <w:webHidden/>
              </w:rPr>
              <w:t>211</w:t>
            </w:r>
            <w:r>
              <w:rPr>
                <w:noProof/>
                <w:webHidden/>
              </w:rPr>
              <w:fldChar w:fldCharType="end"/>
            </w:r>
          </w:hyperlink>
        </w:p>
        <w:p w14:paraId="2286FF8A" w14:textId="31373BCF" w:rsidR="002C51B7" w:rsidRDefault="002C51B7">
          <w:pPr>
            <w:pStyle w:val="TOC3"/>
            <w:rPr>
              <w:rFonts w:eastAsiaTheme="minorEastAsia" w:cstheme="minorBidi"/>
              <w:i w:val="0"/>
              <w:iCs w:val="0"/>
              <w:noProof/>
              <w:sz w:val="24"/>
              <w:szCs w:val="24"/>
              <w14:ligatures w14:val="standardContextual"/>
            </w:rPr>
          </w:pPr>
          <w:hyperlink w:anchor="_Toc214722088" w:history="1">
            <w:r w:rsidRPr="009300E5">
              <w:rPr>
                <w:rStyle w:val="Hyperlink"/>
                <w:rFonts w:eastAsiaTheme="majorEastAsia"/>
                <w:noProof/>
              </w:rPr>
              <w:t>Table D.11 Limitations and Mitigation</w:t>
            </w:r>
            <w:r>
              <w:rPr>
                <w:noProof/>
                <w:webHidden/>
              </w:rPr>
              <w:tab/>
            </w:r>
            <w:r>
              <w:rPr>
                <w:noProof/>
                <w:webHidden/>
              </w:rPr>
              <w:fldChar w:fldCharType="begin"/>
            </w:r>
            <w:r>
              <w:rPr>
                <w:noProof/>
                <w:webHidden/>
              </w:rPr>
              <w:instrText xml:space="preserve"> PAGEREF _Toc214722088 \h </w:instrText>
            </w:r>
            <w:r>
              <w:rPr>
                <w:noProof/>
                <w:webHidden/>
              </w:rPr>
            </w:r>
            <w:r>
              <w:rPr>
                <w:noProof/>
                <w:webHidden/>
              </w:rPr>
              <w:fldChar w:fldCharType="separate"/>
            </w:r>
            <w:r>
              <w:rPr>
                <w:noProof/>
                <w:webHidden/>
              </w:rPr>
              <w:t>212</w:t>
            </w:r>
            <w:r>
              <w:rPr>
                <w:noProof/>
                <w:webHidden/>
              </w:rPr>
              <w:fldChar w:fldCharType="end"/>
            </w:r>
          </w:hyperlink>
        </w:p>
        <w:p w14:paraId="3006164B" w14:textId="6C4F8F73" w:rsidR="002C51B7" w:rsidRDefault="002C51B7">
          <w:pPr>
            <w:pStyle w:val="TOC2"/>
            <w:rPr>
              <w:rFonts w:eastAsiaTheme="minorEastAsia" w:cstheme="minorBidi"/>
              <w:b w:val="0"/>
              <w:bCs w:val="0"/>
              <w:smallCaps w:val="0"/>
              <w:sz w:val="24"/>
              <w:szCs w:val="24"/>
              <w14:ligatures w14:val="standardContextual"/>
            </w:rPr>
          </w:pPr>
          <w:hyperlink w:anchor="_Toc214722089" w:history="1">
            <w:r w:rsidRPr="009300E5">
              <w:rPr>
                <w:rStyle w:val="Hyperlink"/>
                <w:rFonts w:eastAsiaTheme="majorEastAsia"/>
              </w:rPr>
              <w:t>APPENDIX E: Statistical Tests and Assumptions</w:t>
            </w:r>
            <w:r>
              <w:rPr>
                <w:webHidden/>
              </w:rPr>
              <w:tab/>
            </w:r>
            <w:r>
              <w:rPr>
                <w:webHidden/>
              </w:rPr>
              <w:fldChar w:fldCharType="begin"/>
            </w:r>
            <w:r>
              <w:rPr>
                <w:webHidden/>
              </w:rPr>
              <w:instrText xml:space="preserve"> PAGEREF _Toc214722089 \h </w:instrText>
            </w:r>
            <w:r>
              <w:rPr>
                <w:webHidden/>
              </w:rPr>
            </w:r>
            <w:r>
              <w:rPr>
                <w:webHidden/>
              </w:rPr>
              <w:fldChar w:fldCharType="separate"/>
            </w:r>
            <w:r>
              <w:rPr>
                <w:webHidden/>
              </w:rPr>
              <w:t>213</w:t>
            </w:r>
            <w:r>
              <w:rPr>
                <w:webHidden/>
              </w:rPr>
              <w:fldChar w:fldCharType="end"/>
            </w:r>
          </w:hyperlink>
        </w:p>
        <w:p w14:paraId="749207D2" w14:textId="6892D505" w:rsidR="002C51B7" w:rsidRDefault="002C51B7">
          <w:pPr>
            <w:pStyle w:val="TOC3"/>
            <w:rPr>
              <w:rFonts w:eastAsiaTheme="minorEastAsia" w:cstheme="minorBidi"/>
              <w:i w:val="0"/>
              <w:iCs w:val="0"/>
              <w:noProof/>
              <w:sz w:val="24"/>
              <w:szCs w:val="24"/>
              <w14:ligatures w14:val="standardContextual"/>
            </w:rPr>
          </w:pPr>
          <w:hyperlink w:anchor="_Toc214722090" w:history="1">
            <w:r w:rsidRPr="009300E5">
              <w:rPr>
                <w:rStyle w:val="Hyperlink"/>
                <w:rFonts w:eastAsiaTheme="majorEastAsia"/>
                <w:noProof/>
              </w:rPr>
              <w:t>Table E.1: Primary Statistical Tests Employed</w:t>
            </w:r>
            <w:r>
              <w:rPr>
                <w:noProof/>
                <w:webHidden/>
              </w:rPr>
              <w:tab/>
            </w:r>
            <w:r>
              <w:rPr>
                <w:noProof/>
                <w:webHidden/>
              </w:rPr>
              <w:fldChar w:fldCharType="begin"/>
            </w:r>
            <w:r>
              <w:rPr>
                <w:noProof/>
                <w:webHidden/>
              </w:rPr>
              <w:instrText xml:space="preserve"> PAGEREF _Toc214722090 \h </w:instrText>
            </w:r>
            <w:r>
              <w:rPr>
                <w:noProof/>
                <w:webHidden/>
              </w:rPr>
            </w:r>
            <w:r>
              <w:rPr>
                <w:noProof/>
                <w:webHidden/>
              </w:rPr>
              <w:fldChar w:fldCharType="separate"/>
            </w:r>
            <w:r>
              <w:rPr>
                <w:noProof/>
                <w:webHidden/>
              </w:rPr>
              <w:t>213</w:t>
            </w:r>
            <w:r>
              <w:rPr>
                <w:noProof/>
                <w:webHidden/>
              </w:rPr>
              <w:fldChar w:fldCharType="end"/>
            </w:r>
          </w:hyperlink>
        </w:p>
        <w:p w14:paraId="2142F58F" w14:textId="63BB1528" w:rsidR="002C51B7" w:rsidRDefault="002C51B7">
          <w:pPr>
            <w:pStyle w:val="TOC3"/>
            <w:rPr>
              <w:rFonts w:eastAsiaTheme="minorEastAsia" w:cstheme="minorBidi"/>
              <w:i w:val="0"/>
              <w:iCs w:val="0"/>
              <w:noProof/>
              <w:sz w:val="24"/>
              <w:szCs w:val="24"/>
              <w14:ligatures w14:val="standardContextual"/>
            </w:rPr>
          </w:pPr>
          <w:hyperlink w:anchor="_Toc214722091" w:history="1">
            <w:r w:rsidRPr="009300E5">
              <w:rPr>
                <w:rStyle w:val="Hyperlink"/>
                <w:rFonts w:eastAsiaTheme="majorEastAsia"/>
                <w:noProof/>
              </w:rPr>
              <w:t>Data E.2: Sample Size and Power Calculations</w:t>
            </w:r>
            <w:r>
              <w:rPr>
                <w:noProof/>
                <w:webHidden/>
              </w:rPr>
              <w:tab/>
            </w:r>
            <w:r>
              <w:rPr>
                <w:noProof/>
                <w:webHidden/>
              </w:rPr>
              <w:fldChar w:fldCharType="begin"/>
            </w:r>
            <w:r>
              <w:rPr>
                <w:noProof/>
                <w:webHidden/>
              </w:rPr>
              <w:instrText xml:space="preserve"> PAGEREF _Toc214722091 \h </w:instrText>
            </w:r>
            <w:r>
              <w:rPr>
                <w:noProof/>
                <w:webHidden/>
              </w:rPr>
            </w:r>
            <w:r>
              <w:rPr>
                <w:noProof/>
                <w:webHidden/>
              </w:rPr>
              <w:fldChar w:fldCharType="separate"/>
            </w:r>
            <w:r>
              <w:rPr>
                <w:noProof/>
                <w:webHidden/>
              </w:rPr>
              <w:t>213</w:t>
            </w:r>
            <w:r>
              <w:rPr>
                <w:noProof/>
                <w:webHidden/>
              </w:rPr>
              <w:fldChar w:fldCharType="end"/>
            </w:r>
          </w:hyperlink>
        </w:p>
        <w:p w14:paraId="20D32294" w14:textId="55061C12" w:rsidR="002C51B7" w:rsidRDefault="002C51B7">
          <w:pPr>
            <w:pStyle w:val="TOC3"/>
            <w:rPr>
              <w:rFonts w:eastAsiaTheme="minorEastAsia" w:cstheme="minorBidi"/>
              <w:i w:val="0"/>
              <w:iCs w:val="0"/>
              <w:noProof/>
              <w:sz w:val="24"/>
              <w:szCs w:val="24"/>
              <w14:ligatures w14:val="standardContextual"/>
            </w:rPr>
          </w:pPr>
          <w:hyperlink w:anchor="_Toc214722092" w:history="1">
            <w:r w:rsidRPr="009300E5">
              <w:rPr>
                <w:rStyle w:val="Hyperlink"/>
                <w:rFonts w:eastAsiaTheme="majorEastAsia"/>
                <w:noProof/>
              </w:rPr>
              <w:t>Table E.3: Robustness Checks Performed</w:t>
            </w:r>
            <w:r>
              <w:rPr>
                <w:noProof/>
                <w:webHidden/>
              </w:rPr>
              <w:tab/>
            </w:r>
            <w:r>
              <w:rPr>
                <w:noProof/>
                <w:webHidden/>
              </w:rPr>
              <w:fldChar w:fldCharType="begin"/>
            </w:r>
            <w:r>
              <w:rPr>
                <w:noProof/>
                <w:webHidden/>
              </w:rPr>
              <w:instrText xml:space="preserve"> PAGEREF _Toc214722092 \h </w:instrText>
            </w:r>
            <w:r>
              <w:rPr>
                <w:noProof/>
                <w:webHidden/>
              </w:rPr>
            </w:r>
            <w:r>
              <w:rPr>
                <w:noProof/>
                <w:webHidden/>
              </w:rPr>
              <w:fldChar w:fldCharType="separate"/>
            </w:r>
            <w:r>
              <w:rPr>
                <w:noProof/>
                <w:webHidden/>
              </w:rPr>
              <w:t>214</w:t>
            </w:r>
            <w:r>
              <w:rPr>
                <w:noProof/>
                <w:webHidden/>
              </w:rPr>
              <w:fldChar w:fldCharType="end"/>
            </w:r>
          </w:hyperlink>
        </w:p>
        <w:p w14:paraId="5EE24102" w14:textId="67770D9B" w:rsidR="002C51B7" w:rsidRDefault="002C51B7">
          <w:pPr>
            <w:pStyle w:val="TOC3"/>
            <w:rPr>
              <w:rFonts w:eastAsiaTheme="minorEastAsia" w:cstheme="minorBidi"/>
              <w:i w:val="0"/>
              <w:iCs w:val="0"/>
              <w:noProof/>
              <w:sz w:val="24"/>
              <w:szCs w:val="24"/>
              <w14:ligatures w14:val="standardContextual"/>
            </w:rPr>
          </w:pPr>
          <w:hyperlink w:anchor="_Toc214722093" w:history="1">
            <w:r w:rsidRPr="009300E5">
              <w:rPr>
                <w:rStyle w:val="Hyperlink"/>
                <w:rFonts w:eastAsiaTheme="majorEastAsia"/>
                <w:noProof/>
              </w:rPr>
              <w:t>Table E.4: Missing Data Treatment</w:t>
            </w:r>
            <w:r>
              <w:rPr>
                <w:noProof/>
                <w:webHidden/>
              </w:rPr>
              <w:tab/>
            </w:r>
            <w:r>
              <w:rPr>
                <w:noProof/>
                <w:webHidden/>
              </w:rPr>
              <w:fldChar w:fldCharType="begin"/>
            </w:r>
            <w:r>
              <w:rPr>
                <w:noProof/>
                <w:webHidden/>
              </w:rPr>
              <w:instrText xml:space="preserve"> PAGEREF _Toc214722093 \h </w:instrText>
            </w:r>
            <w:r>
              <w:rPr>
                <w:noProof/>
                <w:webHidden/>
              </w:rPr>
            </w:r>
            <w:r>
              <w:rPr>
                <w:noProof/>
                <w:webHidden/>
              </w:rPr>
              <w:fldChar w:fldCharType="separate"/>
            </w:r>
            <w:r>
              <w:rPr>
                <w:noProof/>
                <w:webHidden/>
              </w:rPr>
              <w:t>214</w:t>
            </w:r>
            <w:r>
              <w:rPr>
                <w:noProof/>
                <w:webHidden/>
              </w:rPr>
              <w:fldChar w:fldCharType="end"/>
            </w:r>
          </w:hyperlink>
        </w:p>
        <w:p w14:paraId="28E4E13D" w14:textId="299375CF" w:rsidR="002C51B7" w:rsidRDefault="002C51B7">
          <w:pPr>
            <w:pStyle w:val="TOC2"/>
            <w:rPr>
              <w:rFonts w:eastAsiaTheme="minorEastAsia" w:cstheme="minorBidi"/>
              <w:b w:val="0"/>
              <w:bCs w:val="0"/>
              <w:smallCaps w:val="0"/>
              <w:sz w:val="24"/>
              <w:szCs w:val="24"/>
              <w14:ligatures w14:val="standardContextual"/>
            </w:rPr>
          </w:pPr>
          <w:hyperlink w:anchor="_Toc214722094" w:history="1">
            <w:r w:rsidRPr="009300E5">
              <w:rPr>
                <w:rStyle w:val="Hyperlink"/>
                <w:rFonts w:eastAsiaTheme="majorEastAsia"/>
              </w:rPr>
              <w:t>APPENDIX F: DeFi Risk Architecture</w:t>
            </w:r>
            <w:r>
              <w:rPr>
                <w:webHidden/>
              </w:rPr>
              <w:tab/>
            </w:r>
            <w:r>
              <w:rPr>
                <w:webHidden/>
              </w:rPr>
              <w:fldChar w:fldCharType="begin"/>
            </w:r>
            <w:r>
              <w:rPr>
                <w:webHidden/>
              </w:rPr>
              <w:instrText xml:space="preserve"> PAGEREF _Toc214722094 \h </w:instrText>
            </w:r>
            <w:r>
              <w:rPr>
                <w:webHidden/>
              </w:rPr>
            </w:r>
            <w:r>
              <w:rPr>
                <w:webHidden/>
              </w:rPr>
              <w:fldChar w:fldCharType="separate"/>
            </w:r>
            <w:r>
              <w:rPr>
                <w:webHidden/>
              </w:rPr>
              <w:t>216</w:t>
            </w:r>
            <w:r>
              <w:rPr>
                <w:webHidden/>
              </w:rPr>
              <w:fldChar w:fldCharType="end"/>
            </w:r>
          </w:hyperlink>
        </w:p>
        <w:p w14:paraId="6FA1B022" w14:textId="497F99F8" w:rsidR="002C51B7" w:rsidRDefault="002C51B7">
          <w:pPr>
            <w:pStyle w:val="TOC3"/>
            <w:rPr>
              <w:rFonts w:eastAsiaTheme="minorEastAsia" w:cstheme="minorBidi"/>
              <w:i w:val="0"/>
              <w:iCs w:val="0"/>
              <w:noProof/>
              <w:sz w:val="24"/>
              <w:szCs w:val="24"/>
              <w14:ligatures w14:val="standardContextual"/>
            </w:rPr>
          </w:pPr>
          <w:hyperlink w:anchor="_Toc214722095" w:history="1">
            <w:r w:rsidRPr="009300E5">
              <w:rPr>
                <w:rStyle w:val="Hyperlink"/>
                <w:rFonts w:eastAsiaTheme="majorEastAsia"/>
                <w:noProof/>
              </w:rPr>
              <w:t>Table F.1: Risk Correlation Regime Shift</w:t>
            </w:r>
            <w:r>
              <w:rPr>
                <w:noProof/>
                <w:webHidden/>
              </w:rPr>
              <w:tab/>
            </w:r>
            <w:r>
              <w:rPr>
                <w:noProof/>
                <w:webHidden/>
              </w:rPr>
              <w:fldChar w:fldCharType="begin"/>
            </w:r>
            <w:r>
              <w:rPr>
                <w:noProof/>
                <w:webHidden/>
              </w:rPr>
              <w:instrText xml:space="preserve"> PAGEREF _Toc214722095 \h </w:instrText>
            </w:r>
            <w:r>
              <w:rPr>
                <w:noProof/>
                <w:webHidden/>
              </w:rPr>
            </w:r>
            <w:r>
              <w:rPr>
                <w:noProof/>
                <w:webHidden/>
              </w:rPr>
              <w:fldChar w:fldCharType="separate"/>
            </w:r>
            <w:r>
              <w:rPr>
                <w:noProof/>
                <w:webHidden/>
              </w:rPr>
              <w:t>216</w:t>
            </w:r>
            <w:r>
              <w:rPr>
                <w:noProof/>
                <w:webHidden/>
              </w:rPr>
              <w:fldChar w:fldCharType="end"/>
            </w:r>
          </w:hyperlink>
        </w:p>
        <w:p w14:paraId="28EEF36D" w14:textId="7A02EE35" w:rsidR="002C51B7" w:rsidRDefault="002C51B7">
          <w:pPr>
            <w:pStyle w:val="TOC3"/>
            <w:rPr>
              <w:rFonts w:eastAsiaTheme="minorEastAsia" w:cstheme="minorBidi"/>
              <w:i w:val="0"/>
              <w:iCs w:val="0"/>
              <w:noProof/>
              <w:sz w:val="24"/>
              <w:szCs w:val="24"/>
              <w14:ligatures w14:val="standardContextual"/>
            </w:rPr>
          </w:pPr>
          <w:hyperlink w:anchor="_Toc214722096" w:history="1">
            <w:r w:rsidRPr="009300E5">
              <w:rPr>
                <w:rStyle w:val="Hyperlink"/>
                <w:rFonts w:eastAsiaTheme="majorEastAsia"/>
                <w:noProof/>
              </w:rPr>
              <w:t>Table F.2: Four Dominant Cascade Patterns</w:t>
            </w:r>
            <w:r>
              <w:rPr>
                <w:noProof/>
                <w:webHidden/>
              </w:rPr>
              <w:tab/>
            </w:r>
            <w:r>
              <w:rPr>
                <w:noProof/>
                <w:webHidden/>
              </w:rPr>
              <w:fldChar w:fldCharType="begin"/>
            </w:r>
            <w:r>
              <w:rPr>
                <w:noProof/>
                <w:webHidden/>
              </w:rPr>
              <w:instrText xml:space="preserve"> PAGEREF _Toc214722096 \h </w:instrText>
            </w:r>
            <w:r>
              <w:rPr>
                <w:noProof/>
                <w:webHidden/>
              </w:rPr>
            </w:r>
            <w:r>
              <w:rPr>
                <w:noProof/>
                <w:webHidden/>
              </w:rPr>
              <w:fldChar w:fldCharType="separate"/>
            </w:r>
            <w:r>
              <w:rPr>
                <w:noProof/>
                <w:webHidden/>
              </w:rPr>
              <w:t>216</w:t>
            </w:r>
            <w:r>
              <w:rPr>
                <w:noProof/>
                <w:webHidden/>
              </w:rPr>
              <w:fldChar w:fldCharType="end"/>
            </w:r>
          </w:hyperlink>
        </w:p>
        <w:p w14:paraId="71FD65CD" w14:textId="1443B389" w:rsidR="002C51B7" w:rsidRDefault="002C51B7">
          <w:pPr>
            <w:pStyle w:val="TOC3"/>
            <w:rPr>
              <w:rFonts w:eastAsiaTheme="minorEastAsia" w:cstheme="minorBidi"/>
              <w:i w:val="0"/>
              <w:iCs w:val="0"/>
              <w:noProof/>
              <w:sz w:val="24"/>
              <w:szCs w:val="24"/>
              <w14:ligatures w14:val="standardContextual"/>
            </w:rPr>
          </w:pPr>
          <w:hyperlink w:anchor="_Toc214722097" w:history="1">
            <w:r w:rsidRPr="009300E5">
              <w:rPr>
                <w:rStyle w:val="Hyperlink"/>
                <w:rFonts w:eastAsiaTheme="majorEastAsia"/>
                <w:noProof/>
              </w:rPr>
              <w:t>Table F.3: Contagion Velocity (Terra/Luna Model)</w:t>
            </w:r>
            <w:r>
              <w:rPr>
                <w:noProof/>
                <w:webHidden/>
              </w:rPr>
              <w:tab/>
            </w:r>
            <w:r>
              <w:rPr>
                <w:noProof/>
                <w:webHidden/>
              </w:rPr>
              <w:fldChar w:fldCharType="begin"/>
            </w:r>
            <w:r>
              <w:rPr>
                <w:noProof/>
                <w:webHidden/>
              </w:rPr>
              <w:instrText xml:space="preserve"> PAGEREF _Toc214722097 \h </w:instrText>
            </w:r>
            <w:r>
              <w:rPr>
                <w:noProof/>
                <w:webHidden/>
              </w:rPr>
            </w:r>
            <w:r>
              <w:rPr>
                <w:noProof/>
                <w:webHidden/>
              </w:rPr>
              <w:fldChar w:fldCharType="separate"/>
            </w:r>
            <w:r>
              <w:rPr>
                <w:noProof/>
                <w:webHidden/>
              </w:rPr>
              <w:t>216</w:t>
            </w:r>
            <w:r>
              <w:rPr>
                <w:noProof/>
                <w:webHidden/>
              </w:rPr>
              <w:fldChar w:fldCharType="end"/>
            </w:r>
          </w:hyperlink>
        </w:p>
        <w:p w14:paraId="21375512" w14:textId="55B7E261" w:rsidR="002C51B7" w:rsidRDefault="002C51B7">
          <w:pPr>
            <w:pStyle w:val="TOC3"/>
            <w:rPr>
              <w:rFonts w:eastAsiaTheme="minorEastAsia" w:cstheme="minorBidi"/>
              <w:i w:val="0"/>
              <w:iCs w:val="0"/>
              <w:noProof/>
              <w:sz w:val="24"/>
              <w:szCs w:val="24"/>
              <w14:ligatures w14:val="standardContextual"/>
            </w:rPr>
          </w:pPr>
          <w:hyperlink w:anchor="_Toc214722098" w:history="1">
            <w:r w:rsidRPr="009300E5">
              <w:rPr>
                <w:rStyle w:val="Hyperlink"/>
                <w:rFonts w:eastAsiaTheme="majorEastAsia"/>
                <w:noProof/>
              </w:rPr>
              <w:t>Table F.4: Risk-Adjusted Expected Returns</w:t>
            </w:r>
            <w:r>
              <w:rPr>
                <w:noProof/>
                <w:webHidden/>
              </w:rPr>
              <w:tab/>
            </w:r>
            <w:r>
              <w:rPr>
                <w:noProof/>
                <w:webHidden/>
              </w:rPr>
              <w:fldChar w:fldCharType="begin"/>
            </w:r>
            <w:r>
              <w:rPr>
                <w:noProof/>
                <w:webHidden/>
              </w:rPr>
              <w:instrText xml:space="preserve"> PAGEREF _Toc214722098 \h </w:instrText>
            </w:r>
            <w:r>
              <w:rPr>
                <w:noProof/>
                <w:webHidden/>
              </w:rPr>
            </w:r>
            <w:r>
              <w:rPr>
                <w:noProof/>
                <w:webHidden/>
              </w:rPr>
              <w:fldChar w:fldCharType="separate"/>
            </w:r>
            <w:r>
              <w:rPr>
                <w:noProof/>
                <w:webHidden/>
              </w:rPr>
              <w:t>216</w:t>
            </w:r>
            <w:r>
              <w:rPr>
                <w:noProof/>
                <w:webHidden/>
              </w:rPr>
              <w:fldChar w:fldCharType="end"/>
            </w:r>
          </w:hyperlink>
        </w:p>
        <w:p w14:paraId="62C76715" w14:textId="30E9A5B5" w:rsidR="002C51B7" w:rsidRDefault="002C51B7">
          <w:pPr>
            <w:pStyle w:val="TOC2"/>
            <w:rPr>
              <w:rFonts w:eastAsiaTheme="minorEastAsia" w:cstheme="minorBidi"/>
              <w:b w:val="0"/>
              <w:bCs w:val="0"/>
              <w:smallCaps w:val="0"/>
              <w:sz w:val="24"/>
              <w:szCs w:val="24"/>
              <w14:ligatures w14:val="standardContextual"/>
            </w:rPr>
          </w:pPr>
          <w:hyperlink w:anchor="_Toc214722099" w:history="1">
            <w:r w:rsidRPr="009300E5">
              <w:rPr>
                <w:rStyle w:val="Hyperlink"/>
                <w:rFonts w:eastAsiaTheme="majorEastAsia"/>
              </w:rPr>
              <w:t>GLOSSARY OF ABBREVIATIONS AND TECHNICAL TERMS</w:t>
            </w:r>
            <w:r>
              <w:rPr>
                <w:webHidden/>
              </w:rPr>
              <w:tab/>
            </w:r>
            <w:r>
              <w:rPr>
                <w:webHidden/>
              </w:rPr>
              <w:fldChar w:fldCharType="begin"/>
            </w:r>
            <w:r>
              <w:rPr>
                <w:webHidden/>
              </w:rPr>
              <w:instrText xml:space="preserve"> PAGEREF _Toc214722099 \h </w:instrText>
            </w:r>
            <w:r>
              <w:rPr>
                <w:webHidden/>
              </w:rPr>
            </w:r>
            <w:r>
              <w:rPr>
                <w:webHidden/>
              </w:rPr>
              <w:fldChar w:fldCharType="separate"/>
            </w:r>
            <w:r>
              <w:rPr>
                <w:webHidden/>
              </w:rPr>
              <w:t>218</w:t>
            </w:r>
            <w:r>
              <w:rPr>
                <w:webHidden/>
              </w:rPr>
              <w:fldChar w:fldCharType="end"/>
            </w:r>
          </w:hyperlink>
        </w:p>
        <w:p w14:paraId="16CA7EC7" w14:textId="6786CA89" w:rsidR="002C51B7" w:rsidRDefault="002C51B7">
          <w:pPr>
            <w:pStyle w:val="TOC3"/>
            <w:rPr>
              <w:rFonts w:eastAsiaTheme="minorEastAsia" w:cstheme="minorBidi"/>
              <w:i w:val="0"/>
              <w:iCs w:val="0"/>
              <w:noProof/>
              <w:sz w:val="24"/>
              <w:szCs w:val="24"/>
              <w14:ligatures w14:val="standardContextual"/>
            </w:rPr>
          </w:pPr>
          <w:hyperlink w:anchor="_Toc214722100" w:history="1">
            <w:r w:rsidRPr="009300E5">
              <w:rPr>
                <w:rStyle w:val="Hyperlink"/>
                <w:rFonts w:eastAsiaTheme="majorEastAsia"/>
                <w:noProof/>
              </w:rPr>
              <w:t>SECTION A: ABBREVIATIONS AND ACRONYMS</w:t>
            </w:r>
            <w:r>
              <w:rPr>
                <w:noProof/>
                <w:webHidden/>
              </w:rPr>
              <w:tab/>
            </w:r>
            <w:r>
              <w:rPr>
                <w:noProof/>
                <w:webHidden/>
              </w:rPr>
              <w:fldChar w:fldCharType="begin"/>
            </w:r>
            <w:r>
              <w:rPr>
                <w:noProof/>
                <w:webHidden/>
              </w:rPr>
              <w:instrText xml:space="preserve"> PAGEREF _Toc214722100 \h </w:instrText>
            </w:r>
            <w:r>
              <w:rPr>
                <w:noProof/>
                <w:webHidden/>
              </w:rPr>
            </w:r>
            <w:r>
              <w:rPr>
                <w:noProof/>
                <w:webHidden/>
              </w:rPr>
              <w:fldChar w:fldCharType="separate"/>
            </w:r>
            <w:r>
              <w:rPr>
                <w:noProof/>
                <w:webHidden/>
              </w:rPr>
              <w:t>218</w:t>
            </w:r>
            <w:r>
              <w:rPr>
                <w:noProof/>
                <w:webHidden/>
              </w:rPr>
              <w:fldChar w:fldCharType="end"/>
            </w:r>
          </w:hyperlink>
        </w:p>
        <w:p w14:paraId="716E4C37" w14:textId="724CA808" w:rsidR="002C51B7" w:rsidRDefault="002C51B7">
          <w:pPr>
            <w:pStyle w:val="TOC3"/>
            <w:rPr>
              <w:rFonts w:eastAsiaTheme="minorEastAsia" w:cstheme="minorBidi"/>
              <w:i w:val="0"/>
              <w:iCs w:val="0"/>
              <w:noProof/>
              <w:sz w:val="24"/>
              <w:szCs w:val="24"/>
              <w14:ligatures w14:val="standardContextual"/>
            </w:rPr>
          </w:pPr>
          <w:hyperlink w:anchor="_Toc214722101" w:history="1">
            <w:r w:rsidRPr="009300E5">
              <w:rPr>
                <w:rStyle w:val="Hyperlink"/>
                <w:rFonts w:eastAsiaTheme="majorEastAsia"/>
                <w:noProof/>
              </w:rPr>
              <w:t>SECTION B: TECHNICAL TERMS AND CONCEPTS</w:t>
            </w:r>
            <w:r>
              <w:rPr>
                <w:noProof/>
                <w:webHidden/>
              </w:rPr>
              <w:tab/>
            </w:r>
            <w:r>
              <w:rPr>
                <w:noProof/>
                <w:webHidden/>
              </w:rPr>
              <w:fldChar w:fldCharType="begin"/>
            </w:r>
            <w:r>
              <w:rPr>
                <w:noProof/>
                <w:webHidden/>
              </w:rPr>
              <w:instrText xml:space="preserve"> PAGEREF _Toc214722101 \h </w:instrText>
            </w:r>
            <w:r>
              <w:rPr>
                <w:noProof/>
                <w:webHidden/>
              </w:rPr>
            </w:r>
            <w:r>
              <w:rPr>
                <w:noProof/>
                <w:webHidden/>
              </w:rPr>
              <w:fldChar w:fldCharType="separate"/>
            </w:r>
            <w:r>
              <w:rPr>
                <w:noProof/>
                <w:webHidden/>
              </w:rPr>
              <w:t>221</w:t>
            </w:r>
            <w:r>
              <w:rPr>
                <w:noProof/>
                <w:webHidden/>
              </w:rPr>
              <w:fldChar w:fldCharType="end"/>
            </w:r>
          </w:hyperlink>
        </w:p>
        <w:p w14:paraId="2F6ED577" w14:textId="3785240B" w:rsidR="002C51B7" w:rsidRDefault="002C51B7">
          <w:pPr>
            <w:pStyle w:val="TOC3"/>
            <w:rPr>
              <w:rFonts w:eastAsiaTheme="minorEastAsia" w:cstheme="minorBidi"/>
              <w:i w:val="0"/>
              <w:iCs w:val="0"/>
              <w:noProof/>
              <w:sz w:val="24"/>
              <w:szCs w:val="24"/>
              <w14:ligatures w14:val="standardContextual"/>
            </w:rPr>
          </w:pPr>
          <w:hyperlink w:anchor="_Toc214722102" w:history="1">
            <w:r w:rsidRPr="009300E5">
              <w:rPr>
                <w:rStyle w:val="Hyperlink"/>
                <w:rFonts w:eastAsiaTheme="majorEastAsia"/>
                <w:noProof/>
              </w:rPr>
              <w:t>SECTION C: PROTOCOLS AND PLATFORMS</w:t>
            </w:r>
            <w:r>
              <w:rPr>
                <w:noProof/>
                <w:webHidden/>
              </w:rPr>
              <w:tab/>
            </w:r>
            <w:r>
              <w:rPr>
                <w:noProof/>
                <w:webHidden/>
              </w:rPr>
              <w:fldChar w:fldCharType="begin"/>
            </w:r>
            <w:r>
              <w:rPr>
                <w:noProof/>
                <w:webHidden/>
              </w:rPr>
              <w:instrText xml:space="preserve"> PAGEREF _Toc214722102 \h </w:instrText>
            </w:r>
            <w:r>
              <w:rPr>
                <w:noProof/>
                <w:webHidden/>
              </w:rPr>
            </w:r>
            <w:r>
              <w:rPr>
                <w:noProof/>
                <w:webHidden/>
              </w:rPr>
              <w:fldChar w:fldCharType="separate"/>
            </w:r>
            <w:r>
              <w:rPr>
                <w:noProof/>
                <w:webHidden/>
              </w:rPr>
              <w:t>230</w:t>
            </w:r>
            <w:r>
              <w:rPr>
                <w:noProof/>
                <w:webHidden/>
              </w:rPr>
              <w:fldChar w:fldCharType="end"/>
            </w:r>
          </w:hyperlink>
        </w:p>
        <w:p w14:paraId="49FFF6E5" w14:textId="56FDAF2E" w:rsidR="002C51B7" w:rsidRDefault="002C51B7">
          <w:pPr>
            <w:pStyle w:val="TOC3"/>
            <w:rPr>
              <w:rFonts w:eastAsiaTheme="minorEastAsia" w:cstheme="minorBidi"/>
              <w:i w:val="0"/>
              <w:iCs w:val="0"/>
              <w:noProof/>
              <w:sz w:val="24"/>
              <w:szCs w:val="24"/>
              <w14:ligatures w14:val="standardContextual"/>
            </w:rPr>
          </w:pPr>
          <w:hyperlink w:anchor="_Toc214722103" w:history="1">
            <w:r w:rsidRPr="009300E5">
              <w:rPr>
                <w:rStyle w:val="Hyperlink"/>
                <w:rFonts w:eastAsiaTheme="majorEastAsia"/>
                <w:noProof/>
              </w:rPr>
              <w:t>SECTION D: RESEARCH AND STATISTICAL TERMS</w:t>
            </w:r>
            <w:r>
              <w:rPr>
                <w:noProof/>
                <w:webHidden/>
              </w:rPr>
              <w:tab/>
            </w:r>
            <w:r>
              <w:rPr>
                <w:noProof/>
                <w:webHidden/>
              </w:rPr>
              <w:fldChar w:fldCharType="begin"/>
            </w:r>
            <w:r>
              <w:rPr>
                <w:noProof/>
                <w:webHidden/>
              </w:rPr>
              <w:instrText xml:space="preserve"> PAGEREF _Toc214722103 \h </w:instrText>
            </w:r>
            <w:r>
              <w:rPr>
                <w:noProof/>
                <w:webHidden/>
              </w:rPr>
            </w:r>
            <w:r>
              <w:rPr>
                <w:noProof/>
                <w:webHidden/>
              </w:rPr>
              <w:fldChar w:fldCharType="separate"/>
            </w:r>
            <w:r>
              <w:rPr>
                <w:noProof/>
                <w:webHidden/>
              </w:rPr>
              <w:t>233</w:t>
            </w:r>
            <w:r>
              <w:rPr>
                <w:noProof/>
                <w:webHidden/>
              </w:rPr>
              <w:fldChar w:fldCharType="end"/>
            </w:r>
          </w:hyperlink>
        </w:p>
        <w:p w14:paraId="7BAF7FA9" w14:textId="0B5E77CF" w:rsidR="002C51B7" w:rsidRDefault="002C51B7">
          <w:pPr>
            <w:pStyle w:val="TOC3"/>
            <w:rPr>
              <w:rFonts w:eastAsiaTheme="minorEastAsia" w:cstheme="minorBidi"/>
              <w:i w:val="0"/>
              <w:iCs w:val="0"/>
              <w:noProof/>
              <w:sz w:val="24"/>
              <w:szCs w:val="24"/>
              <w14:ligatures w14:val="standardContextual"/>
            </w:rPr>
          </w:pPr>
          <w:hyperlink w:anchor="_Toc214722104" w:history="1">
            <w:r w:rsidRPr="009300E5">
              <w:rPr>
                <w:rStyle w:val="Hyperlink"/>
                <w:rFonts w:eastAsiaTheme="majorEastAsia"/>
                <w:noProof/>
              </w:rPr>
              <w:t>SECTION E: THEORETICAL FRAMEWORKS DEVELOPED IN THIS RESEARCH</w:t>
            </w:r>
            <w:r>
              <w:rPr>
                <w:noProof/>
                <w:webHidden/>
              </w:rPr>
              <w:tab/>
            </w:r>
            <w:r>
              <w:rPr>
                <w:noProof/>
                <w:webHidden/>
              </w:rPr>
              <w:fldChar w:fldCharType="begin"/>
            </w:r>
            <w:r>
              <w:rPr>
                <w:noProof/>
                <w:webHidden/>
              </w:rPr>
              <w:instrText xml:space="preserve"> PAGEREF _Toc214722104 \h </w:instrText>
            </w:r>
            <w:r>
              <w:rPr>
                <w:noProof/>
                <w:webHidden/>
              </w:rPr>
            </w:r>
            <w:r>
              <w:rPr>
                <w:noProof/>
                <w:webHidden/>
              </w:rPr>
              <w:fldChar w:fldCharType="separate"/>
            </w:r>
            <w:r>
              <w:rPr>
                <w:noProof/>
                <w:webHidden/>
              </w:rPr>
              <w:t>235</w:t>
            </w:r>
            <w:r>
              <w:rPr>
                <w:noProof/>
                <w:webHidden/>
              </w:rPr>
              <w:fldChar w:fldCharType="end"/>
            </w:r>
          </w:hyperlink>
        </w:p>
        <w:p w14:paraId="16C179BF" w14:textId="69931A36" w:rsidR="002C51B7" w:rsidRDefault="002C51B7">
          <w:pPr>
            <w:pStyle w:val="TOC1"/>
            <w:tabs>
              <w:tab w:val="right" w:leader="dot" w:pos="9350"/>
            </w:tabs>
            <w:rPr>
              <w:rFonts w:eastAsiaTheme="minorEastAsia" w:cstheme="minorBidi"/>
              <w:b w:val="0"/>
              <w:bCs w:val="0"/>
              <w:caps w:val="0"/>
              <w:noProof/>
              <w:sz w:val="24"/>
              <w:szCs w:val="24"/>
              <w14:ligatures w14:val="standardContextual"/>
            </w:rPr>
          </w:pPr>
          <w:hyperlink w:anchor="_Toc214722105" w:history="1">
            <w:r w:rsidRPr="009300E5">
              <w:rPr>
                <w:rStyle w:val="Hyperlink"/>
                <w:rFonts w:eastAsiaTheme="majorEastAsia"/>
                <w:noProof/>
              </w:rPr>
              <w:t>Bibliography</w:t>
            </w:r>
            <w:r>
              <w:rPr>
                <w:noProof/>
                <w:webHidden/>
              </w:rPr>
              <w:tab/>
            </w:r>
            <w:r>
              <w:rPr>
                <w:noProof/>
                <w:webHidden/>
              </w:rPr>
              <w:fldChar w:fldCharType="begin"/>
            </w:r>
            <w:r>
              <w:rPr>
                <w:noProof/>
                <w:webHidden/>
              </w:rPr>
              <w:instrText xml:space="preserve"> PAGEREF _Toc214722105 \h </w:instrText>
            </w:r>
            <w:r>
              <w:rPr>
                <w:noProof/>
                <w:webHidden/>
              </w:rPr>
            </w:r>
            <w:r>
              <w:rPr>
                <w:noProof/>
                <w:webHidden/>
              </w:rPr>
              <w:fldChar w:fldCharType="separate"/>
            </w:r>
            <w:r>
              <w:rPr>
                <w:noProof/>
                <w:webHidden/>
              </w:rPr>
              <w:t>236</w:t>
            </w:r>
            <w:r>
              <w:rPr>
                <w:noProof/>
                <w:webHidden/>
              </w:rPr>
              <w:fldChar w:fldCharType="end"/>
            </w:r>
          </w:hyperlink>
        </w:p>
        <w:p w14:paraId="176857E6" w14:textId="73340589" w:rsidR="002C51B7" w:rsidRDefault="002C51B7">
          <w:pPr>
            <w:pStyle w:val="TOC2"/>
            <w:rPr>
              <w:rFonts w:eastAsiaTheme="minorEastAsia" w:cstheme="minorBidi"/>
              <w:b w:val="0"/>
              <w:bCs w:val="0"/>
              <w:smallCaps w:val="0"/>
              <w:sz w:val="24"/>
              <w:szCs w:val="24"/>
              <w14:ligatures w14:val="standardContextual"/>
            </w:rPr>
          </w:pPr>
          <w:hyperlink w:anchor="_Toc214722106" w:history="1">
            <w:r w:rsidRPr="009300E5">
              <w:rPr>
                <w:rStyle w:val="Hyperlink"/>
                <w:rFonts w:eastAsiaTheme="majorEastAsia"/>
              </w:rPr>
              <w:t>Protocol and Platform Documentation</w:t>
            </w:r>
            <w:r>
              <w:rPr>
                <w:webHidden/>
              </w:rPr>
              <w:tab/>
            </w:r>
            <w:r>
              <w:rPr>
                <w:webHidden/>
              </w:rPr>
              <w:fldChar w:fldCharType="begin"/>
            </w:r>
            <w:r>
              <w:rPr>
                <w:webHidden/>
              </w:rPr>
              <w:instrText xml:space="preserve"> PAGEREF _Toc214722106 \h </w:instrText>
            </w:r>
            <w:r>
              <w:rPr>
                <w:webHidden/>
              </w:rPr>
            </w:r>
            <w:r>
              <w:rPr>
                <w:webHidden/>
              </w:rPr>
              <w:fldChar w:fldCharType="separate"/>
            </w:r>
            <w:r>
              <w:rPr>
                <w:webHidden/>
              </w:rPr>
              <w:t>253</w:t>
            </w:r>
            <w:r>
              <w:rPr>
                <w:webHidden/>
              </w:rPr>
              <w:fldChar w:fldCharType="end"/>
            </w:r>
          </w:hyperlink>
        </w:p>
        <w:p w14:paraId="0D18B0CA" w14:textId="1900DF49" w:rsidR="0037067F" w:rsidRDefault="0037067F" w:rsidP="0037067F">
          <w:pPr>
            <w:rPr>
              <w:bCs/>
              <w:noProof/>
            </w:rPr>
          </w:pPr>
          <w:r>
            <w:rPr>
              <w:b/>
              <w:bCs/>
              <w:noProof/>
            </w:rPr>
            <w:fldChar w:fldCharType="end"/>
          </w:r>
        </w:p>
      </w:sdtContent>
    </w:sdt>
    <w:p w14:paraId="3ED8F76E" w14:textId="599AA7FB" w:rsidR="002C19BA" w:rsidRDefault="002C19BA">
      <w:pPr>
        <w:spacing w:after="200" w:line="276" w:lineRule="auto"/>
        <w:rPr>
          <w:rFonts w:eastAsiaTheme="majorEastAsia"/>
          <w:b/>
          <w:sz w:val="32"/>
        </w:rPr>
      </w:pPr>
      <w:r>
        <w:rPr>
          <w:rFonts w:eastAsiaTheme="majorEastAsia"/>
        </w:rPr>
        <w:br w:type="page"/>
      </w:r>
    </w:p>
    <w:p w14:paraId="369EC55D" w14:textId="3725C3E5" w:rsidR="000F3578" w:rsidRPr="003C66A0" w:rsidRDefault="000F3578" w:rsidP="00E67B44">
      <w:pPr>
        <w:pStyle w:val="Heading1"/>
        <w:jc w:val="center"/>
        <w:rPr>
          <w:rFonts w:eastAsiaTheme="majorEastAsia"/>
        </w:rPr>
      </w:pPr>
      <w:bookmarkStart w:id="3" w:name="_Toc214721809"/>
      <w:r w:rsidRPr="003C66A0">
        <w:rPr>
          <w:rFonts w:eastAsiaTheme="majorEastAsia"/>
        </w:rPr>
        <w:lastRenderedPageBreak/>
        <w:t>CHAPTER 1: INTRODUCTION</w:t>
      </w:r>
      <w:bookmarkEnd w:id="3"/>
    </w:p>
    <w:p w14:paraId="47646CE5" w14:textId="77777777" w:rsidR="00245769" w:rsidRDefault="00245769" w:rsidP="00E67B44">
      <w:pPr>
        <w:jc w:val="both"/>
        <w:rPr>
          <w:rFonts w:eastAsiaTheme="majorEastAsia"/>
          <w:b/>
          <w:bCs/>
          <w:color w:val="000000" w:themeColor="text1"/>
        </w:rPr>
      </w:pPr>
    </w:p>
    <w:p w14:paraId="35CF1A56" w14:textId="77777777" w:rsidR="00A80D43" w:rsidRDefault="00A80D43" w:rsidP="00E67B44">
      <w:pPr>
        <w:jc w:val="both"/>
        <w:rPr>
          <w:rFonts w:eastAsiaTheme="majorEastAsia"/>
          <w:b/>
          <w:bCs/>
          <w:color w:val="000000" w:themeColor="text1"/>
        </w:rPr>
      </w:pPr>
    </w:p>
    <w:p w14:paraId="0406590E" w14:textId="17AC4875" w:rsidR="000F3578" w:rsidRPr="003C66A0" w:rsidRDefault="000F3578" w:rsidP="00E67B44">
      <w:pPr>
        <w:pStyle w:val="Heading2"/>
        <w:rPr>
          <w:rFonts w:eastAsiaTheme="majorEastAsia"/>
        </w:rPr>
      </w:pPr>
      <w:bookmarkStart w:id="4" w:name="_Toc214721810"/>
      <w:r w:rsidRPr="003C66A0">
        <w:rPr>
          <w:rFonts w:eastAsiaTheme="majorEastAsia"/>
        </w:rPr>
        <w:t>1.1 Abstract</w:t>
      </w:r>
      <w:bookmarkEnd w:id="4"/>
    </w:p>
    <w:p w14:paraId="548173C0" w14:textId="77777777" w:rsidR="00464298" w:rsidRPr="003C66A0" w:rsidRDefault="00464298" w:rsidP="00E67B44">
      <w:pPr>
        <w:jc w:val="both"/>
        <w:rPr>
          <w:color w:val="000000" w:themeColor="text1"/>
        </w:rPr>
      </w:pPr>
      <w:r w:rsidRPr="003C66A0">
        <w:rPr>
          <w:color w:val="000000" w:themeColor="text1"/>
        </w:rPr>
        <w:t xml:space="preserve">This dissertation analyzes passive income opportunities in cryptocurrency via a mixed-methods study of decentralized finance (DeFi) participants from 2020 to 2024. This study examines 156 liquidity positions over a minimum duration of 90 days, analyzes 3.27 million transactions from six decentralized exchanges, and includes semi-structured interviews with 27 practitioners in the DeFi sector. </w:t>
      </w:r>
    </w:p>
    <w:p w14:paraId="3C24FFB8" w14:textId="77777777" w:rsidR="00B10E98" w:rsidRPr="003C66A0" w:rsidRDefault="00B10E98" w:rsidP="00E67B44">
      <w:pPr>
        <w:jc w:val="both"/>
        <w:rPr>
          <w:color w:val="000000" w:themeColor="text1"/>
        </w:rPr>
      </w:pPr>
    </w:p>
    <w:p w14:paraId="05427A90" w14:textId="4E38FDC5" w:rsidR="00464298" w:rsidRPr="003C66A0" w:rsidRDefault="00464298" w:rsidP="00E67B44">
      <w:pPr>
        <w:jc w:val="both"/>
        <w:rPr>
          <w:color w:val="000000" w:themeColor="text1"/>
        </w:rPr>
      </w:pPr>
      <w:r w:rsidRPr="003C66A0">
        <w:rPr>
          <w:color w:val="000000" w:themeColor="text1"/>
        </w:rPr>
        <w:t xml:space="preserve">For </w:t>
      </w:r>
      <w:proofErr w:type="gramStart"/>
      <w:r w:rsidRPr="003C66A0">
        <w:rPr>
          <w:color w:val="000000" w:themeColor="text1"/>
        </w:rPr>
        <w:t>this</w:t>
      </w:r>
      <w:proofErr w:type="gramEnd"/>
      <w:r w:rsidRPr="003C66A0">
        <w:rPr>
          <w:color w:val="000000" w:themeColor="text1"/>
        </w:rPr>
        <w:t xml:space="preserve"> purposive sampling was used to achieve maximum variation across capital levels ($500-$100,000+), protocols, and market conditions. Using this approach restricts statistical generalization to wider populations but facilitates analytical generalization regarding the mechanisms and conditions influencing DeFi participation results. In my sample, around </w:t>
      </w:r>
      <w:r w:rsidR="00DF0BD9" w:rsidRPr="00DF0BD9">
        <w:rPr>
          <w:color w:val="000000" w:themeColor="text1"/>
        </w:rPr>
        <w:t>73% (95% CI: 65%-80%; accounting for survivorship bias: likely 73-90%)</w:t>
      </w:r>
      <w:r w:rsidR="00DF0BD9">
        <w:rPr>
          <w:color w:val="000000" w:themeColor="text1"/>
        </w:rPr>
        <w:t xml:space="preserve"> </w:t>
      </w:r>
      <w:r w:rsidRPr="003C66A0">
        <w:rPr>
          <w:color w:val="000000" w:themeColor="text1"/>
        </w:rPr>
        <w:t>positions were found to be unprofitable when considering gas fees, impermanent loss, and overall operational costs. Of the 27% of participants who achieved positive returns were not randomly distributed; they were concentrated among those who met three criteria: capital exceeding network-specific thresholds, technical competence aligned with strategy complexity, and a time commitment of about 15-20 hours per week.</w:t>
      </w:r>
    </w:p>
    <w:p w14:paraId="3E7F4A06" w14:textId="77777777" w:rsidR="00B10E98" w:rsidRPr="003C66A0" w:rsidRDefault="00B10E98" w:rsidP="00E67B44">
      <w:pPr>
        <w:jc w:val="both"/>
        <w:rPr>
          <w:color w:val="000000" w:themeColor="text1"/>
        </w:rPr>
      </w:pPr>
    </w:p>
    <w:p w14:paraId="62648E06" w14:textId="77777777" w:rsidR="00464298" w:rsidRPr="003C66A0" w:rsidRDefault="00464298" w:rsidP="00E67B44">
      <w:pPr>
        <w:jc w:val="both"/>
        <w:rPr>
          <w:color w:val="000000" w:themeColor="text1"/>
        </w:rPr>
      </w:pPr>
      <w:r w:rsidRPr="003C66A0">
        <w:rPr>
          <w:color w:val="000000" w:themeColor="text1"/>
        </w:rPr>
        <w:t xml:space="preserve">During this study it was clear to delineate network-specific capital requirements via break-even analysis. To cover operational costs, Ethereum </w:t>
      </w:r>
      <w:proofErr w:type="spellStart"/>
      <w:r w:rsidRPr="003C66A0">
        <w:rPr>
          <w:color w:val="000000" w:themeColor="text1"/>
        </w:rPr>
        <w:t>mainnet</w:t>
      </w:r>
      <w:proofErr w:type="spellEnd"/>
      <w:r w:rsidRPr="003C66A0">
        <w:rPr>
          <w:color w:val="000000" w:themeColor="text1"/>
        </w:rPr>
        <w:t xml:space="preserve"> positions required an investment of around $25,000, with a range of $18,000 to $31,000 depending on gas prices. Layer-2 (L2) solutions, exemplified by </w:t>
      </w:r>
      <w:proofErr w:type="spellStart"/>
      <w:r w:rsidRPr="003C66A0">
        <w:rPr>
          <w:color w:val="000000" w:themeColor="text1"/>
        </w:rPr>
        <w:t>Arbitrum</w:t>
      </w:r>
      <w:proofErr w:type="spellEnd"/>
      <w:r w:rsidRPr="003C66A0">
        <w:rPr>
          <w:color w:val="000000" w:themeColor="text1"/>
        </w:rPr>
        <w:t xml:space="preserve">, demonstrated viability at approximately $3,500 (±$1,000), while alternative crypto like Polygon facilitated profitable positions starting from $750 (±$250). The thresholds were derived from mathematical analysis and relationships between fixed costs and fee generation rates observed during the study period. </w:t>
      </w:r>
    </w:p>
    <w:p w14:paraId="46A9605C" w14:textId="77777777" w:rsidR="00464298" w:rsidRPr="003C66A0" w:rsidRDefault="00464298" w:rsidP="00E67B44">
      <w:pPr>
        <w:jc w:val="both"/>
        <w:rPr>
          <w:color w:val="000000" w:themeColor="text1"/>
        </w:rPr>
      </w:pPr>
    </w:p>
    <w:p w14:paraId="4D0E8DD2" w14:textId="7E1F268B" w:rsidR="00295A2E" w:rsidRDefault="00464298" w:rsidP="00E67B44">
      <w:pPr>
        <w:jc w:val="both"/>
        <w:rPr>
          <w:color w:val="000000" w:themeColor="text1"/>
        </w:rPr>
      </w:pPr>
      <w:r w:rsidRPr="003C66A0">
        <w:rPr>
          <w:color w:val="000000" w:themeColor="text1"/>
        </w:rPr>
        <w:t xml:space="preserve">For the risk analysis, the study indicates that 12.2% of the positions in the sample encountered protocol-level incidents on a quarterly basis. It is estimated that an annual incident probability of 35-45% for participants under comparable market conditions, utilizing survival analysis that accounts for temporal clustering and contagion effects is realistic. However, this range shows an uncertainty due to my restricted observation period and the non-stationary characteristics of cryptocurrency markets in general. </w:t>
      </w:r>
    </w:p>
    <w:p w14:paraId="5E3038A2" w14:textId="77777777" w:rsidR="00C976C1" w:rsidRPr="003C66A0" w:rsidRDefault="00C976C1" w:rsidP="00E67B44">
      <w:pPr>
        <w:jc w:val="both"/>
        <w:rPr>
          <w:color w:val="000000" w:themeColor="text1"/>
        </w:rPr>
      </w:pPr>
    </w:p>
    <w:p w14:paraId="29DDC8BA" w14:textId="01F799C2" w:rsidR="007D7BD0" w:rsidRDefault="007D7BD0" w:rsidP="00E67B44">
      <w:pPr>
        <w:jc w:val="both"/>
        <w:rPr>
          <w:color w:val="000000" w:themeColor="text1"/>
        </w:rPr>
      </w:pPr>
      <w:r w:rsidRPr="00986D7F">
        <w:rPr>
          <w:color w:val="000000" w:themeColor="text1"/>
        </w:rPr>
        <w:t xml:space="preserve">The results show that DeFi has created new avenues for financial participation rather than facilitating democratization. </w:t>
      </w:r>
      <w:r w:rsidR="00986D7F" w:rsidRPr="00986D7F">
        <w:rPr>
          <w:color w:val="000000" w:themeColor="text1"/>
        </w:rPr>
        <w:t>The t</w:t>
      </w:r>
      <w:r w:rsidRPr="00986D7F">
        <w:rPr>
          <w:color w:val="000000" w:themeColor="text1"/>
        </w:rPr>
        <w:t xml:space="preserve">echnical barriers like gas optimization and impermanent loss management have replaced institutional ones </w:t>
      </w:r>
      <w:r w:rsidR="00986D7F" w:rsidRPr="00986D7F">
        <w:rPr>
          <w:color w:val="000000" w:themeColor="text1"/>
        </w:rPr>
        <w:t>that required</w:t>
      </w:r>
      <w:r w:rsidRPr="00986D7F">
        <w:rPr>
          <w:color w:val="000000" w:themeColor="text1"/>
        </w:rPr>
        <w:t xml:space="preserve"> minimum investments and</w:t>
      </w:r>
      <w:r w:rsidR="00986D7F" w:rsidRPr="00986D7F">
        <w:rPr>
          <w:color w:val="000000" w:themeColor="text1"/>
        </w:rPr>
        <w:t xml:space="preserve">/or set </w:t>
      </w:r>
      <w:r w:rsidRPr="00986D7F">
        <w:rPr>
          <w:color w:val="000000" w:themeColor="text1"/>
        </w:rPr>
        <w:t>accreditation restrictions. Although many participants overestimated the necessary operational commitments, my analysis showed that stablecoin liquidity provision using Layer 2 networks produced annual profits of 4-8%.</w:t>
      </w:r>
    </w:p>
    <w:p w14:paraId="75724B60" w14:textId="77777777" w:rsidR="00C976C1" w:rsidRPr="00986D7F" w:rsidRDefault="00C976C1" w:rsidP="00E67B44">
      <w:pPr>
        <w:jc w:val="both"/>
        <w:rPr>
          <w:color w:val="000000" w:themeColor="text1"/>
        </w:rPr>
      </w:pPr>
    </w:p>
    <w:p w14:paraId="76155144" w14:textId="663783D9" w:rsidR="00C92DCD" w:rsidRPr="00E81DAD" w:rsidRDefault="007D7BD0" w:rsidP="00E67B44">
      <w:pPr>
        <w:jc w:val="both"/>
        <w:rPr>
          <w:color w:val="000000" w:themeColor="text1"/>
        </w:rPr>
      </w:pPr>
      <w:r w:rsidRPr="00E81DAD">
        <w:rPr>
          <w:color w:val="000000" w:themeColor="text1"/>
        </w:rPr>
        <w:t xml:space="preserve">These findings </w:t>
      </w:r>
      <w:r w:rsidR="00986D7F" w:rsidRPr="00E81DAD">
        <w:rPr>
          <w:color w:val="000000" w:themeColor="text1"/>
        </w:rPr>
        <w:t xml:space="preserve">show </w:t>
      </w:r>
      <w:r w:rsidRPr="00E81DAD">
        <w:rPr>
          <w:color w:val="000000" w:themeColor="text1"/>
        </w:rPr>
        <w:t>significant implications across three domains. For policymakers, the documented 73% failure rate and 35-45% annual loss probability suggest that consumer protection frameworks designed for traditional finance may be inadequate for DeFi participation</w:t>
      </w:r>
      <w:r w:rsidR="00986D7F" w:rsidRPr="00E81DAD">
        <w:rPr>
          <w:color w:val="000000" w:themeColor="text1"/>
        </w:rPr>
        <w:t>. This may require specific</w:t>
      </w:r>
      <w:r w:rsidRPr="00E81DAD">
        <w:rPr>
          <w:color w:val="000000" w:themeColor="text1"/>
        </w:rPr>
        <w:t xml:space="preserve"> disclosure requirements that emphasize operational complexity alongside financial risk. For practitioners, the identification of network-specific capital thresholds provides evidence-</w:t>
      </w:r>
      <w:r w:rsidRPr="00E81DAD">
        <w:rPr>
          <w:color w:val="000000" w:themeColor="text1"/>
        </w:rPr>
        <w:lastRenderedPageBreak/>
        <w:t>based entry criteria</w:t>
      </w:r>
      <w:r w:rsidR="00986D7F" w:rsidRPr="00E81DAD">
        <w:rPr>
          <w:color w:val="000000" w:themeColor="text1"/>
        </w:rPr>
        <w:t>. And</w:t>
      </w:r>
      <w:r w:rsidRPr="00E81DAD">
        <w:rPr>
          <w:color w:val="000000" w:themeColor="text1"/>
        </w:rPr>
        <w:t xml:space="preserve"> that challenge</w:t>
      </w:r>
      <w:r w:rsidR="00986D7F" w:rsidRPr="00E81DAD">
        <w:rPr>
          <w:color w:val="000000" w:themeColor="text1"/>
        </w:rPr>
        <w:t xml:space="preserve">s </w:t>
      </w:r>
      <w:r w:rsidRPr="00E81DAD">
        <w:rPr>
          <w:color w:val="000000" w:themeColor="text1"/>
        </w:rPr>
        <w:t>the prevailing 'anyone can participate' narrative</w:t>
      </w:r>
      <w:r w:rsidR="00986D7F" w:rsidRPr="00E81DAD">
        <w:rPr>
          <w:color w:val="000000" w:themeColor="text1"/>
        </w:rPr>
        <w:t xml:space="preserve"> we are seeing across media. This suggests</w:t>
      </w:r>
      <w:r w:rsidRPr="00E81DAD">
        <w:rPr>
          <w:color w:val="000000" w:themeColor="text1"/>
        </w:rPr>
        <w:t xml:space="preserve"> that platform operators should implement capability assessments before enabling complex strategies</w:t>
      </w:r>
      <w:r w:rsidR="00986D7F" w:rsidRPr="00E81DAD">
        <w:rPr>
          <w:color w:val="000000" w:themeColor="text1"/>
        </w:rPr>
        <w:t xml:space="preserve"> to anyone who wishes to participate.</w:t>
      </w:r>
      <w:r w:rsidRPr="00E81DAD">
        <w:rPr>
          <w:color w:val="000000" w:themeColor="text1"/>
        </w:rPr>
        <w:t xml:space="preserve"> Theoretically, this research extends financial intermediation theory by demonstrating that disintermediation does not eliminate barriers but transforms them from institutional to technical forms</w:t>
      </w:r>
      <w:r w:rsidR="00E81DAD" w:rsidRPr="00E81DAD">
        <w:rPr>
          <w:color w:val="000000" w:themeColor="text1"/>
        </w:rPr>
        <w:t>.</w:t>
      </w:r>
    </w:p>
    <w:p w14:paraId="0DE85805" w14:textId="77777777" w:rsidR="00C976C1" w:rsidRDefault="00C976C1" w:rsidP="00E67B44">
      <w:pPr>
        <w:pStyle w:val="Heading2"/>
        <w:rPr>
          <w:rFonts w:eastAsiaTheme="majorEastAsia"/>
        </w:rPr>
      </w:pPr>
      <w:bookmarkStart w:id="5" w:name="_Toc214721811"/>
    </w:p>
    <w:p w14:paraId="5164F1C8" w14:textId="3CC28801" w:rsidR="00167281" w:rsidRPr="003C66A0" w:rsidRDefault="00167281" w:rsidP="00E67B44">
      <w:pPr>
        <w:pStyle w:val="Heading2"/>
        <w:rPr>
          <w:rFonts w:eastAsiaTheme="majorEastAsia"/>
        </w:rPr>
      </w:pPr>
      <w:r w:rsidRPr="003C66A0">
        <w:rPr>
          <w:rFonts w:eastAsiaTheme="majorEastAsia"/>
        </w:rPr>
        <w:t>1.2 Ethical Considerations</w:t>
      </w:r>
      <w:bookmarkEnd w:id="5"/>
    </w:p>
    <w:p w14:paraId="0084AAB8" w14:textId="336FE7A5" w:rsidR="00B2481E" w:rsidRPr="003C66A0" w:rsidRDefault="0011132F" w:rsidP="00E67B44">
      <w:pPr>
        <w:jc w:val="both"/>
        <w:rPr>
          <w:color w:val="000000" w:themeColor="text1"/>
        </w:rPr>
      </w:pPr>
      <w:r w:rsidRPr="003C66A0">
        <w:rPr>
          <w:color w:val="000000" w:themeColor="text1"/>
        </w:rPr>
        <w:t>This research was conducted on voluntary basis and participants were recruited via personal network and social media platform groups. All participants provided informed consent (Kvale &amp; Brinkmann, 2009). No funding was received from cryptocurrency organizations, and no research participants were compensated for their time.</w:t>
      </w:r>
    </w:p>
    <w:p w14:paraId="6F07F82E" w14:textId="77777777" w:rsidR="0011132F" w:rsidRPr="003C66A0" w:rsidRDefault="0011132F" w:rsidP="00E67B44">
      <w:pPr>
        <w:jc w:val="both"/>
        <w:rPr>
          <w:color w:val="000000" w:themeColor="text1"/>
        </w:rPr>
      </w:pPr>
    </w:p>
    <w:p w14:paraId="615324CB" w14:textId="22BB5B02" w:rsidR="000F3578" w:rsidRPr="003C66A0" w:rsidRDefault="000F3578" w:rsidP="00E67B44">
      <w:pPr>
        <w:pStyle w:val="Heading2"/>
        <w:rPr>
          <w:rFonts w:eastAsiaTheme="majorEastAsia"/>
        </w:rPr>
      </w:pPr>
      <w:bookmarkStart w:id="6" w:name="_Toc214721812"/>
      <w:r w:rsidRPr="003C66A0">
        <w:rPr>
          <w:rFonts w:eastAsiaTheme="majorEastAsia"/>
        </w:rPr>
        <w:t>1.</w:t>
      </w:r>
      <w:r w:rsidR="00167281" w:rsidRPr="003C66A0">
        <w:rPr>
          <w:rFonts w:eastAsiaTheme="majorEastAsia"/>
        </w:rPr>
        <w:t>3</w:t>
      </w:r>
      <w:r w:rsidRPr="003C66A0">
        <w:rPr>
          <w:rFonts w:eastAsiaTheme="majorEastAsia"/>
        </w:rPr>
        <w:t xml:space="preserve"> Introduction</w:t>
      </w:r>
      <w:bookmarkEnd w:id="6"/>
    </w:p>
    <w:p w14:paraId="57A14E35" w14:textId="033DD835" w:rsidR="00A778FD" w:rsidRPr="003C66A0" w:rsidRDefault="00A778FD" w:rsidP="00E67B44">
      <w:pPr>
        <w:jc w:val="both"/>
        <w:rPr>
          <w:rFonts w:eastAsiaTheme="majorEastAsia"/>
          <w:bCs/>
          <w:color w:val="000000" w:themeColor="text1"/>
        </w:rPr>
      </w:pPr>
      <w:r w:rsidRPr="003C66A0">
        <w:rPr>
          <w:rFonts w:eastAsiaTheme="majorEastAsia"/>
          <w:bCs/>
          <w:color w:val="000000" w:themeColor="text1"/>
        </w:rPr>
        <w:t>The cryptocurrency ecosystem has introduced a novel aspect to finance: enabling individuals with limited capital to engage in market-making activities and investments that were once achievable only to institutions with substantial financial resources (</w:t>
      </w:r>
      <w:proofErr w:type="spellStart"/>
      <w:r w:rsidRPr="003C66A0">
        <w:rPr>
          <w:rFonts w:eastAsiaTheme="majorEastAsia"/>
          <w:bCs/>
          <w:color w:val="000000" w:themeColor="text1"/>
        </w:rPr>
        <w:t>Menkveld</w:t>
      </w:r>
      <w:proofErr w:type="spellEnd"/>
      <w:r w:rsidRPr="003C66A0">
        <w:rPr>
          <w:rFonts w:eastAsiaTheme="majorEastAsia"/>
          <w:bCs/>
          <w:color w:val="000000" w:themeColor="text1"/>
        </w:rPr>
        <w:t xml:space="preserve">, 2013). This represents not merely a technological transition but also the emergence of new opportunities for individual investors within the cryptocurrency market. A high school teacher with $5,000 can provide liquidity on Uniswap and earn fees from facilitating trades (Adams et al., 2021). A small business owner in Nigeria may stake stablecoins to generate yields that offset the impact of local currency devaluation. Such opportunities were not available in any substantial manner prior to 2020 (Harvey et al., 2021). </w:t>
      </w:r>
    </w:p>
    <w:p w14:paraId="62421E52" w14:textId="77777777" w:rsidR="00A778FD" w:rsidRPr="003C66A0" w:rsidRDefault="00A778FD" w:rsidP="00E67B44">
      <w:pPr>
        <w:jc w:val="both"/>
        <w:rPr>
          <w:rFonts w:eastAsiaTheme="majorEastAsia"/>
          <w:bCs/>
          <w:color w:val="000000" w:themeColor="text1"/>
        </w:rPr>
      </w:pPr>
    </w:p>
    <w:p w14:paraId="0F1F7345" w14:textId="5405BFAF" w:rsidR="00C06633" w:rsidRPr="000F4A17" w:rsidRDefault="000F4A17" w:rsidP="00E67B44">
      <w:pPr>
        <w:jc w:val="both"/>
        <w:rPr>
          <w:color w:val="000000" w:themeColor="text1"/>
        </w:rPr>
      </w:pPr>
      <w:r w:rsidRPr="000F4A17">
        <w:rPr>
          <w:color w:val="000000" w:themeColor="text1"/>
        </w:rPr>
        <w:t>T</w:t>
      </w:r>
      <w:r w:rsidR="00C06633" w:rsidRPr="000F4A17">
        <w:rPr>
          <w:color w:val="000000" w:themeColor="text1"/>
        </w:rPr>
        <w:t xml:space="preserve">hese technically accessible opportunities </w:t>
      </w:r>
      <w:r w:rsidRPr="000F4A17">
        <w:rPr>
          <w:color w:val="000000" w:themeColor="text1"/>
        </w:rPr>
        <w:t>display</w:t>
      </w:r>
      <w:r w:rsidR="00C06633" w:rsidRPr="000F4A17">
        <w:rPr>
          <w:color w:val="000000" w:themeColor="text1"/>
        </w:rPr>
        <w:t xml:space="preserve"> a deeper paradox</w:t>
      </w:r>
      <w:r w:rsidRPr="000F4A17">
        <w:rPr>
          <w:color w:val="000000" w:themeColor="text1"/>
        </w:rPr>
        <w:t xml:space="preserve">. </w:t>
      </w:r>
      <w:r w:rsidR="00C06633" w:rsidRPr="000F4A17">
        <w:rPr>
          <w:color w:val="000000" w:themeColor="text1"/>
        </w:rPr>
        <w:t>While DeFi protocols eliminate traditional gatekeepers</w:t>
      </w:r>
      <w:r w:rsidRPr="000F4A17">
        <w:rPr>
          <w:color w:val="000000" w:themeColor="text1"/>
        </w:rPr>
        <w:t xml:space="preserve">, such as </w:t>
      </w:r>
      <w:r w:rsidR="00C06633" w:rsidRPr="000F4A17">
        <w:rPr>
          <w:color w:val="000000" w:themeColor="text1"/>
        </w:rPr>
        <w:t>minimum balance requirements, credit checks, and institutional intermediaries</w:t>
      </w:r>
      <w:r w:rsidRPr="000F4A17">
        <w:rPr>
          <w:color w:val="000000" w:themeColor="text1"/>
        </w:rPr>
        <w:t xml:space="preserve">, </w:t>
      </w:r>
      <w:r w:rsidR="00C06633" w:rsidRPr="000F4A17">
        <w:rPr>
          <w:color w:val="000000" w:themeColor="text1"/>
        </w:rPr>
        <w:t xml:space="preserve">they </w:t>
      </w:r>
      <w:r w:rsidRPr="000F4A17">
        <w:rPr>
          <w:color w:val="000000" w:themeColor="text1"/>
        </w:rPr>
        <w:t>also create</w:t>
      </w:r>
      <w:r w:rsidR="00C06633" w:rsidRPr="000F4A17">
        <w:rPr>
          <w:color w:val="000000" w:themeColor="text1"/>
        </w:rPr>
        <w:t xml:space="preserve"> new barriers that prove equally exclusionary in practice. A high school teacher can technically deploy $5,000 into a Uniswap liquidity pool without anyone's permission, but whether that teacher can navigate gas optimization, understand impermanent loss mechanics, and manage position rebalancing while maintaining </w:t>
      </w:r>
      <w:r w:rsidRPr="000F4A17">
        <w:rPr>
          <w:color w:val="000000" w:themeColor="text1"/>
        </w:rPr>
        <w:t xml:space="preserve">a </w:t>
      </w:r>
      <w:r w:rsidR="00C06633" w:rsidRPr="000F4A17">
        <w:rPr>
          <w:color w:val="000000" w:themeColor="text1"/>
        </w:rPr>
        <w:t xml:space="preserve">full-time employment represents an entirely different question. This </w:t>
      </w:r>
      <w:r w:rsidRPr="000F4A17">
        <w:rPr>
          <w:color w:val="000000" w:themeColor="text1"/>
        </w:rPr>
        <w:t xml:space="preserve">gap </w:t>
      </w:r>
      <w:r w:rsidR="00C06633" w:rsidRPr="000F4A17">
        <w:rPr>
          <w:color w:val="000000" w:themeColor="text1"/>
        </w:rPr>
        <w:t xml:space="preserve">between technical accessibility and practical viability—what I term the 'democratization paradox'—forms the central </w:t>
      </w:r>
      <w:r w:rsidRPr="000F4A17">
        <w:rPr>
          <w:color w:val="000000" w:themeColor="text1"/>
        </w:rPr>
        <w:t>question</w:t>
      </w:r>
      <w:r w:rsidR="00C06633" w:rsidRPr="000F4A17">
        <w:rPr>
          <w:color w:val="000000" w:themeColor="text1"/>
        </w:rPr>
        <w:t xml:space="preserve"> this research seeks to </w:t>
      </w:r>
      <w:r w:rsidRPr="000F4A17">
        <w:rPr>
          <w:color w:val="000000" w:themeColor="text1"/>
        </w:rPr>
        <w:t>answer.</w:t>
      </w:r>
      <w:r w:rsidR="00C06633" w:rsidRPr="000F4A17">
        <w:rPr>
          <w:color w:val="000000" w:themeColor="text1"/>
        </w:rPr>
        <w:t xml:space="preserve"> </w:t>
      </w:r>
      <w:r w:rsidRPr="000F4A17">
        <w:rPr>
          <w:color w:val="000000" w:themeColor="text1"/>
        </w:rPr>
        <w:t>It is not</w:t>
      </w:r>
      <w:r w:rsidR="00C06633" w:rsidRPr="000F4A17">
        <w:rPr>
          <w:color w:val="000000" w:themeColor="text1"/>
        </w:rPr>
        <w:t xml:space="preserve"> whether DeFi technology works as designed (it demonstrably does), but rather for whom it works, under what conditions, and at what true cost when all operational, educational, and opportunity costs are properly accounted</w:t>
      </w:r>
      <w:r w:rsidRPr="000F4A17">
        <w:rPr>
          <w:color w:val="000000" w:themeColor="text1"/>
        </w:rPr>
        <w:t>.</w:t>
      </w:r>
    </w:p>
    <w:p w14:paraId="439A2766" w14:textId="77777777" w:rsidR="00C06633" w:rsidRDefault="00C06633" w:rsidP="00E67B44">
      <w:pPr>
        <w:jc w:val="both"/>
      </w:pPr>
    </w:p>
    <w:p w14:paraId="58130991" w14:textId="4495D85C" w:rsidR="00A778FD" w:rsidRPr="003C66A0" w:rsidRDefault="00A778FD" w:rsidP="00E67B44">
      <w:pPr>
        <w:jc w:val="both"/>
        <w:rPr>
          <w:rFonts w:eastAsiaTheme="majorEastAsia"/>
          <w:bCs/>
          <w:color w:val="000000" w:themeColor="text1"/>
        </w:rPr>
      </w:pPr>
      <w:r w:rsidRPr="003C66A0">
        <w:rPr>
          <w:rFonts w:eastAsiaTheme="majorEastAsia"/>
          <w:bCs/>
          <w:color w:val="000000" w:themeColor="text1"/>
        </w:rPr>
        <w:t xml:space="preserve">Nonetheless, </w:t>
      </w:r>
      <w:r w:rsidR="00231D5B" w:rsidRPr="003C66A0">
        <w:rPr>
          <w:rFonts w:eastAsiaTheme="majorEastAsia"/>
          <w:bCs/>
          <w:color w:val="000000" w:themeColor="text1"/>
        </w:rPr>
        <w:t>there is a disparity</w:t>
      </w:r>
      <w:r w:rsidRPr="003C66A0">
        <w:rPr>
          <w:rFonts w:eastAsiaTheme="majorEastAsia"/>
          <w:bCs/>
          <w:color w:val="000000" w:themeColor="text1"/>
        </w:rPr>
        <w:t xml:space="preserve"> between technical feasibility and practical applicability for individuals with constrained resources. </w:t>
      </w:r>
      <w:proofErr w:type="gramStart"/>
      <w:r w:rsidRPr="003C66A0">
        <w:rPr>
          <w:rFonts w:eastAsiaTheme="majorEastAsia"/>
          <w:bCs/>
          <w:color w:val="000000" w:themeColor="text1"/>
        </w:rPr>
        <w:t>The technology</w:t>
      </w:r>
      <w:proofErr w:type="gramEnd"/>
      <w:r w:rsidRPr="003C66A0">
        <w:rPr>
          <w:rFonts w:eastAsiaTheme="majorEastAsia"/>
          <w:bCs/>
          <w:color w:val="000000" w:themeColor="text1"/>
        </w:rPr>
        <w:t xml:space="preserve"> enables individuals to serve as liquidity providers with a minimum investment of $100. Smart contracts do not assess net worth or necessitate institutional connections (Buterin, 2014). The same code is executed regardless of whether the deployment amount is $100 or $100 million. </w:t>
      </w:r>
      <w:r w:rsidR="00231D5B" w:rsidRPr="003C66A0">
        <w:rPr>
          <w:rFonts w:eastAsiaTheme="majorEastAsia"/>
          <w:bCs/>
          <w:color w:val="000000" w:themeColor="text1"/>
        </w:rPr>
        <w:t xml:space="preserve">My </w:t>
      </w:r>
      <w:r w:rsidRPr="003C66A0">
        <w:rPr>
          <w:rFonts w:eastAsiaTheme="majorEastAsia"/>
          <w:bCs/>
          <w:color w:val="000000" w:themeColor="text1"/>
        </w:rPr>
        <w:t xml:space="preserve">research indicates that, despite accessibility, </w:t>
      </w:r>
      <w:proofErr w:type="gramStart"/>
      <w:r w:rsidRPr="003C66A0">
        <w:rPr>
          <w:rFonts w:eastAsiaTheme="majorEastAsia"/>
          <w:bCs/>
          <w:color w:val="000000" w:themeColor="text1"/>
        </w:rPr>
        <w:t>the majority of</w:t>
      </w:r>
      <w:proofErr w:type="gramEnd"/>
      <w:r w:rsidRPr="003C66A0">
        <w:rPr>
          <w:rFonts w:eastAsiaTheme="majorEastAsia"/>
          <w:bCs/>
          <w:color w:val="000000" w:themeColor="text1"/>
        </w:rPr>
        <w:t xml:space="preserve"> individuals who implemented these strategies from 2020 to 2024 did not attain the anticipated returns as evidenced by </w:t>
      </w:r>
      <w:r w:rsidR="00231D5B" w:rsidRPr="003C66A0">
        <w:rPr>
          <w:rFonts w:eastAsiaTheme="majorEastAsia"/>
          <w:bCs/>
          <w:color w:val="000000" w:themeColor="text1"/>
        </w:rPr>
        <w:t xml:space="preserve">my </w:t>
      </w:r>
      <w:r w:rsidRPr="003C66A0">
        <w:rPr>
          <w:rFonts w:eastAsiaTheme="majorEastAsia"/>
          <w:bCs/>
          <w:color w:val="000000" w:themeColor="text1"/>
        </w:rPr>
        <w:t xml:space="preserve">empirical sample. The obstacle is not in the technology itself, but in discerning the economic viability of these opportunities. </w:t>
      </w:r>
    </w:p>
    <w:p w14:paraId="6D62DAA3" w14:textId="77777777" w:rsidR="00A778FD" w:rsidRPr="003C66A0" w:rsidRDefault="00A778FD" w:rsidP="00E67B44">
      <w:pPr>
        <w:jc w:val="both"/>
        <w:rPr>
          <w:rFonts w:eastAsiaTheme="majorEastAsia"/>
          <w:bCs/>
          <w:color w:val="000000" w:themeColor="text1"/>
        </w:rPr>
      </w:pPr>
    </w:p>
    <w:p w14:paraId="5C522E17" w14:textId="224AD80C" w:rsidR="00A778FD" w:rsidRPr="003C66A0" w:rsidRDefault="00A778FD" w:rsidP="00E67B44">
      <w:pPr>
        <w:jc w:val="both"/>
        <w:rPr>
          <w:rFonts w:eastAsiaTheme="majorEastAsia"/>
          <w:bCs/>
          <w:color w:val="000000" w:themeColor="text1"/>
        </w:rPr>
      </w:pPr>
      <w:r w:rsidRPr="003C66A0">
        <w:rPr>
          <w:rFonts w:eastAsiaTheme="majorEastAsia"/>
          <w:bCs/>
          <w:color w:val="000000" w:themeColor="text1"/>
        </w:rPr>
        <w:t xml:space="preserve">This </w:t>
      </w:r>
      <w:r w:rsidR="00231D5B" w:rsidRPr="003C66A0">
        <w:rPr>
          <w:rFonts w:eastAsiaTheme="majorEastAsia"/>
          <w:bCs/>
          <w:color w:val="000000" w:themeColor="text1"/>
        </w:rPr>
        <w:t>research</w:t>
      </w:r>
      <w:r w:rsidRPr="003C66A0">
        <w:rPr>
          <w:rFonts w:eastAsiaTheme="majorEastAsia"/>
          <w:bCs/>
          <w:color w:val="000000" w:themeColor="text1"/>
        </w:rPr>
        <w:t xml:space="preserve"> aims to analyze the gap through a systematic examination of real positions, real returns, and real failures. I analyzed the performance of individuals with varying capital, ranging from $500 to $100,000, in providing liquidity, staking tokens, and implementing other DeFi </w:t>
      </w:r>
      <w:r w:rsidRPr="003C66A0">
        <w:rPr>
          <w:rFonts w:eastAsiaTheme="majorEastAsia"/>
          <w:bCs/>
          <w:color w:val="000000" w:themeColor="text1"/>
        </w:rPr>
        <w:lastRenderedPageBreak/>
        <w:t xml:space="preserve">strategies as shown on the empirical sample. I also conducted interviews with 27 practitioners regarding their experiences, including both successful and unsuccessful results during their investments. Further, I conducted an analysis of millions of transactions to ascertain the actual costs and returns. The findings present a scenario that is neither as favorable as marketing implies nor as unfavorable as the critics assert. </w:t>
      </w:r>
    </w:p>
    <w:p w14:paraId="57BF07E3" w14:textId="77777777" w:rsidR="00A778FD" w:rsidRPr="003C66A0" w:rsidRDefault="00A778FD" w:rsidP="00E67B44">
      <w:pPr>
        <w:jc w:val="both"/>
        <w:rPr>
          <w:rFonts w:eastAsiaTheme="majorEastAsia"/>
          <w:bCs/>
          <w:color w:val="000000" w:themeColor="text1"/>
        </w:rPr>
      </w:pPr>
    </w:p>
    <w:p w14:paraId="569E8002" w14:textId="7A92467F" w:rsidR="00A778FD" w:rsidRPr="003C66A0" w:rsidRDefault="00A778FD" w:rsidP="00E67B44">
      <w:pPr>
        <w:jc w:val="both"/>
        <w:rPr>
          <w:rFonts w:eastAsiaTheme="majorEastAsia"/>
          <w:bCs/>
          <w:color w:val="000000" w:themeColor="text1"/>
        </w:rPr>
      </w:pPr>
      <w:r w:rsidRPr="003C66A0">
        <w:rPr>
          <w:rFonts w:eastAsiaTheme="majorEastAsia"/>
          <w:bCs/>
          <w:color w:val="000000" w:themeColor="text1"/>
        </w:rPr>
        <w:t>Major events, including the COVID-19 pandemic and extraordinary monetary stimulus, defined the world and financial markets from 2020 to 2024 (Federal Reserve, 2024). It also included the evolution of DeFi from a $1 billion experiment to a $100 billion ecosystem (</w:t>
      </w:r>
      <w:proofErr w:type="spellStart"/>
      <w:r w:rsidRPr="003C66A0">
        <w:rPr>
          <w:rFonts w:eastAsiaTheme="majorEastAsia"/>
          <w:bCs/>
          <w:color w:val="000000" w:themeColor="text1"/>
        </w:rPr>
        <w:t>DeFiLlama</w:t>
      </w:r>
      <w:proofErr w:type="spellEnd"/>
      <w:r w:rsidRPr="003C66A0">
        <w:rPr>
          <w:rFonts w:eastAsiaTheme="majorEastAsia"/>
          <w:bCs/>
          <w:color w:val="000000" w:themeColor="text1"/>
        </w:rPr>
        <w:t xml:space="preserve">, 2024), significant market fluctuations, and regulatory ambiguities that are beginning to clarify. Certain critics may contend that this diminishes the relevance of </w:t>
      </w:r>
      <w:r w:rsidR="00231D5B" w:rsidRPr="003C66A0">
        <w:rPr>
          <w:rFonts w:eastAsiaTheme="majorEastAsia"/>
          <w:bCs/>
          <w:color w:val="000000" w:themeColor="text1"/>
        </w:rPr>
        <w:t xml:space="preserve">my </w:t>
      </w:r>
      <w:r w:rsidRPr="003C66A0">
        <w:rPr>
          <w:rFonts w:eastAsiaTheme="majorEastAsia"/>
          <w:bCs/>
          <w:color w:val="000000" w:themeColor="text1"/>
        </w:rPr>
        <w:t>findings for typical circumstances. One could contend that if these strategies are effective in turbulent conditions, they have undergone stress testing that typical market conditions do not offer. The participants who achieved success during this period did not do so due to favorable conditions. They achieved success amid chaos by comprehending the actual requirements and constraints derived from observed data.</w:t>
      </w:r>
    </w:p>
    <w:p w14:paraId="0DA9414B" w14:textId="77777777" w:rsidR="00E23043" w:rsidRPr="003C66A0" w:rsidRDefault="00E23043" w:rsidP="00E67B44">
      <w:pPr>
        <w:jc w:val="both"/>
        <w:rPr>
          <w:rFonts w:eastAsiaTheme="majorEastAsia"/>
          <w:bCs/>
          <w:color w:val="000000" w:themeColor="text1"/>
        </w:rPr>
      </w:pPr>
    </w:p>
    <w:p w14:paraId="04699028" w14:textId="081D4EEA" w:rsidR="00117A73" w:rsidRPr="003C66A0" w:rsidRDefault="00117A73" w:rsidP="00E67B44">
      <w:pPr>
        <w:pStyle w:val="Heading3"/>
        <w:rPr>
          <w:rFonts w:eastAsiaTheme="majorEastAsia"/>
        </w:rPr>
      </w:pPr>
      <w:bookmarkStart w:id="7" w:name="_Toc214721813"/>
      <w:r w:rsidRPr="003C66A0">
        <w:rPr>
          <w:rFonts w:eastAsiaTheme="majorEastAsia"/>
        </w:rPr>
        <w:t>1.3.0 Key Empirical Findings Overview</w:t>
      </w:r>
      <w:bookmarkEnd w:id="7"/>
    </w:p>
    <w:p w14:paraId="1183AB62" w14:textId="77777777" w:rsidR="00117A73" w:rsidRPr="003C66A0" w:rsidRDefault="00117A73" w:rsidP="00E67B44">
      <w:pPr>
        <w:autoSpaceDE w:val="0"/>
        <w:autoSpaceDN w:val="0"/>
        <w:adjustRightInd w:val="0"/>
        <w:jc w:val="both"/>
        <w:rPr>
          <w:rFonts w:eastAsiaTheme="majorEastAsia"/>
          <w:bCs/>
          <w:color w:val="000000" w:themeColor="text1"/>
        </w:rPr>
      </w:pPr>
      <w:r w:rsidRPr="003C66A0">
        <w:rPr>
          <w:rFonts w:eastAsiaTheme="majorEastAsia"/>
          <w:bCs/>
          <w:color w:val="000000" w:themeColor="text1"/>
        </w:rPr>
        <w:t xml:space="preserve">This research here sets forth several essential empirical benchmarks that fundamentally influence the feasibility of participating in DeFi. The results obtained from monitoring 156 liquidity positions over a span of more than 90 days and examining 3.27 million transactions from 2020 to 2024 establish the quantitative basis of </w:t>
      </w:r>
      <w:proofErr w:type="gramStart"/>
      <w:r w:rsidRPr="003C66A0">
        <w:rPr>
          <w:rFonts w:eastAsiaTheme="majorEastAsia"/>
          <w:bCs/>
          <w:color w:val="000000" w:themeColor="text1"/>
        </w:rPr>
        <w:t>this this</w:t>
      </w:r>
      <w:proofErr w:type="gramEnd"/>
      <w:r w:rsidRPr="003C66A0">
        <w:rPr>
          <w:rFonts w:eastAsiaTheme="majorEastAsia"/>
          <w:bCs/>
          <w:color w:val="000000" w:themeColor="text1"/>
        </w:rPr>
        <w:t xml:space="preserve"> dissertation.</w:t>
      </w:r>
    </w:p>
    <w:p w14:paraId="03527AF7" w14:textId="77777777" w:rsidR="00117A73" w:rsidRPr="003C66A0" w:rsidRDefault="00117A73" w:rsidP="00E67B44">
      <w:pPr>
        <w:autoSpaceDE w:val="0"/>
        <w:autoSpaceDN w:val="0"/>
        <w:adjustRightInd w:val="0"/>
        <w:rPr>
          <w:rFonts w:eastAsiaTheme="majorEastAsia"/>
          <w:bCs/>
          <w:color w:val="000000" w:themeColor="text1"/>
        </w:rPr>
      </w:pPr>
    </w:p>
    <w:p w14:paraId="0E43F73A" w14:textId="77777777" w:rsidR="00117A73" w:rsidRPr="003C66A0" w:rsidRDefault="00117A73" w:rsidP="00E67B44">
      <w:pPr>
        <w:autoSpaceDE w:val="0"/>
        <w:autoSpaceDN w:val="0"/>
        <w:adjustRightInd w:val="0"/>
        <w:rPr>
          <w:rFonts w:eastAsiaTheme="majorEastAsia"/>
          <w:bCs/>
          <w:color w:val="000000" w:themeColor="text1"/>
        </w:rPr>
      </w:pPr>
      <w:r w:rsidRPr="003C66A0">
        <w:rPr>
          <w:rFonts w:eastAsiaTheme="majorEastAsia"/>
          <w:bCs/>
          <w:color w:val="000000" w:themeColor="text1"/>
        </w:rPr>
        <w:t>The Essential Performance Metrics:</w:t>
      </w:r>
    </w:p>
    <w:p w14:paraId="607026F7" w14:textId="77777777" w:rsidR="00117A73" w:rsidRPr="003C66A0" w:rsidRDefault="00117A73" w:rsidP="00E67B44">
      <w:pPr>
        <w:autoSpaceDE w:val="0"/>
        <w:autoSpaceDN w:val="0"/>
        <w:adjustRightInd w:val="0"/>
        <w:rPr>
          <w:rFonts w:eastAsiaTheme="majorEastAsia"/>
          <w:bCs/>
          <w:color w:val="000000" w:themeColor="text1"/>
        </w:rPr>
      </w:pPr>
    </w:p>
    <w:p w14:paraId="4993B9BB" w14:textId="7876FF00" w:rsidR="00117A73" w:rsidRPr="003C66A0" w:rsidRDefault="00117A73" w:rsidP="00E67B44">
      <w:pPr>
        <w:autoSpaceDE w:val="0"/>
        <w:autoSpaceDN w:val="0"/>
        <w:adjustRightInd w:val="0"/>
        <w:jc w:val="both"/>
        <w:rPr>
          <w:rFonts w:eastAsiaTheme="majorEastAsia"/>
          <w:bCs/>
          <w:color w:val="000000" w:themeColor="text1"/>
        </w:rPr>
      </w:pPr>
      <w:r w:rsidRPr="003C66A0">
        <w:rPr>
          <w:rFonts w:eastAsiaTheme="majorEastAsia"/>
          <w:b/>
          <w:color w:val="000000" w:themeColor="text1"/>
        </w:rPr>
        <w:t>Core Performance Metrics:</w:t>
      </w:r>
      <w:r w:rsidRPr="003C66A0">
        <w:rPr>
          <w:rFonts w:eastAsiaTheme="majorEastAsia"/>
          <w:bCs/>
          <w:color w:val="000000" w:themeColor="text1"/>
        </w:rPr>
        <w:t xml:space="preserve"> Among the tracked positions, </w:t>
      </w:r>
      <w:r w:rsidR="00DF0BD9" w:rsidRPr="00DF0BD9">
        <w:rPr>
          <w:rFonts w:eastAsiaTheme="majorEastAsia"/>
          <w:bCs/>
          <w:color w:val="000000" w:themeColor="text1"/>
        </w:rPr>
        <w:t>73% (95% CI: 65%-80%; accounting for survivorship bias: likely 73-90%)</w:t>
      </w:r>
      <w:r w:rsidR="00DF0BD9">
        <w:rPr>
          <w:rFonts w:eastAsiaTheme="majorEastAsia"/>
          <w:bCs/>
          <w:color w:val="000000" w:themeColor="text1"/>
        </w:rPr>
        <w:t xml:space="preserve"> </w:t>
      </w:r>
      <w:r w:rsidRPr="003C66A0">
        <w:rPr>
          <w:rFonts w:eastAsiaTheme="majorEastAsia"/>
          <w:bCs/>
          <w:color w:val="000000" w:themeColor="text1"/>
        </w:rPr>
        <w:t>were unprofitable after accounting for all costs including gas fees, impermanent loss, and operational expenses. This failure rate may be considered conservative given survivorship bias, with actual rates potentially reaching 85-90%. The 27% of positions that achieved profitability were not randomly distributed but centered around participants that meet specific criteria detailed in subsequent chapters.</w:t>
      </w:r>
    </w:p>
    <w:p w14:paraId="43491945" w14:textId="77777777" w:rsidR="00117A73" w:rsidRPr="003C66A0" w:rsidRDefault="00117A73" w:rsidP="00E67B44">
      <w:pPr>
        <w:autoSpaceDE w:val="0"/>
        <w:autoSpaceDN w:val="0"/>
        <w:adjustRightInd w:val="0"/>
        <w:rPr>
          <w:rFonts w:eastAsiaTheme="majorEastAsia"/>
          <w:bCs/>
          <w:color w:val="000000" w:themeColor="text1"/>
        </w:rPr>
      </w:pPr>
    </w:p>
    <w:p w14:paraId="665B39D7" w14:textId="7D77DDDF" w:rsidR="00117A73" w:rsidRPr="003D56CE" w:rsidRDefault="00117A73" w:rsidP="00E67B44">
      <w:pPr>
        <w:autoSpaceDE w:val="0"/>
        <w:autoSpaceDN w:val="0"/>
        <w:adjustRightInd w:val="0"/>
        <w:jc w:val="both"/>
        <w:rPr>
          <w:rFonts w:eastAsiaTheme="majorEastAsia"/>
          <w:bCs/>
          <w:color w:val="000000" w:themeColor="text1"/>
        </w:rPr>
      </w:pPr>
      <w:r w:rsidRPr="003D56CE">
        <w:rPr>
          <w:rFonts w:eastAsiaTheme="majorEastAsia"/>
          <w:b/>
          <w:color w:val="000000" w:themeColor="text1"/>
        </w:rPr>
        <w:t>Risk Parameters:</w:t>
      </w:r>
      <w:r w:rsidRPr="003D56CE">
        <w:rPr>
          <w:rFonts w:eastAsiaTheme="majorEastAsia"/>
          <w:bCs/>
          <w:color w:val="000000" w:themeColor="text1"/>
        </w:rPr>
        <w:t xml:space="preserve"> </w:t>
      </w:r>
      <w:r w:rsidR="006B5860" w:rsidRPr="003D56CE">
        <w:rPr>
          <w:rFonts w:eastAsiaTheme="majorEastAsia"/>
          <w:bCs/>
          <w:color w:val="000000" w:themeColor="text1"/>
        </w:rPr>
        <w:t xml:space="preserve">Protocol-level incidents occurred at a rate of 12.2% per quarter (19 of 156 positions), translating to an estimated annual loss probability of 35-45%. This conversion uses survival analysis rather than simple multiplication: the naive calculation (1 - 0.878^4 = 41.4%) assumes independence, but observed incident clustering during stress events (e.g., Terra/Luna affecting 31% of positions within 72 hours) required adjusting for temporal correlation. The 35-45% range reflects uncertainty in future clustering patterns while providing conservative guidance for position sizing. Complete methodology </w:t>
      </w:r>
      <w:r w:rsidR="004B54AA">
        <w:rPr>
          <w:rFonts w:eastAsiaTheme="majorEastAsia"/>
          <w:bCs/>
          <w:color w:val="000000" w:themeColor="text1"/>
        </w:rPr>
        <w:t xml:space="preserve">is detailed </w:t>
      </w:r>
      <w:r w:rsidR="006B5860" w:rsidRPr="003D56CE">
        <w:rPr>
          <w:rFonts w:eastAsiaTheme="majorEastAsia"/>
          <w:bCs/>
          <w:color w:val="000000" w:themeColor="text1"/>
        </w:rPr>
        <w:t>in Chapter 7.</w:t>
      </w:r>
    </w:p>
    <w:p w14:paraId="54C6DBC6" w14:textId="77777777" w:rsidR="00117A73" w:rsidRPr="003C66A0" w:rsidRDefault="00117A73" w:rsidP="00E67B44">
      <w:pPr>
        <w:autoSpaceDE w:val="0"/>
        <w:autoSpaceDN w:val="0"/>
        <w:adjustRightInd w:val="0"/>
        <w:rPr>
          <w:rFonts w:eastAsiaTheme="majorEastAsia"/>
          <w:bCs/>
          <w:color w:val="000000" w:themeColor="text1"/>
        </w:rPr>
      </w:pPr>
    </w:p>
    <w:p w14:paraId="6BEA1FA2" w14:textId="77777777" w:rsidR="00117A73" w:rsidRPr="003C66A0" w:rsidRDefault="00117A73" w:rsidP="00E67B44">
      <w:pPr>
        <w:autoSpaceDE w:val="0"/>
        <w:autoSpaceDN w:val="0"/>
        <w:adjustRightInd w:val="0"/>
        <w:jc w:val="both"/>
        <w:rPr>
          <w:rFonts w:eastAsiaTheme="majorEastAsia"/>
          <w:bCs/>
          <w:color w:val="000000" w:themeColor="text1"/>
        </w:rPr>
      </w:pPr>
      <w:r w:rsidRPr="003C66A0">
        <w:rPr>
          <w:rFonts w:eastAsiaTheme="majorEastAsia"/>
          <w:b/>
          <w:color w:val="000000" w:themeColor="text1"/>
        </w:rPr>
        <w:t>Capital Requirements:</w:t>
      </w:r>
      <w:r w:rsidRPr="003C66A0">
        <w:rPr>
          <w:rFonts w:eastAsiaTheme="majorEastAsia"/>
          <w:bCs/>
          <w:color w:val="000000" w:themeColor="text1"/>
        </w:rPr>
        <w:t xml:space="preserve"> Network-specific minimum viable capital thresholds were identified from the mathematical relationship between position size and operational costs:</w:t>
      </w:r>
    </w:p>
    <w:p w14:paraId="0FCC687D" w14:textId="2A5E28A0" w:rsidR="00117A73" w:rsidRPr="003C66A0" w:rsidRDefault="00117A73" w:rsidP="00E67B44">
      <w:pPr>
        <w:numPr>
          <w:ilvl w:val="0"/>
          <w:numId w:val="107"/>
        </w:numPr>
        <w:tabs>
          <w:tab w:val="left" w:pos="220"/>
          <w:tab w:val="left" w:pos="720"/>
        </w:tabs>
        <w:autoSpaceDE w:val="0"/>
        <w:autoSpaceDN w:val="0"/>
        <w:adjustRightInd w:val="0"/>
        <w:jc w:val="both"/>
        <w:rPr>
          <w:rFonts w:eastAsiaTheme="majorEastAsia"/>
          <w:bCs/>
          <w:color w:val="000000" w:themeColor="text1"/>
        </w:rPr>
      </w:pPr>
      <w:r w:rsidRPr="003C66A0">
        <w:rPr>
          <w:rFonts w:eastAsiaTheme="majorEastAsia"/>
          <w:bCs/>
          <w:color w:val="000000" w:themeColor="text1"/>
        </w:rPr>
        <w:t xml:space="preserve">Ethereum </w:t>
      </w:r>
      <w:proofErr w:type="spellStart"/>
      <w:r w:rsidRPr="003C66A0">
        <w:rPr>
          <w:rFonts w:eastAsiaTheme="majorEastAsia"/>
          <w:bCs/>
          <w:color w:val="000000" w:themeColor="text1"/>
        </w:rPr>
        <w:t>mainnet</w:t>
      </w:r>
      <w:proofErr w:type="spellEnd"/>
      <w:r w:rsidRPr="003C66A0">
        <w:rPr>
          <w:rFonts w:eastAsiaTheme="majorEastAsia"/>
          <w:bCs/>
          <w:color w:val="000000" w:themeColor="text1"/>
        </w:rPr>
        <w:t>: $25,000 (range: $18,000-$31,000 depending on gas prices)</w:t>
      </w:r>
    </w:p>
    <w:p w14:paraId="2FD146C6" w14:textId="0B4647D7" w:rsidR="00117A73" w:rsidRPr="003C66A0" w:rsidRDefault="00117A73" w:rsidP="00E67B44">
      <w:pPr>
        <w:numPr>
          <w:ilvl w:val="0"/>
          <w:numId w:val="107"/>
        </w:numPr>
        <w:tabs>
          <w:tab w:val="left" w:pos="220"/>
          <w:tab w:val="left" w:pos="720"/>
        </w:tabs>
        <w:autoSpaceDE w:val="0"/>
        <w:autoSpaceDN w:val="0"/>
        <w:adjustRightInd w:val="0"/>
        <w:jc w:val="both"/>
        <w:rPr>
          <w:rFonts w:eastAsiaTheme="majorEastAsia"/>
          <w:bCs/>
          <w:color w:val="000000" w:themeColor="text1"/>
        </w:rPr>
      </w:pPr>
      <w:r w:rsidRPr="003C66A0">
        <w:rPr>
          <w:rFonts w:eastAsiaTheme="majorEastAsia"/>
          <w:bCs/>
          <w:color w:val="000000" w:themeColor="text1"/>
        </w:rPr>
        <w:t>Layer-2 solutions (</w:t>
      </w:r>
      <w:proofErr w:type="spellStart"/>
      <w:r w:rsidRPr="003C66A0">
        <w:rPr>
          <w:rFonts w:eastAsiaTheme="majorEastAsia"/>
          <w:bCs/>
          <w:color w:val="000000" w:themeColor="text1"/>
        </w:rPr>
        <w:t>Arbitrum</w:t>
      </w:r>
      <w:proofErr w:type="spellEnd"/>
      <w:r w:rsidRPr="003C66A0">
        <w:rPr>
          <w:rFonts w:eastAsiaTheme="majorEastAsia"/>
          <w:bCs/>
          <w:color w:val="000000" w:themeColor="text1"/>
        </w:rPr>
        <w:t>/Optimism): $3,500 (±$1,000)</w:t>
      </w:r>
    </w:p>
    <w:p w14:paraId="0A94D8B9" w14:textId="5D5C27DD" w:rsidR="00117A73" w:rsidRPr="003C66A0" w:rsidRDefault="00117A73" w:rsidP="00E67B44">
      <w:pPr>
        <w:numPr>
          <w:ilvl w:val="0"/>
          <w:numId w:val="107"/>
        </w:numPr>
        <w:tabs>
          <w:tab w:val="left" w:pos="220"/>
          <w:tab w:val="left" w:pos="720"/>
        </w:tabs>
        <w:autoSpaceDE w:val="0"/>
        <w:autoSpaceDN w:val="0"/>
        <w:adjustRightInd w:val="0"/>
        <w:jc w:val="both"/>
        <w:rPr>
          <w:rFonts w:eastAsiaTheme="majorEastAsia"/>
          <w:bCs/>
          <w:color w:val="000000" w:themeColor="text1"/>
        </w:rPr>
      </w:pPr>
      <w:r w:rsidRPr="003C66A0">
        <w:rPr>
          <w:rFonts w:eastAsiaTheme="majorEastAsia"/>
          <w:bCs/>
          <w:color w:val="000000" w:themeColor="text1"/>
        </w:rPr>
        <w:t>Alternative Layer-1 chains (Polygon): $750 (±$250)</w:t>
      </w:r>
    </w:p>
    <w:p w14:paraId="0B4AECEE" w14:textId="77777777" w:rsidR="00117A73" w:rsidRPr="003C66A0" w:rsidRDefault="00117A73" w:rsidP="00E67B44">
      <w:pPr>
        <w:autoSpaceDE w:val="0"/>
        <w:autoSpaceDN w:val="0"/>
        <w:adjustRightInd w:val="0"/>
        <w:rPr>
          <w:rFonts w:eastAsiaTheme="majorEastAsia"/>
          <w:bCs/>
          <w:color w:val="000000" w:themeColor="text1"/>
        </w:rPr>
      </w:pPr>
    </w:p>
    <w:p w14:paraId="54701105" w14:textId="77777777" w:rsidR="00117A73" w:rsidRPr="003C66A0" w:rsidRDefault="00117A73" w:rsidP="00E67B44">
      <w:pPr>
        <w:autoSpaceDE w:val="0"/>
        <w:autoSpaceDN w:val="0"/>
        <w:adjustRightInd w:val="0"/>
        <w:jc w:val="both"/>
        <w:rPr>
          <w:rFonts w:eastAsiaTheme="majorEastAsia"/>
          <w:bCs/>
          <w:color w:val="000000" w:themeColor="text1"/>
        </w:rPr>
      </w:pPr>
      <w:r w:rsidRPr="003C66A0">
        <w:rPr>
          <w:rFonts w:eastAsiaTheme="majorEastAsia"/>
          <w:b/>
          <w:color w:val="000000" w:themeColor="text1"/>
        </w:rPr>
        <w:t>Operational Requirements:</w:t>
      </w:r>
      <w:r w:rsidRPr="003C66A0">
        <w:rPr>
          <w:rFonts w:eastAsiaTheme="majorEastAsia"/>
          <w:bCs/>
          <w:color w:val="000000" w:themeColor="text1"/>
        </w:rPr>
        <w:t xml:space="preserve"> Successful participants invested a median of 17.5 hours weekly (range: 15-20 hours), contradicting the "passive income" narrative. This time investment proved to be necessary for position monitoring, rebalancing, research, and administrative tasks.</w:t>
      </w:r>
    </w:p>
    <w:p w14:paraId="6A49CD3F" w14:textId="77777777" w:rsidR="00117A73" w:rsidRPr="003C66A0" w:rsidRDefault="00117A73" w:rsidP="00E67B44">
      <w:pPr>
        <w:autoSpaceDE w:val="0"/>
        <w:autoSpaceDN w:val="0"/>
        <w:adjustRightInd w:val="0"/>
        <w:jc w:val="both"/>
        <w:rPr>
          <w:rFonts w:eastAsiaTheme="majorEastAsia"/>
          <w:bCs/>
          <w:color w:val="000000" w:themeColor="text1"/>
        </w:rPr>
      </w:pPr>
    </w:p>
    <w:p w14:paraId="2C53E153" w14:textId="77777777" w:rsidR="00117A73" w:rsidRPr="003C66A0" w:rsidRDefault="00117A73" w:rsidP="00E67B44">
      <w:pPr>
        <w:autoSpaceDE w:val="0"/>
        <w:autoSpaceDN w:val="0"/>
        <w:adjustRightInd w:val="0"/>
        <w:jc w:val="both"/>
        <w:rPr>
          <w:rFonts w:eastAsiaTheme="majorEastAsia"/>
          <w:b/>
          <w:color w:val="000000" w:themeColor="text1"/>
        </w:rPr>
      </w:pPr>
      <w:r w:rsidRPr="003C66A0">
        <w:rPr>
          <w:rFonts w:eastAsiaTheme="majorEastAsia"/>
          <w:b/>
          <w:color w:val="000000" w:themeColor="text1"/>
        </w:rPr>
        <w:t xml:space="preserve">Return Profiles: </w:t>
      </w:r>
    </w:p>
    <w:p w14:paraId="28F7F529" w14:textId="77777777" w:rsidR="00117A73" w:rsidRPr="003C66A0" w:rsidRDefault="00117A73" w:rsidP="00E67B44">
      <w:pPr>
        <w:autoSpaceDE w:val="0"/>
        <w:autoSpaceDN w:val="0"/>
        <w:adjustRightInd w:val="0"/>
        <w:jc w:val="both"/>
        <w:rPr>
          <w:rFonts w:eastAsiaTheme="majorEastAsia"/>
          <w:bCs/>
          <w:color w:val="000000" w:themeColor="text1"/>
        </w:rPr>
      </w:pPr>
      <w:r w:rsidRPr="003C66A0">
        <w:rPr>
          <w:rFonts w:eastAsiaTheme="majorEastAsia"/>
          <w:bCs/>
          <w:color w:val="000000" w:themeColor="text1"/>
        </w:rPr>
        <w:t xml:space="preserve">Median returns for surviving positions were 7% annually (IQR: 4%-15%), with </w:t>
      </w:r>
      <w:proofErr w:type="gramStart"/>
      <w:r w:rsidRPr="003C66A0">
        <w:rPr>
          <w:rFonts w:eastAsiaTheme="majorEastAsia"/>
          <w:bCs/>
          <w:color w:val="000000" w:themeColor="text1"/>
        </w:rPr>
        <w:t>stablecoin</w:t>
      </w:r>
      <w:proofErr w:type="gramEnd"/>
      <w:r w:rsidRPr="003C66A0">
        <w:rPr>
          <w:rFonts w:eastAsiaTheme="majorEastAsia"/>
          <w:bCs/>
          <w:color w:val="000000" w:themeColor="text1"/>
        </w:rPr>
        <w:t xml:space="preserve"> liquidity provision yielding the most reliable returns of 4-8% annually. These returns do not include positions that have undergone total loss events.</w:t>
      </w:r>
    </w:p>
    <w:p w14:paraId="72CF7894" w14:textId="77777777" w:rsidR="00117A73" w:rsidRPr="003C66A0" w:rsidRDefault="00117A73" w:rsidP="00E67B44">
      <w:pPr>
        <w:autoSpaceDE w:val="0"/>
        <w:autoSpaceDN w:val="0"/>
        <w:adjustRightInd w:val="0"/>
        <w:rPr>
          <w:rFonts w:eastAsiaTheme="majorEastAsia"/>
          <w:bCs/>
          <w:color w:val="000000" w:themeColor="text1"/>
        </w:rPr>
      </w:pPr>
    </w:p>
    <w:p w14:paraId="44CB287F" w14:textId="4B84EEB9" w:rsidR="00117A73" w:rsidRPr="003C66A0" w:rsidRDefault="00117A73" w:rsidP="00E67B44">
      <w:pPr>
        <w:jc w:val="both"/>
        <w:rPr>
          <w:rFonts w:eastAsiaTheme="majorEastAsia"/>
          <w:bCs/>
          <w:color w:val="000000" w:themeColor="text1"/>
        </w:rPr>
      </w:pPr>
      <w:r w:rsidRPr="003C66A0">
        <w:rPr>
          <w:rFonts w:eastAsiaTheme="majorEastAsia"/>
          <w:bCs/>
          <w:color w:val="000000" w:themeColor="text1"/>
        </w:rPr>
        <w:t xml:space="preserve">The statistics provided in this overview derive from a particular sample of early adopters from 2020 to 2024 and should be understood as trends within this specific context rather than as universal benchmarks. In later chapters, these metrics will </w:t>
      </w:r>
      <w:proofErr w:type="gramStart"/>
      <w:r w:rsidRPr="003C66A0">
        <w:rPr>
          <w:rFonts w:eastAsiaTheme="majorEastAsia"/>
          <w:bCs/>
          <w:color w:val="000000" w:themeColor="text1"/>
        </w:rPr>
        <w:t>refer back</w:t>
      </w:r>
      <w:proofErr w:type="gramEnd"/>
      <w:r w:rsidRPr="003C66A0">
        <w:rPr>
          <w:rFonts w:eastAsiaTheme="majorEastAsia"/>
          <w:bCs/>
          <w:color w:val="000000" w:themeColor="text1"/>
        </w:rPr>
        <w:t xml:space="preserve"> to this foundational empirical base unless stated otherwise.</w:t>
      </w:r>
    </w:p>
    <w:p w14:paraId="09C1674A" w14:textId="77777777" w:rsidR="00117A73" w:rsidRPr="003C66A0" w:rsidRDefault="00117A73" w:rsidP="00E67B44">
      <w:pPr>
        <w:jc w:val="both"/>
        <w:rPr>
          <w:rFonts w:eastAsiaTheme="majorEastAsia"/>
          <w:bCs/>
          <w:color w:val="000000" w:themeColor="text1"/>
        </w:rPr>
      </w:pPr>
    </w:p>
    <w:p w14:paraId="0D9A5665" w14:textId="5B223806" w:rsidR="000F3578" w:rsidRPr="003C66A0" w:rsidRDefault="000F3578" w:rsidP="00E67B44">
      <w:pPr>
        <w:pStyle w:val="Heading3"/>
        <w:rPr>
          <w:rFonts w:eastAsiaTheme="majorEastAsia"/>
        </w:rPr>
      </w:pPr>
      <w:bookmarkStart w:id="8" w:name="_Toc214721814"/>
      <w:r w:rsidRPr="003C66A0">
        <w:rPr>
          <w:rFonts w:eastAsiaTheme="majorEastAsia"/>
        </w:rPr>
        <w:t>1.</w:t>
      </w:r>
      <w:r w:rsidR="00167281" w:rsidRPr="003C66A0">
        <w:rPr>
          <w:rFonts w:eastAsiaTheme="majorEastAsia"/>
        </w:rPr>
        <w:t>3</w:t>
      </w:r>
      <w:r w:rsidRPr="003C66A0">
        <w:rPr>
          <w:rFonts w:eastAsiaTheme="majorEastAsia"/>
        </w:rPr>
        <w:t>.1 Theoretical Context and Research Gap</w:t>
      </w:r>
      <w:bookmarkEnd w:id="8"/>
    </w:p>
    <w:p w14:paraId="729C87D7" w14:textId="3328A705" w:rsidR="00372265" w:rsidRPr="003C66A0" w:rsidRDefault="00372265" w:rsidP="00E67B44">
      <w:pPr>
        <w:jc w:val="both"/>
        <w:rPr>
          <w:rFonts w:eastAsiaTheme="majorEastAsia"/>
          <w:bCs/>
          <w:color w:val="000000" w:themeColor="text1"/>
        </w:rPr>
      </w:pPr>
      <w:r w:rsidRPr="003C66A0">
        <w:rPr>
          <w:rFonts w:eastAsiaTheme="majorEastAsia"/>
          <w:bCs/>
          <w:color w:val="000000" w:themeColor="text1"/>
        </w:rPr>
        <w:t>The newly established decentralized finance protocols offer a new and game-changing idea and opportunities: financial services without using traditional middlemen (</w:t>
      </w:r>
      <w:proofErr w:type="spellStart"/>
      <w:r w:rsidRPr="003C66A0">
        <w:rPr>
          <w:rFonts w:eastAsiaTheme="majorEastAsia"/>
          <w:bCs/>
          <w:color w:val="000000" w:themeColor="text1"/>
        </w:rPr>
        <w:t>Schär</w:t>
      </w:r>
      <w:proofErr w:type="spellEnd"/>
      <w:r w:rsidRPr="003C66A0">
        <w:rPr>
          <w:rFonts w:eastAsiaTheme="majorEastAsia"/>
          <w:bCs/>
          <w:color w:val="000000" w:themeColor="text1"/>
        </w:rPr>
        <w:t xml:space="preserve">, 2021). the usage of smart contracts </w:t>
      </w:r>
      <w:proofErr w:type="gramStart"/>
      <w:r w:rsidRPr="003C66A0">
        <w:rPr>
          <w:rFonts w:eastAsiaTheme="majorEastAsia"/>
          <w:bCs/>
          <w:color w:val="000000" w:themeColor="text1"/>
        </w:rPr>
        <w:t>apply</w:t>
      </w:r>
      <w:proofErr w:type="gramEnd"/>
      <w:r w:rsidRPr="003C66A0">
        <w:rPr>
          <w:rFonts w:eastAsiaTheme="majorEastAsia"/>
          <w:bCs/>
          <w:color w:val="000000" w:themeColor="text1"/>
        </w:rPr>
        <w:t xml:space="preserve"> the same rules to everyone which means that instead of a bank choosing who can access services and their costs, the process is automatic and fair. Instead of investment banks capturing the spread between bid and ask prices, liquidity providers earn those fees directly (</w:t>
      </w:r>
      <w:proofErr w:type="spellStart"/>
      <w:r w:rsidRPr="003C66A0">
        <w:rPr>
          <w:rFonts w:eastAsiaTheme="majorEastAsia"/>
          <w:bCs/>
          <w:color w:val="000000" w:themeColor="text1"/>
        </w:rPr>
        <w:t>Angeris</w:t>
      </w:r>
      <w:proofErr w:type="spellEnd"/>
      <w:r w:rsidRPr="003C66A0">
        <w:rPr>
          <w:rFonts w:eastAsiaTheme="majorEastAsia"/>
          <w:bCs/>
          <w:color w:val="000000" w:themeColor="text1"/>
        </w:rPr>
        <w:t xml:space="preserve"> et al., 2019). The underlying architecture used in Defi enables this.</w:t>
      </w:r>
    </w:p>
    <w:p w14:paraId="1A1B9347" w14:textId="77777777" w:rsidR="00372265" w:rsidRPr="003C66A0" w:rsidRDefault="00372265" w:rsidP="00E67B44">
      <w:pPr>
        <w:jc w:val="both"/>
        <w:rPr>
          <w:rFonts w:eastAsiaTheme="majorEastAsia"/>
          <w:bCs/>
          <w:color w:val="000000" w:themeColor="text1"/>
        </w:rPr>
      </w:pPr>
    </w:p>
    <w:p w14:paraId="7A14469A" w14:textId="18C54587" w:rsidR="00372265" w:rsidRPr="003C66A0" w:rsidRDefault="00372265" w:rsidP="00E67B44">
      <w:pPr>
        <w:jc w:val="both"/>
        <w:rPr>
          <w:rFonts w:eastAsiaTheme="majorEastAsia"/>
          <w:bCs/>
          <w:color w:val="000000" w:themeColor="text1"/>
        </w:rPr>
      </w:pPr>
      <w:r w:rsidRPr="003C66A0">
        <w:rPr>
          <w:rFonts w:eastAsiaTheme="majorEastAsia"/>
          <w:bCs/>
          <w:color w:val="000000" w:themeColor="text1"/>
        </w:rPr>
        <w:t xml:space="preserve">When looking at actual outcomes </w:t>
      </w:r>
      <w:proofErr w:type="gramStart"/>
      <w:r w:rsidRPr="003C66A0">
        <w:rPr>
          <w:rFonts w:eastAsiaTheme="majorEastAsia"/>
          <w:bCs/>
          <w:color w:val="000000" w:themeColor="text1"/>
        </w:rPr>
        <w:t>for</w:t>
      </w:r>
      <w:proofErr w:type="gramEnd"/>
      <w:r w:rsidRPr="003C66A0">
        <w:rPr>
          <w:rFonts w:eastAsiaTheme="majorEastAsia"/>
          <w:bCs/>
          <w:color w:val="000000" w:themeColor="text1"/>
        </w:rPr>
        <w:t xml:space="preserve"> the business opportunities presented by this, most participants during my study period lost money or barely broke even, and this was not because the technology failed. The protocols worked exactly as designed; however, the gap resulted from three sources that the marketing materials don't adequately explain. First, operational costs are higher than most people expect as gas fees on Ethereum can consume all profits for positions under $25,000 (Ethereum Foundation, 2023). Even failed transactions cost money, and rebalancing positions does take time and </w:t>
      </w:r>
      <w:proofErr w:type="spellStart"/>
      <w:r w:rsidRPr="003C66A0">
        <w:rPr>
          <w:rFonts w:eastAsiaTheme="majorEastAsia"/>
          <w:bCs/>
          <w:color w:val="000000" w:themeColor="text1"/>
        </w:rPr>
        <w:t>cost.and</w:t>
      </w:r>
      <w:proofErr w:type="spellEnd"/>
      <w:r w:rsidRPr="003C66A0">
        <w:rPr>
          <w:rFonts w:eastAsiaTheme="majorEastAsia"/>
          <w:bCs/>
          <w:color w:val="000000" w:themeColor="text1"/>
        </w:rPr>
        <w:t xml:space="preserve"> all these expenses add up quickly. Second, the risks are very different from traditional investing. Impermanent loss can wipe out profits, even if the tokens one provides increase in value (Pintail, 2019). Smart contract exploits can wipe out positions instantly with no means to recoup the funds. Governance changes, as seen during the study period, can make profitable strategies unprofitable overnight. Third, the time investment is substantial, somewhat </w:t>
      </w:r>
      <w:r w:rsidR="005940B7" w:rsidRPr="003C66A0">
        <w:rPr>
          <w:rFonts w:eastAsiaTheme="majorEastAsia"/>
          <w:bCs/>
          <w:color w:val="000000" w:themeColor="text1"/>
        </w:rPr>
        <w:t>disqualifying</w:t>
      </w:r>
      <w:r w:rsidRPr="003C66A0">
        <w:rPr>
          <w:rFonts w:eastAsiaTheme="majorEastAsia"/>
          <w:bCs/>
          <w:color w:val="000000" w:themeColor="text1"/>
        </w:rPr>
        <w:t xml:space="preserve"> this as passive income. Successful participants spent about 17.5 hours a week managing their positions, according to those interviewed (see Section 7.5).</w:t>
      </w:r>
    </w:p>
    <w:p w14:paraId="38615B63" w14:textId="77777777" w:rsidR="00372265" w:rsidRPr="003C66A0" w:rsidRDefault="00372265" w:rsidP="00E67B44">
      <w:pPr>
        <w:jc w:val="both"/>
        <w:rPr>
          <w:rFonts w:eastAsiaTheme="majorEastAsia"/>
          <w:bCs/>
          <w:color w:val="000000" w:themeColor="text1"/>
        </w:rPr>
      </w:pPr>
    </w:p>
    <w:p w14:paraId="76E579C1" w14:textId="54A2B775" w:rsidR="00372265" w:rsidRPr="003C66A0" w:rsidRDefault="00372265" w:rsidP="00E67B44">
      <w:pPr>
        <w:jc w:val="both"/>
        <w:rPr>
          <w:rFonts w:eastAsiaTheme="majorEastAsia"/>
          <w:bCs/>
          <w:color w:val="000000" w:themeColor="text1"/>
        </w:rPr>
      </w:pPr>
      <w:r w:rsidRPr="003C66A0">
        <w:rPr>
          <w:rFonts w:eastAsiaTheme="majorEastAsia"/>
          <w:bCs/>
          <w:color w:val="000000" w:themeColor="text1"/>
        </w:rPr>
        <w:t xml:space="preserve">Understanding these realities doesn't mean the opportunities aren't real—they are, but this </w:t>
      </w:r>
      <w:r w:rsidR="005940B7" w:rsidRPr="003C66A0">
        <w:rPr>
          <w:rFonts w:eastAsiaTheme="majorEastAsia"/>
          <w:bCs/>
          <w:color w:val="000000" w:themeColor="text1"/>
        </w:rPr>
        <w:t>research</w:t>
      </w:r>
      <w:r w:rsidRPr="003C66A0">
        <w:rPr>
          <w:rFonts w:eastAsiaTheme="majorEastAsia"/>
          <w:bCs/>
          <w:color w:val="000000" w:themeColor="text1"/>
        </w:rPr>
        <w:t xml:space="preserve"> shows they are different opportunities than what most people expect. They require more capital than advertised, more time than promised, and more expertise than acknowledged. For those who can meet these requirements, the returns are genuine and weren't available before DeFi existed.</w:t>
      </w:r>
    </w:p>
    <w:p w14:paraId="05405882" w14:textId="77777777" w:rsidR="008E35A3" w:rsidRPr="003C66A0" w:rsidRDefault="008E35A3" w:rsidP="00E67B44">
      <w:pPr>
        <w:jc w:val="both"/>
        <w:rPr>
          <w:rFonts w:eastAsiaTheme="majorEastAsia"/>
          <w:bCs/>
          <w:color w:val="000000" w:themeColor="text1"/>
        </w:rPr>
      </w:pPr>
    </w:p>
    <w:p w14:paraId="797D4C87" w14:textId="15462C86" w:rsidR="000F3578" w:rsidRPr="003C66A0" w:rsidRDefault="000F3578" w:rsidP="00E67B44">
      <w:pPr>
        <w:pStyle w:val="Heading3"/>
        <w:rPr>
          <w:rFonts w:eastAsiaTheme="majorEastAsia"/>
        </w:rPr>
      </w:pPr>
      <w:bookmarkStart w:id="9" w:name="_Toc214721815"/>
      <w:r w:rsidRPr="003C66A0">
        <w:rPr>
          <w:rFonts w:eastAsiaTheme="majorEastAsia"/>
        </w:rPr>
        <w:t>1.</w:t>
      </w:r>
      <w:r w:rsidR="00167281" w:rsidRPr="003C66A0">
        <w:rPr>
          <w:rFonts w:eastAsiaTheme="majorEastAsia"/>
        </w:rPr>
        <w:t>3</w:t>
      </w:r>
      <w:r w:rsidRPr="003C66A0">
        <w:rPr>
          <w:rFonts w:eastAsiaTheme="majorEastAsia"/>
        </w:rPr>
        <w:t>.2 Regulatory and Market Context</w:t>
      </w:r>
      <w:bookmarkEnd w:id="9"/>
    </w:p>
    <w:p w14:paraId="656D0EC9" w14:textId="77777777" w:rsidR="005E7DFF" w:rsidRPr="003C66A0" w:rsidRDefault="005E7DFF" w:rsidP="00E67B44">
      <w:pPr>
        <w:jc w:val="both"/>
        <w:rPr>
          <w:rFonts w:eastAsiaTheme="majorEastAsia"/>
          <w:bCs/>
          <w:color w:val="000000" w:themeColor="text1"/>
        </w:rPr>
      </w:pPr>
      <w:r w:rsidRPr="003C66A0">
        <w:rPr>
          <w:rFonts w:eastAsiaTheme="majorEastAsia"/>
          <w:bCs/>
          <w:color w:val="000000" w:themeColor="text1"/>
        </w:rPr>
        <w:t>This research addresses four practical questions that anyone considering DeFi participation needs answered:</w:t>
      </w:r>
    </w:p>
    <w:p w14:paraId="23DD1EE5" w14:textId="77777777" w:rsidR="005E7DFF" w:rsidRPr="003C66A0" w:rsidRDefault="005E7DFF" w:rsidP="00E67B44">
      <w:pPr>
        <w:jc w:val="both"/>
        <w:rPr>
          <w:rFonts w:eastAsiaTheme="majorEastAsia"/>
          <w:bCs/>
          <w:color w:val="000000" w:themeColor="text1"/>
        </w:rPr>
      </w:pPr>
      <w:r w:rsidRPr="003C66A0">
        <w:rPr>
          <w:rFonts w:eastAsiaTheme="majorEastAsia"/>
          <w:bCs/>
          <w:color w:val="000000" w:themeColor="text1"/>
        </w:rPr>
        <w:t> </w:t>
      </w:r>
    </w:p>
    <w:p w14:paraId="74F703EA" w14:textId="4DF86FC6" w:rsidR="005E7DFF" w:rsidRPr="003C66A0" w:rsidRDefault="005E7DFF" w:rsidP="00E67B44">
      <w:pPr>
        <w:jc w:val="both"/>
        <w:rPr>
          <w:rFonts w:eastAsiaTheme="majorEastAsia"/>
          <w:bCs/>
          <w:color w:val="000000" w:themeColor="text1"/>
        </w:rPr>
      </w:pPr>
      <w:r w:rsidRPr="003C66A0">
        <w:rPr>
          <w:rFonts w:eastAsiaTheme="majorEastAsia"/>
          <w:bCs/>
          <w:color w:val="000000" w:themeColor="text1"/>
        </w:rPr>
        <w:t xml:space="preserve">To </w:t>
      </w:r>
      <w:r w:rsidR="00CC788A" w:rsidRPr="003C66A0">
        <w:rPr>
          <w:rFonts w:eastAsiaTheme="majorEastAsia"/>
          <w:bCs/>
          <w:color w:val="000000" w:themeColor="text1"/>
        </w:rPr>
        <w:t>begin with</w:t>
      </w:r>
      <w:r w:rsidRPr="003C66A0">
        <w:rPr>
          <w:rFonts w:eastAsiaTheme="majorEastAsia"/>
          <w:bCs/>
          <w:color w:val="000000" w:themeColor="text1"/>
        </w:rPr>
        <w:t xml:space="preserve">, the first question to ask is what amount of money is required to effectively implement these strategies? The protocols might accept </w:t>
      </w:r>
      <w:proofErr w:type="gramStart"/>
      <w:r w:rsidRPr="003C66A0">
        <w:rPr>
          <w:rFonts w:eastAsiaTheme="majorEastAsia"/>
          <w:bCs/>
          <w:color w:val="000000" w:themeColor="text1"/>
        </w:rPr>
        <w:t>traders with</w:t>
      </w:r>
      <w:proofErr w:type="gramEnd"/>
      <w:r w:rsidRPr="003C66A0">
        <w:rPr>
          <w:rFonts w:eastAsiaTheme="majorEastAsia"/>
          <w:bCs/>
          <w:color w:val="000000" w:themeColor="text1"/>
        </w:rPr>
        <w:t xml:space="preserve"> as low as $10, but at what point do the returns exceed the costs associated with the transactions? My analysis found that there are specific thresholds for different networks </w:t>
      </w:r>
      <w:proofErr w:type="gramStart"/>
      <w:r w:rsidRPr="003C66A0">
        <w:rPr>
          <w:rFonts w:eastAsiaTheme="majorEastAsia"/>
          <w:bCs/>
          <w:color w:val="000000" w:themeColor="text1"/>
        </w:rPr>
        <w:t>and also</w:t>
      </w:r>
      <w:proofErr w:type="gramEnd"/>
      <w:r w:rsidRPr="003C66A0">
        <w:rPr>
          <w:rFonts w:eastAsiaTheme="majorEastAsia"/>
          <w:bCs/>
          <w:color w:val="000000" w:themeColor="text1"/>
        </w:rPr>
        <w:t xml:space="preserve"> strategies - based on my empirical sample. On Polygon, it is possible to start with $750 and achieve positive returns, however on Ethereum L2 solutions like </w:t>
      </w:r>
      <w:proofErr w:type="spellStart"/>
      <w:r w:rsidRPr="003C66A0">
        <w:rPr>
          <w:rFonts w:eastAsiaTheme="majorEastAsia"/>
          <w:bCs/>
          <w:color w:val="000000" w:themeColor="text1"/>
        </w:rPr>
        <w:t>Arbitrum</w:t>
      </w:r>
      <w:proofErr w:type="spellEnd"/>
      <w:r w:rsidRPr="003C66A0">
        <w:rPr>
          <w:rFonts w:eastAsiaTheme="majorEastAsia"/>
          <w:bCs/>
          <w:color w:val="000000" w:themeColor="text1"/>
        </w:rPr>
        <w:t xml:space="preserve">, </w:t>
      </w:r>
      <w:r w:rsidR="00CC788A" w:rsidRPr="003C66A0">
        <w:rPr>
          <w:rFonts w:eastAsiaTheme="majorEastAsia"/>
          <w:bCs/>
          <w:color w:val="000000" w:themeColor="text1"/>
        </w:rPr>
        <w:t>one</w:t>
      </w:r>
      <w:r w:rsidRPr="003C66A0">
        <w:rPr>
          <w:rFonts w:eastAsiaTheme="majorEastAsia"/>
          <w:bCs/>
          <w:color w:val="000000" w:themeColor="text1"/>
        </w:rPr>
        <w:t xml:space="preserve"> needs about $3,500. On Ethereum </w:t>
      </w:r>
      <w:proofErr w:type="spellStart"/>
      <w:r w:rsidRPr="003C66A0">
        <w:rPr>
          <w:rFonts w:eastAsiaTheme="majorEastAsia"/>
          <w:bCs/>
          <w:color w:val="000000" w:themeColor="text1"/>
        </w:rPr>
        <w:t>mainnet</w:t>
      </w:r>
      <w:proofErr w:type="spellEnd"/>
      <w:r w:rsidRPr="003C66A0">
        <w:rPr>
          <w:rFonts w:eastAsiaTheme="majorEastAsia"/>
          <w:bCs/>
          <w:color w:val="000000" w:themeColor="text1"/>
        </w:rPr>
        <w:t xml:space="preserve">, most positions below </w:t>
      </w:r>
      <w:r w:rsidRPr="003C66A0">
        <w:rPr>
          <w:rFonts w:eastAsiaTheme="majorEastAsia"/>
          <w:bCs/>
          <w:color w:val="000000" w:themeColor="text1"/>
        </w:rPr>
        <w:lastRenderedPageBreak/>
        <w:t>the viability threshold struggle to overcome gas costs (see Chapter 4 for detailed analysis). The analysis relies on mathematical principles derived from the observed costs and returns during my study period.</w:t>
      </w:r>
    </w:p>
    <w:p w14:paraId="435E2836" w14:textId="77777777" w:rsidR="005E7DFF" w:rsidRPr="003C66A0" w:rsidRDefault="005E7DFF" w:rsidP="00E67B44">
      <w:pPr>
        <w:jc w:val="both"/>
        <w:rPr>
          <w:rFonts w:eastAsiaTheme="majorEastAsia"/>
          <w:bCs/>
          <w:color w:val="000000" w:themeColor="text1"/>
        </w:rPr>
      </w:pPr>
      <w:r w:rsidRPr="003C66A0">
        <w:rPr>
          <w:rFonts w:eastAsiaTheme="majorEastAsia"/>
          <w:bCs/>
          <w:color w:val="000000" w:themeColor="text1"/>
        </w:rPr>
        <w:t> </w:t>
      </w:r>
    </w:p>
    <w:p w14:paraId="0E39715E" w14:textId="789DEF25" w:rsidR="005E7DFF" w:rsidRPr="003C66A0" w:rsidRDefault="00CC788A" w:rsidP="00E67B44">
      <w:pPr>
        <w:jc w:val="both"/>
        <w:rPr>
          <w:rFonts w:eastAsiaTheme="majorEastAsia"/>
          <w:bCs/>
          <w:color w:val="000000" w:themeColor="text1"/>
        </w:rPr>
      </w:pPr>
      <w:r>
        <w:rPr>
          <w:rFonts w:eastAsiaTheme="majorEastAsia"/>
          <w:bCs/>
          <w:color w:val="000000" w:themeColor="text1"/>
        </w:rPr>
        <w:t>The s</w:t>
      </w:r>
      <w:r w:rsidR="005E7DFF" w:rsidRPr="003C66A0">
        <w:rPr>
          <w:rFonts w:eastAsiaTheme="majorEastAsia"/>
          <w:bCs/>
          <w:color w:val="000000" w:themeColor="text1"/>
        </w:rPr>
        <w:t xml:space="preserve">econd question to answer is, what returns can one realistically achieve after accounting for all associated costs and risks? The advertised yields of 20-200% APY exist, but only in specific circumstances and usually for sophisticated players who get in </w:t>
      </w:r>
      <w:proofErr w:type="gramStart"/>
      <w:r w:rsidR="005E7DFF" w:rsidRPr="003C66A0">
        <w:rPr>
          <w:rFonts w:eastAsiaTheme="majorEastAsia"/>
          <w:bCs/>
          <w:color w:val="000000" w:themeColor="text1"/>
        </w:rPr>
        <w:t>earl</w:t>
      </w:r>
      <w:proofErr w:type="gramEnd"/>
      <w:r w:rsidR="005E7DFF" w:rsidRPr="003C66A0">
        <w:rPr>
          <w:rFonts w:eastAsiaTheme="majorEastAsia"/>
          <w:bCs/>
          <w:color w:val="000000" w:themeColor="text1"/>
        </w:rPr>
        <w:t xml:space="preserve">. For participants with limited capital the actual returns ranged from 4% to 15% annually, with </w:t>
      </w:r>
      <w:proofErr w:type="gramStart"/>
      <w:r w:rsidR="005E7DFF" w:rsidRPr="003C66A0">
        <w:rPr>
          <w:rFonts w:eastAsiaTheme="majorEastAsia"/>
          <w:bCs/>
          <w:color w:val="000000" w:themeColor="text1"/>
        </w:rPr>
        <w:t>the</w:t>
      </w:r>
      <w:proofErr w:type="gramEnd"/>
      <w:r w:rsidR="005E7DFF" w:rsidRPr="003C66A0">
        <w:rPr>
          <w:rFonts w:eastAsiaTheme="majorEastAsia"/>
          <w:bCs/>
          <w:color w:val="000000" w:themeColor="text1"/>
        </w:rPr>
        <w:t xml:space="preserve"> median around 7%. That is not </w:t>
      </w:r>
      <w:r w:rsidRPr="003C66A0">
        <w:rPr>
          <w:rFonts w:eastAsiaTheme="majorEastAsia"/>
          <w:bCs/>
          <w:color w:val="000000" w:themeColor="text1"/>
        </w:rPr>
        <w:t>significant</w:t>
      </w:r>
      <w:r w:rsidR="005E7DFF" w:rsidRPr="003C66A0">
        <w:rPr>
          <w:rFonts w:eastAsiaTheme="majorEastAsia"/>
          <w:bCs/>
          <w:color w:val="000000" w:themeColor="text1"/>
        </w:rPr>
        <w:t xml:space="preserve">, it still is a real yield derived from genuine economic activity and </w:t>
      </w:r>
      <w:proofErr w:type="gramStart"/>
      <w:r w:rsidR="005E7DFF" w:rsidRPr="003C66A0">
        <w:rPr>
          <w:rFonts w:eastAsiaTheme="majorEastAsia"/>
          <w:bCs/>
          <w:color w:val="000000" w:themeColor="text1"/>
        </w:rPr>
        <w:t>not</w:t>
      </w:r>
      <w:proofErr w:type="gramEnd"/>
      <w:r w:rsidR="005E7DFF" w:rsidRPr="003C66A0">
        <w:rPr>
          <w:rFonts w:eastAsiaTheme="majorEastAsia"/>
          <w:bCs/>
          <w:color w:val="000000" w:themeColor="text1"/>
        </w:rPr>
        <w:t xml:space="preserve"> speculation.</w:t>
      </w:r>
    </w:p>
    <w:p w14:paraId="4CBEDD24" w14:textId="77777777" w:rsidR="005E7DFF" w:rsidRPr="003C66A0" w:rsidRDefault="005E7DFF" w:rsidP="00E67B44">
      <w:pPr>
        <w:jc w:val="both"/>
        <w:rPr>
          <w:rFonts w:eastAsiaTheme="majorEastAsia"/>
          <w:bCs/>
          <w:color w:val="000000" w:themeColor="text1"/>
        </w:rPr>
      </w:pPr>
      <w:r w:rsidRPr="003C66A0">
        <w:rPr>
          <w:rFonts w:eastAsiaTheme="majorEastAsia"/>
          <w:bCs/>
          <w:color w:val="000000" w:themeColor="text1"/>
        </w:rPr>
        <w:t> </w:t>
      </w:r>
    </w:p>
    <w:p w14:paraId="51369E8B" w14:textId="2D011281" w:rsidR="005E7DFF" w:rsidRPr="003C66A0" w:rsidRDefault="005E7DFF" w:rsidP="00E67B44">
      <w:pPr>
        <w:jc w:val="both"/>
        <w:rPr>
          <w:rFonts w:eastAsiaTheme="majorEastAsia"/>
          <w:bCs/>
          <w:color w:val="000000" w:themeColor="text1"/>
        </w:rPr>
      </w:pPr>
      <w:r w:rsidRPr="003C66A0">
        <w:rPr>
          <w:rFonts w:eastAsiaTheme="majorEastAsia"/>
          <w:bCs/>
          <w:color w:val="000000" w:themeColor="text1"/>
        </w:rPr>
        <w:t>Third</w:t>
      </w:r>
      <w:r w:rsidR="00730072">
        <w:rPr>
          <w:rFonts w:eastAsiaTheme="majorEastAsia"/>
          <w:bCs/>
          <w:color w:val="000000" w:themeColor="text1"/>
        </w:rPr>
        <w:t xml:space="preserve"> </w:t>
      </w:r>
      <w:r w:rsidRPr="003C66A0">
        <w:rPr>
          <w:rFonts w:eastAsiaTheme="majorEastAsia"/>
          <w:bCs/>
          <w:color w:val="000000" w:themeColor="text1"/>
        </w:rPr>
        <w:t xml:space="preserve">is which strategies </w:t>
      </w:r>
      <w:proofErr w:type="gramStart"/>
      <w:r w:rsidRPr="003C66A0">
        <w:rPr>
          <w:rFonts w:eastAsiaTheme="majorEastAsia"/>
          <w:bCs/>
          <w:color w:val="000000" w:themeColor="text1"/>
        </w:rPr>
        <w:t>actually work</w:t>
      </w:r>
      <w:proofErr w:type="gramEnd"/>
      <w:r w:rsidRPr="003C66A0">
        <w:rPr>
          <w:rFonts w:eastAsiaTheme="majorEastAsia"/>
          <w:bCs/>
          <w:color w:val="000000" w:themeColor="text1"/>
        </w:rPr>
        <w:t xml:space="preserve"> for people without institutional resources? I found that simple strategies consistently outperformed complex ones for most participants, including providing liquidity to </w:t>
      </w:r>
      <w:proofErr w:type="gramStart"/>
      <w:r w:rsidRPr="003C66A0">
        <w:rPr>
          <w:rFonts w:eastAsiaTheme="majorEastAsia"/>
          <w:bCs/>
          <w:color w:val="000000" w:themeColor="text1"/>
        </w:rPr>
        <w:t>stablecoin</w:t>
      </w:r>
      <w:proofErr w:type="gramEnd"/>
      <w:r w:rsidRPr="003C66A0">
        <w:rPr>
          <w:rFonts w:eastAsiaTheme="majorEastAsia"/>
          <w:bCs/>
          <w:color w:val="000000" w:themeColor="text1"/>
        </w:rPr>
        <w:t xml:space="preserve"> pairs on L2 networks. This emerged as the most reliable approach. that generated consistent 4-8% returns for participants who could commit $3,500-$10,000 of capital.</w:t>
      </w:r>
    </w:p>
    <w:p w14:paraId="1549C4A9" w14:textId="77777777" w:rsidR="00C919C2" w:rsidRPr="003C66A0" w:rsidRDefault="00C919C2" w:rsidP="00E67B44">
      <w:pPr>
        <w:jc w:val="both"/>
        <w:rPr>
          <w:rFonts w:eastAsiaTheme="majorEastAsia"/>
          <w:bCs/>
          <w:color w:val="000000" w:themeColor="text1"/>
        </w:rPr>
      </w:pPr>
    </w:p>
    <w:p w14:paraId="6083B482" w14:textId="4BFD1F85" w:rsidR="004C66E9" w:rsidRPr="003C66A0" w:rsidRDefault="00041241" w:rsidP="00E67B44">
      <w:pPr>
        <w:jc w:val="both"/>
        <w:rPr>
          <w:rFonts w:eastAsiaTheme="majorEastAsia"/>
          <w:bCs/>
          <w:color w:val="000000" w:themeColor="text1"/>
        </w:rPr>
      </w:pPr>
      <w:r w:rsidRPr="003C66A0">
        <w:rPr>
          <w:rFonts w:eastAsiaTheme="majorEastAsia"/>
          <w:bCs/>
          <w:color w:val="000000" w:themeColor="text1"/>
        </w:rPr>
        <w:t xml:space="preserve">Fourth, what are the real risks, and can they be managed? Some risks in DeFi are manageable—such as timing transactions to reduce gas costs, diversifying across protocols, and sizing different positions appropriately. Others are existential and cannot be managed, and they include smart contract exploits, protocol abandonment, and regulatory changes. My data </w:t>
      </w:r>
      <w:proofErr w:type="gramStart"/>
      <w:r w:rsidRPr="003C66A0">
        <w:rPr>
          <w:rFonts w:eastAsiaTheme="majorEastAsia"/>
          <w:bCs/>
          <w:color w:val="000000" w:themeColor="text1"/>
        </w:rPr>
        <w:t>suggests</w:t>
      </w:r>
      <w:proofErr w:type="gramEnd"/>
      <w:r w:rsidRPr="003C66A0">
        <w:rPr>
          <w:rFonts w:eastAsiaTheme="majorEastAsia"/>
          <w:bCs/>
          <w:color w:val="000000" w:themeColor="text1"/>
        </w:rPr>
        <w:t xml:space="preserve"> about 12% of positions experience major incidents per quarter. </w:t>
      </w:r>
      <w:r w:rsidR="00730072" w:rsidRPr="003C66A0">
        <w:rPr>
          <w:rFonts w:eastAsiaTheme="majorEastAsia"/>
          <w:bCs/>
          <w:color w:val="000000" w:themeColor="text1"/>
        </w:rPr>
        <w:t>That is</w:t>
      </w:r>
      <w:r w:rsidRPr="003C66A0">
        <w:rPr>
          <w:rFonts w:eastAsiaTheme="majorEastAsia"/>
          <w:bCs/>
          <w:color w:val="000000" w:themeColor="text1"/>
        </w:rPr>
        <w:t xml:space="preserve"> a 41% annual probability of significant loss. Traditional finance would consider this </w:t>
      </w:r>
      <w:proofErr w:type="spellStart"/>
      <w:r w:rsidRPr="003C66A0">
        <w:rPr>
          <w:rFonts w:eastAsiaTheme="majorEastAsia"/>
          <w:bCs/>
          <w:color w:val="000000" w:themeColor="text1"/>
        </w:rPr>
        <w:t>uninvestable</w:t>
      </w:r>
      <w:proofErr w:type="spellEnd"/>
      <w:r w:rsidRPr="003C66A0">
        <w:rPr>
          <w:rFonts w:eastAsiaTheme="majorEastAsia"/>
          <w:bCs/>
          <w:color w:val="000000" w:themeColor="text1"/>
        </w:rPr>
        <w:t xml:space="preserve"> (</w:t>
      </w:r>
      <w:proofErr w:type="spellStart"/>
      <w:r w:rsidRPr="003C66A0">
        <w:rPr>
          <w:rFonts w:eastAsiaTheme="majorEastAsia"/>
          <w:bCs/>
          <w:color w:val="000000" w:themeColor="text1"/>
        </w:rPr>
        <w:t>Jorion</w:t>
      </w:r>
      <w:proofErr w:type="spellEnd"/>
      <w:r w:rsidRPr="003C66A0">
        <w:rPr>
          <w:rFonts w:eastAsiaTheme="majorEastAsia"/>
          <w:bCs/>
          <w:color w:val="000000" w:themeColor="text1"/>
        </w:rPr>
        <w:t xml:space="preserve">, 2006) but In </w:t>
      </w:r>
      <w:proofErr w:type="spellStart"/>
      <w:r w:rsidRPr="003C66A0">
        <w:rPr>
          <w:rFonts w:eastAsiaTheme="majorEastAsia"/>
          <w:bCs/>
          <w:color w:val="000000" w:themeColor="text1"/>
        </w:rPr>
        <w:t>DeF</w:t>
      </w:r>
      <w:proofErr w:type="spellEnd"/>
      <w:r w:rsidRPr="003C66A0">
        <w:rPr>
          <w:rFonts w:eastAsiaTheme="majorEastAsia"/>
          <w:bCs/>
          <w:color w:val="000000" w:themeColor="text1"/>
        </w:rPr>
        <w:t xml:space="preserve"> as it stands now, it is very common, and users may not be aware of them, or they simply accept them, hoping for a high return on investment.</w:t>
      </w:r>
    </w:p>
    <w:p w14:paraId="7ADC3DE3" w14:textId="77777777" w:rsidR="00041241" w:rsidRPr="003C66A0" w:rsidRDefault="00041241" w:rsidP="00E67B44">
      <w:pPr>
        <w:jc w:val="both"/>
        <w:rPr>
          <w:rFonts w:eastAsiaTheme="majorEastAsia"/>
          <w:bCs/>
          <w:color w:val="000000" w:themeColor="text1"/>
        </w:rPr>
      </w:pPr>
    </w:p>
    <w:p w14:paraId="760A4AFF" w14:textId="29D2C91F" w:rsidR="000F3578" w:rsidRPr="003C66A0" w:rsidRDefault="000F3578" w:rsidP="00E67B44">
      <w:pPr>
        <w:pStyle w:val="Heading3"/>
        <w:rPr>
          <w:rFonts w:eastAsiaTheme="majorEastAsia"/>
        </w:rPr>
      </w:pPr>
      <w:bookmarkStart w:id="10" w:name="_Toc214721816"/>
      <w:r w:rsidRPr="003C66A0">
        <w:rPr>
          <w:rFonts w:eastAsiaTheme="majorEastAsia"/>
        </w:rPr>
        <w:t>1.</w:t>
      </w:r>
      <w:r w:rsidR="00167281" w:rsidRPr="003C66A0">
        <w:rPr>
          <w:rFonts w:eastAsiaTheme="majorEastAsia"/>
        </w:rPr>
        <w:t>3</w:t>
      </w:r>
      <w:r w:rsidRPr="003C66A0">
        <w:rPr>
          <w:rFonts w:eastAsiaTheme="majorEastAsia"/>
        </w:rPr>
        <w:t>.3 Research Objectives and Contributions</w:t>
      </w:r>
      <w:bookmarkEnd w:id="10"/>
    </w:p>
    <w:p w14:paraId="77E55036" w14:textId="77777777" w:rsidR="003B6248" w:rsidRPr="003C66A0" w:rsidRDefault="003B6248" w:rsidP="00E67B44">
      <w:pPr>
        <w:jc w:val="both"/>
        <w:rPr>
          <w:rFonts w:eastAsiaTheme="majorEastAsia"/>
        </w:rPr>
      </w:pPr>
      <w:r w:rsidRPr="003C66A0">
        <w:rPr>
          <w:rFonts w:eastAsiaTheme="majorEastAsia"/>
        </w:rPr>
        <w:t>This research has four practical objectives designed to help newcomers make informed decisions and identify if DeFi participation is the appropriate activity and means.</w:t>
      </w:r>
    </w:p>
    <w:p w14:paraId="33432067" w14:textId="77777777" w:rsidR="003B6248" w:rsidRPr="003C66A0" w:rsidRDefault="003B6248" w:rsidP="00E67B44">
      <w:pPr>
        <w:jc w:val="both"/>
        <w:rPr>
          <w:rFonts w:eastAsiaTheme="majorEastAsia"/>
        </w:rPr>
      </w:pPr>
      <w:r w:rsidRPr="003C66A0">
        <w:rPr>
          <w:rFonts w:eastAsiaTheme="majorEastAsia"/>
        </w:rPr>
        <w:t> </w:t>
      </w:r>
    </w:p>
    <w:p w14:paraId="313EE1C4" w14:textId="77777777" w:rsidR="003B6248" w:rsidRPr="003C66A0" w:rsidRDefault="003B6248" w:rsidP="00E67B44">
      <w:pPr>
        <w:jc w:val="both"/>
        <w:rPr>
          <w:rFonts w:eastAsiaTheme="majorEastAsia"/>
        </w:rPr>
      </w:pPr>
      <w:r w:rsidRPr="003C66A0">
        <w:rPr>
          <w:rFonts w:eastAsiaTheme="majorEastAsia"/>
        </w:rPr>
        <w:t xml:space="preserve">As a first research item, I identified the minimum amounts of capital required for the different strategies and platforms and how much profit was left after accounting for all associated costs. This was not done to identify theoretical minimums—protocols might accept $10 deposits - but the practical thresholds where returns exceed expenses. </w:t>
      </w:r>
    </w:p>
    <w:p w14:paraId="5467E794" w14:textId="77777777" w:rsidR="003B6248" w:rsidRPr="003C66A0" w:rsidRDefault="003B6248" w:rsidP="00E67B44">
      <w:pPr>
        <w:jc w:val="both"/>
        <w:rPr>
          <w:rFonts w:eastAsiaTheme="majorEastAsia"/>
        </w:rPr>
      </w:pPr>
    </w:p>
    <w:p w14:paraId="312C0EA1" w14:textId="77777777" w:rsidR="003B6248" w:rsidRPr="003C66A0" w:rsidRDefault="003B6248" w:rsidP="00E67B44">
      <w:pPr>
        <w:jc w:val="both"/>
        <w:rPr>
          <w:rFonts w:eastAsiaTheme="majorEastAsia"/>
        </w:rPr>
      </w:pPr>
      <w:r w:rsidRPr="003C66A0">
        <w:rPr>
          <w:rFonts w:eastAsiaTheme="majorEastAsia"/>
        </w:rPr>
        <w:t>My tracking of 156 positions showed specific breakpoints which are:</w:t>
      </w:r>
    </w:p>
    <w:p w14:paraId="023A059E" w14:textId="6670250B" w:rsidR="003B6248" w:rsidRPr="00A30DB7" w:rsidRDefault="00A30DB7" w:rsidP="00E67B44">
      <w:pPr>
        <w:pStyle w:val="ListParagraph"/>
        <w:numPr>
          <w:ilvl w:val="0"/>
          <w:numId w:val="227"/>
        </w:numPr>
        <w:jc w:val="both"/>
        <w:rPr>
          <w:rFonts w:eastAsiaTheme="majorEastAsia"/>
        </w:rPr>
      </w:pPr>
      <w:r>
        <w:rPr>
          <w:rFonts w:eastAsiaTheme="majorEastAsia"/>
        </w:rPr>
        <w:t>B</w:t>
      </w:r>
      <w:r w:rsidR="003B6248" w:rsidRPr="00A30DB7">
        <w:rPr>
          <w:rFonts w:eastAsiaTheme="majorEastAsia"/>
        </w:rPr>
        <w:t xml:space="preserve">elow $750, there was no strategy that consistently worked on any network. </w:t>
      </w:r>
    </w:p>
    <w:p w14:paraId="06F62AAF" w14:textId="77777777" w:rsidR="003B6248" w:rsidRPr="00A30DB7" w:rsidRDefault="003B6248" w:rsidP="00E67B44">
      <w:pPr>
        <w:pStyle w:val="ListParagraph"/>
        <w:numPr>
          <w:ilvl w:val="0"/>
          <w:numId w:val="227"/>
        </w:numPr>
        <w:jc w:val="both"/>
        <w:rPr>
          <w:rFonts w:eastAsiaTheme="majorEastAsia"/>
        </w:rPr>
      </w:pPr>
      <w:r w:rsidRPr="00A30DB7">
        <w:rPr>
          <w:rFonts w:eastAsiaTheme="majorEastAsia"/>
        </w:rPr>
        <w:t xml:space="preserve">Between $750 and $3,500, only Polygon and similar low-cost chains offered viable opportunities. From $3,500 to $25,000, L2 solutions like </w:t>
      </w:r>
      <w:proofErr w:type="spellStart"/>
      <w:r w:rsidRPr="00A30DB7">
        <w:rPr>
          <w:rFonts w:eastAsiaTheme="majorEastAsia"/>
        </w:rPr>
        <w:t>Arbitrum</w:t>
      </w:r>
      <w:proofErr w:type="spellEnd"/>
      <w:r w:rsidRPr="00A30DB7">
        <w:rPr>
          <w:rFonts w:eastAsiaTheme="majorEastAsia"/>
        </w:rPr>
        <w:t xml:space="preserve"> </w:t>
      </w:r>
      <w:proofErr w:type="gramStart"/>
      <w:r w:rsidRPr="00A30DB7">
        <w:rPr>
          <w:rFonts w:eastAsiaTheme="majorEastAsia"/>
        </w:rPr>
        <w:t>opened up</w:t>
      </w:r>
      <w:proofErr w:type="gramEnd"/>
      <w:r w:rsidRPr="00A30DB7">
        <w:rPr>
          <w:rFonts w:eastAsiaTheme="majorEastAsia"/>
        </w:rPr>
        <w:t xml:space="preserve">. </w:t>
      </w:r>
    </w:p>
    <w:p w14:paraId="2CD03C77" w14:textId="77777777" w:rsidR="003B6248" w:rsidRPr="00A30DB7" w:rsidRDefault="003B6248" w:rsidP="00E67B44">
      <w:pPr>
        <w:pStyle w:val="ListParagraph"/>
        <w:numPr>
          <w:ilvl w:val="0"/>
          <w:numId w:val="227"/>
        </w:numPr>
        <w:jc w:val="both"/>
        <w:rPr>
          <w:rFonts w:eastAsiaTheme="majorEastAsia"/>
        </w:rPr>
      </w:pPr>
      <w:r w:rsidRPr="00A30DB7">
        <w:rPr>
          <w:rFonts w:eastAsiaTheme="majorEastAsia"/>
        </w:rPr>
        <w:t xml:space="preserve">Above the network viability threshold, Ethereum </w:t>
      </w:r>
      <w:proofErr w:type="spellStart"/>
      <w:r w:rsidRPr="00A30DB7">
        <w:rPr>
          <w:rFonts w:eastAsiaTheme="majorEastAsia"/>
        </w:rPr>
        <w:t>mainnet</w:t>
      </w:r>
      <w:proofErr w:type="spellEnd"/>
      <w:r w:rsidRPr="00A30DB7">
        <w:rPr>
          <w:rFonts w:eastAsiaTheme="majorEastAsia"/>
        </w:rPr>
        <w:t xml:space="preserve"> became profitable. </w:t>
      </w:r>
    </w:p>
    <w:p w14:paraId="4BAC773D" w14:textId="77777777" w:rsidR="003B6248" w:rsidRPr="003C66A0" w:rsidRDefault="003B6248" w:rsidP="00E67B44">
      <w:pPr>
        <w:jc w:val="both"/>
        <w:rPr>
          <w:rFonts w:eastAsiaTheme="majorEastAsia"/>
        </w:rPr>
      </w:pPr>
    </w:p>
    <w:p w14:paraId="32673DD5" w14:textId="77777777" w:rsidR="003B6248" w:rsidRPr="003C66A0" w:rsidRDefault="003B6248" w:rsidP="00E67B44">
      <w:pPr>
        <w:jc w:val="both"/>
        <w:rPr>
          <w:rFonts w:eastAsiaTheme="majorEastAsia"/>
        </w:rPr>
      </w:pPr>
      <w:r w:rsidRPr="003C66A0">
        <w:rPr>
          <w:rFonts w:eastAsiaTheme="majorEastAsia"/>
        </w:rPr>
        <w:t>These numbers emerged from the mathematical relationships between gas costs, position sizes, and fee generation.</w:t>
      </w:r>
    </w:p>
    <w:p w14:paraId="3DBBEE4B" w14:textId="77777777" w:rsidR="003B6248" w:rsidRPr="003C66A0" w:rsidRDefault="003B6248" w:rsidP="00E67B44">
      <w:pPr>
        <w:jc w:val="both"/>
        <w:rPr>
          <w:rFonts w:eastAsiaTheme="majorEastAsia"/>
        </w:rPr>
      </w:pPr>
      <w:r w:rsidRPr="003C66A0">
        <w:rPr>
          <w:rFonts w:eastAsiaTheme="majorEastAsia"/>
        </w:rPr>
        <w:t> </w:t>
      </w:r>
    </w:p>
    <w:p w14:paraId="6DB18BE2" w14:textId="77777777" w:rsidR="003B6248" w:rsidRPr="003C66A0" w:rsidRDefault="003B6248" w:rsidP="00E67B44">
      <w:pPr>
        <w:jc w:val="both"/>
        <w:rPr>
          <w:rFonts w:eastAsiaTheme="majorEastAsia"/>
        </w:rPr>
      </w:pPr>
      <w:r w:rsidRPr="003C66A0">
        <w:rPr>
          <w:rFonts w:eastAsiaTheme="majorEastAsia"/>
        </w:rPr>
        <w:t xml:space="preserve">Second, I documented the real risks involved in this type of activity and assessed which ones can be managed versus which ones must simply be accepted. Some risks can be controlled, such as the timing of transactions to maximize low-gas periods, which can save 30-45% on costs. Diversification across protocols to avoid single points of failure is also a risk mitigation tactic that can size positions to survive 50% drawdowns. But other risks are binary—either they happen or </w:t>
      </w:r>
      <w:r w:rsidRPr="003C66A0">
        <w:rPr>
          <w:rFonts w:eastAsiaTheme="majorEastAsia"/>
        </w:rPr>
        <w:lastRenderedPageBreak/>
        <w:t xml:space="preserve">they don't. An example here </w:t>
      </w:r>
      <w:proofErr w:type="gramStart"/>
      <w:r w:rsidRPr="003C66A0">
        <w:rPr>
          <w:rFonts w:eastAsiaTheme="majorEastAsia"/>
        </w:rPr>
        <w:t>are</w:t>
      </w:r>
      <w:proofErr w:type="gramEnd"/>
      <w:r w:rsidRPr="003C66A0">
        <w:rPr>
          <w:rFonts w:eastAsiaTheme="majorEastAsia"/>
        </w:rPr>
        <w:t xml:space="preserve"> security risks. As an example, smart contract exploits affected 12% of positions I tracked, with average losses of 67% when they occurred. These risks cannot be managed.</w:t>
      </w:r>
    </w:p>
    <w:p w14:paraId="5CBB69B6" w14:textId="77777777" w:rsidR="001203D2" w:rsidRPr="003C66A0" w:rsidRDefault="001203D2" w:rsidP="00E67B44">
      <w:pPr>
        <w:jc w:val="both"/>
        <w:rPr>
          <w:rFonts w:eastAsiaTheme="majorEastAsia"/>
        </w:rPr>
      </w:pPr>
    </w:p>
    <w:p w14:paraId="2012975E" w14:textId="77777777" w:rsidR="008C606A" w:rsidRPr="003C66A0" w:rsidRDefault="008C606A" w:rsidP="00E67B44">
      <w:pPr>
        <w:jc w:val="both"/>
        <w:rPr>
          <w:rFonts w:eastAsiaTheme="majorEastAsia"/>
        </w:rPr>
      </w:pPr>
      <w:r w:rsidRPr="003C66A0">
        <w:rPr>
          <w:rFonts w:eastAsiaTheme="majorEastAsia"/>
        </w:rPr>
        <w:t xml:space="preserve">Third, I provided frameworks for matching strategies to my actual resources and constraints. If one has $5,000 capital with limited technical knowledge and only 5 hours weekly for management, certain strategies make sense while others guarantee failure and losses. My analysis shows that simple stablecoin liquidity provision on L2 networks works for this profile and can potentially generate around 4-8% annually. However, attempting complex yield farming or concentrated liquidity positions with these constraints mostly lead to losses. The framework here is not about finding optimal </w:t>
      </w:r>
      <w:proofErr w:type="gramStart"/>
      <w:r w:rsidRPr="003C66A0">
        <w:rPr>
          <w:rFonts w:eastAsiaTheme="majorEastAsia"/>
        </w:rPr>
        <w:t>strategies—</w:t>
      </w:r>
      <w:proofErr w:type="gramEnd"/>
      <w:r w:rsidRPr="003C66A0">
        <w:rPr>
          <w:rFonts w:eastAsiaTheme="majorEastAsia"/>
        </w:rPr>
        <w:t xml:space="preserve">it is about finding strategies you can </w:t>
      </w:r>
      <w:proofErr w:type="gramStart"/>
      <w:r w:rsidRPr="003C66A0">
        <w:rPr>
          <w:rFonts w:eastAsiaTheme="majorEastAsia"/>
        </w:rPr>
        <w:t>actually execute</w:t>
      </w:r>
      <w:proofErr w:type="gramEnd"/>
      <w:r w:rsidRPr="003C66A0">
        <w:rPr>
          <w:rFonts w:eastAsiaTheme="majorEastAsia"/>
        </w:rPr>
        <w:t xml:space="preserve"> successfully.</w:t>
      </w:r>
    </w:p>
    <w:p w14:paraId="0445A2E8" w14:textId="77777777" w:rsidR="008C606A" w:rsidRPr="003C66A0" w:rsidRDefault="008C606A" w:rsidP="00E67B44">
      <w:pPr>
        <w:jc w:val="both"/>
        <w:rPr>
          <w:rFonts w:eastAsiaTheme="majorEastAsia"/>
        </w:rPr>
      </w:pPr>
      <w:r w:rsidRPr="003C66A0">
        <w:rPr>
          <w:rFonts w:eastAsiaTheme="majorEastAsia"/>
        </w:rPr>
        <w:t> </w:t>
      </w:r>
    </w:p>
    <w:p w14:paraId="7E8742C5" w14:textId="218E1423" w:rsidR="008C606A" w:rsidRPr="003C66A0" w:rsidRDefault="008C606A" w:rsidP="00E67B44">
      <w:pPr>
        <w:jc w:val="both"/>
        <w:rPr>
          <w:rFonts w:eastAsiaTheme="majorEastAsia"/>
        </w:rPr>
      </w:pPr>
      <w:r w:rsidRPr="003C66A0">
        <w:rPr>
          <w:rFonts w:eastAsiaTheme="majorEastAsia"/>
        </w:rPr>
        <w:t xml:space="preserve">Fourth, I offered realistic projections about sustainability and future viability. Many DeFi opportunities that existed in 2020-2024 have already disappeared as markets matured, technology changed, regulatory requirements were added, or the competition increased. Yield farming APYs declined from 1000% to 10%. </w:t>
      </w:r>
      <w:r w:rsidR="00C92DCD" w:rsidRPr="003C66A0">
        <w:rPr>
          <w:rFonts w:eastAsiaTheme="majorEastAsia"/>
        </w:rPr>
        <w:t>Similar</w:t>
      </w:r>
      <w:r w:rsidRPr="003C66A0">
        <w:rPr>
          <w:rFonts w:eastAsiaTheme="majorEastAsia"/>
        </w:rPr>
        <w:t xml:space="preserve"> for arbitrage opportunities that lasted hours now disappear within a few seconds. But there </w:t>
      </w:r>
      <w:r w:rsidR="00C92DCD" w:rsidRPr="003C66A0">
        <w:rPr>
          <w:rFonts w:eastAsiaTheme="majorEastAsia"/>
        </w:rPr>
        <w:t>are</w:t>
      </w:r>
      <w:r w:rsidRPr="003C66A0">
        <w:rPr>
          <w:rFonts w:eastAsiaTheme="majorEastAsia"/>
        </w:rPr>
        <w:t xml:space="preserve"> certain strategies that show persistence. with stablecoin liquidity provision, has generated consistent returns throughout my study period. The probable reason for this is because it serves a fundamental market need—enabling stable-value transfers. Understanding which opportunities are temporary arbitrage versus sustainable and long-term business models helps set appropriate expectations.</w:t>
      </w:r>
    </w:p>
    <w:p w14:paraId="26196B04" w14:textId="77777777" w:rsidR="008C606A" w:rsidRPr="003C66A0" w:rsidRDefault="008C606A" w:rsidP="00E67B44">
      <w:pPr>
        <w:jc w:val="both"/>
        <w:rPr>
          <w:rFonts w:eastAsiaTheme="majorEastAsia"/>
        </w:rPr>
      </w:pPr>
      <w:r w:rsidRPr="003C66A0">
        <w:rPr>
          <w:rFonts w:eastAsiaTheme="majorEastAsia"/>
        </w:rPr>
        <w:t> </w:t>
      </w:r>
    </w:p>
    <w:p w14:paraId="382B3E36" w14:textId="225644AF" w:rsidR="008C606A" w:rsidRPr="003C66A0" w:rsidRDefault="00A30DB7" w:rsidP="00E67B44">
      <w:pPr>
        <w:jc w:val="both"/>
        <w:rPr>
          <w:rFonts w:eastAsiaTheme="majorEastAsia"/>
        </w:rPr>
      </w:pPr>
      <w:r w:rsidRPr="003C66A0">
        <w:rPr>
          <w:rFonts w:eastAsiaTheme="majorEastAsia"/>
        </w:rPr>
        <w:t>Overall,</w:t>
      </w:r>
      <w:r w:rsidR="008C606A" w:rsidRPr="003C66A0">
        <w:rPr>
          <w:rFonts w:eastAsiaTheme="majorEastAsia"/>
        </w:rPr>
        <w:t xml:space="preserve"> the </w:t>
      </w:r>
      <w:r w:rsidR="00730072" w:rsidRPr="003C66A0">
        <w:rPr>
          <w:rFonts w:eastAsiaTheme="majorEastAsia"/>
        </w:rPr>
        <w:t>research</w:t>
      </w:r>
      <w:r w:rsidR="008C606A" w:rsidRPr="003C66A0">
        <w:rPr>
          <w:rFonts w:eastAsiaTheme="majorEastAsia"/>
        </w:rPr>
        <w:t xml:space="preserve"> has not discovered a path to easy wealth; instead, I documented genuine opportunities for people with limited capital to participate in financial markets in ways that were not possible or very limited for them before 2020. For example, a teacher with $5,000 can now earn 5-8% annually by facilitating trades, without needing institutional connections or million-dollar minimums. The data has not provided anything revolutionary in the sense of overthrowing or majorly competing with the existing </w:t>
      </w:r>
      <w:proofErr w:type="gramStart"/>
      <w:r w:rsidR="008C606A" w:rsidRPr="003C66A0">
        <w:rPr>
          <w:rFonts w:eastAsiaTheme="majorEastAsia"/>
        </w:rPr>
        <w:t>the financial</w:t>
      </w:r>
      <w:proofErr w:type="gramEnd"/>
      <w:r w:rsidR="008C606A" w:rsidRPr="003C66A0">
        <w:rPr>
          <w:rFonts w:eastAsiaTheme="majorEastAsia"/>
        </w:rPr>
        <w:t xml:space="preserve"> system, but it offers a meaningful expansion and various opportunities for individuals who previously had limited options beyond savings accounts that were paying a mere 0.1% in interest.</w:t>
      </w:r>
    </w:p>
    <w:p w14:paraId="7E287156" w14:textId="77777777" w:rsidR="006B6B4F" w:rsidRPr="003C66A0" w:rsidRDefault="006B6B4F" w:rsidP="00E67B44">
      <w:pPr>
        <w:jc w:val="both"/>
        <w:rPr>
          <w:rFonts w:eastAsiaTheme="majorEastAsia"/>
          <w:bCs/>
          <w:color w:val="000000" w:themeColor="text1"/>
        </w:rPr>
      </w:pPr>
    </w:p>
    <w:p w14:paraId="73FCC20A" w14:textId="66869972" w:rsidR="006B6B4F" w:rsidRPr="003C66A0" w:rsidRDefault="006D7CE9" w:rsidP="00E67B44">
      <w:pPr>
        <w:pStyle w:val="Heading3"/>
        <w:rPr>
          <w:rFonts w:eastAsiaTheme="majorEastAsia"/>
        </w:rPr>
      </w:pPr>
      <w:bookmarkStart w:id="11" w:name="_Toc214721817"/>
      <w:r>
        <w:rPr>
          <w:rFonts w:eastAsiaTheme="majorEastAsia"/>
        </w:rPr>
        <w:t>1.3.4 Key Empirical Threshold</w:t>
      </w:r>
      <w:bookmarkEnd w:id="11"/>
    </w:p>
    <w:p w14:paraId="42ACE4DB" w14:textId="77777777" w:rsidR="006B6B4F" w:rsidRPr="003C66A0" w:rsidRDefault="006B6B4F" w:rsidP="00E67B44">
      <w:pPr>
        <w:jc w:val="both"/>
        <w:rPr>
          <w:rFonts w:eastAsiaTheme="majorEastAsia"/>
          <w:bCs/>
          <w:color w:val="000000" w:themeColor="text1"/>
        </w:rPr>
      </w:pPr>
      <w:r w:rsidRPr="003C66A0">
        <w:rPr>
          <w:rFonts w:eastAsiaTheme="majorEastAsia"/>
          <w:bCs/>
          <w:color w:val="000000" w:themeColor="text1"/>
        </w:rPr>
        <w:t>(Detailed analysis in subsequent chapters)</w:t>
      </w:r>
    </w:p>
    <w:p w14:paraId="7DD47CB2" w14:textId="0872C881" w:rsidR="006B6B4F" w:rsidRPr="003C66A0" w:rsidRDefault="006B6B4F" w:rsidP="00E67B44">
      <w:pPr>
        <w:pStyle w:val="ListParagraph"/>
        <w:numPr>
          <w:ilvl w:val="0"/>
          <w:numId w:val="93"/>
        </w:numPr>
        <w:jc w:val="both"/>
        <w:rPr>
          <w:rFonts w:eastAsiaTheme="majorEastAsia"/>
          <w:bCs/>
          <w:color w:val="000000" w:themeColor="text1"/>
        </w:rPr>
      </w:pPr>
      <w:r w:rsidRPr="003C66A0">
        <w:rPr>
          <w:rFonts w:eastAsiaTheme="majorEastAsia"/>
          <w:bCs/>
          <w:color w:val="000000" w:themeColor="text1"/>
        </w:rPr>
        <w:t>Capital requirements: $750-$25,000 depending on network (Chapter 4)</w:t>
      </w:r>
    </w:p>
    <w:p w14:paraId="5BC0C262" w14:textId="25E2D575" w:rsidR="006B6B4F" w:rsidRPr="003C66A0" w:rsidRDefault="006B6B4F" w:rsidP="00E67B44">
      <w:pPr>
        <w:pStyle w:val="ListParagraph"/>
        <w:numPr>
          <w:ilvl w:val="0"/>
          <w:numId w:val="93"/>
        </w:numPr>
        <w:jc w:val="both"/>
        <w:rPr>
          <w:rFonts w:eastAsiaTheme="majorEastAsia"/>
          <w:bCs/>
          <w:color w:val="000000" w:themeColor="text1"/>
        </w:rPr>
      </w:pPr>
      <w:r w:rsidRPr="003C66A0">
        <w:rPr>
          <w:rFonts w:eastAsiaTheme="majorEastAsia"/>
          <w:bCs/>
          <w:color w:val="000000" w:themeColor="text1"/>
        </w:rPr>
        <w:t xml:space="preserve">Failure rate: </w:t>
      </w:r>
      <w:r w:rsidR="00DF0BD9" w:rsidRPr="00DF0BD9">
        <w:rPr>
          <w:rFonts w:eastAsiaTheme="majorEastAsia"/>
          <w:bCs/>
          <w:color w:val="000000" w:themeColor="text1"/>
        </w:rPr>
        <w:t xml:space="preserve">73% (95% CI: 65%-80%; accounting for survivorship bias: likely 73-90%) </w:t>
      </w:r>
      <w:r w:rsidRPr="003C66A0">
        <w:rPr>
          <w:rFonts w:eastAsiaTheme="majorEastAsia"/>
          <w:bCs/>
          <w:color w:val="000000" w:themeColor="text1"/>
        </w:rPr>
        <w:t xml:space="preserve">(Chapter 7)  </w:t>
      </w:r>
    </w:p>
    <w:p w14:paraId="0CEDFE0D" w14:textId="4110A440" w:rsidR="006B6B4F" w:rsidRPr="003C66A0" w:rsidRDefault="006B6B4F" w:rsidP="00E67B44">
      <w:pPr>
        <w:pStyle w:val="ListParagraph"/>
        <w:numPr>
          <w:ilvl w:val="0"/>
          <w:numId w:val="93"/>
        </w:numPr>
        <w:jc w:val="both"/>
        <w:rPr>
          <w:rFonts w:eastAsiaTheme="majorEastAsia"/>
          <w:bCs/>
          <w:color w:val="000000" w:themeColor="text1"/>
        </w:rPr>
      </w:pPr>
      <w:r w:rsidRPr="003C66A0">
        <w:rPr>
          <w:rFonts w:eastAsiaTheme="majorEastAsia"/>
          <w:bCs/>
          <w:color w:val="000000" w:themeColor="text1"/>
        </w:rPr>
        <w:t>Time requirement: Median 17.5 hours weekly (Chapter 7)</w:t>
      </w:r>
    </w:p>
    <w:p w14:paraId="2137E109" w14:textId="761C69E3" w:rsidR="006B6B4F" w:rsidRPr="003C66A0" w:rsidRDefault="006B6B4F" w:rsidP="00E67B44">
      <w:pPr>
        <w:pStyle w:val="ListParagraph"/>
        <w:numPr>
          <w:ilvl w:val="0"/>
          <w:numId w:val="93"/>
        </w:numPr>
        <w:jc w:val="both"/>
        <w:rPr>
          <w:rFonts w:eastAsiaTheme="majorEastAsia"/>
          <w:bCs/>
          <w:color w:val="000000" w:themeColor="text1"/>
        </w:rPr>
      </w:pPr>
      <w:r w:rsidRPr="003C66A0">
        <w:rPr>
          <w:rFonts w:eastAsiaTheme="majorEastAsia"/>
          <w:bCs/>
          <w:color w:val="000000" w:themeColor="text1"/>
        </w:rPr>
        <w:t>Annual loss probability: 35-45% (Chapter 6)</w:t>
      </w:r>
    </w:p>
    <w:p w14:paraId="011D9158" w14:textId="555BD856" w:rsidR="006B6B4F" w:rsidRPr="003C66A0" w:rsidRDefault="006B6B4F" w:rsidP="00E67B44">
      <w:pPr>
        <w:pStyle w:val="ListParagraph"/>
        <w:numPr>
          <w:ilvl w:val="0"/>
          <w:numId w:val="93"/>
        </w:numPr>
        <w:jc w:val="both"/>
        <w:rPr>
          <w:rFonts w:eastAsiaTheme="majorEastAsia"/>
          <w:bCs/>
          <w:color w:val="000000" w:themeColor="text1"/>
        </w:rPr>
      </w:pPr>
      <w:r w:rsidRPr="003C66A0">
        <w:rPr>
          <w:rFonts w:eastAsiaTheme="majorEastAsia"/>
          <w:bCs/>
          <w:color w:val="000000" w:themeColor="text1"/>
        </w:rPr>
        <w:t>Typical returns: 4-8% for stablecoin strategies (Chapter 7)</w:t>
      </w:r>
    </w:p>
    <w:p w14:paraId="6EEF6D0B" w14:textId="77777777" w:rsidR="0052156D" w:rsidRPr="003C66A0" w:rsidRDefault="0052156D" w:rsidP="00E67B44">
      <w:pPr>
        <w:jc w:val="both"/>
        <w:rPr>
          <w:rFonts w:eastAsiaTheme="majorEastAsia"/>
          <w:b/>
          <w:bCs/>
          <w:color w:val="000000" w:themeColor="text1"/>
        </w:rPr>
      </w:pPr>
    </w:p>
    <w:p w14:paraId="0B5D918B" w14:textId="1FA53B91" w:rsidR="00DD129E" w:rsidRPr="006E65E8" w:rsidRDefault="00DD129E" w:rsidP="00E67B44">
      <w:pPr>
        <w:rPr>
          <w:rStyle w:val="token"/>
          <w:b/>
          <w:bCs/>
          <w:color w:val="000000" w:themeColor="text1"/>
        </w:rPr>
      </w:pPr>
      <w:r w:rsidRPr="006E65E8">
        <w:rPr>
          <w:rStyle w:val="token"/>
          <w:b/>
          <w:bCs/>
          <w:color w:val="000000" w:themeColor="text1"/>
        </w:rPr>
        <w:t xml:space="preserve">Return Figures: Reconciliation Across Context </w:t>
      </w:r>
    </w:p>
    <w:p w14:paraId="7D405E4E" w14:textId="4FABFB05" w:rsidR="00DD129E" w:rsidRPr="006D7CE9" w:rsidRDefault="00DD129E" w:rsidP="00E67B44">
      <w:pPr>
        <w:rPr>
          <w:rStyle w:val="token"/>
          <w:b/>
          <w:bCs/>
          <w:color w:val="000000" w:themeColor="text1"/>
        </w:rPr>
      </w:pPr>
      <w:r w:rsidRPr="006D7CE9">
        <w:rPr>
          <w:bCs/>
        </w:rPr>
        <w:t xml:space="preserve">Throughout </w:t>
      </w:r>
      <w:r w:rsidRPr="006E65E8">
        <w:rPr>
          <w:bCs/>
        </w:rPr>
        <w:t xml:space="preserve">this </w:t>
      </w:r>
      <w:r w:rsidR="006E65E8" w:rsidRPr="006E65E8">
        <w:rPr>
          <w:bCs/>
        </w:rPr>
        <w:t>research</w:t>
      </w:r>
      <w:r w:rsidRPr="006E65E8">
        <w:rPr>
          <w:bCs/>
        </w:rPr>
        <w:t>,</w:t>
      </w:r>
      <w:r w:rsidRPr="006D7CE9">
        <w:rPr>
          <w:bCs/>
        </w:rPr>
        <w:t xml:space="preserve"> return figures vary based on context, capital level, and strategy type. </w:t>
      </w:r>
    </w:p>
    <w:p w14:paraId="1999DB5E" w14:textId="77777777" w:rsidR="00DD129E" w:rsidRPr="006D7CE9" w:rsidRDefault="00DD129E" w:rsidP="00E67B44">
      <w:pPr>
        <w:rPr>
          <w:rStyle w:val="token"/>
          <w:color w:val="000000" w:themeColor="text1"/>
        </w:rPr>
      </w:pPr>
    </w:p>
    <w:p w14:paraId="3F9C091E" w14:textId="296EC575" w:rsidR="00DD129E" w:rsidRPr="006D7CE9" w:rsidRDefault="00DD129E" w:rsidP="00E67B44">
      <w:pPr>
        <w:pStyle w:val="Heading4"/>
        <w:rPr>
          <w:rFonts w:eastAsiaTheme="majorEastAsia"/>
        </w:rPr>
      </w:pPr>
      <w:r w:rsidRPr="006D7CE9">
        <w:rPr>
          <w:rStyle w:val="token"/>
          <w:color w:val="000000" w:themeColor="text1"/>
        </w:rPr>
        <w:t>Table 1.0: Return Figure Reconciliation Matrix</w:t>
      </w:r>
    </w:p>
    <w:p w14:paraId="5E74AFEB" w14:textId="77777777" w:rsidR="00DD129E" w:rsidRDefault="00DD129E" w:rsidP="00E67B44">
      <w:pPr>
        <w:pStyle w:val="Heading3"/>
        <w:rPr>
          <w:rFonts w:eastAsiaTheme="majorEastAsia"/>
          <w:color w:val="EE0000"/>
        </w:rPr>
      </w:pPr>
    </w:p>
    <w:tbl>
      <w:tblPr>
        <w:tblW w:w="9170" w:type="dxa"/>
        <w:tblLayout w:type="fixed"/>
        <w:tblLook w:val="04A0" w:firstRow="1" w:lastRow="0" w:firstColumn="1" w:lastColumn="0" w:noHBand="0" w:noVBand="1"/>
      </w:tblPr>
      <w:tblGrid>
        <w:gridCol w:w="1340"/>
        <w:gridCol w:w="1980"/>
        <w:gridCol w:w="1710"/>
        <w:gridCol w:w="2430"/>
        <w:gridCol w:w="1710"/>
      </w:tblGrid>
      <w:tr w:rsidR="006D7CE9" w:rsidRPr="00F116B2" w14:paraId="5175AC94" w14:textId="77777777" w:rsidTr="00EC787E">
        <w:trPr>
          <w:trHeight w:val="320"/>
        </w:trPr>
        <w:tc>
          <w:tcPr>
            <w:tcW w:w="1340" w:type="dxa"/>
            <w:tcBorders>
              <w:top w:val="single" w:sz="8" w:space="0" w:color="BFBFBF"/>
              <w:left w:val="single" w:sz="8" w:space="0" w:color="BFBFBF"/>
              <w:bottom w:val="single" w:sz="4" w:space="0" w:color="BFBFBF"/>
              <w:right w:val="single" w:sz="4" w:space="0" w:color="BFBFBF"/>
            </w:tcBorders>
            <w:shd w:val="clear" w:color="auto" w:fill="D9D9D9" w:themeFill="background1" w:themeFillShade="D9"/>
            <w:noWrap/>
            <w:vAlign w:val="bottom"/>
            <w:hideMark/>
          </w:tcPr>
          <w:p w14:paraId="0769AFD7" w14:textId="77777777" w:rsidR="003961BB" w:rsidRPr="00F116B2" w:rsidRDefault="003961BB" w:rsidP="00E67B44">
            <w:pPr>
              <w:rPr>
                <w:b/>
                <w:bCs/>
                <w:color w:val="000000" w:themeColor="text1"/>
                <w:sz w:val="20"/>
                <w:szCs w:val="20"/>
              </w:rPr>
            </w:pPr>
            <w:r w:rsidRPr="00F116B2">
              <w:rPr>
                <w:b/>
                <w:bCs/>
                <w:color w:val="000000" w:themeColor="text1"/>
                <w:sz w:val="20"/>
                <w:szCs w:val="20"/>
              </w:rPr>
              <w:t>Context</w:t>
            </w:r>
          </w:p>
        </w:tc>
        <w:tc>
          <w:tcPr>
            <w:tcW w:w="1980" w:type="dxa"/>
            <w:tcBorders>
              <w:top w:val="single" w:sz="8" w:space="0" w:color="BFBFBF"/>
              <w:left w:val="nil"/>
              <w:bottom w:val="single" w:sz="4" w:space="0" w:color="BFBFBF"/>
              <w:right w:val="single" w:sz="4" w:space="0" w:color="BFBFBF"/>
            </w:tcBorders>
            <w:shd w:val="clear" w:color="auto" w:fill="D9D9D9" w:themeFill="background1" w:themeFillShade="D9"/>
            <w:noWrap/>
            <w:vAlign w:val="bottom"/>
            <w:hideMark/>
          </w:tcPr>
          <w:p w14:paraId="7C8B7FA1" w14:textId="77777777" w:rsidR="003961BB" w:rsidRPr="00F116B2" w:rsidRDefault="003961BB" w:rsidP="00E67B44">
            <w:pPr>
              <w:rPr>
                <w:b/>
                <w:bCs/>
                <w:color w:val="000000" w:themeColor="text1"/>
                <w:sz w:val="20"/>
                <w:szCs w:val="20"/>
              </w:rPr>
            </w:pPr>
            <w:r w:rsidRPr="00F116B2">
              <w:rPr>
                <w:b/>
                <w:bCs/>
                <w:color w:val="000000" w:themeColor="text1"/>
                <w:sz w:val="20"/>
                <w:szCs w:val="20"/>
              </w:rPr>
              <w:t>Return Range</w:t>
            </w:r>
          </w:p>
        </w:tc>
        <w:tc>
          <w:tcPr>
            <w:tcW w:w="1710" w:type="dxa"/>
            <w:tcBorders>
              <w:top w:val="single" w:sz="8" w:space="0" w:color="BFBFBF"/>
              <w:left w:val="nil"/>
              <w:bottom w:val="single" w:sz="4" w:space="0" w:color="BFBFBF"/>
              <w:right w:val="single" w:sz="4" w:space="0" w:color="BFBFBF"/>
            </w:tcBorders>
            <w:shd w:val="clear" w:color="auto" w:fill="D9D9D9" w:themeFill="background1" w:themeFillShade="D9"/>
            <w:noWrap/>
            <w:vAlign w:val="bottom"/>
            <w:hideMark/>
          </w:tcPr>
          <w:p w14:paraId="0EAC357F" w14:textId="77777777" w:rsidR="003961BB" w:rsidRPr="00F116B2" w:rsidRDefault="003961BB" w:rsidP="00E67B44">
            <w:pPr>
              <w:rPr>
                <w:b/>
                <w:bCs/>
                <w:color w:val="000000" w:themeColor="text1"/>
                <w:sz w:val="20"/>
                <w:szCs w:val="20"/>
              </w:rPr>
            </w:pPr>
            <w:r w:rsidRPr="00F116B2">
              <w:rPr>
                <w:b/>
                <w:bCs/>
                <w:color w:val="000000" w:themeColor="text1"/>
                <w:sz w:val="20"/>
                <w:szCs w:val="20"/>
              </w:rPr>
              <w:t>Sample Basis</w:t>
            </w:r>
          </w:p>
        </w:tc>
        <w:tc>
          <w:tcPr>
            <w:tcW w:w="2430" w:type="dxa"/>
            <w:tcBorders>
              <w:top w:val="single" w:sz="8" w:space="0" w:color="BFBFBF"/>
              <w:left w:val="nil"/>
              <w:bottom w:val="single" w:sz="4" w:space="0" w:color="BFBFBF"/>
              <w:right w:val="single" w:sz="4" w:space="0" w:color="BFBFBF"/>
            </w:tcBorders>
            <w:shd w:val="clear" w:color="auto" w:fill="D9D9D9" w:themeFill="background1" w:themeFillShade="D9"/>
            <w:noWrap/>
            <w:vAlign w:val="bottom"/>
            <w:hideMark/>
          </w:tcPr>
          <w:p w14:paraId="7F8CF784" w14:textId="77777777" w:rsidR="003961BB" w:rsidRPr="00F116B2" w:rsidRDefault="003961BB" w:rsidP="00E67B44">
            <w:pPr>
              <w:rPr>
                <w:b/>
                <w:bCs/>
                <w:color w:val="000000" w:themeColor="text1"/>
                <w:sz w:val="20"/>
                <w:szCs w:val="20"/>
              </w:rPr>
            </w:pPr>
            <w:r w:rsidRPr="00F116B2">
              <w:rPr>
                <w:b/>
                <w:bCs/>
                <w:color w:val="000000" w:themeColor="text1"/>
                <w:sz w:val="20"/>
                <w:szCs w:val="20"/>
              </w:rPr>
              <w:t>Why It Differs</w:t>
            </w:r>
          </w:p>
        </w:tc>
        <w:tc>
          <w:tcPr>
            <w:tcW w:w="1710" w:type="dxa"/>
            <w:tcBorders>
              <w:top w:val="single" w:sz="8" w:space="0" w:color="BFBFBF"/>
              <w:left w:val="nil"/>
              <w:bottom w:val="single" w:sz="4" w:space="0" w:color="BFBFBF"/>
              <w:right w:val="single" w:sz="8" w:space="0" w:color="BFBFBF"/>
            </w:tcBorders>
            <w:shd w:val="clear" w:color="auto" w:fill="D9D9D9" w:themeFill="background1" w:themeFillShade="D9"/>
            <w:noWrap/>
            <w:vAlign w:val="bottom"/>
            <w:hideMark/>
          </w:tcPr>
          <w:p w14:paraId="5E006D80" w14:textId="77777777" w:rsidR="003961BB" w:rsidRPr="00F116B2" w:rsidRDefault="003961BB" w:rsidP="00E67B44">
            <w:pPr>
              <w:rPr>
                <w:b/>
                <w:bCs/>
                <w:color w:val="000000" w:themeColor="text1"/>
                <w:sz w:val="20"/>
                <w:szCs w:val="20"/>
              </w:rPr>
            </w:pPr>
            <w:r w:rsidRPr="00F116B2">
              <w:rPr>
                <w:b/>
                <w:bCs/>
                <w:color w:val="000000" w:themeColor="text1"/>
                <w:sz w:val="20"/>
                <w:szCs w:val="20"/>
              </w:rPr>
              <w:t>Reference Section</w:t>
            </w:r>
          </w:p>
        </w:tc>
      </w:tr>
      <w:tr w:rsidR="006D7CE9" w:rsidRPr="00F116B2" w14:paraId="77C210E8" w14:textId="77777777" w:rsidTr="00EC787E">
        <w:trPr>
          <w:trHeight w:val="320"/>
        </w:trPr>
        <w:tc>
          <w:tcPr>
            <w:tcW w:w="1340" w:type="dxa"/>
            <w:tcBorders>
              <w:top w:val="nil"/>
              <w:left w:val="single" w:sz="8" w:space="0" w:color="BFBFBF"/>
              <w:bottom w:val="single" w:sz="4" w:space="0" w:color="BFBFBF"/>
              <w:right w:val="single" w:sz="4" w:space="0" w:color="BFBFBF"/>
            </w:tcBorders>
            <w:shd w:val="clear" w:color="auto" w:fill="D9D9D9" w:themeFill="background1" w:themeFillShade="D9"/>
            <w:noWrap/>
            <w:vAlign w:val="bottom"/>
            <w:hideMark/>
          </w:tcPr>
          <w:p w14:paraId="2A6A84E1" w14:textId="77777777" w:rsidR="003961BB" w:rsidRPr="00F116B2" w:rsidRDefault="003961BB" w:rsidP="00E67B44">
            <w:pPr>
              <w:rPr>
                <w:b/>
                <w:bCs/>
                <w:color w:val="000000" w:themeColor="text1"/>
                <w:sz w:val="20"/>
                <w:szCs w:val="20"/>
              </w:rPr>
            </w:pPr>
            <w:r w:rsidRPr="00F116B2">
              <w:rPr>
                <w:b/>
                <w:bCs/>
                <w:color w:val="000000" w:themeColor="text1"/>
                <w:sz w:val="20"/>
                <w:szCs w:val="20"/>
              </w:rPr>
              <w:lastRenderedPageBreak/>
              <w:t>Overall Sample (All Positions)</w:t>
            </w:r>
          </w:p>
        </w:tc>
        <w:tc>
          <w:tcPr>
            <w:tcW w:w="1980" w:type="dxa"/>
            <w:tcBorders>
              <w:top w:val="nil"/>
              <w:left w:val="nil"/>
              <w:bottom w:val="single" w:sz="4" w:space="0" w:color="BFBFBF"/>
              <w:right w:val="single" w:sz="4" w:space="0" w:color="BFBFBF"/>
            </w:tcBorders>
            <w:noWrap/>
            <w:vAlign w:val="bottom"/>
            <w:hideMark/>
          </w:tcPr>
          <w:p w14:paraId="2512C7E0" w14:textId="77777777" w:rsidR="003961BB" w:rsidRPr="00F116B2" w:rsidRDefault="007744D8" w:rsidP="00E67B44">
            <w:pPr>
              <w:rPr>
                <w:color w:val="000000" w:themeColor="text1"/>
                <w:sz w:val="20"/>
                <w:szCs w:val="20"/>
              </w:rPr>
            </w:pPr>
            <w:r w:rsidRPr="00F116B2">
              <w:rPr>
                <w:color w:val="000000" w:themeColor="text1"/>
                <w:sz w:val="20"/>
                <w:szCs w:val="20"/>
              </w:rPr>
              <w:t>-2% median (IQR: -8% to +4%)</w:t>
            </w:r>
          </w:p>
          <w:p w14:paraId="537880C8" w14:textId="53E6541E" w:rsidR="007744D8" w:rsidRPr="00F116B2" w:rsidRDefault="007744D8" w:rsidP="00E67B44">
            <w:pPr>
              <w:rPr>
                <w:color w:val="000000" w:themeColor="text1"/>
                <w:sz w:val="20"/>
                <w:szCs w:val="20"/>
              </w:rPr>
            </w:pPr>
            <w:r w:rsidRPr="00F116B2">
              <w:rPr>
                <w:color w:val="000000" w:themeColor="text1"/>
                <w:sz w:val="20"/>
                <w:szCs w:val="20"/>
              </w:rPr>
              <w:t>OR "Negative median"</w:t>
            </w:r>
          </w:p>
        </w:tc>
        <w:tc>
          <w:tcPr>
            <w:tcW w:w="1710" w:type="dxa"/>
            <w:tcBorders>
              <w:top w:val="nil"/>
              <w:left w:val="nil"/>
              <w:bottom w:val="single" w:sz="4" w:space="0" w:color="BFBFBF"/>
              <w:right w:val="single" w:sz="4" w:space="0" w:color="BFBFBF"/>
            </w:tcBorders>
            <w:noWrap/>
            <w:vAlign w:val="bottom"/>
            <w:hideMark/>
          </w:tcPr>
          <w:p w14:paraId="50F158B7" w14:textId="77777777" w:rsidR="003961BB" w:rsidRPr="00F116B2" w:rsidRDefault="003961BB" w:rsidP="00E67B44">
            <w:pPr>
              <w:rPr>
                <w:color w:val="000000" w:themeColor="text1"/>
                <w:sz w:val="20"/>
                <w:szCs w:val="20"/>
              </w:rPr>
            </w:pPr>
            <w:r w:rsidRPr="00F116B2">
              <w:rPr>
                <w:color w:val="000000" w:themeColor="text1"/>
                <w:sz w:val="20"/>
                <w:szCs w:val="20"/>
              </w:rPr>
              <w:t>All 156 positions that survived 90+ days</w:t>
            </w:r>
          </w:p>
        </w:tc>
        <w:tc>
          <w:tcPr>
            <w:tcW w:w="2430" w:type="dxa"/>
            <w:tcBorders>
              <w:top w:val="nil"/>
              <w:left w:val="nil"/>
              <w:bottom w:val="single" w:sz="4" w:space="0" w:color="BFBFBF"/>
              <w:right w:val="single" w:sz="4" w:space="0" w:color="BFBFBF"/>
            </w:tcBorders>
            <w:noWrap/>
            <w:vAlign w:val="bottom"/>
            <w:hideMark/>
          </w:tcPr>
          <w:p w14:paraId="55E53913" w14:textId="77777777" w:rsidR="003961BB" w:rsidRPr="00F116B2" w:rsidRDefault="003961BB" w:rsidP="00E67B44">
            <w:pPr>
              <w:rPr>
                <w:color w:val="000000" w:themeColor="text1"/>
                <w:sz w:val="20"/>
                <w:szCs w:val="20"/>
              </w:rPr>
            </w:pPr>
            <w:r w:rsidRPr="00F116B2">
              <w:rPr>
                <w:color w:val="000000" w:themeColor="text1"/>
                <w:sz w:val="20"/>
                <w:szCs w:val="20"/>
              </w:rPr>
              <w:t>Includes all strategies, all capital levels, all networks</w:t>
            </w:r>
          </w:p>
        </w:tc>
        <w:tc>
          <w:tcPr>
            <w:tcW w:w="1710" w:type="dxa"/>
            <w:tcBorders>
              <w:top w:val="nil"/>
              <w:left w:val="nil"/>
              <w:bottom w:val="single" w:sz="4" w:space="0" w:color="BFBFBF"/>
              <w:right w:val="single" w:sz="8" w:space="0" w:color="BFBFBF"/>
            </w:tcBorders>
            <w:noWrap/>
            <w:vAlign w:val="bottom"/>
            <w:hideMark/>
          </w:tcPr>
          <w:p w14:paraId="55CB6A83" w14:textId="77777777" w:rsidR="003961BB" w:rsidRPr="00F116B2" w:rsidRDefault="003961BB" w:rsidP="00E67B44">
            <w:pPr>
              <w:rPr>
                <w:color w:val="000000" w:themeColor="text1"/>
                <w:sz w:val="20"/>
                <w:szCs w:val="20"/>
              </w:rPr>
            </w:pPr>
            <w:r w:rsidRPr="00F116B2">
              <w:rPr>
                <w:color w:val="000000" w:themeColor="text1"/>
                <w:sz w:val="20"/>
                <w:szCs w:val="20"/>
              </w:rPr>
              <w:t>Section 1.3.0, Section 8.1</w:t>
            </w:r>
          </w:p>
        </w:tc>
      </w:tr>
      <w:tr w:rsidR="006D7CE9" w:rsidRPr="00F116B2" w14:paraId="5233A059" w14:textId="77777777" w:rsidTr="00EC787E">
        <w:trPr>
          <w:trHeight w:val="320"/>
        </w:trPr>
        <w:tc>
          <w:tcPr>
            <w:tcW w:w="1340" w:type="dxa"/>
            <w:tcBorders>
              <w:top w:val="nil"/>
              <w:left w:val="single" w:sz="8" w:space="0" w:color="BFBFBF"/>
              <w:bottom w:val="single" w:sz="4" w:space="0" w:color="BFBFBF"/>
              <w:right w:val="single" w:sz="4" w:space="0" w:color="BFBFBF"/>
            </w:tcBorders>
            <w:shd w:val="clear" w:color="auto" w:fill="D9D9D9" w:themeFill="background1" w:themeFillShade="D9"/>
            <w:noWrap/>
            <w:vAlign w:val="bottom"/>
            <w:hideMark/>
          </w:tcPr>
          <w:p w14:paraId="6B0F9501" w14:textId="77777777" w:rsidR="003961BB" w:rsidRPr="00F116B2" w:rsidRDefault="003961BB" w:rsidP="00E67B44">
            <w:pPr>
              <w:rPr>
                <w:b/>
                <w:bCs/>
                <w:color w:val="000000" w:themeColor="text1"/>
                <w:sz w:val="20"/>
                <w:szCs w:val="20"/>
              </w:rPr>
            </w:pPr>
            <w:r w:rsidRPr="00F116B2">
              <w:rPr>
                <w:b/>
                <w:bCs/>
                <w:color w:val="000000" w:themeColor="text1"/>
                <w:sz w:val="20"/>
                <w:szCs w:val="20"/>
              </w:rPr>
              <w:t>Successful Positions Only</w:t>
            </w:r>
          </w:p>
        </w:tc>
        <w:tc>
          <w:tcPr>
            <w:tcW w:w="1980" w:type="dxa"/>
            <w:tcBorders>
              <w:top w:val="nil"/>
              <w:left w:val="nil"/>
              <w:bottom w:val="single" w:sz="4" w:space="0" w:color="BFBFBF"/>
              <w:right w:val="single" w:sz="4" w:space="0" w:color="BFBFBF"/>
            </w:tcBorders>
            <w:noWrap/>
            <w:vAlign w:val="bottom"/>
            <w:hideMark/>
          </w:tcPr>
          <w:p w14:paraId="4FD449D0" w14:textId="77777777" w:rsidR="003961BB" w:rsidRPr="00F116B2" w:rsidRDefault="003961BB" w:rsidP="00E67B44">
            <w:pPr>
              <w:rPr>
                <w:color w:val="000000" w:themeColor="text1"/>
                <w:sz w:val="20"/>
                <w:szCs w:val="20"/>
              </w:rPr>
            </w:pPr>
            <w:r w:rsidRPr="00F116B2">
              <w:rPr>
                <w:color w:val="000000" w:themeColor="text1"/>
                <w:sz w:val="20"/>
                <w:szCs w:val="20"/>
              </w:rPr>
              <w:t>7% median (IQR: 4%-15%)</w:t>
            </w:r>
          </w:p>
        </w:tc>
        <w:tc>
          <w:tcPr>
            <w:tcW w:w="1710" w:type="dxa"/>
            <w:tcBorders>
              <w:top w:val="nil"/>
              <w:left w:val="nil"/>
              <w:bottom w:val="single" w:sz="4" w:space="0" w:color="BFBFBF"/>
              <w:right w:val="single" w:sz="4" w:space="0" w:color="BFBFBF"/>
            </w:tcBorders>
            <w:noWrap/>
            <w:vAlign w:val="bottom"/>
            <w:hideMark/>
          </w:tcPr>
          <w:p w14:paraId="1E20938C" w14:textId="77777777" w:rsidR="003961BB" w:rsidRPr="00F116B2" w:rsidRDefault="003961BB" w:rsidP="00E67B44">
            <w:pPr>
              <w:rPr>
                <w:color w:val="000000" w:themeColor="text1"/>
                <w:sz w:val="20"/>
                <w:szCs w:val="20"/>
              </w:rPr>
            </w:pPr>
            <w:r w:rsidRPr="00F116B2">
              <w:rPr>
                <w:color w:val="000000" w:themeColor="text1"/>
                <w:sz w:val="20"/>
                <w:szCs w:val="20"/>
              </w:rPr>
              <w:t>42 positions (27% of sample)</w:t>
            </w:r>
          </w:p>
        </w:tc>
        <w:tc>
          <w:tcPr>
            <w:tcW w:w="2430" w:type="dxa"/>
            <w:tcBorders>
              <w:top w:val="nil"/>
              <w:left w:val="nil"/>
              <w:bottom w:val="single" w:sz="4" w:space="0" w:color="BFBFBF"/>
              <w:right w:val="single" w:sz="4" w:space="0" w:color="BFBFBF"/>
            </w:tcBorders>
            <w:noWrap/>
            <w:vAlign w:val="bottom"/>
            <w:hideMark/>
          </w:tcPr>
          <w:p w14:paraId="62C9134F" w14:textId="77777777" w:rsidR="003961BB" w:rsidRPr="00F116B2" w:rsidRDefault="003961BB" w:rsidP="00E67B44">
            <w:pPr>
              <w:rPr>
                <w:color w:val="000000" w:themeColor="text1"/>
                <w:sz w:val="20"/>
                <w:szCs w:val="20"/>
              </w:rPr>
            </w:pPr>
            <w:r w:rsidRPr="00F116B2">
              <w:rPr>
                <w:color w:val="000000" w:themeColor="text1"/>
                <w:sz w:val="20"/>
                <w:szCs w:val="20"/>
              </w:rPr>
              <w:t>Excludes the 73% that were unprofitable; survivorship-adjusted</w:t>
            </w:r>
          </w:p>
        </w:tc>
        <w:tc>
          <w:tcPr>
            <w:tcW w:w="1710" w:type="dxa"/>
            <w:tcBorders>
              <w:top w:val="nil"/>
              <w:left w:val="nil"/>
              <w:bottom w:val="single" w:sz="4" w:space="0" w:color="BFBFBF"/>
              <w:right w:val="single" w:sz="8" w:space="0" w:color="BFBFBF"/>
            </w:tcBorders>
            <w:noWrap/>
            <w:vAlign w:val="bottom"/>
            <w:hideMark/>
          </w:tcPr>
          <w:p w14:paraId="56F6B968" w14:textId="77777777" w:rsidR="003961BB" w:rsidRPr="00F116B2" w:rsidRDefault="003961BB" w:rsidP="00E67B44">
            <w:pPr>
              <w:rPr>
                <w:color w:val="000000" w:themeColor="text1"/>
                <w:sz w:val="20"/>
                <w:szCs w:val="20"/>
              </w:rPr>
            </w:pPr>
            <w:r w:rsidRPr="00F116B2">
              <w:rPr>
                <w:color w:val="000000" w:themeColor="text1"/>
                <w:sz w:val="20"/>
                <w:szCs w:val="20"/>
              </w:rPr>
              <w:t>Chapter 8</w:t>
            </w:r>
          </w:p>
        </w:tc>
      </w:tr>
      <w:tr w:rsidR="006D7CE9" w:rsidRPr="00F116B2" w14:paraId="7B9B82F7" w14:textId="77777777" w:rsidTr="00EC787E">
        <w:trPr>
          <w:trHeight w:val="320"/>
        </w:trPr>
        <w:tc>
          <w:tcPr>
            <w:tcW w:w="1340" w:type="dxa"/>
            <w:tcBorders>
              <w:top w:val="nil"/>
              <w:left w:val="single" w:sz="8" w:space="0" w:color="BFBFBF"/>
              <w:bottom w:val="single" w:sz="4" w:space="0" w:color="BFBFBF"/>
              <w:right w:val="single" w:sz="4" w:space="0" w:color="BFBFBF"/>
            </w:tcBorders>
            <w:shd w:val="clear" w:color="auto" w:fill="D9D9D9" w:themeFill="background1" w:themeFillShade="D9"/>
            <w:noWrap/>
            <w:vAlign w:val="bottom"/>
            <w:hideMark/>
          </w:tcPr>
          <w:p w14:paraId="219B60CF" w14:textId="77777777" w:rsidR="003961BB" w:rsidRPr="00F116B2" w:rsidRDefault="003961BB" w:rsidP="00E67B44">
            <w:pPr>
              <w:rPr>
                <w:b/>
                <w:bCs/>
                <w:color w:val="000000" w:themeColor="text1"/>
                <w:sz w:val="20"/>
                <w:szCs w:val="20"/>
              </w:rPr>
            </w:pPr>
            <w:r w:rsidRPr="00F116B2">
              <w:rPr>
                <w:b/>
                <w:bCs/>
                <w:color w:val="000000" w:themeColor="text1"/>
                <w:sz w:val="20"/>
                <w:szCs w:val="20"/>
              </w:rPr>
              <w:t>Stablecoin LP (Specific Strategy)</w:t>
            </w:r>
          </w:p>
        </w:tc>
        <w:tc>
          <w:tcPr>
            <w:tcW w:w="1980" w:type="dxa"/>
            <w:tcBorders>
              <w:top w:val="nil"/>
              <w:left w:val="nil"/>
              <w:bottom w:val="single" w:sz="4" w:space="0" w:color="BFBFBF"/>
              <w:right w:val="single" w:sz="4" w:space="0" w:color="BFBFBF"/>
            </w:tcBorders>
            <w:noWrap/>
            <w:vAlign w:val="bottom"/>
            <w:hideMark/>
          </w:tcPr>
          <w:p w14:paraId="60DD9CF2" w14:textId="77777777" w:rsidR="003961BB" w:rsidRPr="00F116B2" w:rsidRDefault="003961BB" w:rsidP="00E67B44">
            <w:pPr>
              <w:rPr>
                <w:color w:val="000000" w:themeColor="text1"/>
                <w:sz w:val="20"/>
                <w:szCs w:val="20"/>
              </w:rPr>
            </w:pPr>
            <w:r w:rsidRPr="00F116B2">
              <w:rPr>
                <w:color w:val="000000" w:themeColor="text1"/>
                <w:sz w:val="20"/>
                <w:szCs w:val="20"/>
              </w:rPr>
              <w:t>4-8% annually</w:t>
            </w:r>
          </w:p>
        </w:tc>
        <w:tc>
          <w:tcPr>
            <w:tcW w:w="1710" w:type="dxa"/>
            <w:tcBorders>
              <w:top w:val="nil"/>
              <w:left w:val="nil"/>
              <w:bottom w:val="single" w:sz="4" w:space="0" w:color="BFBFBF"/>
              <w:right w:val="single" w:sz="4" w:space="0" w:color="BFBFBF"/>
            </w:tcBorders>
            <w:noWrap/>
            <w:vAlign w:val="bottom"/>
            <w:hideMark/>
          </w:tcPr>
          <w:p w14:paraId="30DACF26" w14:textId="77777777" w:rsidR="003961BB" w:rsidRPr="00F116B2" w:rsidRDefault="003961BB" w:rsidP="00E67B44">
            <w:pPr>
              <w:rPr>
                <w:color w:val="000000" w:themeColor="text1"/>
                <w:sz w:val="20"/>
                <w:szCs w:val="20"/>
              </w:rPr>
            </w:pPr>
            <w:r w:rsidRPr="00F116B2">
              <w:rPr>
                <w:color w:val="000000" w:themeColor="text1"/>
                <w:sz w:val="20"/>
                <w:szCs w:val="20"/>
              </w:rPr>
              <w:t>48 stablecoin pair positions</w:t>
            </w:r>
          </w:p>
        </w:tc>
        <w:tc>
          <w:tcPr>
            <w:tcW w:w="2430" w:type="dxa"/>
            <w:tcBorders>
              <w:top w:val="nil"/>
              <w:left w:val="nil"/>
              <w:bottom w:val="single" w:sz="4" w:space="0" w:color="BFBFBF"/>
              <w:right w:val="single" w:sz="4" w:space="0" w:color="BFBFBF"/>
            </w:tcBorders>
            <w:noWrap/>
            <w:vAlign w:val="bottom"/>
            <w:hideMark/>
          </w:tcPr>
          <w:p w14:paraId="5549B979" w14:textId="77777777" w:rsidR="003961BB" w:rsidRPr="00F116B2" w:rsidRDefault="003961BB" w:rsidP="00E67B44">
            <w:pPr>
              <w:rPr>
                <w:color w:val="000000" w:themeColor="text1"/>
                <w:sz w:val="20"/>
                <w:szCs w:val="20"/>
              </w:rPr>
            </w:pPr>
            <w:r w:rsidRPr="00F116B2">
              <w:rPr>
                <w:color w:val="000000" w:themeColor="text1"/>
                <w:sz w:val="20"/>
                <w:szCs w:val="20"/>
              </w:rPr>
              <w:t>Lower returns but highest consistency (Sharpe 0.8-1.4); strategy-specific</w:t>
            </w:r>
          </w:p>
        </w:tc>
        <w:tc>
          <w:tcPr>
            <w:tcW w:w="1710" w:type="dxa"/>
            <w:tcBorders>
              <w:top w:val="nil"/>
              <w:left w:val="nil"/>
              <w:bottom w:val="single" w:sz="4" w:space="0" w:color="BFBFBF"/>
              <w:right w:val="single" w:sz="8" w:space="0" w:color="BFBFBF"/>
            </w:tcBorders>
            <w:noWrap/>
            <w:vAlign w:val="bottom"/>
            <w:hideMark/>
          </w:tcPr>
          <w:p w14:paraId="085D3A8A" w14:textId="77777777" w:rsidR="003961BB" w:rsidRPr="00F116B2" w:rsidRDefault="003961BB" w:rsidP="00E67B44">
            <w:pPr>
              <w:rPr>
                <w:color w:val="000000" w:themeColor="text1"/>
                <w:sz w:val="20"/>
                <w:szCs w:val="20"/>
              </w:rPr>
            </w:pPr>
            <w:r w:rsidRPr="00F116B2">
              <w:rPr>
                <w:color w:val="000000" w:themeColor="text1"/>
                <w:sz w:val="20"/>
                <w:szCs w:val="20"/>
              </w:rPr>
              <w:t>Section 8.4, Table 1.1E</w:t>
            </w:r>
          </w:p>
        </w:tc>
      </w:tr>
      <w:tr w:rsidR="006D7CE9" w:rsidRPr="00F116B2" w14:paraId="023DA963" w14:textId="77777777" w:rsidTr="00EC787E">
        <w:trPr>
          <w:trHeight w:val="320"/>
        </w:trPr>
        <w:tc>
          <w:tcPr>
            <w:tcW w:w="1340" w:type="dxa"/>
            <w:tcBorders>
              <w:top w:val="nil"/>
              <w:left w:val="single" w:sz="8" w:space="0" w:color="BFBFBF"/>
              <w:bottom w:val="single" w:sz="4" w:space="0" w:color="BFBFBF"/>
              <w:right w:val="single" w:sz="4" w:space="0" w:color="BFBFBF"/>
            </w:tcBorders>
            <w:shd w:val="clear" w:color="auto" w:fill="D9D9D9" w:themeFill="background1" w:themeFillShade="D9"/>
            <w:noWrap/>
            <w:vAlign w:val="bottom"/>
            <w:hideMark/>
          </w:tcPr>
          <w:p w14:paraId="17FC3ED6" w14:textId="77777777" w:rsidR="003961BB" w:rsidRPr="00F116B2" w:rsidRDefault="003961BB" w:rsidP="00E67B44">
            <w:pPr>
              <w:rPr>
                <w:b/>
                <w:bCs/>
                <w:color w:val="000000" w:themeColor="text1"/>
                <w:sz w:val="20"/>
                <w:szCs w:val="20"/>
              </w:rPr>
            </w:pPr>
            <w:r w:rsidRPr="00F116B2">
              <w:rPr>
                <w:b/>
                <w:bCs/>
                <w:color w:val="000000" w:themeColor="text1"/>
                <w:sz w:val="20"/>
                <w:szCs w:val="20"/>
              </w:rPr>
              <w:t>Correlated Pairs LP</w:t>
            </w:r>
          </w:p>
        </w:tc>
        <w:tc>
          <w:tcPr>
            <w:tcW w:w="1980" w:type="dxa"/>
            <w:tcBorders>
              <w:top w:val="nil"/>
              <w:left w:val="nil"/>
              <w:bottom w:val="single" w:sz="4" w:space="0" w:color="BFBFBF"/>
              <w:right w:val="single" w:sz="4" w:space="0" w:color="BFBFBF"/>
            </w:tcBorders>
            <w:noWrap/>
            <w:vAlign w:val="bottom"/>
            <w:hideMark/>
          </w:tcPr>
          <w:p w14:paraId="43034A05" w14:textId="77777777" w:rsidR="003961BB" w:rsidRPr="00F116B2" w:rsidRDefault="003961BB" w:rsidP="00E67B44">
            <w:pPr>
              <w:rPr>
                <w:color w:val="000000" w:themeColor="text1"/>
                <w:sz w:val="20"/>
                <w:szCs w:val="20"/>
              </w:rPr>
            </w:pPr>
            <w:r w:rsidRPr="00F116B2">
              <w:rPr>
                <w:color w:val="000000" w:themeColor="text1"/>
                <w:sz w:val="20"/>
                <w:szCs w:val="20"/>
              </w:rPr>
              <w:t>6-12% annually</w:t>
            </w:r>
          </w:p>
        </w:tc>
        <w:tc>
          <w:tcPr>
            <w:tcW w:w="1710" w:type="dxa"/>
            <w:tcBorders>
              <w:top w:val="nil"/>
              <w:left w:val="nil"/>
              <w:bottom w:val="single" w:sz="4" w:space="0" w:color="BFBFBF"/>
              <w:right w:val="single" w:sz="4" w:space="0" w:color="BFBFBF"/>
            </w:tcBorders>
            <w:noWrap/>
            <w:vAlign w:val="bottom"/>
            <w:hideMark/>
          </w:tcPr>
          <w:p w14:paraId="703B7715" w14:textId="77777777" w:rsidR="003961BB" w:rsidRPr="00F116B2" w:rsidRDefault="003961BB" w:rsidP="00E67B44">
            <w:pPr>
              <w:rPr>
                <w:color w:val="000000" w:themeColor="text1"/>
                <w:sz w:val="20"/>
                <w:szCs w:val="20"/>
              </w:rPr>
            </w:pPr>
            <w:r w:rsidRPr="00F116B2">
              <w:rPr>
                <w:color w:val="000000" w:themeColor="text1"/>
                <w:sz w:val="20"/>
                <w:szCs w:val="20"/>
              </w:rPr>
              <w:t>54 correlated asset positions</w:t>
            </w:r>
          </w:p>
        </w:tc>
        <w:tc>
          <w:tcPr>
            <w:tcW w:w="2430" w:type="dxa"/>
            <w:tcBorders>
              <w:top w:val="nil"/>
              <w:left w:val="nil"/>
              <w:bottom w:val="single" w:sz="4" w:space="0" w:color="BFBFBF"/>
              <w:right w:val="single" w:sz="4" w:space="0" w:color="BFBFBF"/>
            </w:tcBorders>
            <w:noWrap/>
            <w:vAlign w:val="bottom"/>
            <w:hideMark/>
          </w:tcPr>
          <w:p w14:paraId="34545598" w14:textId="77777777" w:rsidR="003961BB" w:rsidRPr="00F116B2" w:rsidRDefault="003961BB" w:rsidP="00E67B44">
            <w:pPr>
              <w:rPr>
                <w:color w:val="000000" w:themeColor="text1"/>
                <w:sz w:val="20"/>
                <w:szCs w:val="20"/>
              </w:rPr>
            </w:pPr>
            <w:r w:rsidRPr="00F116B2">
              <w:rPr>
                <w:color w:val="000000" w:themeColor="text1"/>
                <w:sz w:val="20"/>
                <w:szCs w:val="20"/>
              </w:rPr>
              <w:t>Higher returns, moderate risk; strategy-specific</w:t>
            </w:r>
          </w:p>
        </w:tc>
        <w:tc>
          <w:tcPr>
            <w:tcW w:w="1710" w:type="dxa"/>
            <w:tcBorders>
              <w:top w:val="nil"/>
              <w:left w:val="nil"/>
              <w:bottom w:val="single" w:sz="4" w:space="0" w:color="BFBFBF"/>
              <w:right w:val="single" w:sz="8" w:space="0" w:color="BFBFBF"/>
            </w:tcBorders>
            <w:noWrap/>
            <w:vAlign w:val="bottom"/>
            <w:hideMark/>
          </w:tcPr>
          <w:p w14:paraId="22647087" w14:textId="77777777" w:rsidR="003961BB" w:rsidRPr="00F116B2" w:rsidRDefault="003961BB" w:rsidP="00E67B44">
            <w:pPr>
              <w:rPr>
                <w:color w:val="000000" w:themeColor="text1"/>
                <w:sz w:val="20"/>
                <w:szCs w:val="20"/>
              </w:rPr>
            </w:pPr>
            <w:r w:rsidRPr="00F116B2">
              <w:rPr>
                <w:color w:val="000000" w:themeColor="text1"/>
                <w:sz w:val="20"/>
                <w:szCs w:val="20"/>
              </w:rPr>
              <w:t>Section 8.4, Table 1.1E</w:t>
            </w:r>
          </w:p>
        </w:tc>
      </w:tr>
      <w:tr w:rsidR="006D7CE9" w:rsidRPr="00F116B2" w14:paraId="770197E0" w14:textId="77777777" w:rsidTr="00EC787E">
        <w:trPr>
          <w:trHeight w:val="320"/>
        </w:trPr>
        <w:tc>
          <w:tcPr>
            <w:tcW w:w="1340" w:type="dxa"/>
            <w:tcBorders>
              <w:top w:val="nil"/>
              <w:left w:val="single" w:sz="8" w:space="0" w:color="BFBFBF"/>
              <w:bottom w:val="single" w:sz="4" w:space="0" w:color="BFBFBF"/>
              <w:right w:val="single" w:sz="4" w:space="0" w:color="BFBFBF"/>
            </w:tcBorders>
            <w:shd w:val="clear" w:color="auto" w:fill="D9D9D9" w:themeFill="background1" w:themeFillShade="D9"/>
            <w:noWrap/>
            <w:vAlign w:val="bottom"/>
            <w:hideMark/>
          </w:tcPr>
          <w:p w14:paraId="1297F33D" w14:textId="77777777" w:rsidR="003961BB" w:rsidRPr="00F116B2" w:rsidRDefault="003961BB" w:rsidP="00E67B44">
            <w:pPr>
              <w:rPr>
                <w:b/>
                <w:bCs/>
                <w:color w:val="000000" w:themeColor="text1"/>
                <w:sz w:val="20"/>
                <w:szCs w:val="20"/>
              </w:rPr>
            </w:pPr>
            <w:r w:rsidRPr="00F116B2">
              <w:rPr>
                <w:b/>
                <w:bCs/>
                <w:color w:val="000000" w:themeColor="text1"/>
                <w:sz w:val="20"/>
                <w:szCs w:val="20"/>
              </w:rPr>
              <w:t>Volatile Pairs LP</w:t>
            </w:r>
          </w:p>
        </w:tc>
        <w:tc>
          <w:tcPr>
            <w:tcW w:w="1980" w:type="dxa"/>
            <w:tcBorders>
              <w:top w:val="nil"/>
              <w:left w:val="nil"/>
              <w:bottom w:val="single" w:sz="4" w:space="0" w:color="BFBFBF"/>
              <w:right w:val="single" w:sz="4" w:space="0" w:color="BFBFBF"/>
            </w:tcBorders>
            <w:noWrap/>
            <w:vAlign w:val="bottom"/>
            <w:hideMark/>
          </w:tcPr>
          <w:p w14:paraId="6A5B2E72" w14:textId="77777777" w:rsidR="003961BB" w:rsidRPr="00F116B2" w:rsidRDefault="003961BB" w:rsidP="00E67B44">
            <w:pPr>
              <w:rPr>
                <w:color w:val="000000" w:themeColor="text1"/>
                <w:sz w:val="20"/>
                <w:szCs w:val="20"/>
              </w:rPr>
            </w:pPr>
            <w:r w:rsidRPr="00F116B2">
              <w:rPr>
                <w:color w:val="000000" w:themeColor="text1"/>
                <w:sz w:val="20"/>
                <w:szCs w:val="20"/>
              </w:rPr>
              <w:t>-5% to +35% (median unprofitable)</w:t>
            </w:r>
          </w:p>
        </w:tc>
        <w:tc>
          <w:tcPr>
            <w:tcW w:w="1710" w:type="dxa"/>
            <w:tcBorders>
              <w:top w:val="nil"/>
              <w:left w:val="nil"/>
              <w:bottom w:val="single" w:sz="4" w:space="0" w:color="BFBFBF"/>
              <w:right w:val="single" w:sz="4" w:space="0" w:color="BFBFBF"/>
            </w:tcBorders>
            <w:noWrap/>
            <w:vAlign w:val="bottom"/>
            <w:hideMark/>
          </w:tcPr>
          <w:p w14:paraId="4711C09A" w14:textId="77777777" w:rsidR="003961BB" w:rsidRPr="00F116B2" w:rsidRDefault="003961BB" w:rsidP="00E67B44">
            <w:pPr>
              <w:rPr>
                <w:color w:val="000000" w:themeColor="text1"/>
                <w:sz w:val="20"/>
                <w:szCs w:val="20"/>
              </w:rPr>
            </w:pPr>
            <w:r w:rsidRPr="00F116B2">
              <w:rPr>
                <w:color w:val="000000" w:themeColor="text1"/>
                <w:sz w:val="20"/>
                <w:szCs w:val="20"/>
              </w:rPr>
              <w:t>54 volatile pair positions</w:t>
            </w:r>
          </w:p>
        </w:tc>
        <w:tc>
          <w:tcPr>
            <w:tcW w:w="2430" w:type="dxa"/>
            <w:tcBorders>
              <w:top w:val="nil"/>
              <w:left w:val="nil"/>
              <w:bottom w:val="single" w:sz="4" w:space="0" w:color="BFBFBF"/>
              <w:right w:val="single" w:sz="4" w:space="0" w:color="BFBFBF"/>
            </w:tcBorders>
            <w:noWrap/>
            <w:vAlign w:val="bottom"/>
            <w:hideMark/>
          </w:tcPr>
          <w:p w14:paraId="0F16B116" w14:textId="77777777" w:rsidR="003961BB" w:rsidRPr="00F116B2" w:rsidRDefault="003961BB" w:rsidP="00E67B44">
            <w:pPr>
              <w:rPr>
                <w:color w:val="000000" w:themeColor="text1"/>
                <w:sz w:val="20"/>
                <w:szCs w:val="20"/>
              </w:rPr>
            </w:pPr>
            <w:r w:rsidRPr="00F116B2">
              <w:rPr>
                <w:color w:val="000000" w:themeColor="text1"/>
                <w:sz w:val="20"/>
                <w:szCs w:val="20"/>
              </w:rPr>
              <w:t>High variance, most lost money; 67% experienced IL &gt; fees</w:t>
            </w:r>
          </w:p>
        </w:tc>
        <w:tc>
          <w:tcPr>
            <w:tcW w:w="1710" w:type="dxa"/>
            <w:tcBorders>
              <w:top w:val="nil"/>
              <w:left w:val="nil"/>
              <w:bottom w:val="single" w:sz="4" w:space="0" w:color="BFBFBF"/>
              <w:right w:val="single" w:sz="8" w:space="0" w:color="BFBFBF"/>
            </w:tcBorders>
            <w:noWrap/>
            <w:vAlign w:val="bottom"/>
            <w:hideMark/>
          </w:tcPr>
          <w:p w14:paraId="74944400" w14:textId="77777777" w:rsidR="003961BB" w:rsidRPr="00F116B2" w:rsidRDefault="003961BB" w:rsidP="00E67B44">
            <w:pPr>
              <w:rPr>
                <w:color w:val="000000" w:themeColor="text1"/>
                <w:sz w:val="20"/>
                <w:szCs w:val="20"/>
              </w:rPr>
            </w:pPr>
            <w:r w:rsidRPr="00F116B2">
              <w:rPr>
                <w:color w:val="000000" w:themeColor="text1"/>
                <w:sz w:val="20"/>
                <w:szCs w:val="20"/>
              </w:rPr>
              <w:t>Section 8.4</w:t>
            </w:r>
          </w:p>
        </w:tc>
      </w:tr>
      <w:tr w:rsidR="006D7CE9" w:rsidRPr="00F116B2" w14:paraId="4ECF4137" w14:textId="77777777" w:rsidTr="00EC787E">
        <w:trPr>
          <w:trHeight w:val="320"/>
        </w:trPr>
        <w:tc>
          <w:tcPr>
            <w:tcW w:w="1340" w:type="dxa"/>
            <w:tcBorders>
              <w:top w:val="nil"/>
              <w:left w:val="single" w:sz="8" w:space="0" w:color="BFBFBF"/>
              <w:bottom w:val="single" w:sz="4" w:space="0" w:color="BFBFBF"/>
              <w:right w:val="single" w:sz="4" w:space="0" w:color="BFBFBF"/>
            </w:tcBorders>
            <w:shd w:val="clear" w:color="auto" w:fill="D9D9D9" w:themeFill="background1" w:themeFillShade="D9"/>
            <w:noWrap/>
            <w:vAlign w:val="bottom"/>
            <w:hideMark/>
          </w:tcPr>
          <w:p w14:paraId="132C7187" w14:textId="77777777" w:rsidR="003961BB" w:rsidRPr="00F116B2" w:rsidRDefault="003961BB" w:rsidP="00E67B44">
            <w:pPr>
              <w:rPr>
                <w:b/>
                <w:bCs/>
                <w:color w:val="000000" w:themeColor="text1"/>
                <w:sz w:val="20"/>
                <w:szCs w:val="20"/>
              </w:rPr>
            </w:pPr>
            <w:r w:rsidRPr="00F116B2">
              <w:rPr>
                <w:b/>
                <w:bCs/>
                <w:color w:val="000000" w:themeColor="text1"/>
                <w:sz w:val="20"/>
                <w:szCs w:val="20"/>
              </w:rPr>
              <w:t>Capital: &lt;$3,500</w:t>
            </w:r>
          </w:p>
        </w:tc>
        <w:tc>
          <w:tcPr>
            <w:tcW w:w="1980" w:type="dxa"/>
            <w:tcBorders>
              <w:top w:val="nil"/>
              <w:left w:val="nil"/>
              <w:bottom w:val="single" w:sz="4" w:space="0" w:color="BFBFBF"/>
              <w:right w:val="single" w:sz="4" w:space="0" w:color="BFBFBF"/>
            </w:tcBorders>
            <w:noWrap/>
            <w:vAlign w:val="bottom"/>
            <w:hideMark/>
          </w:tcPr>
          <w:p w14:paraId="2B0BF2FA" w14:textId="77777777" w:rsidR="003961BB" w:rsidRPr="00F116B2" w:rsidRDefault="003961BB" w:rsidP="00E67B44">
            <w:pPr>
              <w:rPr>
                <w:color w:val="000000" w:themeColor="text1"/>
                <w:sz w:val="20"/>
                <w:szCs w:val="20"/>
              </w:rPr>
            </w:pPr>
            <w:r w:rsidRPr="00F116B2">
              <w:rPr>
                <w:color w:val="000000" w:themeColor="text1"/>
                <w:sz w:val="20"/>
                <w:szCs w:val="20"/>
              </w:rPr>
              <w:t>3-5% annually</w:t>
            </w:r>
          </w:p>
        </w:tc>
        <w:tc>
          <w:tcPr>
            <w:tcW w:w="1710" w:type="dxa"/>
            <w:tcBorders>
              <w:top w:val="nil"/>
              <w:left w:val="nil"/>
              <w:bottom w:val="single" w:sz="4" w:space="0" w:color="BFBFBF"/>
              <w:right w:val="single" w:sz="4" w:space="0" w:color="BFBFBF"/>
            </w:tcBorders>
            <w:noWrap/>
            <w:vAlign w:val="bottom"/>
            <w:hideMark/>
          </w:tcPr>
          <w:p w14:paraId="04753DBC" w14:textId="77777777" w:rsidR="003961BB" w:rsidRPr="00F116B2" w:rsidRDefault="003961BB" w:rsidP="00E67B44">
            <w:pPr>
              <w:rPr>
                <w:color w:val="000000" w:themeColor="text1"/>
                <w:sz w:val="20"/>
                <w:szCs w:val="20"/>
              </w:rPr>
            </w:pPr>
            <w:r w:rsidRPr="00F116B2">
              <w:rPr>
                <w:color w:val="000000" w:themeColor="text1"/>
                <w:sz w:val="20"/>
                <w:szCs w:val="20"/>
              </w:rPr>
              <w:t>52 micro-capital positions</w:t>
            </w:r>
          </w:p>
        </w:tc>
        <w:tc>
          <w:tcPr>
            <w:tcW w:w="2430" w:type="dxa"/>
            <w:tcBorders>
              <w:top w:val="nil"/>
              <w:left w:val="nil"/>
              <w:bottom w:val="single" w:sz="4" w:space="0" w:color="BFBFBF"/>
              <w:right w:val="single" w:sz="4" w:space="0" w:color="BFBFBF"/>
            </w:tcBorders>
            <w:noWrap/>
            <w:vAlign w:val="bottom"/>
            <w:hideMark/>
          </w:tcPr>
          <w:p w14:paraId="20CE11C4" w14:textId="77777777" w:rsidR="003961BB" w:rsidRPr="00F116B2" w:rsidRDefault="003961BB" w:rsidP="00E67B44">
            <w:pPr>
              <w:rPr>
                <w:color w:val="000000" w:themeColor="text1"/>
                <w:sz w:val="20"/>
                <w:szCs w:val="20"/>
              </w:rPr>
            </w:pPr>
            <w:r w:rsidRPr="00F116B2">
              <w:rPr>
                <w:color w:val="000000" w:themeColor="text1"/>
                <w:sz w:val="20"/>
                <w:szCs w:val="20"/>
              </w:rPr>
              <w:t>Limited to alt-L1 networks; constrained by fixed costs</w:t>
            </w:r>
          </w:p>
        </w:tc>
        <w:tc>
          <w:tcPr>
            <w:tcW w:w="1710" w:type="dxa"/>
            <w:tcBorders>
              <w:top w:val="nil"/>
              <w:left w:val="nil"/>
              <w:bottom w:val="single" w:sz="4" w:space="0" w:color="BFBFBF"/>
              <w:right w:val="single" w:sz="8" w:space="0" w:color="BFBFBF"/>
            </w:tcBorders>
            <w:noWrap/>
            <w:vAlign w:val="bottom"/>
            <w:hideMark/>
          </w:tcPr>
          <w:p w14:paraId="1C8C5616" w14:textId="77777777" w:rsidR="003961BB" w:rsidRPr="00F116B2" w:rsidRDefault="003961BB" w:rsidP="00E67B44">
            <w:pPr>
              <w:rPr>
                <w:color w:val="000000" w:themeColor="text1"/>
                <w:sz w:val="20"/>
                <w:szCs w:val="20"/>
              </w:rPr>
            </w:pPr>
            <w:r w:rsidRPr="00F116B2">
              <w:rPr>
                <w:color w:val="000000" w:themeColor="text1"/>
                <w:sz w:val="20"/>
                <w:szCs w:val="20"/>
              </w:rPr>
              <w:t>Table 1.1E, Section 10.9</w:t>
            </w:r>
          </w:p>
        </w:tc>
      </w:tr>
      <w:tr w:rsidR="006D7CE9" w:rsidRPr="00F116B2" w14:paraId="1C032C92" w14:textId="77777777" w:rsidTr="006C02DB">
        <w:trPr>
          <w:trHeight w:val="116"/>
        </w:trPr>
        <w:tc>
          <w:tcPr>
            <w:tcW w:w="1340" w:type="dxa"/>
            <w:tcBorders>
              <w:top w:val="nil"/>
              <w:left w:val="single" w:sz="8" w:space="0" w:color="BFBFBF"/>
              <w:bottom w:val="single" w:sz="4" w:space="0" w:color="BFBFBF"/>
              <w:right w:val="single" w:sz="4" w:space="0" w:color="BFBFBF"/>
            </w:tcBorders>
            <w:shd w:val="clear" w:color="auto" w:fill="D9D9D9" w:themeFill="background1" w:themeFillShade="D9"/>
            <w:noWrap/>
            <w:vAlign w:val="bottom"/>
            <w:hideMark/>
          </w:tcPr>
          <w:p w14:paraId="0005AFCE" w14:textId="77777777" w:rsidR="003961BB" w:rsidRPr="00F116B2" w:rsidRDefault="003961BB" w:rsidP="00E67B44">
            <w:pPr>
              <w:rPr>
                <w:b/>
                <w:bCs/>
                <w:color w:val="000000" w:themeColor="text1"/>
                <w:sz w:val="20"/>
                <w:szCs w:val="20"/>
              </w:rPr>
            </w:pPr>
            <w:r w:rsidRPr="00F116B2">
              <w:rPr>
                <w:b/>
                <w:bCs/>
                <w:color w:val="000000" w:themeColor="text1"/>
                <w:sz w:val="20"/>
                <w:szCs w:val="20"/>
              </w:rPr>
              <w:t>Capital: $3,500-$25,000</w:t>
            </w:r>
          </w:p>
        </w:tc>
        <w:tc>
          <w:tcPr>
            <w:tcW w:w="1980" w:type="dxa"/>
            <w:tcBorders>
              <w:top w:val="nil"/>
              <w:left w:val="nil"/>
              <w:bottom w:val="single" w:sz="4" w:space="0" w:color="BFBFBF"/>
              <w:right w:val="single" w:sz="4" w:space="0" w:color="BFBFBF"/>
            </w:tcBorders>
            <w:noWrap/>
            <w:vAlign w:val="bottom"/>
            <w:hideMark/>
          </w:tcPr>
          <w:p w14:paraId="7536169F" w14:textId="77777777" w:rsidR="003961BB" w:rsidRPr="00F116B2" w:rsidRDefault="003961BB" w:rsidP="00E67B44">
            <w:pPr>
              <w:rPr>
                <w:color w:val="000000" w:themeColor="text1"/>
                <w:sz w:val="20"/>
                <w:szCs w:val="20"/>
              </w:rPr>
            </w:pPr>
            <w:r w:rsidRPr="00F116B2">
              <w:rPr>
                <w:color w:val="000000" w:themeColor="text1"/>
                <w:sz w:val="20"/>
                <w:szCs w:val="20"/>
              </w:rPr>
              <w:t>5-10% annually</w:t>
            </w:r>
          </w:p>
        </w:tc>
        <w:tc>
          <w:tcPr>
            <w:tcW w:w="1710" w:type="dxa"/>
            <w:tcBorders>
              <w:top w:val="nil"/>
              <w:left w:val="nil"/>
              <w:bottom w:val="single" w:sz="4" w:space="0" w:color="BFBFBF"/>
              <w:right w:val="single" w:sz="4" w:space="0" w:color="BFBFBF"/>
            </w:tcBorders>
            <w:noWrap/>
            <w:vAlign w:val="bottom"/>
            <w:hideMark/>
          </w:tcPr>
          <w:p w14:paraId="370ED916" w14:textId="77777777" w:rsidR="003961BB" w:rsidRPr="00F116B2" w:rsidRDefault="003961BB" w:rsidP="00E67B44">
            <w:pPr>
              <w:rPr>
                <w:color w:val="000000" w:themeColor="text1"/>
                <w:sz w:val="20"/>
                <w:szCs w:val="20"/>
              </w:rPr>
            </w:pPr>
            <w:r w:rsidRPr="00F116B2">
              <w:rPr>
                <w:color w:val="000000" w:themeColor="text1"/>
                <w:sz w:val="20"/>
                <w:szCs w:val="20"/>
              </w:rPr>
              <w:t>59 small-modest positions</w:t>
            </w:r>
          </w:p>
        </w:tc>
        <w:tc>
          <w:tcPr>
            <w:tcW w:w="2430" w:type="dxa"/>
            <w:tcBorders>
              <w:top w:val="nil"/>
              <w:left w:val="nil"/>
              <w:bottom w:val="single" w:sz="4" w:space="0" w:color="BFBFBF"/>
              <w:right w:val="single" w:sz="4" w:space="0" w:color="BFBFBF"/>
            </w:tcBorders>
            <w:noWrap/>
            <w:vAlign w:val="bottom"/>
            <w:hideMark/>
          </w:tcPr>
          <w:p w14:paraId="4FAAE3E7" w14:textId="77777777" w:rsidR="003961BB" w:rsidRPr="00F116B2" w:rsidRDefault="003961BB" w:rsidP="00E67B44">
            <w:pPr>
              <w:rPr>
                <w:color w:val="000000" w:themeColor="text1"/>
                <w:sz w:val="20"/>
                <w:szCs w:val="20"/>
              </w:rPr>
            </w:pPr>
            <w:r w:rsidRPr="00F116B2">
              <w:rPr>
                <w:color w:val="000000" w:themeColor="text1"/>
                <w:sz w:val="20"/>
                <w:szCs w:val="20"/>
              </w:rPr>
              <w:t>Access to L2 networks; moderate strategy options</w:t>
            </w:r>
          </w:p>
        </w:tc>
        <w:tc>
          <w:tcPr>
            <w:tcW w:w="1710" w:type="dxa"/>
            <w:tcBorders>
              <w:top w:val="nil"/>
              <w:left w:val="nil"/>
              <w:bottom w:val="single" w:sz="4" w:space="0" w:color="BFBFBF"/>
              <w:right w:val="single" w:sz="8" w:space="0" w:color="BFBFBF"/>
            </w:tcBorders>
            <w:noWrap/>
            <w:vAlign w:val="bottom"/>
            <w:hideMark/>
          </w:tcPr>
          <w:p w14:paraId="69F5F69F" w14:textId="77777777" w:rsidR="003961BB" w:rsidRPr="00F116B2" w:rsidRDefault="003961BB" w:rsidP="00E67B44">
            <w:pPr>
              <w:rPr>
                <w:color w:val="000000" w:themeColor="text1"/>
                <w:sz w:val="20"/>
                <w:szCs w:val="20"/>
              </w:rPr>
            </w:pPr>
            <w:r w:rsidRPr="00F116B2">
              <w:rPr>
                <w:color w:val="000000" w:themeColor="text1"/>
                <w:sz w:val="20"/>
                <w:szCs w:val="20"/>
              </w:rPr>
              <w:t>Table 1.1E, Section 10.9</w:t>
            </w:r>
          </w:p>
        </w:tc>
      </w:tr>
      <w:tr w:rsidR="006D7CE9" w:rsidRPr="00F116B2" w14:paraId="2C388E3F" w14:textId="77777777" w:rsidTr="00EC787E">
        <w:trPr>
          <w:trHeight w:val="320"/>
        </w:trPr>
        <w:tc>
          <w:tcPr>
            <w:tcW w:w="1340" w:type="dxa"/>
            <w:tcBorders>
              <w:top w:val="nil"/>
              <w:left w:val="single" w:sz="8" w:space="0" w:color="BFBFBF"/>
              <w:bottom w:val="single" w:sz="4" w:space="0" w:color="BFBFBF"/>
              <w:right w:val="single" w:sz="4" w:space="0" w:color="BFBFBF"/>
            </w:tcBorders>
            <w:shd w:val="clear" w:color="auto" w:fill="D9D9D9" w:themeFill="background1" w:themeFillShade="D9"/>
            <w:noWrap/>
            <w:vAlign w:val="bottom"/>
            <w:hideMark/>
          </w:tcPr>
          <w:p w14:paraId="40D1ABB7" w14:textId="77777777" w:rsidR="003961BB" w:rsidRPr="00F116B2" w:rsidRDefault="003961BB" w:rsidP="00E67B44">
            <w:pPr>
              <w:rPr>
                <w:b/>
                <w:bCs/>
                <w:color w:val="000000" w:themeColor="text1"/>
                <w:sz w:val="20"/>
                <w:szCs w:val="20"/>
              </w:rPr>
            </w:pPr>
            <w:r w:rsidRPr="00F116B2">
              <w:rPr>
                <w:b/>
                <w:bCs/>
                <w:color w:val="000000" w:themeColor="text1"/>
                <w:sz w:val="20"/>
                <w:szCs w:val="20"/>
              </w:rPr>
              <w:t>Capital: $25,000-$100,000</w:t>
            </w:r>
          </w:p>
        </w:tc>
        <w:tc>
          <w:tcPr>
            <w:tcW w:w="1980" w:type="dxa"/>
            <w:tcBorders>
              <w:top w:val="nil"/>
              <w:left w:val="nil"/>
              <w:bottom w:val="single" w:sz="4" w:space="0" w:color="BFBFBF"/>
              <w:right w:val="single" w:sz="4" w:space="0" w:color="BFBFBF"/>
            </w:tcBorders>
            <w:noWrap/>
            <w:vAlign w:val="bottom"/>
            <w:hideMark/>
          </w:tcPr>
          <w:p w14:paraId="46B55AAE" w14:textId="77777777" w:rsidR="003961BB" w:rsidRPr="00F116B2" w:rsidRDefault="003961BB" w:rsidP="00E67B44">
            <w:pPr>
              <w:rPr>
                <w:color w:val="000000" w:themeColor="text1"/>
                <w:sz w:val="20"/>
                <w:szCs w:val="20"/>
              </w:rPr>
            </w:pPr>
            <w:r w:rsidRPr="00F116B2">
              <w:rPr>
                <w:color w:val="000000" w:themeColor="text1"/>
                <w:sz w:val="20"/>
                <w:szCs w:val="20"/>
              </w:rPr>
              <w:t>8-14% annually</w:t>
            </w:r>
          </w:p>
        </w:tc>
        <w:tc>
          <w:tcPr>
            <w:tcW w:w="1710" w:type="dxa"/>
            <w:tcBorders>
              <w:top w:val="nil"/>
              <w:left w:val="nil"/>
              <w:bottom w:val="single" w:sz="4" w:space="0" w:color="BFBFBF"/>
              <w:right w:val="single" w:sz="4" w:space="0" w:color="BFBFBF"/>
            </w:tcBorders>
            <w:noWrap/>
            <w:vAlign w:val="bottom"/>
            <w:hideMark/>
          </w:tcPr>
          <w:p w14:paraId="36649ED3" w14:textId="77777777" w:rsidR="003961BB" w:rsidRPr="00F116B2" w:rsidRDefault="003961BB" w:rsidP="00E67B44">
            <w:pPr>
              <w:rPr>
                <w:color w:val="000000" w:themeColor="text1"/>
                <w:sz w:val="20"/>
                <w:szCs w:val="20"/>
              </w:rPr>
            </w:pPr>
            <w:r w:rsidRPr="00F116B2">
              <w:rPr>
                <w:color w:val="000000" w:themeColor="text1"/>
                <w:sz w:val="20"/>
                <w:szCs w:val="20"/>
              </w:rPr>
              <w:t>45 substantial positions</w:t>
            </w:r>
          </w:p>
        </w:tc>
        <w:tc>
          <w:tcPr>
            <w:tcW w:w="2430" w:type="dxa"/>
            <w:tcBorders>
              <w:top w:val="nil"/>
              <w:left w:val="nil"/>
              <w:bottom w:val="single" w:sz="4" w:space="0" w:color="BFBFBF"/>
              <w:right w:val="single" w:sz="4" w:space="0" w:color="BFBFBF"/>
            </w:tcBorders>
            <w:noWrap/>
            <w:vAlign w:val="bottom"/>
            <w:hideMark/>
          </w:tcPr>
          <w:p w14:paraId="4D2DE7C8" w14:textId="77777777" w:rsidR="003961BB" w:rsidRPr="00F116B2" w:rsidRDefault="003961BB" w:rsidP="00E67B44">
            <w:pPr>
              <w:rPr>
                <w:color w:val="000000" w:themeColor="text1"/>
                <w:sz w:val="20"/>
                <w:szCs w:val="20"/>
              </w:rPr>
            </w:pPr>
            <w:proofErr w:type="spellStart"/>
            <w:r w:rsidRPr="00F116B2">
              <w:rPr>
                <w:color w:val="000000" w:themeColor="text1"/>
                <w:sz w:val="20"/>
                <w:szCs w:val="20"/>
              </w:rPr>
              <w:t>Mainnet</w:t>
            </w:r>
            <w:proofErr w:type="spellEnd"/>
            <w:r w:rsidRPr="00F116B2">
              <w:rPr>
                <w:color w:val="000000" w:themeColor="text1"/>
                <w:sz w:val="20"/>
                <w:szCs w:val="20"/>
              </w:rPr>
              <w:t xml:space="preserve"> access; multi-protocol diversification possible</w:t>
            </w:r>
          </w:p>
        </w:tc>
        <w:tc>
          <w:tcPr>
            <w:tcW w:w="1710" w:type="dxa"/>
            <w:tcBorders>
              <w:top w:val="nil"/>
              <w:left w:val="nil"/>
              <w:bottom w:val="single" w:sz="4" w:space="0" w:color="BFBFBF"/>
              <w:right w:val="single" w:sz="8" w:space="0" w:color="BFBFBF"/>
            </w:tcBorders>
            <w:noWrap/>
            <w:vAlign w:val="bottom"/>
            <w:hideMark/>
          </w:tcPr>
          <w:p w14:paraId="7521C968" w14:textId="77777777" w:rsidR="003961BB" w:rsidRPr="00F116B2" w:rsidRDefault="003961BB" w:rsidP="00E67B44">
            <w:pPr>
              <w:rPr>
                <w:color w:val="000000" w:themeColor="text1"/>
                <w:sz w:val="20"/>
                <w:szCs w:val="20"/>
              </w:rPr>
            </w:pPr>
            <w:r w:rsidRPr="00F116B2">
              <w:rPr>
                <w:color w:val="000000" w:themeColor="text1"/>
                <w:sz w:val="20"/>
                <w:szCs w:val="20"/>
              </w:rPr>
              <w:t>Table 1.1E, Section 10.9</w:t>
            </w:r>
          </w:p>
        </w:tc>
      </w:tr>
      <w:tr w:rsidR="006D7CE9" w:rsidRPr="00F116B2" w14:paraId="5CD19381" w14:textId="77777777" w:rsidTr="00EC787E">
        <w:trPr>
          <w:trHeight w:val="320"/>
        </w:trPr>
        <w:tc>
          <w:tcPr>
            <w:tcW w:w="1340" w:type="dxa"/>
            <w:tcBorders>
              <w:top w:val="nil"/>
              <w:left w:val="single" w:sz="8" w:space="0" w:color="BFBFBF"/>
              <w:bottom w:val="single" w:sz="4" w:space="0" w:color="BFBFBF"/>
              <w:right w:val="single" w:sz="4" w:space="0" w:color="BFBFBF"/>
            </w:tcBorders>
            <w:shd w:val="clear" w:color="auto" w:fill="D9D9D9" w:themeFill="background1" w:themeFillShade="D9"/>
            <w:noWrap/>
            <w:vAlign w:val="bottom"/>
            <w:hideMark/>
          </w:tcPr>
          <w:p w14:paraId="10B5DD48" w14:textId="77777777" w:rsidR="003961BB" w:rsidRPr="00F116B2" w:rsidRDefault="003961BB" w:rsidP="00E67B44">
            <w:pPr>
              <w:rPr>
                <w:b/>
                <w:bCs/>
                <w:color w:val="000000" w:themeColor="text1"/>
                <w:sz w:val="20"/>
                <w:szCs w:val="20"/>
              </w:rPr>
            </w:pPr>
            <w:r w:rsidRPr="00F116B2">
              <w:rPr>
                <w:b/>
                <w:bCs/>
                <w:color w:val="000000" w:themeColor="text1"/>
                <w:sz w:val="20"/>
                <w:szCs w:val="20"/>
              </w:rPr>
              <w:t>Capital: &gt;$100,000</w:t>
            </w:r>
          </w:p>
        </w:tc>
        <w:tc>
          <w:tcPr>
            <w:tcW w:w="1980" w:type="dxa"/>
            <w:tcBorders>
              <w:top w:val="nil"/>
              <w:left w:val="nil"/>
              <w:bottom w:val="single" w:sz="4" w:space="0" w:color="BFBFBF"/>
              <w:right w:val="single" w:sz="4" w:space="0" w:color="BFBFBF"/>
            </w:tcBorders>
            <w:noWrap/>
            <w:vAlign w:val="bottom"/>
            <w:hideMark/>
          </w:tcPr>
          <w:p w14:paraId="2BF6D731" w14:textId="77777777" w:rsidR="003961BB" w:rsidRPr="00F116B2" w:rsidRDefault="003961BB" w:rsidP="00E67B44">
            <w:pPr>
              <w:rPr>
                <w:color w:val="000000" w:themeColor="text1"/>
                <w:sz w:val="20"/>
                <w:szCs w:val="20"/>
              </w:rPr>
            </w:pPr>
            <w:r w:rsidRPr="00F116B2">
              <w:rPr>
                <w:color w:val="000000" w:themeColor="text1"/>
                <w:sz w:val="20"/>
                <w:szCs w:val="20"/>
              </w:rPr>
              <w:t>12-20% for sophisticated operators</w:t>
            </w:r>
          </w:p>
        </w:tc>
        <w:tc>
          <w:tcPr>
            <w:tcW w:w="1710" w:type="dxa"/>
            <w:tcBorders>
              <w:top w:val="nil"/>
              <w:left w:val="nil"/>
              <w:bottom w:val="single" w:sz="4" w:space="0" w:color="BFBFBF"/>
              <w:right w:val="single" w:sz="4" w:space="0" w:color="BFBFBF"/>
            </w:tcBorders>
            <w:noWrap/>
            <w:vAlign w:val="bottom"/>
            <w:hideMark/>
          </w:tcPr>
          <w:p w14:paraId="37AA49F1" w14:textId="77777777" w:rsidR="003961BB" w:rsidRPr="00F116B2" w:rsidRDefault="003961BB" w:rsidP="00E67B44">
            <w:pPr>
              <w:rPr>
                <w:color w:val="000000" w:themeColor="text1"/>
                <w:sz w:val="20"/>
                <w:szCs w:val="20"/>
              </w:rPr>
            </w:pPr>
            <w:r w:rsidRPr="00F116B2">
              <w:rPr>
                <w:color w:val="000000" w:themeColor="text1"/>
                <w:sz w:val="20"/>
                <w:szCs w:val="20"/>
              </w:rPr>
              <w:t>18 positions + simulation</w:t>
            </w:r>
          </w:p>
        </w:tc>
        <w:tc>
          <w:tcPr>
            <w:tcW w:w="2430" w:type="dxa"/>
            <w:tcBorders>
              <w:top w:val="nil"/>
              <w:left w:val="nil"/>
              <w:bottom w:val="single" w:sz="4" w:space="0" w:color="BFBFBF"/>
              <w:right w:val="single" w:sz="4" w:space="0" w:color="BFBFBF"/>
            </w:tcBorders>
            <w:noWrap/>
            <w:vAlign w:val="bottom"/>
            <w:hideMark/>
          </w:tcPr>
          <w:p w14:paraId="1AE385E9" w14:textId="77777777" w:rsidR="003961BB" w:rsidRPr="00F116B2" w:rsidRDefault="003961BB" w:rsidP="00E67B44">
            <w:pPr>
              <w:rPr>
                <w:color w:val="000000" w:themeColor="text1"/>
                <w:sz w:val="20"/>
                <w:szCs w:val="20"/>
              </w:rPr>
            </w:pPr>
            <w:r w:rsidRPr="00F116B2">
              <w:rPr>
                <w:color w:val="000000" w:themeColor="text1"/>
                <w:sz w:val="20"/>
                <w:szCs w:val="20"/>
              </w:rPr>
              <w:t>Professional infrastructure; automation viable</w:t>
            </w:r>
          </w:p>
        </w:tc>
        <w:tc>
          <w:tcPr>
            <w:tcW w:w="1710" w:type="dxa"/>
            <w:tcBorders>
              <w:top w:val="nil"/>
              <w:left w:val="nil"/>
              <w:bottom w:val="single" w:sz="4" w:space="0" w:color="BFBFBF"/>
              <w:right w:val="single" w:sz="8" w:space="0" w:color="BFBFBF"/>
            </w:tcBorders>
            <w:noWrap/>
            <w:vAlign w:val="bottom"/>
            <w:hideMark/>
          </w:tcPr>
          <w:p w14:paraId="2594E994" w14:textId="77777777" w:rsidR="003961BB" w:rsidRPr="00F116B2" w:rsidRDefault="003961BB" w:rsidP="00E67B44">
            <w:pPr>
              <w:rPr>
                <w:color w:val="000000" w:themeColor="text1"/>
                <w:sz w:val="20"/>
                <w:szCs w:val="20"/>
              </w:rPr>
            </w:pPr>
            <w:r w:rsidRPr="00F116B2">
              <w:rPr>
                <w:color w:val="000000" w:themeColor="text1"/>
                <w:sz w:val="20"/>
                <w:szCs w:val="20"/>
              </w:rPr>
              <w:t>Table 1.1E, Section 10.9</w:t>
            </w:r>
          </w:p>
        </w:tc>
      </w:tr>
      <w:tr w:rsidR="006D7CE9" w:rsidRPr="00F116B2" w14:paraId="38EA5FA4" w14:textId="77777777" w:rsidTr="00EC787E">
        <w:trPr>
          <w:trHeight w:val="320"/>
        </w:trPr>
        <w:tc>
          <w:tcPr>
            <w:tcW w:w="1340" w:type="dxa"/>
            <w:tcBorders>
              <w:top w:val="nil"/>
              <w:left w:val="single" w:sz="8" w:space="0" w:color="BFBFBF"/>
              <w:bottom w:val="single" w:sz="4" w:space="0" w:color="BFBFBF"/>
              <w:right w:val="single" w:sz="4" w:space="0" w:color="BFBFBF"/>
            </w:tcBorders>
            <w:shd w:val="clear" w:color="auto" w:fill="D9D9D9" w:themeFill="background1" w:themeFillShade="D9"/>
            <w:noWrap/>
            <w:vAlign w:val="bottom"/>
            <w:hideMark/>
          </w:tcPr>
          <w:p w14:paraId="6F14934D" w14:textId="77777777" w:rsidR="003961BB" w:rsidRPr="00F116B2" w:rsidRDefault="003961BB" w:rsidP="00E67B44">
            <w:pPr>
              <w:rPr>
                <w:b/>
                <w:bCs/>
                <w:color w:val="000000" w:themeColor="text1"/>
                <w:sz w:val="20"/>
                <w:szCs w:val="20"/>
              </w:rPr>
            </w:pPr>
            <w:r w:rsidRPr="00F116B2">
              <w:rPr>
                <w:b/>
                <w:bCs/>
                <w:color w:val="000000" w:themeColor="text1"/>
                <w:sz w:val="20"/>
                <w:szCs w:val="20"/>
              </w:rPr>
              <w:t>Multi-Strategy Portfolio</w:t>
            </w:r>
          </w:p>
        </w:tc>
        <w:tc>
          <w:tcPr>
            <w:tcW w:w="1980" w:type="dxa"/>
            <w:tcBorders>
              <w:top w:val="nil"/>
              <w:left w:val="nil"/>
              <w:bottom w:val="single" w:sz="4" w:space="0" w:color="BFBFBF"/>
              <w:right w:val="single" w:sz="4" w:space="0" w:color="BFBFBF"/>
            </w:tcBorders>
            <w:noWrap/>
            <w:vAlign w:val="bottom"/>
            <w:hideMark/>
          </w:tcPr>
          <w:p w14:paraId="0363F034" w14:textId="77777777" w:rsidR="003961BB" w:rsidRPr="00F116B2" w:rsidRDefault="003961BB" w:rsidP="00E67B44">
            <w:pPr>
              <w:rPr>
                <w:color w:val="000000" w:themeColor="text1"/>
                <w:sz w:val="20"/>
                <w:szCs w:val="20"/>
              </w:rPr>
            </w:pPr>
            <w:r w:rsidRPr="00F116B2">
              <w:rPr>
                <w:color w:val="000000" w:themeColor="text1"/>
                <w:sz w:val="20"/>
                <w:szCs w:val="20"/>
              </w:rPr>
              <w:t>8-14% net APY</w:t>
            </w:r>
          </w:p>
        </w:tc>
        <w:tc>
          <w:tcPr>
            <w:tcW w:w="1710" w:type="dxa"/>
            <w:tcBorders>
              <w:top w:val="nil"/>
              <w:left w:val="nil"/>
              <w:bottom w:val="single" w:sz="4" w:space="0" w:color="BFBFBF"/>
              <w:right w:val="single" w:sz="4" w:space="0" w:color="BFBFBF"/>
            </w:tcBorders>
            <w:noWrap/>
            <w:vAlign w:val="bottom"/>
            <w:hideMark/>
          </w:tcPr>
          <w:p w14:paraId="2C02BEB4" w14:textId="77777777" w:rsidR="003961BB" w:rsidRPr="00F116B2" w:rsidRDefault="003961BB" w:rsidP="00E67B44">
            <w:pPr>
              <w:rPr>
                <w:color w:val="000000" w:themeColor="text1"/>
                <w:sz w:val="20"/>
                <w:szCs w:val="20"/>
              </w:rPr>
            </w:pPr>
            <w:r w:rsidRPr="00F116B2">
              <w:rPr>
                <w:color w:val="000000" w:themeColor="text1"/>
                <w:sz w:val="20"/>
                <w:szCs w:val="20"/>
              </w:rPr>
              <w:t>Modeled from 45 positions &gt;$25K</w:t>
            </w:r>
          </w:p>
        </w:tc>
        <w:tc>
          <w:tcPr>
            <w:tcW w:w="2430" w:type="dxa"/>
            <w:tcBorders>
              <w:top w:val="nil"/>
              <w:left w:val="nil"/>
              <w:bottom w:val="single" w:sz="4" w:space="0" w:color="BFBFBF"/>
              <w:right w:val="single" w:sz="4" w:space="0" w:color="BFBFBF"/>
            </w:tcBorders>
            <w:noWrap/>
            <w:vAlign w:val="bottom"/>
            <w:hideMark/>
          </w:tcPr>
          <w:p w14:paraId="005AC1A2" w14:textId="77777777" w:rsidR="003961BB" w:rsidRPr="00F116B2" w:rsidRDefault="003961BB" w:rsidP="00E67B44">
            <w:pPr>
              <w:rPr>
                <w:color w:val="000000" w:themeColor="text1"/>
                <w:sz w:val="20"/>
                <w:szCs w:val="20"/>
              </w:rPr>
            </w:pPr>
            <w:r w:rsidRPr="00F116B2">
              <w:rPr>
                <w:color w:val="000000" w:themeColor="text1"/>
                <w:sz w:val="20"/>
                <w:szCs w:val="20"/>
              </w:rPr>
              <w:t>Assumes competent diversification across 3-5 protocols</w:t>
            </w:r>
          </w:p>
        </w:tc>
        <w:tc>
          <w:tcPr>
            <w:tcW w:w="1710" w:type="dxa"/>
            <w:tcBorders>
              <w:top w:val="nil"/>
              <w:left w:val="nil"/>
              <w:bottom w:val="single" w:sz="4" w:space="0" w:color="BFBFBF"/>
              <w:right w:val="single" w:sz="8" w:space="0" w:color="BFBFBF"/>
            </w:tcBorders>
            <w:noWrap/>
            <w:vAlign w:val="bottom"/>
            <w:hideMark/>
          </w:tcPr>
          <w:p w14:paraId="34C306D8" w14:textId="77777777" w:rsidR="003961BB" w:rsidRPr="00F116B2" w:rsidRDefault="003961BB" w:rsidP="00E67B44">
            <w:pPr>
              <w:rPr>
                <w:color w:val="000000" w:themeColor="text1"/>
                <w:sz w:val="20"/>
                <w:szCs w:val="20"/>
              </w:rPr>
            </w:pPr>
            <w:r w:rsidRPr="00F116B2">
              <w:rPr>
                <w:color w:val="000000" w:themeColor="text1"/>
                <w:sz w:val="20"/>
                <w:szCs w:val="20"/>
              </w:rPr>
              <w:t>Table 1.1E</w:t>
            </w:r>
          </w:p>
        </w:tc>
      </w:tr>
      <w:tr w:rsidR="006D7CE9" w:rsidRPr="00F116B2" w14:paraId="4B5D9653" w14:textId="77777777" w:rsidTr="00EC787E">
        <w:trPr>
          <w:trHeight w:val="340"/>
        </w:trPr>
        <w:tc>
          <w:tcPr>
            <w:tcW w:w="1340" w:type="dxa"/>
            <w:tcBorders>
              <w:top w:val="nil"/>
              <w:left w:val="single" w:sz="8" w:space="0" w:color="BFBFBF"/>
              <w:bottom w:val="single" w:sz="8" w:space="0" w:color="BFBFBF"/>
              <w:right w:val="single" w:sz="4" w:space="0" w:color="BFBFBF"/>
            </w:tcBorders>
            <w:shd w:val="clear" w:color="auto" w:fill="D9D9D9" w:themeFill="background1" w:themeFillShade="D9"/>
            <w:noWrap/>
            <w:vAlign w:val="bottom"/>
            <w:hideMark/>
          </w:tcPr>
          <w:p w14:paraId="1263F045" w14:textId="77777777" w:rsidR="003961BB" w:rsidRPr="00F116B2" w:rsidRDefault="003961BB" w:rsidP="00E67B44">
            <w:pPr>
              <w:rPr>
                <w:b/>
                <w:bCs/>
                <w:color w:val="000000" w:themeColor="text1"/>
                <w:sz w:val="20"/>
                <w:szCs w:val="20"/>
              </w:rPr>
            </w:pPr>
            <w:r w:rsidRPr="00F116B2">
              <w:rPr>
                <w:b/>
                <w:bCs/>
                <w:color w:val="000000" w:themeColor="text1"/>
                <w:sz w:val="20"/>
                <w:szCs w:val="20"/>
              </w:rPr>
              <w:t>Concentrated Liquidity (v3)</w:t>
            </w:r>
          </w:p>
        </w:tc>
        <w:tc>
          <w:tcPr>
            <w:tcW w:w="1980" w:type="dxa"/>
            <w:tcBorders>
              <w:top w:val="nil"/>
              <w:left w:val="nil"/>
              <w:bottom w:val="single" w:sz="8" w:space="0" w:color="BFBFBF"/>
              <w:right w:val="single" w:sz="4" w:space="0" w:color="BFBFBF"/>
            </w:tcBorders>
            <w:noWrap/>
            <w:vAlign w:val="bottom"/>
            <w:hideMark/>
          </w:tcPr>
          <w:p w14:paraId="1F054ACE" w14:textId="77777777" w:rsidR="003961BB" w:rsidRPr="00F116B2" w:rsidRDefault="003961BB" w:rsidP="00E67B44">
            <w:pPr>
              <w:rPr>
                <w:color w:val="000000" w:themeColor="text1"/>
                <w:sz w:val="20"/>
                <w:szCs w:val="20"/>
              </w:rPr>
            </w:pPr>
            <w:r w:rsidRPr="00F116B2">
              <w:rPr>
                <w:color w:val="000000" w:themeColor="text1"/>
                <w:sz w:val="20"/>
                <w:szCs w:val="20"/>
              </w:rPr>
              <w:t xml:space="preserve">Professional: 23-47% / Retail: </w:t>
            </w:r>
            <w:proofErr w:type="gramStart"/>
            <w:r w:rsidRPr="00F116B2">
              <w:rPr>
                <w:color w:val="000000" w:themeColor="text1"/>
                <w:sz w:val="20"/>
                <w:szCs w:val="20"/>
              </w:rPr>
              <w:t>typically</w:t>
            </w:r>
            <w:proofErr w:type="gramEnd"/>
            <w:r w:rsidRPr="00F116B2">
              <w:rPr>
                <w:color w:val="000000" w:themeColor="text1"/>
                <w:sz w:val="20"/>
                <w:szCs w:val="20"/>
              </w:rPr>
              <w:t xml:space="preserve"> negative</w:t>
            </w:r>
          </w:p>
        </w:tc>
        <w:tc>
          <w:tcPr>
            <w:tcW w:w="1710" w:type="dxa"/>
            <w:tcBorders>
              <w:top w:val="nil"/>
              <w:left w:val="nil"/>
              <w:bottom w:val="single" w:sz="8" w:space="0" w:color="BFBFBF"/>
              <w:right w:val="single" w:sz="4" w:space="0" w:color="BFBFBF"/>
            </w:tcBorders>
            <w:noWrap/>
            <w:vAlign w:val="bottom"/>
            <w:hideMark/>
          </w:tcPr>
          <w:p w14:paraId="29137C1B" w14:textId="77777777" w:rsidR="003961BB" w:rsidRPr="00F116B2" w:rsidRDefault="003961BB" w:rsidP="00E67B44">
            <w:pPr>
              <w:rPr>
                <w:color w:val="000000" w:themeColor="text1"/>
                <w:sz w:val="20"/>
                <w:szCs w:val="20"/>
              </w:rPr>
            </w:pPr>
            <w:r w:rsidRPr="00F116B2">
              <w:rPr>
                <w:color w:val="000000" w:themeColor="text1"/>
                <w:sz w:val="20"/>
                <w:szCs w:val="20"/>
              </w:rPr>
              <w:t>33 Uniswap v3 positions</w:t>
            </w:r>
          </w:p>
        </w:tc>
        <w:tc>
          <w:tcPr>
            <w:tcW w:w="2430" w:type="dxa"/>
            <w:tcBorders>
              <w:top w:val="nil"/>
              <w:left w:val="nil"/>
              <w:bottom w:val="single" w:sz="8" w:space="0" w:color="BFBFBF"/>
              <w:right w:val="single" w:sz="4" w:space="0" w:color="BFBFBF"/>
            </w:tcBorders>
            <w:noWrap/>
            <w:vAlign w:val="bottom"/>
            <w:hideMark/>
          </w:tcPr>
          <w:p w14:paraId="6B8CE548" w14:textId="77777777" w:rsidR="003961BB" w:rsidRPr="00F116B2" w:rsidRDefault="003961BB" w:rsidP="00E67B44">
            <w:pPr>
              <w:rPr>
                <w:color w:val="000000" w:themeColor="text1"/>
                <w:sz w:val="20"/>
                <w:szCs w:val="20"/>
              </w:rPr>
            </w:pPr>
            <w:r w:rsidRPr="00F116B2">
              <w:rPr>
                <w:color w:val="000000" w:themeColor="text1"/>
                <w:sz w:val="20"/>
                <w:szCs w:val="20"/>
              </w:rPr>
              <w:t>Extreme bifurcation by skill level; 69% of retail attempts failed</w:t>
            </w:r>
          </w:p>
        </w:tc>
        <w:tc>
          <w:tcPr>
            <w:tcW w:w="1710" w:type="dxa"/>
            <w:tcBorders>
              <w:top w:val="nil"/>
              <w:left w:val="nil"/>
              <w:bottom w:val="single" w:sz="8" w:space="0" w:color="BFBFBF"/>
              <w:right w:val="single" w:sz="8" w:space="0" w:color="BFBFBF"/>
            </w:tcBorders>
            <w:noWrap/>
            <w:vAlign w:val="bottom"/>
            <w:hideMark/>
          </w:tcPr>
          <w:p w14:paraId="1744F451" w14:textId="77777777" w:rsidR="003961BB" w:rsidRPr="00F116B2" w:rsidRDefault="003961BB" w:rsidP="00E67B44">
            <w:pPr>
              <w:rPr>
                <w:color w:val="000000" w:themeColor="text1"/>
                <w:sz w:val="20"/>
                <w:szCs w:val="20"/>
              </w:rPr>
            </w:pPr>
            <w:r w:rsidRPr="00F116B2">
              <w:rPr>
                <w:color w:val="000000" w:themeColor="text1"/>
                <w:sz w:val="20"/>
                <w:szCs w:val="20"/>
              </w:rPr>
              <w:t>Section 8.4</w:t>
            </w:r>
          </w:p>
        </w:tc>
      </w:tr>
    </w:tbl>
    <w:p w14:paraId="468A6B58" w14:textId="77777777" w:rsidR="003961BB" w:rsidRPr="00FC1C28" w:rsidRDefault="003961BB" w:rsidP="00E67B44">
      <w:pPr>
        <w:rPr>
          <w:rFonts w:eastAsiaTheme="majorEastAsia"/>
          <w:color w:val="EE0000"/>
        </w:rPr>
      </w:pPr>
    </w:p>
    <w:p w14:paraId="581D4785" w14:textId="58AE4BF6" w:rsidR="00DB6415" w:rsidRPr="00FF1148" w:rsidRDefault="00DB6415" w:rsidP="00E67B44">
      <w:pPr>
        <w:rPr>
          <w:b/>
          <w:bCs/>
        </w:rPr>
      </w:pPr>
      <w:r w:rsidRPr="00FF1148">
        <w:rPr>
          <w:rStyle w:val="token"/>
          <w:b/>
          <w:bCs/>
          <w:color w:val="000000" w:themeColor="text1"/>
        </w:rPr>
        <w:t>Key Reconciliation Points:</w:t>
      </w:r>
    </w:p>
    <w:p w14:paraId="0756866B" w14:textId="77777777" w:rsidR="00DB6415" w:rsidRPr="00A30DB7" w:rsidRDefault="00DB6415" w:rsidP="00E67B44">
      <w:pPr>
        <w:pStyle w:val="Heading3"/>
        <w:rPr>
          <w:rStyle w:val="token"/>
          <w:b w:val="0"/>
          <w:bCs/>
          <w:color w:val="000000" w:themeColor="text1"/>
        </w:rPr>
      </w:pPr>
    </w:p>
    <w:p w14:paraId="5794A799" w14:textId="419B6291" w:rsidR="00DB6415" w:rsidRPr="00A30DB7" w:rsidRDefault="005940B7" w:rsidP="00E67B44">
      <w:pPr>
        <w:pStyle w:val="ListParagraph"/>
        <w:numPr>
          <w:ilvl w:val="0"/>
          <w:numId w:val="229"/>
        </w:numPr>
        <w:jc w:val="both"/>
        <w:rPr>
          <w:color w:val="000000" w:themeColor="text1"/>
        </w:rPr>
      </w:pPr>
      <w:r w:rsidRPr="00A30DB7">
        <w:rPr>
          <w:rStyle w:val="token"/>
          <w:b/>
          <w:bCs/>
          <w:color w:val="000000" w:themeColor="text1"/>
        </w:rPr>
        <w:t>Overall,</w:t>
      </w:r>
      <w:r w:rsidR="00DB6415" w:rsidRPr="00A30DB7">
        <w:rPr>
          <w:rStyle w:val="token"/>
          <w:b/>
          <w:bCs/>
          <w:color w:val="000000" w:themeColor="text1"/>
        </w:rPr>
        <w:t xml:space="preserve"> 7% </w:t>
      </w:r>
      <w:proofErr w:type="gramStart"/>
      <w:r w:rsidR="00DB6415" w:rsidRPr="00A30DB7">
        <w:rPr>
          <w:rStyle w:val="token"/>
          <w:b/>
          <w:bCs/>
          <w:color w:val="000000" w:themeColor="text1"/>
        </w:rPr>
        <w:t>median</w:t>
      </w:r>
      <w:proofErr w:type="gramEnd"/>
      <w:r w:rsidR="00DB6415" w:rsidRPr="00A30DB7">
        <w:rPr>
          <w:rStyle w:val="token"/>
          <w:b/>
          <w:bCs/>
          <w:color w:val="000000" w:themeColor="text1"/>
        </w:rPr>
        <w:t xml:space="preserve"> applies to survivors only</w:t>
      </w:r>
      <w:r w:rsidR="00DB6415" w:rsidRPr="00A30DB7">
        <w:rPr>
          <w:color w:val="000000" w:themeColor="text1"/>
        </w:rPr>
        <w:t>: This excludes the 114 positions (73%) that were unprofitable. Including all positions, the true median return is approximately -2% to -3%.</w:t>
      </w:r>
    </w:p>
    <w:p w14:paraId="0DD1C858" w14:textId="1C0098A5" w:rsidR="00DB6415" w:rsidRPr="00A30DB7" w:rsidRDefault="00DB6415" w:rsidP="00E67B44">
      <w:pPr>
        <w:pStyle w:val="ListParagraph"/>
        <w:numPr>
          <w:ilvl w:val="0"/>
          <w:numId w:val="229"/>
        </w:numPr>
        <w:jc w:val="both"/>
        <w:rPr>
          <w:color w:val="000000" w:themeColor="text1"/>
        </w:rPr>
      </w:pPr>
      <w:r w:rsidRPr="00A30DB7">
        <w:rPr>
          <w:rStyle w:val="token"/>
          <w:b/>
          <w:bCs/>
          <w:color w:val="000000" w:themeColor="text1"/>
        </w:rPr>
        <w:t>Strategy-specific returns are subsets</w:t>
      </w:r>
      <w:r w:rsidRPr="00A30DB7">
        <w:rPr>
          <w:color w:val="000000" w:themeColor="text1"/>
        </w:rPr>
        <w:t>: The 4-8% for stablecoin LP and 6-12% for correlated pairs are components of the overall 7% median, not contradictions.</w:t>
      </w:r>
    </w:p>
    <w:p w14:paraId="682BF5C7" w14:textId="77777777" w:rsidR="00A30DB7" w:rsidRPr="008E04F2" w:rsidRDefault="00DB6415" w:rsidP="00E67B44">
      <w:pPr>
        <w:pStyle w:val="ListParagraph"/>
        <w:numPr>
          <w:ilvl w:val="0"/>
          <w:numId w:val="229"/>
        </w:numPr>
        <w:jc w:val="both"/>
        <w:rPr>
          <w:color w:val="000000" w:themeColor="text1"/>
        </w:rPr>
      </w:pPr>
      <w:r w:rsidRPr="008E04F2">
        <w:rPr>
          <w:rStyle w:val="token"/>
          <w:b/>
          <w:bCs/>
          <w:color w:val="000000" w:themeColor="text1"/>
        </w:rPr>
        <w:t>Capital-stratified returns show progression</w:t>
      </w:r>
      <w:r w:rsidRPr="008E04F2">
        <w:rPr>
          <w:color w:val="000000" w:themeColor="text1"/>
        </w:rPr>
        <w:t xml:space="preserve">: Returns increase with capital because: </w:t>
      </w:r>
    </w:p>
    <w:p w14:paraId="412C5831" w14:textId="77777777" w:rsidR="00A30DB7" w:rsidRPr="008E04F2" w:rsidRDefault="00DB6415" w:rsidP="00E67B44">
      <w:pPr>
        <w:pStyle w:val="ListParagraph"/>
        <w:numPr>
          <w:ilvl w:val="2"/>
          <w:numId w:val="229"/>
        </w:numPr>
        <w:jc w:val="both"/>
        <w:rPr>
          <w:rStyle w:val="token"/>
          <w:color w:val="000000" w:themeColor="text1"/>
        </w:rPr>
      </w:pPr>
      <w:r w:rsidRPr="008E04F2">
        <w:rPr>
          <w:color w:val="000000" w:themeColor="text1"/>
        </w:rPr>
        <w:t xml:space="preserve">Fixed costs (gas) become proportionally smaller </w:t>
      </w:r>
    </w:p>
    <w:p w14:paraId="493A095E" w14:textId="77777777" w:rsidR="00A30DB7" w:rsidRPr="008E04F2" w:rsidRDefault="00DB6415" w:rsidP="00E67B44">
      <w:pPr>
        <w:pStyle w:val="ListParagraph"/>
        <w:numPr>
          <w:ilvl w:val="2"/>
          <w:numId w:val="229"/>
        </w:numPr>
        <w:jc w:val="both"/>
        <w:rPr>
          <w:rStyle w:val="token"/>
          <w:color w:val="000000" w:themeColor="text1"/>
        </w:rPr>
      </w:pPr>
      <w:r w:rsidRPr="008E04F2">
        <w:rPr>
          <w:color w:val="000000" w:themeColor="text1"/>
        </w:rPr>
        <w:t xml:space="preserve">More sophisticated strategies become viable </w:t>
      </w:r>
    </w:p>
    <w:p w14:paraId="7CB0F525" w14:textId="77777777" w:rsidR="00A30DB7" w:rsidRPr="008E04F2" w:rsidRDefault="00DB6415" w:rsidP="00E67B44">
      <w:pPr>
        <w:pStyle w:val="ListParagraph"/>
        <w:numPr>
          <w:ilvl w:val="2"/>
          <w:numId w:val="229"/>
        </w:numPr>
        <w:jc w:val="both"/>
        <w:rPr>
          <w:rStyle w:val="token"/>
          <w:color w:val="000000" w:themeColor="text1"/>
        </w:rPr>
      </w:pPr>
      <w:r w:rsidRPr="008E04F2">
        <w:rPr>
          <w:color w:val="000000" w:themeColor="text1"/>
        </w:rPr>
        <w:t>Diversification across protocols reduces single-point failure risk</w:t>
      </w:r>
    </w:p>
    <w:p w14:paraId="22D96C72" w14:textId="02D69223" w:rsidR="00DB6415" w:rsidRPr="008E04F2" w:rsidRDefault="00DB6415" w:rsidP="00E67B44">
      <w:pPr>
        <w:pStyle w:val="ListParagraph"/>
        <w:numPr>
          <w:ilvl w:val="2"/>
          <w:numId w:val="229"/>
        </w:numPr>
        <w:jc w:val="both"/>
        <w:rPr>
          <w:color w:val="000000" w:themeColor="text1"/>
        </w:rPr>
      </w:pPr>
      <w:r w:rsidRPr="008E04F2">
        <w:rPr>
          <w:color w:val="000000" w:themeColor="text1"/>
        </w:rPr>
        <w:t>Positions can survive 50% drawdowns without forced liquidation</w:t>
      </w:r>
      <w:r w:rsidR="00E974C3" w:rsidRPr="008E04F2">
        <w:rPr>
          <w:color w:val="000000" w:themeColor="text1"/>
        </w:rPr>
        <w:t>.</w:t>
      </w:r>
    </w:p>
    <w:p w14:paraId="78191682" w14:textId="555C4FDA" w:rsidR="009676F1" w:rsidRPr="008E04F2" w:rsidRDefault="00FC1C28" w:rsidP="00E67B44">
      <w:pPr>
        <w:pStyle w:val="ListParagraph"/>
        <w:numPr>
          <w:ilvl w:val="0"/>
          <w:numId w:val="229"/>
        </w:numPr>
        <w:jc w:val="both"/>
        <w:rPr>
          <w:rStyle w:val="token"/>
          <w:color w:val="000000" w:themeColor="text1"/>
        </w:rPr>
      </w:pPr>
      <w:r w:rsidRPr="008E04F2">
        <w:rPr>
          <w:rStyle w:val="token"/>
          <w:b/>
          <w:bCs/>
          <w:color w:val="000000" w:themeColor="text1"/>
        </w:rPr>
        <w:t>Time period consistency</w:t>
      </w:r>
      <w:r w:rsidRPr="008E04F2">
        <w:rPr>
          <w:color w:val="000000" w:themeColor="text1"/>
        </w:rPr>
        <w:t xml:space="preserve">: All figures represent the 2020-2024 study period unless otherwise noted. Market conditions during this period included: </w:t>
      </w:r>
    </w:p>
    <w:p w14:paraId="4CFAF7F2" w14:textId="6AD86842" w:rsidR="00C43E38" w:rsidRPr="008E04F2" w:rsidRDefault="00FC1C28" w:rsidP="00E67B44">
      <w:pPr>
        <w:pStyle w:val="ListParagraph"/>
        <w:numPr>
          <w:ilvl w:val="1"/>
          <w:numId w:val="229"/>
        </w:numPr>
        <w:jc w:val="both"/>
        <w:rPr>
          <w:rStyle w:val="token"/>
          <w:color w:val="000000" w:themeColor="text1"/>
        </w:rPr>
      </w:pPr>
      <w:r w:rsidRPr="00F116B2">
        <w:rPr>
          <w:color w:val="000000" w:themeColor="text1"/>
        </w:rPr>
        <w:t>2020-2021:</w:t>
      </w:r>
      <w:r w:rsidRPr="008E04F2">
        <w:rPr>
          <w:color w:val="000000" w:themeColor="text1"/>
        </w:rPr>
        <w:t xml:space="preserve"> Bull market, high yields available </w:t>
      </w:r>
    </w:p>
    <w:p w14:paraId="7D8BE250" w14:textId="77777777" w:rsidR="00C43E38" w:rsidRPr="008E04F2" w:rsidRDefault="00FC1C28" w:rsidP="00E67B44">
      <w:pPr>
        <w:pStyle w:val="ListParagraph"/>
        <w:numPr>
          <w:ilvl w:val="1"/>
          <w:numId w:val="229"/>
        </w:numPr>
        <w:jc w:val="both"/>
        <w:rPr>
          <w:rStyle w:val="token"/>
          <w:color w:val="000000" w:themeColor="text1"/>
        </w:rPr>
      </w:pPr>
      <w:r w:rsidRPr="008E04F2">
        <w:rPr>
          <w:color w:val="000000" w:themeColor="text1"/>
        </w:rPr>
        <w:t xml:space="preserve">2022: Bear market, Terra/Luna collapse, yields compressed </w:t>
      </w:r>
    </w:p>
    <w:p w14:paraId="4C15DA77" w14:textId="77777777" w:rsidR="00C43E38" w:rsidRPr="008E04F2" w:rsidRDefault="00FC1C28" w:rsidP="00E67B44">
      <w:pPr>
        <w:pStyle w:val="ListParagraph"/>
        <w:numPr>
          <w:ilvl w:val="1"/>
          <w:numId w:val="229"/>
        </w:numPr>
        <w:jc w:val="both"/>
        <w:rPr>
          <w:rStyle w:val="token"/>
          <w:color w:val="000000" w:themeColor="text1"/>
        </w:rPr>
      </w:pPr>
      <w:r w:rsidRPr="008E04F2">
        <w:rPr>
          <w:color w:val="000000" w:themeColor="text1"/>
        </w:rPr>
        <w:t xml:space="preserve">2023-2024: Recovery period, institutional entry </w:t>
      </w:r>
    </w:p>
    <w:p w14:paraId="7789EA0C" w14:textId="77777777" w:rsidR="009A055E" w:rsidRDefault="00FC1C28" w:rsidP="00E67B44">
      <w:pPr>
        <w:pStyle w:val="ListParagraph"/>
        <w:numPr>
          <w:ilvl w:val="1"/>
          <w:numId w:val="229"/>
        </w:numPr>
        <w:jc w:val="both"/>
        <w:rPr>
          <w:color w:val="000000" w:themeColor="text1"/>
        </w:rPr>
      </w:pPr>
      <w:r w:rsidRPr="008E04F2">
        <w:rPr>
          <w:color w:val="000000" w:themeColor="text1"/>
        </w:rPr>
        <w:t>Returns reflect average across these varying conditions</w:t>
      </w:r>
      <w:r w:rsidR="00E974C3" w:rsidRPr="008E04F2">
        <w:rPr>
          <w:color w:val="000000" w:themeColor="text1"/>
        </w:rPr>
        <w:t>.</w:t>
      </w:r>
    </w:p>
    <w:p w14:paraId="56AD3416" w14:textId="77777777" w:rsidR="009A055E" w:rsidRPr="009A055E" w:rsidRDefault="00E974C3" w:rsidP="00E67B44">
      <w:pPr>
        <w:pStyle w:val="ListParagraph"/>
        <w:numPr>
          <w:ilvl w:val="0"/>
          <w:numId w:val="229"/>
        </w:numPr>
        <w:jc w:val="both"/>
        <w:rPr>
          <w:color w:val="000000" w:themeColor="text1"/>
        </w:rPr>
      </w:pPr>
      <w:r w:rsidRPr="009A055E">
        <w:rPr>
          <w:rStyle w:val="token"/>
          <w:b/>
          <w:bCs/>
          <w:color w:val="000000" w:themeColor="text1"/>
        </w:rPr>
        <w:t>Gross vs. Net distinction</w:t>
      </w:r>
      <w:r w:rsidRPr="009A055E">
        <w:rPr>
          <w:color w:val="000000" w:themeColor="text1"/>
        </w:rPr>
        <w:t>: Unless explicitly stated as "gross," all return figures are net of:</w:t>
      </w:r>
    </w:p>
    <w:p w14:paraId="460C3122" w14:textId="77777777" w:rsidR="009A055E" w:rsidRPr="009A055E" w:rsidRDefault="00E974C3" w:rsidP="00E67B44">
      <w:pPr>
        <w:pStyle w:val="ListParagraph"/>
        <w:numPr>
          <w:ilvl w:val="1"/>
          <w:numId w:val="229"/>
        </w:numPr>
        <w:jc w:val="both"/>
        <w:rPr>
          <w:rStyle w:val="token"/>
          <w:color w:val="000000" w:themeColor="text1"/>
        </w:rPr>
      </w:pPr>
      <w:r w:rsidRPr="009A055E">
        <w:rPr>
          <w:color w:val="000000" w:themeColor="text1"/>
        </w:rPr>
        <w:lastRenderedPageBreak/>
        <w:t xml:space="preserve">Gas fees (primary operational cost) </w:t>
      </w:r>
    </w:p>
    <w:p w14:paraId="06C14962" w14:textId="77777777" w:rsidR="009A055E" w:rsidRPr="009A055E" w:rsidRDefault="00E974C3" w:rsidP="00E67B44">
      <w:pPr>
        <w:pStyle w:val="ListParagraph"/>
        <w:numPr>
          <w:ilvl w:val="1"/>
          <w:numId w:val="229"/>
        </w:numPr>
        <w:jc w:val="both"/>
        <w:rPr>
          <w:rStyle w:val="token"/>
          <w:color w:val="000000" w:themeColor="text1"/>
        </w:rPr>
      </w:pPr>
      <w:r w:rsidRPr="009A055E">
        <w:rPr>
          <w:color w:val="000000" w:themeColor="text1"/>
        </w:rPr>
        <w:t xml:space="preserve">Failed transaction costs </w:t>
      </w:r>
    </w:p>
    <w:p w14:paraId="7454A5AE" w14:textId="77777777" w:rsidR="009A055E" w:rsidRPr="009A055E" w:rsidRDefault="00E974C3" w:rsidP="00E67B44">
      <w:pPr>
        <w:pStyle w:val="ListParagraph"/>
        <w:numPr>
          <w:ilvl w:val="1"/>
          <w:numId w:val="229"/>
        </w:numPr>
        <w:jc w:val="both"/>
        <w:rPr>
          <w:rStyle w:val="token"/>
          <w:color w:val="000000" w:themeColor="text1"/>
        </w:rPr>
      </w:pPr>
      <w:r w:rsidRPr="009A055E">
        <w:rPr>
          <w:color w:val="000000" w:themeColor="text1"/>
        </w:rPr>
        <w:t xml:space="preserve">Impermanent loss for LP positions </w:t>
      </w:r>
    </w:p>
    <w:p w14:paraId="3D4D628C" w14:textId="77777777" w:rsidR="009A055E" w:rsidRPr="009A055E" w:rsidRDefault="00E974C3" w:rsidP="00E67B44">
      <w:pPr>
        <w:pStyle w:val="ListParagraph"/>
        <w:numPr>
          <w:ilvl w:val="1"/>
          <w:numId w:val="229"/>
        </w:numPr>
        <w:jc w:val="both"/>
        <w:rPr>
          <w:rStyle w:val="token"/>
          <w:color w:val="000000" w:themeColor="text1"/>
        </w:rPr>
      </w:pPr>
      <w:r w:rsidRPr="009A055E">
        <w:rPr>
          <w:color w:val="000000" w:themeColor="text1"/>
        </w:rPr>
        <w:t xml:space="preserve">Protocol fees (e.g., Lido's 10% for staking) </w:t>
      </w:r>
    </w:p>
    <w:p w14:paraId="0D01123D" w14:textId="0C4D793E" w:rsidR="00E974C3" w:rsidRPr="009A055E" w:rsidRDefault="00E974C3" w:rsidP="00E67B44">
      <w:pPr>
        <w:pStyle w:val="ListParagraph"/>
        <w:numPr>
          <w:ilvl w:val="1"/>
          <w:numId w:val="229"/>
        </w:numPr>
        <w:jc w:val="both"/>
        <w:rPr>
          <w:color w:val="000000" w:themeColor="text1"/>
        </w:rPr>
      </w:pPr>
      <w:r w:rsidRPr="009A055E">
        <w:rPr>
          <w:color w:val="000000" w:themeColor="text1"/>
        </w:rPr>
        <w:t xml:space="preserve">BUT NOT </w:t>
      </w:r>
      <w:r w:rsidR="009A055E" w:rsidRPr="009A055E">
        <w:rPr>
          <w:color w:val="000000" w:themeColor="text1"/>
        </w:rPr>
        <w:t>including</w:t>
      </w:r>
      <w:r w:rsidRPr="009A055E">
        <w:rPr>
          <w:color w:val="000000" w:themeColor="text1"/>
        </w:rPr>
        <w:t xml:space="preserve"> Time value (opportunity cost of labor) or tax implications.</w:t>
      </w:r>
    </w:p>
    <w:p w14:paraId="40E067B7" w14:textId="77777777" w:rsidR="009A055E" w:rsidRPr="009A055E" w:rsidRDefault="00E974C3" w:rsidP="00E67B44">
      <w:pPr>
        <w:pStyle w:val="ListParagraph"/>
        <w:numPr>
          <w:ilvl w:val="0"/>
          <w:numId w:val="229"/>
        </w:numPr>
        <w:jc w:val="both"/>
        <w:rPr>
          <w:rStyle w:val="token"/>
          <w:color w:val="000000" w:themeColor="text1"/>
        </w:rPr>
      </w:pPr>
      <w:r w:rsidRPr="009A055E">
        <w:rPr>
          <w:rStyle w:val="token"/>
          <w:b/>
          <w:bCs/>
          <w:color w:val="000000" w:themeColor="text1"/>
        </w:rPr>
        <w:t>Survivorship adjustment needed</w:t>
      </w:r>
      <w:r w:rsidRPr="009A055E">
        <w:rPr>
          <w:color w:val="000000" w:themeColor="text1"/>
        </w:rPr>
        <w:t xml:space="preserve">: The 7% median among surviving positions understates typical participant experience because: </w:t>
      </w:r>
    </w:p>
    <w:p w14:paraId="47E721B2" w14:textId="77777777" w:rsidR="009A055E" w:rsidRPr="009A055E" w:rsidRDefault="00E974C3" w:rsidP="00E67B44">
      <w:pPr>
        <w:pStyle w:val="ListParagraph"/>
        <w:numPr>
          <w:ilvl w:val="1"/>
          <w:numId w:val="229"/>
        </w:numPr>
        <w:jc w:val="both"/>
        <w:rPr>
          <w:rStyle w:val="token"/>
          <w:color w:val="000000" w:themeColor="text1"/>
        </w:rPr>
      </w:pPr>
      <w:r w:rsidRPr="009A055E">
        <w:rPr>
          <w:color w:val="000000" w:themeColor="text1"/>
        </w:rPr>
        <w:t xml:space="preserve">73% of all positions were unprofitable (median return ~-8%) </w:t>
      </w:r>
    </w:p>
    <w:p w14:paraId="5797044E" w14:textId="77777777" w:rsidR="009A055E" w:rsidRPr="009A055E" w:rsidRDefault="00E974C3" w:rsidP="00E67B44">
      <w:pPr>
        <w:pStyle w:val="ListParagraph"/>
        <w:numPr>
          <w:ilvl w:val="1"/>
          <w:numId w:val="229"/>
        </w:numPr>
        <w:jc w:val="both"/>
        <w:rPr>
          <w:color w:val="000000" w:themeColor="text1"/>
        </w:rPr>
      </w:pPr>
      <w:r w:rsidRPr="009A055E">
        <w:rPr>
          <w:color w:val="000000" w:themeColor="text1"/>
        </w:rPr>
        <w:t xml:space="preserve">Weighted average across all 156 positions: approximately </w:t>
      </w:r>
    </w:p>
    <w:p w14:paraId="0CE2863E" w14:textId="77777777" w:rsidR="009A055E" w:rsidRPr="009A055E" w:rsidRDefault="00E974C3" w:rsidP="00E67B44">
      <w:pPr>
        <w:pStyle w:val="ListParagraph"/>
        <w:numPr>
          <w:ilvl w:val="1"/>
          <w:numId w:val="229"/>
        </w:numPr>
        <w:jc w:val="both"/>
        <w:rPr>
          <w:rStyle w:val="token"/>
          <w:color w:val="000000" w:themeColor="text1"/>
        </w:rPr>
      </w:pPr>
      <w:r w:rsidRPr="009A055E">
        <w:rPr>
          <w:color w:val="000000" w:themeColor="text1"/>
        </w:rPr>
        <w:t xml:space="preserve">1.2% annually </w:t>
      </w:r>
    </w:p>
    <w:p w14:paraId="543E0A74" w14:textId="2BB654DE" w:rsidR="00E974C3" w:rsidRPr="009A055E" w:rsidRDefault="00E974C3" w:rsidP="00E67B44">
      <w:pPr>
        <w:pStyle w:val="ListParagraph"/>
        <w:numPr>
          <w:ilvl w:val="1"/>
          <w:numId w:val="229"/>
        </w:numPr>
        <w:jc w:val="both"/>
        <w:rPr>
          <w:color w:val="000000" w:themeColor="text1"/>
        </w:rPr>
      </w:pPr>
      <w:r w:rsidRPr="009A055E">
        <w:rPr>
          <w:color w:val="000000" w:themeColor="text1"/>
        </w:rPr>
        <w:t>This negative weighted average accounts for both magnitude and frequency of failures.</w:t>
      </w:r>
    </w:p>
    <w:p w14:paraId="2FBE4742" w14:textId="77777777" w:rsidR="00DB6415" w:rsidRDefault="00DB6415" w:rsidP="00E67B44">
      <w:pPr>
        <w:jc w:val="both"/>
      </w:pPr>
    </w:p>
    <w:p w14:paraId="24FCCEAF" w14:textId="1BA47E3F" w:rsidR="00671601" w:rsidRPr="000762E9" w:rsidRDefault="00671601" w:rsidP="00E67B44">
      <w:pPr>
        <w:jc w:val="both"/>
        <w:rPr>
          <w:rStyle w:val="token"/>
          <w:b/>
          <w:bCs/>
          <w:color w:val="000000" w:themeColor="text1"/>
        </w:rPr>
      </w:pPr>
      <w:r w:rsidRPr="000762E9">
        <w:rPr>
          <w:rStyle w:val="token"/>
          <w:b/>
          <w:bCs/>
          <w:color w:val="000000" w:themeColor="text1"/>
        </w:rPr>
        <w:t>Mathematical Reconciliation Example:</w:t>
      </w:r>
    </w:p>
    <w:p w14:paraId="07268082" w14:textId="115EF69C" w:rsidR="00671601" w:rsidRPr="000762E9" w:rsidRDefault="000762E9" w:rsidP="00E67B44">
      <w:pPr>
        <w:jc w:val="both"/>
        <w:rPr>
          <w:color w:val="000000" w:themeColor="text1"/>
        </w:rPr>
      </w:pPr>
      <w:r w:rsidRPr="000762E9">
        <w:rPr>
          <w:color w:val="000000" w:themeColor="text1"/>
        </w:rPr>
        <w:t>Example</w:t>
      </w:r>
      <w:r>
        <w:rPr>
          <w:color w:val="000000" w:themeColor="text1"/>
        </w:rPr>
        <w:t xml:space="preserve"> </w:t>
      </w:r>
      <w:r w:rsidRPr="000762E9">
        <w:rPr>
          <w:color w:val="000000" w:themeColor="text1"/>
        </w:rPr>
        <w:t xml:space="preserve">for </w:t>
      </w:r>
      <w:r w:rsidR="00671601" w:rsidRPr="000762E9">
        <w:rPr>
          <w:color w:val="000000" w:themeColor="text1"/>
        </w:rPr>
        <w:t xml:space="preserve">a $10,000 position in stablecoin LP on </w:t>
      </w:r>
      <w:proofErr w:type="spellStart"/>
      <w:r w:rsidR="00671601" w:rsidRPr="000762E9">
        <w:rPr>
          <w:color w:val="000000" w:themeColor="text1"/>
        </w:rPr>
        <w:t>Arbitrum</w:t>
      </w:r>
      <w:proofErr w:type="spellEnd"/>
      <w:r w:rsidR="00671601" w:rsidRPr="000762E9">
        <w:rPr>
          <w:color w:val="000000" w:themeColor="text1"/>
        </w:rPr>
        <w:t xml:space="preserve"> (L2): </w:t>
      </w:r>
    </w:p>
    <w:p w14:paraId="45952A81" w14:textId="1981B28F" w:rsidR="00671601" w:rsidRPr="000762E9" w:rsidRDefault="00671601" w:rsidP="00E67B44">
      <w:pPr>
        <w:pStyle w:val="ListParagraph"/>
        <w:numPr>
          <w:ilvl w:val="0"/>
          <w:numId w:val="172"/>
        </w:numPr>
        <w:jc w:val="both"/>
        <w:rPr>
          <w:color w:val="000000" w:themeColor="text1"/>
        </w:rPr>
      </w:pPr>
      <w:r w:rsidRPr="000762E9">
        <w:rPr>
          <w:color w:val="000000" w:themeColor="text1"/>
        </w:rPr>
        <w:t xml:space="preserve">Gross APY from fees: 6% = $600 annually </w:t>
      </w:r>
    </w:p>
    <w:p w14:paraId="53D5462F" w14:textId="1FABE594" w:rsidR="00671601" w:rsidRPr="000762E9" w:rsidRDefault="00671601" w:rsidP="00E67B44">
      <w:pPr>
        <w:pStyle w:val="ListParagraph"/>
        <w:numPr>
          <w:ilvl w:val="0"/>
          <w:numId w:val="172"/>
        </w:numPr>
        <w:jc w:val="both"/>
        <w:rPr>
          <w:rStyle w:val="token"/>
          <w:color w:val="000000" w:themeColor="text1"/>
        </w:rPr>
      </w:pPr>
      <w:r w:rsidRPr="000762E9">
        <w:rPr>
          <w:color w:val="000000" w:themeColor="text1"/>
        </w:rPr>
        <w:t xml:space="preserve">Gas costs (quarterly): $30 × 4 = $120 annually </w:t>
      </w:r>
    </w:p>
    <w:p w14:paraId="0C2201B2" w14:textId="087A605E" w:rsidR="00671601" w:rsidRPr="000762E9" w:rsidRDefault="00671601" w:rsidP="00E67B44">
      <w:pPr>
        <w:pStyle w:val="ListParagraph"/>
        <w:numPr>
          <w:ilvl w:val="0"/>
          <w:numId w:val="172"/>
        </w:numPr>
        <w:jc w:val="both"/>
        <w:rPr>
          <w:color w:val="000000" w:themeColor="text1"/>
        </w:rPr>
      </w:pPr>
      <w:r w:rsidRPr="000762E9">
        <w:rPr>
          <w:color w:val="000000" w:themeColor="text1"/>
        </w:rPr>
        <w:t xml:space="preserve">Failed transactions (23% rate): $28 annually </w:t>
      </w:r>
    </w:p>
    <w:p w14:paraId="546785FE" w14:textId="77777777" w:rsidR="00671601" w:rsidRPr="000762E9" w:rsidRDefault="00671601" w:rsidP="00E67B44">
      <w:pPr>
        <w:pStyle w:val="ListParagraph"/>
        <w:numPr>
          <w:ilvl w:val="0"/>
          <w:numId w:val="172"/>
        </w:numPr>
        <w:jc w:val="both"/>
        <w:rPr>
          <w:rStyle w:val="token"/>
          <w:color w:val="000000" w:themeColor="text1"/>
        </w:rPr>
      </w:pPr>
      <w:r w:rsidRPr="000762E9">
        <w:rPr>
          <w:color w:val="000000" w:themeColor="text1"/>
        </w:rPr>
        <w:t xml:space="preserve">Opportunity cost of time (17.5 </w:t>
      </w:r>
      <w:proofErr w:type="spellStart"/>
      <w:r w:rsidRPr="000762E9">
        <w:rPr>
          <w:color w:val="000000" w:themeColor="text1"/>
        </w:rPr>
        <w:t>hrs</w:t>
      </w:r>
      <w:proofErr w:type="spellEnd"/>
      <w:r w:rsidRPr="000762E9">
        <w:rPr>
          <w:color w:val="000000" w:themeColor="text1"/>
        </w:rPr>
        <w:t>/week × $20/</w:t>
      </w:r>
      <w:proofErr w:type="spellStart"/>
      <w:r w:rsidRPr="000762E9">
        <w:rPr>
          <w:color w:val="000000" w:themeColor="text1"/>
        </w:rPr>
        <w:t>hr</w:t>
      </w:r>
      <w:proofErr w:type="spellEnd"/>
      <w:r w:rsidRPr="000762E9">
        <w:rPr>
          <w:color w:val="000000" w:themeColor="text1"/>
        </w:rPr>
        <w:t>): $18,200 (not included in reported returns)</w:t>
      </w:r>
    </w:p>
    <w:p w14:paraId="6393660C" w14:textId="41224590" w:rsidR="00671601" w:rsidRPr="000762E9" w:rsidRDefault="00671601" w:rsidP="00E67B44">
      <w:pPr>
        <w:pStyle w:val="ListParagraph"/>
        <w:numPr>
          <w:ilvl w:val="0"/>
          <w:numId w:val="172"/>
        </w:numPr>
        <w:jc w:val="both"/>
        <w:rPr>
          <w:color w:val="000000" w:themeColor="text1"/>
        </w:rPr>
      </w:pPr>
      <w:r w:rsidRPr="00F116B2">
        <w:rPr>
          <w:rStyle w:val="token"/>
          <w:color w:val="000000" w:themeColor="text1"/>
        </w:rPr>
        <w:t>Net return (cash basis): $452 = 4.5% APY</w:t>
      </w:r>
      <w:r w:rsidRPr="000762E9">
        <w:rPr>
          <w:color w:val="000000" w:themeColor="text1"/>
        </w:rPr>
        <w:t xml:space="preserve"> </w:t>
      </w:r>
      <w:r w:rsidRPr="000762E9">
        <w:rPr>
          <w:rFonts w:ascii="Segoe UI Symbol" w:hAnsi="Segoe UI Symbol" w:cs="Segoe UI Symbol"/>
          <w:color w:val="000000" w:themeColor="text1"/>
        </w:rPr>
        <w:t>✓</w:t>
      </w:r>
      <w:r w:rsidRPr="000762E9">
        <w:rPr>
          <w:color w:val="000000" w:themeColor="text1"/>
        </w:rPr>
        <w:t xml:space="preserve"> Falls within 4-8% </w:t>
      </w:r>
      <w:proofErr w:type="gramStart"/>
      <w:r w:rsidRPr="000762E9">
        <w:rPr>
          <w:color w:val="000000" w:themeColor="text1"/>
        </w:rPr>
        <w:t>stablecoin</w:t>
      </w:r>
      <w:proofErr w:type="gramEnd"/>
      <w:r w:rsidRPr="000762E9">
        <w:rPr>
          <w:color w:val="000000" w:themeColor="text1"/>
        </w:rPr>
        <w:t xml:space="preserve"> range</w:t>
      </w:r>
    </w:p>
    <w:p w14:paraId="56CF0EFA" w14:textId="353DB805" w:rsidR="00671601" w:rsidRPr="000762E9" w:rsidRDefault="00671601" w:rsidP="00E67B44">
      <w:pPr>
        <w:pStyle w:val="ListParagraph"/>
        <w:numPr>
          <w:ilvl w:val="0"/>
          <w:numId w:val="172"/>
        </w:numPr>
        <w:jc w:val="both"/>
        <w:rPr>
          <w:b/>
          <w:bCs/>
          <w:color w:val="000000" w:themeColor="text1"/>
        </w:rPr>
      </w:pPr>
      <w:r w:rsidRPr="00F116B2">
        <w:rPr>
          <w:rStyle w:val="token"/>
          <w:color w:val="000000" w:themeColor="text1"/>
        </w:rPr>
        <w:t>Net return (including time): -$17,748 = -177% APY</w:t>
      </w:r>
      <w:r w:rsidRPr="000762E9">
        <w:rPr>
          <w:color w:val="000000" w:themeColor="text1"/>
        </w:rPr>
        <w:t xml:space="preserve"> (Why most participants conclude DeFi is not viable)</w:t>
      </w:r>
    </w:p>
    <w:p w14:paraId="630466C4" w14:textId="77777777" w:rsidR="00DB6415" w:rsidRPr="0066162E" w:rsidRDefault="00DB6415" w:rsidP="00E67B44">
      <w:pPr>
        <w:jc w:val="both"/>
        <w:rPr>
          <w:color w:val="EE0000"/>
        </w:rPr>
      </w:pPr>
    </w:p>
    <w:p w14:paraId="6EF6A4B2" w14:textId="6B1761A4" w:rsidR="00C85514" w:rsidRPr="000762E9" w:rsidRDefault="00C85514" w:rsidP="00E67B44">
      <w:pPr>
        <w:jc w:val="both"/>
        <w:rPr>
          <w:rStyle w:val="token"/>
          <w:b/>
          <w:bCs/>
          <w:color w:val="000000" w:themeColor="text1"/>
        </w:rPr>
      </w:pPr>
      <w:r w:rsidRPr="000762E9">
        <w:rPr>
          <w:rStyle w:val="token"/>
          <w:b/>
          <w:bCs/>
          <w:color w:val="000000" w:themeColor="text1"/>
        </w:rPr>
        <w:t>Why Returns Appear to Conflict:</w:t>
      </w:r>
    </w:p>
    <w:p w14:paraId="4275FC02" w14:textId="77777777" w:rsidR="00C85514" w:rsidRPr="000762E9" w:rsidRDefault="00C85514" w:rsidP="00E67B44">
      <w:pPr>
        <w:jc w:val="both"/>
        <w:rPr>
          <w:color w:val="000000" w:themeColor="text1"/>
        </w:rPr>
      </w:pPr>
      <w:r w:rsidRPr="000762E9">
        <w:rPr>
          <w:color w:val="000000" w:themeColor="text1"/>
        </w:rPr>
        <w:t xml:space="preserve">The apparent conflicts arise because different sections analyze: </w:t>
      </w:r>
    </w:p>
    <w:p w14:paraId="32755CBE" w14:textId="1B9903B8" w:rsidR="00C85514" w:rsidRPr="000762E9" w:rsidRDefault="00C85514" w:rsidP="00E67B44">
      <w:pPr>
        <w:pStyle w:val="ListParagraph"/>
        <w:numPr>
          <w:ilvl w:val="0"/>
          <w:numId w:val="173"/>
        </w:numPr>
        <w:jc w:val="both"/>
        <w:rPr>
          <w:color w:val="000000" w:themeColor="text1"/>
        </w:rPr>
      </w:pPr>
      <w:r w:rsidRPr="000762E9">
        <w:rPr>
          <w:color w:val="000000" w:themeColor="text1"/>
        </w:rPr>
        <w:t xml:space="preserve">Different subsets (strategies, capital levels, time periods) </w:t>
      </w:r>
    </w:p>
    <w:p w14:paraId="00D00896" w14:textId="1B79BB0A" w:rsidR="00C85514" w:rsidRPr="000762E9" w:rsidRDefault="00C85514" w:rsidP="00E67B44">
      <w:pPr>
        <w:pStyle w:val="ListParagraph"/>
        <w:numPr>
          <w:ilvl w:val="0"/>
          <w:numId w:val="173"/>
        </w:numPr>
        <w:jc w:val="both"/>
        <w:rPr>
          <w:color w:val="000000" w:themeColor="text1"/>
        </w:rPr>
      </w:pPr>
      <w:r w:rsidRPr="000762E9">
        <w:rPr>
          <w:color w:val="000000" w:themeColor="text1"/>
        </w:rPr>
        <w:t xml:space="preserve">Different definitions (cash returns vs. including time) </w:t>
      </w:r>
    </w:p>
    <w:p w14:paraId="5DC680B8" w14:textId="4DF8F4FD" w:rsidR="00C85514" w:rsidRPr="000762E9" w:rsidRDefault="00C85514" w:rsidP="00E67B44">
      <w:pPr>
        <w:pStyle w:val="ListParagraph"/>
        <w:numPr>
          <w:ilvl w:val="0"/>
          <w:numId w:val="173"/>
        </w:numPr>
        <w:jc w:val="both"/>
        <w:rPr>
          <w:color w:val="000000" w:themeColor="text1"/>
        </w:rPr>
      </w:pPr>
      <w:r w:rsidRPr="000762E9">
        <w:rPr>
          <w:color w:val="000000" w:themeColor="text1"/>
        </w:rPr>
        <w:t xml:space="preserve">Different survivor adjustments (including vs. excluding failures) </w:t>
      </w:r>
    </w:p>
    <w:p w14:paraId="62182A0D" w14:textId="65175308" w:rsidR="00C85514" w:rsidRPr="000762E9" w:rsidRDefault="00C85514" w:rsidP="00E67B44">
      <w:pPr>
        <w:pStyle w:val="ListParagraph"/>
        <w:numPr>
          <w:ilvl w:val="0"/>
          <w:numId w:val="173"/>
        </w:numPr>
        <w:jc w:val="both"/>
        <w:rPr>
          <w:color w:val="000000" w:themeColor="text1"/>
        </w:rPr>
      </w:pPr>
      <w:r w:rsidRPr="000762E9">
        <w:rPr>
          <w:color w:val="000000" w:themeColor="text1"/>
        </w:rPr>
        <w:t>Different temporal periods (quarterly vs. annual)</w:t>
      </w:r>
    </w:p>
    <w:p w14:paraId="56747D13" w14:textId="77777777" w:rsidR="00C85514" w:rsidRPr="000762E9" w:rsidRDefault="00C85514" w:rsidP="00E67B44">
      <w:pPr>
        <w:jc w:val="both"/>
        <w:rPr>
          <w:color w:val="000000" w:themeColor="text1"/>
        </w:rPr>
      </w:pPr>
    </w:p>
    <w:p w14:paraId="326FFE18" w14:textId="5615F8CC" w:rsidR="00436915" w:rsidRPr="000762E9" w:rsidRDefault="00436915" w:rsidP="00E67B44">
      <w:pPr>
        <w:jc w:val="both"/>
        <w:rPr>
          <w:color w:val="000000" w:themeColor="text1"/>
        </w:rPr>
      </w:pPr>
      <w:r w:rsidRPr="000762E9">
        <w:rPr>
          <w:color w:val="000000" w:themeColor="text1"/>
        </w:rPr>
        <w:t xml:space="preserve">This reconciliation table </w:t>
      </w:r>
      <w:r w:rsidR="000762E9">
        <w:rPr>
          <w:color w:val="000000" w:themeColor="text1"/>
        </w:rPr>
        <w:t xml:space="preserve">below </w:t>
      </w:r>
      <w:r w:rsidRPr="000762E9">
        <w:rPr>
          <w:color w:val="000000" w:themeColor="text1"/>
        </w:rPr>
        <w:t xml:space="preserve">should be referenced when comparing return figures across </w:t>
      </w:r>
      <w:r w:rsidR="000762E9">
        <w:rPr>
          <w:color w:val="000000" w:themeColor="text1"/>
        </w:rPr>
        <w:t xml:space="preserve">the various </w:t>
      </w:r>
      <w:r w:rsidRPr="000762E9">
        <w:rPr>
          <w:color w:val="000000" w:themeColor="text1"/>
        </w:rPr>
        <w:t>chapters</w:t>
      </w:r>
      <w:r w:rsidR="000762E9">
        <w:rPr>
          <w:color w:val="000000" w:themeColor="text1"/>
        </w:rPr>
        <w:t xml:space="preserve"> in this study</w:t>
      </w:r>
      <w:r w:rsidRPr="000762E9">
        <w:rPr>
          <w:color w:val="000000" w:themeColor="text1"/>
        </w:rPr>
        <w:t>.</w:t>
      </w:r>
    </w:p>
    <w:p w14:paraId="1662776D" w14:textId="77777777" w:rsidR="00436915" w:rsidRPr="00DB6415" w:rsidRDefault="00436915" w:rsidP="00E67B44">
      <w:pPr>
        <w:jc w:val="both"/>
      </w:pPr>
    </w:p>
    <w:p w14:paraId="384285C2" w14:textId="2C236D2C" w:rsidR="00F94080" w:rsidRPr="00DD129E" w:rsidRDefault="0052156D" w:rsidP="00E67B44">
      <w:pPr>
        <w:pStyle w:val="Heading3"/>
        <w:rPr>
          <w:rFonts w:eastAsiaTheme="majorEastAsia"/>
        </w:rPr>
      </w:pPr>
      <w:bookmarkStart w:id="12" w:name="_Toc214721818"/>
      <w:r w:rsidRPr="00E33D19">
        <w:t>Tables</w:t>
      </w:r>
      <w:r w:rsidR="00E33D19" w:rsidRPr="00E33D19">
        <w:t xml:space="preserve">: </w:t>
      </w:r>
      <w:proofErr w:type="gramStart"/>
      <w:r w:rsidR="00AB003E" w:rsidRPr="00E33D19">
        <w:t>Empirically-Derived</w:t>
      </w:r>
      <w:proofErr w:type="gramEnd"/>
      <w:r w:rsidR="00AB003E" w:rsidRPr="00E33D19">
        <w:t xml:space="preserve"> Framework for DeFi Participation</w:t>
      </w:r>
      <w:bookmarkEnd w:id="12"/>
      <w:r w:rsidR="00AB003E" w:rsidRPr="00E33D19">
        <w:t xml:space="preserve"> </w:t>
      </w:r>
    </w:p>
    <w:p w14:paraId="3F5F31D8" w14:textId="77777777" w:rsidR="00C60601" w:rsidRPr="003C66A0" w:rsidRDefault="00C60601" w:rsidP="00E67B44">
      <w:pPr>
        <w:jc w:val="both"/>
        <w:rPr>
          <w:rFonts w:eastAsiaTheme="majorEastAsia"/>
          <w:b/>
          <w:bCs/>
          <w:color w:val="000000" w:themeColor="text1"/>
        </w:rPr>
      </w:pPr>
    </w:p>
    <w:p w14:paraId="1463F934" w14:textId="23F6842D" w:rsidR="00CB374D" w:rsidRPr="000762E9" w:rsidRDefault="00C60601" w:rsidP="00E67B44">
      <w:pPr>
        <w:jc w:val="both"/>
        <w:rPr>
          <w:rFonts w:eastAsiaTheme="majorEastAsia"/>
          <w:color w:val="000000" w:themeColor="text1"/>
        </w:rPr>
      </w:pPr>
      <w:r w:rsidRPr="003C66A0">
        <w:rPr>
          <w:rFonts w:eastAsiaTheme="majorEastAsia"/>
          <w:color w:val="000000" w:themeColor="text1"/>
        </w:rPr>
        <w:t xml:space="preserve">Note for all tables: All thresholds and percentages are estimates based on 2020-2024 market conditions and should be interpreted as order-of-magnitude guidance rather than precise requirements. Actual results will vary based on market conditions, individual execution, and factors not captured in </w:t>
      </w:r>
      <w:r w:rsidR="00231D5B" w:rsidRPr="003C66A0">
        <w:rPr>
          <w:rFonts w:eastAsiaTheme="majorEastAsia"/>
          <w:color w:val="000000" w:themeColor="text1"/>
        </w:rPr>
        <w:t xml:space="preserve">my </w:t>
      </w:r>
      <w:r w:rsidRPr="003C66A0">
        <w:rPr>
          <w:rFonts w:eastAsiaTheme="majorEastAsia"/>
          <w:color w:val="000000" w:themeColor="text1"/>
        </w:rPr>
        <w:t>analysis.</w:t>
      </w:r>
    </w:p>
    <w:p w14:paraId="4E14AF07" w14:textId="77777777" w:rsidR="00A80D43" w:rsidRPr="003C66A0" w:rsidRDefault="00A80D43" w:rsidP="00E67B44">
      <w:pPr>
        <w:jc w:val="both"/>
        <w:rPr>
          <w:rFonts w:eastAsiaTheme="majorEastAsia"/>
          <w:b/>
          <w:bCs/>
          <w:color w:val="000000" w:themeColor="text1"/>
        </w:rPr>
      </w:pPr>
    </w:p>
    <w:p w14:paraId="6B123479" w14:textId="245D8F96" w:rsidR="00F94080" w:rsidRPr="00AD4255" w:rsidRDefault="00F94080" w:rsidP="00E67B44">
      <w:pPr>
        <w:pStyle w:val="Heading4"/>
      </w:pPr>
      <w:r w:rsidRPr="00AD4255">
        <w:t xml:space="preserve">Table </w:t>
      </w:r>
      <w:r w:rsidR="00C5607F">
        <w:t>1.</w:t>
      </w:r>
      <w:r w:rsidRPr="00AD4255">
        <w:t>A: Minimum Viable Position Sizes by Network</w:t>
      </w:r>
    </w:p>
    <w:p w14:paraId="1140AE1B" w14:textId="77777777" w:rsidR="002F4531" w:rsidRPr="002F4531" w:rsidRDefault="002F4531" w:rsidP="00E67B44">
      <w:pPr>
        <w:rPr>
          <w:rFonts w:eastAsiaTheme="majorEastAsia"/>
        </w:rPr>
      </w:pPr>
    </w:p>
    <w:tbl>
      <w:tblPr>
        <w:tblW w:w="9276" w:type="dxa"/>
        <w:tblLook w:val="04A0" w:firstRow="1" w:lastRow="0" w:firstColumn="1" w:lastColumn="0" w:noHBand="0" w:noVBand="1"/>
      </w:tblPr>
      <w:tblGrid>
        <w:gridCol w:w="3280"/>
        <w:gridCol w:w="1616"/>
        <w:gridCol w:w="1420"/>
        <w:gridCol w:w="1360"/>
        <w:gridCol w:w="1600"/>
      </w:tblGrid>
      <w:tr w:rsidR="00FC334A" w:rsidRPr="003C66A0" w14:paraId="6B44FE12" w14:textId="77777777" w:rsidTr="00C0327D">
        <w:trPr>
          <w:trHeight w:val="700"/>
        </w:trPr>
        <w:tc>
          <w:tcPr>
            <w:tcW w:w="328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14:paraId="75A0BE91" w14:textId="77777777" w:rsidR="0052156D" w:rsidRPr="003C66A0" w:rsidRDefault="0052156D" w:rsidP="00E67B44">
            <w:pPr>
              <w:rPr>
                <w:b/>
                <w:bCs/>
                <w:color w:val="000000" w:themeColor="text1"/>
              </w:rPr>
            </w:pPr>
            <w:r w:rsidRPr="003C66A0">
              <w:rPr>
                <w:b/>
                <w:bCs/>
                <w:color w:val="000000" w:themeColor="text1"/>
              </w:rPr>
              <w:t>Network</w:t>
            </w:r>
          </w:p>
        </w:tc>
        <w:tc>
          <w:tcPr>
            <w:tcW w:w="1616" w:type="dxa"/>
            <w:tcBorders>
              <w:top w:val="single" w:sz="8" w:space="0" w:color="auto"/>
              <w:left w:val="nil"/>
              <w:bottom w:val="single" w:sz="8" w:space="0" w:color="auto"/>
              <w:right w:val="single" w:sz="4" w:space="0" w:color="auto"/>
            </w:tcBorders>
            <w:shd w:val="clear" w:color="000000" w:fill="D9D9D9"/>
            <w:vAlign w:val="bottom"/>
            <w:hideMark/>
          </w:tcPr>
          <w:p w14:paraId="32BBBFE8" w14:textId="77777777" w:rsidR="0052156D" w:rsidRPr="003C66A0" w:rsidRDefault="0052156D" w:rsidP="00E67B44">
            <w:pPr>
              <w:rPr>
                <w:b/>
                <w:bCs/>
                <w:color w:val="000000" w:themeColor="text1"/>
              </w:rPr>
            </w:pPr>
            <w:r w:rsidRPr="003C66A0">
              <w:rPr>
                <w:b/>
                <w:bCs/>
                <w:color w:val="000000" w:themeColor="text1"/>
              </w:rPr>
              <w:t xml:space="preserve">Concentrated </w:t>
            </w:r>
            <w:r w:rsidRPr="003C66A0">
              <w:rPr>
                <w:b/>
                <w:bCs/>
                <w:color w:val="000000" w:themeColor="text1"/>
              </w:rPr>
              <w:br/>
              <w:t>Liquidity</w:t>
            </w:r>
          </w:p>
        </w:tc>
        <w:tc>
          <w:tcPr>
            <w:tcW w:w="1420" w:type="dxa"/>
            <w:tcBorders>
              <w:top w:val="single" w:sz="8" w:space="0" w:color="auto"/>
              <w:left w:val="nil"/>
              <w:bottom w:val="single" w:sz="8" w:space="0" w:color="auto"/>
              <w:right w:val="single" w:sz="4" w:space="0" w:color="auto"/>
            </w:tcBorders>
            <w:shd w:val="clear" w:color="000000" w:fill="D9D9D9"/>
            <w:vAlign w:val="bottom"/>
            <w:hideMark/>
          </w:tcPr>
          <w:p w14:paraId="67BDEB3D" w14:textId="77777777" w:rsidR="0052156D" w:rsidRPr="003C66A0" w:rsidRDefault="0052156D" w:rsidP="00E67B44">
            <w:pPr>
              <w:rPr>
                <w:b/>
                <w:bCs/>
                <w:color w:val="000000" w:themeColor="text1"/>
              </w:rPr>
            </w:pPr>
            <w:r w:rsidRPr="003C66A0">
              <w:rPr>
                <w:b/>
                <w:bCs/>
                <w:color w:val="000000" w:themeColor="text1"/>
              </w:rPr>
              <w:t xml:space="preserve">Wide-Range </w:t>
            </w:r>
            <w:r w:rsidRPr="003C66A0">
              <w:rPr>
                <w:b/>
                <w:bCs/>
                <w:color w:val="000000" w:themeColor="text1"/>
              </w:rPr>
              <w:br/>
              <w:t>Liquidity</w:t>
            </w:r>
          </w:p>
        </w:tc>
        <w:tc>
          <w:tcPr>
            <w:tcW w:w="1360" w:type="dxa"/>
            <w:tcBorders>
              <w:top w:val="single" w:sz="8" w:space="0" w:color="auto"/>
              <w:left w:val="nil"/>
              <w:bottom w:val="single" w:sz="8" w:space="0" w:color="auto"/>
              <w:right w:val="single" w:sz="4" w:space="0" w:color="auto"/>
            </w:tcBorders>
            <w:shd w:val="clear" w:color="000000" w:fill="D9D9D9"/>
            <w:vAlign w:val="bottom"/>
            <w:hideMark/>
          </w:tcPr>
          <w:p w14:paraId="7BF679B2" w14:textId="77777777" w:rsidR="0052156D" w:rsidRPr="003C66A0" w:rsidRDefault="0052156D" w:rsidP="00E67B44">
            <w:pPr>
              <w:rPr>
                <w:b/>
                <w:bCs/>
                <w:color w:val="000000" w:themeColor="text1"/>
              </w:rPr>
            </w:pPr>
            <w:r w:rsidRPr="003C66A0">
              <w:rPr>
                <w:b/>
                <w:bCs/>
                <w:color w:val="000000" w:themeColor="text1"/>
              </w:rPr>
              <w:t xml:space="preserve">Break-Even </w:t>
            </w:r>
            <w:r w:rsidRPr="003C66A0">
              <w:rPr>
                <w:b/>
                <w:bCs/>
                <w:color w:val="000000" w:themeColor="text1"/>
              </w:rPr>
              <w:br/>
              <w:t>Point</w:t>
            </w:r>
          </w:p>
        </w:tc>
        <w:tc>
          <w:tcPr>
            <w:tcW w:w="1600" w:type="dxa"/>
            <w:tcBorders>
              <w:top w:val="single" w:sz="8" w:space="0" w:color="auto"/>
              <w:left w:val="nil"/>
              <w:bottom w:val="single" w:sz="8" w:space="0" w:color="auto"/>
              <w:right w:val="single" w:sz="8" w:space="0" w:color="auto"/>
            </w:tcBorders>
            <w:shd w:val="clear" w:color="000000" w:fill="D9D9D9"/>
            <w:vAlign w:val="bottom"/>
            <w:hideMark/>
          </w:tcPr>
          <w:p w14:paraId="39A78924" w14:textId="77777777" w:rsidR="0052156D" w:rsidRPr="003C66A0" w:rsidRDefault="0052156D" w:rsidP="00E67B44">
            <w:pPr>
              <w:rPr>
                <w:b/>
                <w:bCs/>
                <w:color w:val="000000" w:themeColor="text1"/>
              </w:rPr>
            </w:pPr>
            <w:r w:rsidRPr="003C66A0">
              <w:rPr>
                <w:b/>
                <w:bCs/>
                <w:color w:val="000000" w:themeColor="text1"/>
              </w:rPr>
              <w:t xml:space="preserve">Gas Efficiency </w:t>
            </w:r>
            <w:r w:rsidRPr="003C66A0">
              <w:rPr>
                <w:b/>
                <w:bCs/>
                <w:color w:val="000000" w:themeColor="text1"/>
              </w:rPr>
              <w:br/>
              <w:t>Threshold</w:t>
            </w:r>
          </w:p>
        </w:tc>
      </w:tr>
      <w:tr w:rsidR="00FC334A" w:rsidRPr="003C66A0" w14:paraId="6210A214" w14:textId="77777777" w:rsidTr="00C0327D">
        <w:trPr>
          <w:trHeight w:val="320"/>
        </w:trPr>
        <w:tc>
          <w:tcPr>
            <w:tcW w:w="3280" w:type="dxa"/>
            <w:tcBorders>
              <w:top w:val="nil"/>
              <w:left w:val="single" w:sz="8" w:space="0" w:color="auto"/>
              <w:bottom w:val="single" w:sz="4" w:space="0" w:color="auto"/>
              <w:right w:val="single" w:sz="8" w:space="0" w:color="auto"/>
            </w:tcBorders>
            <w:shd w:val="clear" w:color="000000" w:fill="D9D9D9"/>
            <w:noWrap/>
            <w:vAlign w:val="bottom"/>
            <w:hideMark/>
          </w:tcPr>
          <w:p w14:paraId="50D3EA21" w14:textId="77777777" w:rsidR="0052156D" w:rsidRPr="003C66A0" w:rsidRDefault="0052156D" w:rsidP="00E67B44">
            <w:pPr>
              <w:rPr>
                <w:b/>
                <w:bCs/>
                <w:color w:val="000000" w:themeColor="text1"/>
              </w:rPr>
            </w:pPr>
            <w:r w:rsidRPr="003C66A0">
              <w:rPr>
                <w:b/>
                <w:bCs/>
                <w:color w:val="000000" w:themeColor="text1"/>
              </w:rPr>
              <w:t xml:space="preserve">Ethereum </w:t>
            </w:r>
            <w:proofErr w:type="spellStart"/>
            <w:r w:rsidRPr="003C66A0">
              <w:rPr>
                <w:b/>
                <w:bCs/>
                <w:color w:val="000000" w:themeColor="text1"/>
              </w:rPr>
              <w:t>Mainnet</w:t>
            </w:r>
            <w:proofErr w:type="spellEnd"/>
          </w:p>
        </w:tc>
        <w:tc>
          <w:tcPr>
            <w:tcW w:w="1616" w:type="dxa"/>
            <w:tcBorders>
              <w:top w:val="nil"/>
              <w:left w:val="nil"/>
              <w:bottom w:val="single" w:sz="4" w:space="0" w:color="auto"/>
              <w:right w:val="single" w:sz="4" w:space="0" w:color="auto"/>
            </w:tcBorders>
            <w:noWrap/>
            <w:vAlign w:val="bottom"/>
            <w:hideMark/>
          </w:tcPr>
          <w:p w14:paraId="6CC9DBE9" w14:textId="77777777" w:rsidR="0052156D" w:rsidRPr="003C66A0" w:rsidRDefault="0052156D" w:rsidP="00E67B44">
            <w:pPr>
              <w:jc w:val="right"/>
              <w:rPr>
                <w:color w:val="000000" w:themeColor="text1"/>
              </w:rPr>
            </w:pPr>
            <w:r w:rsidRPr="003C66A0">
              <w:rPr>
                <w:color w:val="000000" w:themeColor="text1"/>
              </w:rPr>
              <w:t xml:space="preserve">$31,000 </w:t>
            </w:r>
          </w:p>
        </w:tc>
        <w:tc>
          <w:tcPr>
            <w:tcW w:w="1420" w:type="dxa"/>
            <w:tcBorders>
              <w:top w:val="nil"/>
              <w:left w:val="nil"/>
              <w:bottom w:val="single" w:sz="4" w:space="0" w:color="auto"/>
              <w:right w:val="single" w:sz="4" w:space="0" w:color="auto"/>
            </w:tcBorders>
            <w:noWrap/>
            <w:vAlign w:val="bottom"/>
            <w:hideMark/>
          </w:tcPr>
          <w:p w14:paraId="17067761" w14:textId="77777777" w:rsidR="0052156D" w:rsidRPr="003C66A0" w:rsidRDefault="0052156D" w:rsidP="00E67B44">
            <w:pPr>
              <w:jc w:val="right"/>
              <w:rPr>
                <w:color w:val="000000" w:themeColor="text1"/>
              </w:rPr>
            </w:pPr>
            <w:r w:rsidRPr="003C66A0">
              <w:rPr>
                <w:color w:val="000000" w:themeColor="text1"/>
              </w:rPr>
              <w:t xml:space="preserve">$18,000 </w:t>
            </w:r>
          </w:p>
        </w:tc>
        <w:tc>
          <w:tcPr>
            <w:tcW w:w="1360" w:type="dxa"/>
            <w:tcBorders>
              <w:top w:val="nil"/>
              <w:left w:val="nil"/>
              <w:bottom w:val="single" w:sz="4" w:space="0" w:color="auto"/>
              <w:right w:val="single" w:sz="4" w:space="0" w:color="auto"/>
            </w:tcBorders>
            <w:noWrap/>
            <w:vAlign w:val="bottom"/>
            <w:hideMark/>
          </w:tcPr>
          <w:p w14:paraId="6E1E6FEB" w14:textId="77777777" w:rsidR="0052156D" w:rsidRPr="003C66A0" w:rsidRDefault="0052156D" w:rsidP="00E67B44">
            <w:pPr>
              <w:jc w:val="right"/>
              <w:rPr>
                <w:color w:val="000000" w:themeColor="text1"/>
              </w:rPr>
            </w:pPr>
            <w:r w:rsidRPr="003C66A0">
              <w:rPr>
                <w:color w:val="000000" w:themeColor="text1"/>
              </w:rPr>
              <w:t xml:space="preserve">$25,000 </w:t>
            </w:r>
          </w:p>
        </w:tc>
        <w:tc>
          <w:tcPr>
            <w:tcW w:w="1600" w:type="dxa"/>
            <w:tcBorders>
              <w:top w:val="nil"/>
              <w:left w:val="nil"/>
              <w:bottom w:val="single" w:sz="4" w:space="0" w:color="auto"/>
              <w:right w:val="single" w:sz="8" w:space="0" w:color="auto"/>
            </w:tcBorders>
            <w:noWrap/>
            <w:vAlign w:val="bottom"/>
            <w:hideMark/>
          </w:tcPr>
          <w:p w14:paraId="20B8869B" w14:textId="77777777" w:rsidR="0052156D" w:rsidRPr="003C66A0" w:rsidRDefault="0052156D" w:rsidP="00E67B44">
            <w:pPr>
              <w:rPr>
                <w:color w:val="000000" w:themeColor="text1"/>
              </w:rPr>
            </w:pPr>
            <w:r w:rsidRPr="003C66A0">
              <w:rPr>
                <w:color w:val="000000" w:themeColor="text1"/>
              </w:rPr>
              <w:t>$75,000+</w:t>
            </w:r>
          </w:p>
        </w:tc>
      </w:tr>
      <w:tr w:rsidR="00FC334A" w:rsidRPr="003C66A0" w14:paraId="3C419BD9" w14:textId="77777777" w:rsidTr="00C0327D">
        <w:trPr>
          <w:trHeight w:val="320"/>
        </w:trPr>
        <w:tc>
          <w:tcPr>
            <w:tcW w:w="3280" w:type="dxa"/>
            <w:tcBorders>
              <w:top w:val="nil"/>
              <w:left w:val="single" w:sz="8" w:space="0" w:color="auto"/>
              <w:bottom w:val="single" w:sz="4" w:space="0" w:color="auto"/>
              <w:right w:val="single" w:sz="8" w:space="0" w:color="auto"/>
            </w:tcBorders>
            <w:shd w:val="clear" w:color="000000" w:fill="D9D9D9"/>
            <w:noWrap/>
            <w:vAlign w:val="bottom"/>
            <w:hideMark/>
          </w:tcPr>
          <w:p w14:paraId="3326B4D4" w14:textId="12399792" w:rsidR="0052156D" w:rsidRPr="003C66A0" w:rsidRDefault="00281A1E" w:rsidP="00E67B44">
            <w:pPr>
              <w:rPr>
                <w:b/>
                <w:bCs/>
                <w:color w:val="000000" w:themeColor="text1"/>
              </w:rPr>
            </w:pPr>
            <w:r w:rsidRPr="003C66A0">
              <w:rPr>
                <w:b/>
                <w:bCs/>
                <w:color w:val="000000" w:themeColor="text1"/>
              </w:rPr>
              <w:lastRenderedPageBreak/>
              <w:t>L2</w:t>
            </w:r>
            <w:r w:rsidR="0052156D" w:rsidRPr="003C66A0">
              <w:rPr>
                <w:b/>
                <w:bCs/>
                <w:color w:val="000000" w:themeColor="text1"/>
              </w:rPr>
              <w:t xml:space="preserve"> (</w:t>
            </w:r>
            <w:proofErr w:type="spellStart"/>
            <w:r w:rsidR="0052156D" w:rsidRPr="003C66A0">
              <w:rPr>
                <w:b/>
                <w:bCs/>
                <w:color w:val="000000" w:themeColor="text1"/>
              </w:rPr>
              <w:t>Arbitrum</w:t>
            </w:r>
            <w:proofErr w:type="spellEnd"/>
            <w:r w:rsidR="0052156D" w:rsidRPr="003C66A0">
              <w:rPr>
                <w:b/>
                <w:bCs/>
                <w:color w:val="000000" w:themeColor="text1"/>
              </w:rPr>
              <w:t>/Optimism)</w:t>
            </w:r>
          </w:p>
        </w:tc>
        <w:tc>
          <w:tcPr>
            <w:tcW w:w="1616" w:type="dxa"/>
            <w:tcBorders>
              <w:top w:val="nil"/>
              <w:left w:val="nil"/>
              <w:bottom w:val="single" w:sz="4" w:space="0" w:color="auto"/>
              <w:right w:val="single" w:sz="4" w:space="0" w:color="auto"/>
            </w:tcBorders>
            <w:noWrap/>
            <w:vAlign w:val="bottom"/>
            <w:hideMark/>
          </w:tcPr>
          <w:p w14:paraId="6EF40181" w14:textId="77777777" w:rsidR="0052156D" w:rsidRPr="003C66A0" w:rsidRDefault="0052156D" w:rsidP="00E67B44">
            <w:pPr>
              <w:jc w:val="right"/>
              <w:rPr>
                <w:color w:val="000000" w:themeColor="text1"/>
              </w:rPr>
            </w:pPr>
            <w:r w:rsidRPr="003C66A0">
              <w:rPr>
                <w:color w:val="000000" w:themeColor="text1"/>
              </w:rPr>
              <w:t xml:space="preserve">$3,800 </w:t>
            </w:r>
          </w:p>
        </w:tc>
        <w:tc>
          <w:tcPr>
            <w:tcW w:w="1420" w:type="dxa"/>
            <w:tcBorders>
              <w:top w:val="nil"/>
              <w:left w:val="nil"/>
              <w:bottom w:val="single" w:sz="4" w:space="0" w:color="auto"/>
              <w:right w:val="single" w:sz="4" w:space="0" w:color="auto"/>
            </w:tcBorders>
            <w:noWrap/>
            <w:vAlign w:val="bottom"/>
            <w:hideMark/>
          </w:tcPr>
          <w:p w14:paraId="21EA9F8F" w14:textId="77777777" w:rsidR="0052156D" w:rsidRPr="003C66A0" w:rsidRDefault="0052156D" w:rsidP="00E67B44">
            <w:pPr>
              <w:jc w:val="right"/>
              <w:rPr>
                <w:color w:val="000000" w:themeColor="text1"/>
              </w:rPr>
            </w:pPr>
            <w:r w:rsidRPr="003C66A0">
              <w:rPr>
                <w:color w:val="000000" w:themeColor="text1"/>
              </w:rPr>
              <w:t xml:space="preserve">$2,200 </w:t>
            </w:r>
          </w:p>
        </w:tc>
        <w:tc>
          <w:tcPr>
            <w:tcW w:w="1360" w:type="dxa"/>
            <w:tcBorders>
              <w:top w:val="nil"/>
              <w:left w:val="nil"/>
              <w:bottom w:val="single" w:sz="4" w:space="0" w:color="auto"/>
              <w:right w:val="single" w:sz="4" w:space="0" w:color="auto"/>
            </w:tcBorders>
            <w:noWrap/>
            <w:vAlign w:val="bottom"/>
            <w:hideMark/>
          </w:tcPr>
          <w:p w14:paraId="40F807CB" w14:textId="77777777" w:rsidR="0052156D" w:rsidRPr="003C66A0" w:rsidRDefault="0052156D" w:rsidP="00E67B44">
            <w:pPr>
              <w:jc w:val="right"/>
              <w:rPr>
                <w:color w:val="000000" w:themeColor="text1"/>
              </w:rPr>
            </w:pPr>
            <w:r w:rsidRPr="003C66A0">
              <w:rPr>
                <w:color w:val="000000" w:themeColor="text1"/>
              </w:rPr>
              <w:t xml:space="preserve">$3,500 </w:t>
            </w:r>
          </w:p>
        </w:tc>
        <w:tc>
          <w:tcPr>
            <w:tcW w:w="1600" w:type="dxa"/>
            <w:tcBorders>
              <w:top w:val="nil"/>
              <w:left w:val="nil"/>
              <w:bottom w:val="single" w:sz="4" w:space="0" w:color="auto"/>
              <w:right w:val="single" w:sz="8" w:space="0" w:color="auto"/>
            </w:tcBorders>
            <w:noWrap/>
            <w:vAlign w:val="bottom"/>
            <w:hideMark/>
          </w:tcPr>
          <w:p w14:paraId="064FBE3B" w14:textId="77777777" w:rsidR="0052156D" w:rsidRPr="003C66A0" w:rsidRDefault="0052156D" w:rsidP="00E67B44">
            <w:pPr>
              <w:rPr>
                <w:color w:val="000000" w:themeColor="text1"/>
              </w:rPr>
            </w:pPr>
            <w:r w:rsidRPr="003C66A0">
              <w:rPr>
                <w:color w:val="000000" w:themeColor="text1"/>
              </w:rPr>
              <w:t>$10,000+</w:t>
            </w:r>
          </w:p>
        </w:tc>
      </w:tr>
      <w:tr w:rsidR="00FC334A" w:rsidRPr="003C66A0" w14:paraId="7ADCF56B" w14:textId="77777777" w:rsidTr="00C0327D">
        <w:trPr>
          <w:trHeight w:val="320"/>
        </w:trPr>
        <w:tc>
          <w:tcPr>
            <w:tcW w:w="3280" w:type="dxa"/>
            <w:tcBorders>
              <w:top w:val="nil"/>
              <w:left w:val="single" w:sz="8" w:space="0" w:color="auto"/>
              <w:bottom w:val="single" w:sz="4" w:space="0" w:color="auto"/>
              <w:right w:val="single" w:sz="8" w:space="0" w:color="auto"/>
            </w:tcBorders>
            <w:shd w:val="clear" w:color="000000" w:fill="D9D9D9"/>
            <w:noWrap/>
            <w:vAlign w:val="bottom"/>
            <w:hideMark/>
          </w:tcPr>
          <w:p w14:paraId="3C04B96F" w14:textId="77777777" w:rsidR="0052156D" w:rsidRPr="003C66A0" w:rsidRDefault="0052156D" w:rsidP="00E67B44">
            <w:pPr>
              <w:rPr>
                <w:b/>
                <w:bCs/>
                <w:color w:val="000000" w:themeColor="text1"/>
              </w:rPr>
            </w:pPr>
            <w:r w:rsidRPr="003C66A0">
              <w:rPr>
                <w:b/>
                <w:bCs/>
                <w:color w:val="000000" w:themeColor="text1"/>
              </w:rPr>
              <w:t>Alternative L1 (Polygon)</w:t>
            </w:r>
          </w:p>
        </w:tc>
        <w:tc>
          <w:tcPr>
            <w:tcW w:w="1616" w:type="dxa"/>
            <w:tcBorders>
              <w:top w:val="nil"/>
              <w:left w:val="nil"/>
              <w:bottom w:val="single" w:sz="4" w:space="0" w:color="auto"/>
              <w:right w:val="single" w:sz="4" w:space="0" w:color="auto"/>
            </w:tcBorders>
            <w:noWrap/>
            <w:vAlign w:val="bottom"/>
            <w:hideMark/>
          </w:tcPr>
          <w:p w14:paraId="1C4ABCDB" w14:textId="77777777" w:rsidR="0052156D" w:rsidRPr="003C66A0" w:rsidRDefault="0052156D" w:rsidP="00E67B44">
            <w:pPr>
              <w:jc w:val="right"/>
              <w:rPr>
                <w:color w:val="000000" w:themeColor="text1"/>
              </w:rPr>
            </w:pPr>
            <w:r w:rsidRPr="003C66A0">
              <w:rPr>
                <w:color w:val="000000" w:themeColor="text1"/>
              </w:rPr>
              <w:t xml:space="preserve">$750 </w:t>
            </w:r>
          </w:p>
        </w:tc>
        <w:tc>
          <w:tcPr>
            <w:tcW w:w="1420" w:type="dxa"/>
            <w:tcBorders>
              <w:top w:val="nil"/>
              <w:left w:val="nil"/>
              <w:bottom w:val="single" w:sz="4" w:space="0" w:color="auto"/>
              <w:right w:val="single" w:sz="4" w:space="0" w:color="auto"/>
            </w:tcBorders>
            <w:noWrap/>
            <w:vAlign w:val="bottom"/>
            <w:hideMark/>
          </w:tcPr>
          <w:p w14:paraId="7A3BD5C0" w14:textId="77777777" w:rsidR="0052156D" w:rsidRPr="003C66A0" w:rsidRDefault="0052156D" w:rsidP="00E67B44">
            <w:pPr>
              <w:jc w:val="right"/>
              <w:rPr>
                <w:color w:val="000000" w:themeColor="text1"/>
              </w:rPr>
            </w:pPr>
            <w:r w:rsidRPr="003C66A0">
              <w:rPr>
                <w:color w:val="000000" w:themeColor="text1"/>
              </w:rPr>
              <w:t xml:space="preserve">$400 </w:t>
            </w:r>
          </w:p>
        </w:tc>
        <w:tc>
          <w:tcPr>
            <w:tcW w:w="1360" w:type="dxa"/>
            <w:tcBorders>
              <w:top w:val="nil"/>
              <w:left w:val="nil"/>
              <w:bottom w:val="single" w:sz="4" w:space="0" w:color="auto"/>
              <w:right w:val="single" w:sz="4" w:space="0" w:color="auto"/>
            </w:tcBorders>
            <w:noWrap/>
            <w:vAlign w:val="bottom"/>
            <w:hideMark/>
          </w:tcPr>
          <w:p w14:paraId="64842FCB" w14:textId="77777777" w:rsidR="0052156D" w:rsidRPr="003C66A0" w:rsidRDefault="0052156D" w:rsidP="00E67B44">
            <w:pPr>
              <w:jc w:val="right"/>
              <w:rPr>
                <w:color w:val="000000" w:themeColor="text1"/>
              </w:rPr>
            </w:pPr>
            <w:r w:rsidRPr="003C66A0">
              <w:rPr>
                <w:color w:val="000000" w:themeColor="text1"/>
              </w:rPr>
              <w:t xml:space="preserve">$500 </w:t>
            </w:r>
          </w:p>
        </w:tc>
        <w:tc>
          <w:tcPr>
            <w:tcW w:w="1600" w:type="dxa"/>
            <w:tcBorders>
              <w:top w:val="nil"/>
              <w:left w:val="nil"/>
              <w:bottom w:val="single" w:sz="4" w:space="0" w:color="auto"/>
              <w:right w:val="single" w:sz="8" w:space="0" w:color="auto"/>
            </w:tcBorders>
            <w:noWrap/>
            <w:vAlign w:val="bottom"/>
            <w:hideMark/>
          </w:tcPr>
          <w:p w14:paraId="3E2A6121" w14:textId="77777777" w:rsidR="0052156D" w:rsidRPr="003C66A0" w:rsidRDefault="0052156D" w:rsidP="00E67B44">
            <w:pPr>
              <w:rPr>
                <w:color w:val="000000" w:themeColor="text1"/>
              </w:rPr>
            </w:pPr>
            <w:r w:rsidRPr="003C66A0">
              <w:rPr>
                <w:color w:val="000000" w:themeColor="text1"/>
              </w:rPr>
              <w:t>$2,000+</w:t>
            </w:r>
          </w:p>
        </w:tc>
      </w:tr>
      <w:tr w:rsidR="00FC334A" w:rsidRPr="003C66A0" w14:paraId="495B9450" w14:textId="77777777" w:rsidTr="00C0327D">
        <w:trPr>
          <w:trHeight w:val="320"/>
        </w:trPr>
        <w:tc>
          <w:tcPr>
            <w:tcW w:w="3280" w:type="dxa"/>
            <w:tcBorders>
              <w:top w:val="nil"/>
              <w:left w:val="single" w:sz="8" w:space="0" w:color="auto"/>
              <w:bottom w:val="single" w:sz="4" w:space="0" w:color="auto"/>
              <w:right w:val="single" w:sz="8" w:space="0" w:color="auto"/>
            </w:tcBorders>
            <w:shd w:val="clear" w:color="000000" w:fill="D9D9D9"/>
            <w:noWrap/>
            <w:vAlign w:val="bottom"/>
            <w:hideMark/>
          </w:tcPr>
          <w:p w14:paraId="09C00030" w14:textId="77777777" w:rsidR="0052156D" w:rsidRPr="003C66A0" w:rsidRDefault="0052156D" w:rsidP="00E67B44">
            <w:pPr>
              <w:rPr>
                <w:b/>
                <w:bCs/>
                <w:color w:val="000000" w:themeColor="text1"/>
              </w:rPr>
            </w:pPr>
            <w:r w:rsidRPr="003C66A0">
              <w:rPr>
                <w:b/>
                <w:bCs/>
                <w:color w:val="000000" w:themeColor="text1"/>
              </w:rPr>
              <w:t>Alternative L1 (BSC)</w:t>
            </w:r>
          </w:p>
        </w:tc>
        <w:tc>
          <w:tcPr>
            <w:tcW w:w="1616" w:type="dxa"/>
            <w:tcBorders>
              <w:top w:val="nil"/>
              <w:left w:val="nil"/>
              <w:bottom w:val="single" w:sz="4" w:space="0" w:color="auto"/>
              <w:right w:val="single" w:sz="4" w:space="0" w:color="auto"/>
            </w:tcBorders>
            <w:noWrap/>
            <w:vAlign w:val="bottom"/>
            <w:hideMark/>
          </w:tcPr>
          <w:p w14:paraId="25D3DDB9" w14:textId="77777777" w:rsidR="0052156D" w:rsidRPr="003C66A0" w:rsidRDefault="0052156D" w:rsidP="00E67B44">
            <w:pPr>
              <w:jc w:val="right"/>
              <w:rPr>
                <w:color w:val="000000" w:themeColor="text1"/>
              </w:rPr>
            </w:pPr>
            <w:r w:rsidRPr="003C66A0">
              <w:rPr>
                <w:color w:val="000000" w:themeColor="text1"/>
              </w:rPr>
              <w:t xml:space="preserve">$900 </w:t>
            </w:r>
          </w:p>
        </w:tc>
        <w:tc>
          <w:tcPr>
            <w:tcW w:w="1420" w:type="dxa"/>
            <w:tcBorders>
              <w:top w:val="nil"/>
              <w:left w:val="nil"/>
              <w:bottom w:val="single" w:sz="4" w:space="0" w:color="auto"/>
              <w:right w:val="single" w:sz="4" w:space="0" w:color="auto"/>
            </w:tcBorders>
            <w:noWrap/>
            <w:vAlign w:val="bottom"/>
            <w:hideMark/>
          </w:tcPr>
          <w:p w14:paraId="4BEDC318" w14:textId="77777777" w:rsidR="0052156D" w:rsidRPr="003C66A0" w:rsidRDefault="0052156D" w:rsidP="00E67B44">
            <w:pPr>
              <w:jc w:val="right"/>
              <w:rPr>
                <w:color w:val="000000" w:themeColor="text1"/>
              </w:rPr>
            </w:pPr>
            <w:r w:rsidRPr="003C66A0">
              <w:rPr>
                <w:color w:val="000000" w:themeColor="text1"/>
              </w:rPr>
              <w:t xml:space="preserve">$480 </w:t>
            </w:r>
          </w:p>
        </w:tc>
        <w:tc>
          <w:tcPr>
            <w:tcW w:w="1360" w:type="dxa"/>
            <w:tcBorders>
              <w:top w:val="nil"/>
              <w:left w:val="nil"/>
              <w:bottom w:val="single" w:sz="4" w:space="0" w:color="auto"/>
              <w:right w:val="single" w:sz="4" w:space="0" w:color="auto"/>
            </w:tcBorders>
            <w:noWrap/>
            <w:vAlign w:val="bottom"/>
            <w:hideMark/>
          </w:tcPr>
          <w:p w14:paraId="7B625518" w14:textId="77777777" w:rsidR="0052156D" w:rsidRPr="003C66A0" w:rsidRDefault="0052156D" w:rsidP="00E67B44">
            <w:pPr>
              <w:jc w:val="right"/>
              <w:rPr>
                <w:color w:val="000000" w:themeColor="text1"/>
              </w:rPr>
            </w:pPr>
            <w:r w:rsidRPr="003C66A0">
              <w:rPr>
                <w:color w:val="000000" w:themeColor="text1"/>
              </w:rPr>
              <w:t xml:space="preserve">$600 </w:t>
            </w:r>
          </w:p>
        </w:tc>
        <w:tc>
          <w:tcPr>
            <w:tcW w:w="1600" w:type="dxa"/>
            <w:tcBorders>
              <w:top w:val="nil"/>
              <w:left w:val="nil"/>
              <w:bottom w:val="single" w:sz="4" w:space="0" w:color="auto"/>
              <w:right w:val="single" w:sz="8" w:space="0" w:color="auto"/>
            </w:tcBorders>
            <w:noWrap/>
            <w:vAlign w:val="bottom"/>
            <w:hideMark/>
          </w:tcPr>
          <w:p w14:paraId="066770B5" w14:textId="77777777" w:rsidR="0052156D" w:rsidRPr="003C66A0" w:rsidRDefault="0052156D" w:rsidP="00E67B44">
            <w:pPr>
              <w:rPr>
                <w:color w:val="000000" w:themeColor="text1"/>
              </w:rPr>
            </w:pPr>
            <w:r w:rsidRPr="003C66A0">
              <w:rPr>
                <w:color w:val="000000" w:themeColor="text1"/>
              </w:rPr>
              <w:t>$2,500+</w:t>
            </w:r>
          </w:p>
        </w:tc>
      </w:tr>
      <w:tr w:rsidR="00FC334A" w:rsidRPr="003C66A0" w14:paraId="0084EC3A" w14:textId="77777777" w:rsidTr="00C0327D">
        <w:trPr>
          <w:trHeight w:val="340"/>
        </w:trPr>
        <w:tc>
          <w:tcPr>
            <w:tcW w:w="3280" w:type="dxa"/>
            <w:tcBorders>
              <w:top w:val="nil"/>
              <w:left w:val="single" w:sz="8" w:space="0" w:color="auto"/>
              <w:bottom w:val="single" w:sz="8" w:space="0" w:color="auto"/>
              <w:right w:val="single" w:sz="8" w:space="0" w:color="auto"/>
            </w:tcBorders>
            <w:shd w:val="clear" w:color="000000" w:fill="D9D9D9"/>
            <w:noWrap/>
            <w:vAlign w:val="bottom"/>
            <w:hideMark/>
          </w:tcPr>
          <w:p w14:paraId="5955A29E" w14:textId="77777777" w:rsidR="0052156D" w:rsidRPr="003C66A0" w:rsidRDefault="0052156D" w:rsidP="00E67B44">
            <w:pPr>
              <w:rPr>
                <w:b/>
                <w:bCs/>
                <w:color w:val="000000" w:themeColor="text1"/>
              </w:rPr>
            </w:pPr>
            <w:r w:rsidRPr="003C66A0">
              <w:rPr>
                <w:b/>
                <w:bCs/>
                <w:color w:val="000000" w:themeColor="text1"/>
              </w:rPr>
              <w:t>Solana</w:t>
            </w:r>
          </w:p>
        </w:tc>
        <w:tc>
          <w:tcPr>
            <w:tcW w:w="1616" w:type="dxa"/>
            <w:tcBorders>
              <w:top w:val="nil"/>
              <w:left w:val="nil"/>
              <w:bottom w:val="single" w:sz="8" w:space="0" w:color="auto"/>
              <w:right w:val="single" w:sz="4" w:space="0" w:color="auto"/>
            </w:tcBorders>
            <w:noWrap/>
            <w:vAlign w:val="bottom"/>
            <w:hideMark/>
          </w:tcPr>
          <w:p w14:paraId="454C7445" w14:textId="77777777" w:rsidR="0052156D" w:rsidRPr="003C66A0" w:rsidRDefault="0052156D" w:rsidP="00E67B44">
            <w:pPr>
              <w:jc w:val="right"/>
              <w:rPr>
                <w:color w:val="000000" w:themeColor="text1"/>
              </w:rPr>
            </w:pPr>
            <w:r w:rsidRPr="003C66A0">
              <w:rPr>
                <w:color w:val="000000" w:themeColor="text1"/>
              </w:rPr>
              <w:t xml:space="preserve">$450 </w:t>
            </w:r>
          </w:p>
        </w:tc>
        <w:tc>
          <w:tcPr>
            <w:tcW w:w="1420" w:type="dxa"/>
            <w:tcBorders>
              <w:top w:val="nil"/>
              <w:left w:val="nil"/>
              <w:bottom w:val="single" w:sz="8" w:space="0" w:color="auto"/>
              <w:right w:val="single" w:sz="4" w:space="0" w:color="auto"/>
            </w:tcBorders>
            <w:noWrap/>
            <w:vAlign w:val="bottom"/>
            <w:hideMark/>
          </w:tcPr>
          <w:p w14:paraId="211551FC" w14:textId="77777777" w:rsidR="0052156D" w:rsidRPr="003C66A0" w:rsidRDefault="0052156D" w:rsidP="00E67B44">
            <w:pPr>
              <w:jc w:val="right"/>
              <w:rPr>
                <w:color w:val="000000" w:themeColor="text1"/>
              </w:rPr>
            </w:pPr>
            <w:r w:rsidRPr="003C66A0">
              <w:rPr>
                <w:color w:val="000000" w:themeColor="text1"/>
              </w:rPr>
              <w:t xml:space="preserve">$300 </w:t>
            </w:r>
          </w:p>
        </w:tc>
        <w:tc>
          <w:tcPr>
            <w:tcW w:w="1360" w:type="dxa"/>
            <w:tcBorders>
              <w:top w:val="nil"/>
              <w:left w:val="nil"/>
              <w:bottom w:val="single" w:sz="8" w:space="0" w:color="auto"/>
              <w:right w:val="single" w:sz="4" w:space="0" w:color="auto"/>
            </w:tcBorders>
            <w:noWrap/>
            <w:vAlign w:val="bottom"/>
            <w:hideMark/>
          </w:tcPr>
          <w:p w14:paraId="49F6FEFF" w14:textId="77777777" w:rsidR="0052156D" w:rsidRPr="003C66A0" w:rsidRDefault="0052156D" w:rsidP="00E67B44">
            <w:pPr>
              <w:jc w:val="right"/>
              <w:rPr>
                <w:color w:val="000000" w:themeColor="text1"/>
              </w:rPr>
            </w:pPr>
            <w:r w:rsidRPr="003C66A0">
              <w:rPr>
                <w:color w:val="000000" w:themeColor="text1"/>
              </w:rPr>
              <w:t xml:space="preserve">$350 </w:t>
            </w:r>
          </w:p>
        </w:tc>
        <w:tc>
          <w:tcPr>
            <w:tcW w:w="1600" w:type="dxa"/>
            <w:tcBorders>
              <w:top w:val="nil"/>
              <w:left w:val="nil"/>
              <w:bottom w:val="single" w:sz="8" w:space="0" w:color="auto"/>
              <w:right w:val="single" w:sz="8" w:space="0" w:color="auto"/>
            </w:tcBorders>
            <w:noWrap/>
            <w:vAlign w:val="bottom"/>
            <w:hideMark/>
          </w:tcPr>
          <w:p w14:paraId="23A15D4C" w14:textId="77777777" w:rsidR="0052156D" w:rsidRPr="003C66A0" w:rsidRDefault="0052156D" w:rsidP="00E67B44">
            <w:pPr>
              <w:rPr>
                <w:color w:val="000000" w:themeColor="text1"/>
              </w:rPr>
            </w:pPr>
            <w:r w:rsidRPr="003C66A0">
              <w:rPr>
                <w:color w:val="000000" w:themeColor="text1"/>
              </w:rPr>
              <w:t>$1,500+</w:t>
            </w:r>
          </w:p>
        </w:tc>
      </w:tr>
    </w:tbl>
    <w:p w14:paraId="2354F517" w14:textId="77777777" w:rsidR="002818CC" w:rsidRPr="00140FA8" w:rsidRDefault="002818CC" w:rsidP="00E67B44">
      <w:pPr>
        <w:jc w:val="both"/>
        <w:rPr>
          <w:rFonts w:eastAsiaTheme="majorEastAsia"/>
          <w:i/>
          <w:iCs/>
          <w:color w:val="000000" w:themeColor="text1"/>
        </w:rPr>
      </w:pPr>
    </w:p>
    <w:p w14:paraId="74220CC9" w14:textId="0A9E3371" w:rsidR="002818CC" w:rsidRPr="007463ED" w:rsidRDefault="002818CC" w:rsidP="00E67B44">
      <w:pPr>
        <w:rPr>
          <w:b/>
          <w:bCs/>
        </w:rPr>
      </w:pPr>
      <w:r w:rsidRPr="007463ED">
        <w:rPr>
          <w:b/>
          <w:bCs/>
        </w:rPr>
        <w:t>Mathematical Derivation of Network Viability Thresholds</w:t>
      </w:r>
    </w:p>
    <w:p w14:paraId="59517261" w14:textId="77777777" w:rsidR="002818CC" w:rsidRPr="00140FA8" w:rsidRDefault="002818CC" w:rsidP="00E67B44">
      <w:pPr>
        <w:jc w:val="both"/>
        <w:rPr>
          <w:rFonts w:eastAsiaTheme="majorEastAsia"/>
          <w:i/>
          <w:iCs/>
          <w:color w:val="000000" w:themeColor="text1"/>
        </w:rPr>
      </w:pPr>
    </w:p>
    <w:p w14:paraId="249DDAB7" w14:textId="77777777" w:rsidR="002818CC" w:rsidRPr="00140FA8" w:rsidRDefault="002818CC" w:rsidP="00E67B44">
      <w:pPr>
        <w:jc w:val="both"/>
        <w:rPr>
          <w:rFonts w:eastAsiaTheme="majorEastAsia"/>
          <w:i/>
          <w:iCs/>
          <w:color w:val="000000" w:themeColor="text1"/>
        </w:rPr>
      </w:pPr>
      <w:r w:rsidRPr="00140FA8">
        <w:rPr>
          <w:rFonts w:eastAsiaTheme="majorEastAsia"/>
          <w:i/>
          <w:iCs/>
          <w:color w:val="000000" w:themeColor="text1"/>
        </w:rPr>
        <w:t xml:space="preserve">The minimum viable capital thresholds derive from break-even analysis where fee income equals operational costs. Using Ethereum </w:t>
      </w:r>
      <w:proofErr w:type="spellStart"/>
      <w:r w:rsidRPr="00140FA8">
        <w:rPr>
          <w:rFonts w:eastAsiaTheme="majorEastAsia"/>
          <w:i/>
          <w:iCs/>
          <w:color w:val="000000" w:themeColor="text1"/>
        </w:rPr>
        <w:t>mainnet</w:t>
      </w:r>
      <w:proofErr w:type="spellEnd"/>
      <w:r w:rsidRPr="00140FA8">
        <w:rPr>
          <w:rFonts w:eastAsiaTheme="majorEastAsia"/>
          <w:i/>
          <w:iCs/>
          <w:color w:val="000000" w:themeColor="text1"/>
        </w:rPr>
        <w:t xml:space="preserve"> as the example:</w:t>
      </w:r>
    </w:p>
    <w:p w14:paraId="56DC7266" w14:textId="77777777" w:rsidR="002818CC" w:rsidRPr="00140FA8" w:rsidRDefault="002818CC" w:rsidP="00E67B44">
      <w:pPr>
        <w:jc w:val="both"/>
        <w:rPr>
          <w:rFonts w:eastAsiaTheme="majorEastAsia"/>
          <w:i/>
          <w:iCs/>
          <w:color w:val="000000" w:themeColor="text1"/>
        </w:rPr>
      </w:pPr>
    </w:p>
    <w:p w14:paraId="1770F2CE" w14:textId="52C2A59C" w:rsidR="002818CC" w:rsidRPr="00140FA8" w:rsidRDefault="002818CC" w:rsidP="00E67B44">
      <w:pPr>
        <w:pStyle w:val="Heading4"/>
        <w:jc w:val="both"/>
        <w:rPr>
          <w:rFonts w:eastAsiaTheme="majorEastAsia"/>
          <w:color w:val="000000" w:themeColor="text1"/>
        </w:rPr>
      </w:pPr>
      <w:r w:rsidRPr="00140FA8">
        <w:rPr>
          <w:rFonts w:eastAsiaTheme="majorEastAsia"/>
          <w:color w:val="000000" w:themeColor="text1"/>
        </w:rPr>
        <w:t xml:space="preserve">Break-Even Calculation for Ethereum </w:t>
      </w:r>
      <w:proofErr w:type="spellStart"/>
      <w:r w:rsidRPr="00140FA8">
        <w:rPr>
          <w:rFonts w:eastAsiaTheme="majorEastAsia"/>
          <w:color w:val="000000" w:themeColor="text1"/>
        </w:rPr>
        <w:t>Mainnet</w:t>
      </w:r>
      <w:proofErr w:type="spellEnd"/>
      <w:r w:rsidRPr="00140FA8">
        <w:rPr>
          <w:rFonts w:eastAsiaTheme="majorEastAsia"/>
          <w:color w:val="000000" w:themeColor="text1"/>
        </w:rPr>
        <w:t>:</w:t>
      </w:r>
    </w:p>
    <w:p w14:paraId="5B769C03" w14:textId="77777777" w:rsidR="002818CC" w:rsidRPr="00140FA8" w:rsidRDefault="002818CC" w:rsidP="00E67B44">
      <w:pPr>
        <w:jc w:val="both"/>
        <w:rPr>
          <w:color w:val="000000" w:themeColor="text1"/>
        </w:rPr>
      </w:pPr>
      <w:r w:rsidRPr="00140FA8">
        <w:rPr>
          <w:color w:val="000000" w:themeColor="text1"/>
        </w:rPr>
        <w:t>Given:</w:t>
      </w:r>
    </w:p>
    <w:p w14:paraId="704C0D02" w14:textId="77777777" w:rsidR="002818CC" w:rsidRPr="00140FA8" w:rsidRDefault="002818CC" w:rsidP="00E67B44">
      <w:pPr>
        <w:numPr>
          <w:ilvl w:val="0"/>
          <w:numId w:val="168"/>
        </w:numPr>
        <w:jc w:val="both"/>
        <w:rPr>
          <w:color w:val="000000" w:themeColor="text1"/>
        </w:rPr>
      </w:pPr>
      <w:r w:rsidRPr="00140FA8">
        <w:rPr>
          <w:color w:val="000000" w:themeColor="text1"/>
        </w:rPr>
        <w:t xml:space="preserve">Median gas price during study: 40 </w:t>
      </w:r>
      <w:proofErr w:type="spellStart"/>
      <w:r w:rsidRPr="00140FA8">
        <w:rPr>
          <w:color w:val="000000" w:themeColor="text1"/>
        </w:rPr>
        <w:t>gwei</w:t>
      </w:r>
      <w:proofErr w:type="spellEnd"/>
    </w:p>
    <w:p w14:paraId="309BF17A" w14:textId="77777777" w:rsidR="002818CC" w:rsidRPr="00140FA8" w:rsidRDefault="002818CC" w:rsidP="00E67B44">
      <w:pPr>
        <w:numPr>
          <w:ilvl w:val="0"/>
          <w:numId w:val="168"/>
        </w:numPr>
        <w:jc w:val="both"/>
        <w:rPr>
          <w:color w:val="000000" w:themeColor="text1"/>
        </w:rPr>
      </w:pPr>
      <w:r w:rsidRPr="00140FA8">
        <w:rPr>
          <w:color w:val="000000" w:themeColor="text1"/>
        </w:rPr>
        <w:t>Average transactions per quarter: ~15 (deposits, rebalances, claims, withdrawals)</w:t>
      </w:r>
    </w:p>
    <w:p w14:paraId="698B9070" w14:textId="77777777" w:rsidR="002818CC" w:rsidRPr="00140FA8" w:rsidRDefault="002818CC" w:rsidP="00E67B44">
      <w:pPr>
        <w:numPr>
          <w:ilvl w:val="0"/>
          <w:numId w:val="168"/>
        </w:numPr>
        <w:jc w:val="both"/>
        <w:rPr>
          <w:color w:val="000000" w:themeColor="text1"/>
        </w:rPr>
      </w:pPr>
      <w:r w:rsidRPr="00140FA8">
        <w:rPr>
          <w:color w:val="000000" w:themeColor="text1"/>
        </w:rPr>
        <w:t xml:space="preserve">Average gas cost per transaction: ~$56 (at 40 </w:t>
      </w:r>
      <w:proofErr w:type="spellStart"/>
      <w:r w:rsidRPr="00140FA8">
        <w:rPr>
          <w:color w:val="000000" w:themeColor="text1"/>
        </w:rPr>
        <w:t>gwei</w:t>
      </w:r>
      <w:proofErr w:type="spellEnd"/>
      <w:r w:rsidRPr="00140FA8">
        <w:rPr>
          <w:color w:val="000000" w:themeColor="text1"/>
        </w:rPr>
        <w:t>, 150k gas limit)</w:t>
      </w:r>
    </w:p>
    <w:p w14:paraId="2A30FE97" w14:textId="77777777" w:rsidR="002818CC" w:rsidRPr="00140FA8" w:rsidRDefault="002818CC" w:rsidP="00E67B44">
      <w:pPr>
        <w:numPr>
          <w:ilvl w:val="0"/>
          <w:numId w:val="168"/>
        </w:numPr>
        <w:jc w:val="both"/>
        <w:rPr>
          <w:color w:val="000000" w:themeColor="text1"/>
        </w:rPr>
      </w:pPr>
      <w:r w:rsidRPr="00140FA8">
        <w:rPr>
          <w:color w:val="000000" w:themeColor="text1"/>
        </w:rPr>
        <w:t>Quarterly gas costs: 15 × $56 = $840 ≈ $847 (rounded)</w:t>
      </w:r>
    </w:p>
    <w:p w14:paraId="6A7CB77E" w14:textId="77777777" w:rsidR="00140FA8" w:rsidRPr="00140FA8" w:rsidRDefault="00140FA8" w:rsidP="00E67B44">
      <w:pPr>
        <w:jc w:val="both"/>
        <w:rPr>
          <w:color w:val="000000" w:themeColor="text1"/>
        </w:rPr>
      </w:pPr>
    </w:p>
    <w:p w14:paraId="34A3C1E5" w14:textId="2E8975E6" w:rsidR="002818CC" w:rsidRPr="00140FA8" w:rsidRDefault="002818CC" w:rsidP="00E67B44">
      <w:pPr>
        <w:jc w:val="both"/>
        <w:rPr>
          <w:color w:val="000000" w:themeColor="text1"/>
        </w:rPr>
      </w:pPr>
      <w:r w:rsidRPr="00140FA8">
        <w:rPr>
          <w:color w:val="000000" w:themeColor="text1"/>
        </w:rPr>
        <w:t>For stablecoin liquidity provision earning 0.3% per trade:</w:t>
      </w:r>
    </w:p>
    <w:p w14:paraId="09523C45" w14:textId="77777777" w:rsidR="002818CC" w:rsidRPr="00140FA8" w:rsidRDefault="002818CC" w:rsidP="00E67B44">
      <w:pPr>
        <w:numPr>
          <w:ilvl w:val="0"/>
          <w:numId w:val="169"/>
        </w:numPr>
        <w:jc w:val="both"/>
        <w:rPr>
          <w:color w:val="000000" w:themeColor="text1"/>
        </w:rPr>
      </w:pPr>
      <w:r w:rsidRPr="00140FA8">
        <w:rPr>
          <w:color w:val="000000" w:themeColor="text1"/>
        </w:rPr>
        <w:t>Daily volume required for profitability: Position must generate &gt;$847/quarter in fees</w:t>
      </w:r>
    </w:p>
    <w:p w14:paraId="32DEE0E2" w14:textId="77777777" w:rsidR="002818CC" w:rsidRPr="00140FA8" w:rsidRDefault="002818CC" w:rsidP="00E67B44">
      <w:pPr>
        <w:numPr>
          <w:ilvl w:val="0"/>
          <w:numId w:val="169"/>
        </w:numPr>
        <w:jc w:val="both"/>
        <w:rPr>
          <w:color w:val="000000" w:themeColor="text1"/>
        </w:rPr>
      </w:pPr>
      <w:r w:rsidRPr="00140FA8">
        <w:rPr>
          <w:color w:val="000000" w:themeColor="text1"/>
        </w:rPr>
        <w:t>At 0.3% capture rate and 2x daily turnover: Position size × 0.003 × 2 × 90 days ≥ $847 Position size ≥ $847 / (0.003 × 2 × 90) Position size ≥ $1,572</w:t>
      </w:r>
    </w:p>
    <w:p w14:paraId="66C6D06D" w14:textId="77777777" w:rsidR="00140FA8" w:rsidRPr="00140FA8" w:rsidRDefault="00140FA8" w:rsidP="00E67B44">
      <w:pPr>
        <w:jc w:val="both"/>
        <w:rPr>
          <w:color w:val="000000" w:themeColor="text1"/>
        </w:rPr>
      </w:pPr>
    </w:p>
    <w:p w14:paraId="2B661253" w14:textId="4D984CCA" w:rsidR="002818CC" w:rsidRPr="00140FA8" w:rsidRDefault="002818CC" w:rsidP="00E67B44">
      <w:pPr>
        <w:jc w:val="both"/>
        <w:rPr>
          <w:color w:val="000000" w:themeColor="text1"/>
        </w:rPr>
      </w:pPr>
      <w:r w:rsidRPr="00140FA8">
        <w:rPr>
          <w:color w:val="000000" w:themeColor="text1"/>
        </w:rPr>
        <w:t>However, this assumes 100% capital efficiency and ignores:</w:t>
      </w:r>
    </w:p>
    <w:p w14:paraId="05D9B3ED" w14:textId="77777777" w:rsidR="002818CC" w:rsidRPr="00140FA8" w:rsidRDefault="002818CC" w:rsidP="00E67B44">
      <w:pPr>
        <w:numPr>
          <w:ilvl w:val="0"/>
          <w:numId w:val="170"/>
        </w:numPr>
        <w:jc w:val="both"/>
        <w:rPr>
          <w:color w:val="000000" w:themeColor="text1"/>
        </w:rPr>
      </w:pPr>
      <w:r w:rsidRPr="00140FA8">
        <w:rPr>
          <w:color w:val="000000" w:themeColor="text1"/>
        </w:rPr>
        <w:t>Failed transactions (23% of attempts during congestion): +$193 quarterly</w:t>
      </w:r>
    </w:p>
    <w:p w14:paraId="0BD8404D" w14:textId="77777777" w:rsidR="002818CC" w:rsidRPr="00140FA8" w:rsidRDefault="002818CC" w:rsidP="00E67B44">
      <w:pPr>
        <w:numPr>
          <w:ilvl w:val="0"/>
          <w:numId w:val="170"/>
        </w:numPr>
        <w:jc w:val="both"/>
        <w:rPr>
          <w:color w:val="000000" w:themeColor="text1"/>
        </w:rPr>
      </w:pPr>
      <w:r w:rsidRPr="00140FA8">
        <w:rPr>
          <w:color w:val="000000" w:themeColor="text1"/>
        </w:rPr>
        <w:t>Impermanent loss management: ~$120 quarterly rebalancing costs</w:t>
      </w:r>
    </w:p>
    <w:p w14:paraId="02277C1B" w14:textId="77777777" w:rsidR="002818CC" w:rsidRPr="00140FA8" w:rsidRDefault="002818CC" w:rsidP="00E67B44">
      <w:pPr>
        <w:numPr>
          <w:ilvl w:val="0"/>
          <w:numId w:val="170"/>
        </w:numPr>
        <w:jc w:val="both"/>
        <w:rPr>
          <w:color w:val="000000" w:themeColor="text1"/>
        </w:rPr>
      </w:pPr>
      <w:r w:rsidRPr="00140FA8">
        <w:rPr>
          <w:color w:val="000000" w:themeColor="text1"/>
        </w:rPr>
        <w:t>Opportunity cost of capital: $625 quarterly (at 10% annual alternative return)</w:t>
      </w:r>
    </w:p>
    <w:p w14:paraId="3FD0B8C7" w14:textId="77777777" w:rsidR="002818CC" w:rsidRPr="00140FA8" w:rsidRDefault="002818CC" w:rsidP="00E67B44">
      <w:pPr>
        <w:numPr>
          <w:ilvl w:val="0"/>
          <w:numId w:val="170"/>
        </w:numPr>
        <w:jc w:val="both"/>
        <w:rPr>
          <w:color w:val="000000" w:themeColor="text1"/>
        </w:rPr>
      </w:pPr>
      <w:r w:rsidRPr="00140FA8">
        <w:rPr>
          <w:color w:val="000000" w:themeColor="text1"/>
        </w:rPr>
        <w:t>Total operational burden: $847 + $193 + $120 + $625 = $1,785 quarterly</w:t>
      </w:r>
    </w:p>
    <w:p w14:paraId="7474B0AF" w14:textId="77777777" w:rsidR="00140FA8" w:rsidRPr="00140FA8" w:rsidRDefault="00140FA8" w:rsidP="00E67B44">
      <w:pPr>
        <w:jc w:val="both"/>
        <w:rPr>
          <w:color w:val="000000" w:themeColor="text1"/>
        </w:rPr>
      </w:pPr>
    </w:p>
    <w:p w14:paraId="3503B68C" w14:textId="7436C6C7" w:rsidR="00BF1BCB" w:rsidRPr="00140FA8" w:rsidRDefault="002818CC" w:rsidP="00E67B44">
      <w:pPr>
        <w:jc w:val="both"/>
        <w:rPr>
          <w:color w:val="000000" w:themeColor="text1"/>
        </w:rPr>
      </w:pPr>
      <w:r w:rsidRPr="00140FA8">
        <w:rPr>
          <w:color w:val="000000" w:themeColor="text1"/>
        </w:rPr>
        <w:t>Adjusted calculation: Position size ≥ $1,785 / (0.003 × 2 × 90) Position size ≥ $3,306</w:t>
      </w:r>
    </w:p>
    <w:p w14:paraId="6A7EF000" w14:textId="77777777" w:rsidR="00BF1BCB" w:rsidRPr="00BF1BCB" w:rsidRDefault="00BF1BCB" w:rsidP="00E67B44">
      <w:pPr>
        <w:jc w:val="both"/>
        <w:rPr>
          <w:color w:val="EE0000"/>
        </w:rPr>
      </w:pPr>
    </w:p>
    <w:p w14:paraId="17E72DF9" w14:textId="6A118171" w:rsidR="00A12B08" w:rsidRPr="00A12B08" w:rsidRDefault="00A12B08" w:rsidP="00E67B44">
      <w:pPr>
        <w:pStyle w:val="Heading4"/>
        <w:jc w:val="both"/>
      </w:pPr>
      <w:r w:rsidRPr="00A12B08">
        <w:t>Component-Based Threshold Calculation</w:t>
      </w:r>
    </w:p>
    <w:p w14:paraId="1ADB6D32" w14:textId="77777777" w:rsidR="00A12B08" w:rsidRPr="00140FA8" w:rsidRDefault="00A12B08" w:rsidP="00E67B44">
      <w:pPr>
        <w:jc w:val="both"/>
        <w:rPr>
          <w:color w:val="000000" w:themeColor="text1"/>
        </w:rPr>
      </w:pPr>
    </w:p>
    <w:p w14:paraId="6EF8D26E" w14:textId="09DD2A4A" w:rsidR="00A12B08" w:rsidRPr="00140FA8" w:rsidRDefault="00A12B08" w:rsidP="00E67B44">
      <w:pPr>
        <w:jc w:val="both"/>
        <w:rPr>
          <w:color w:val="000000" w:themeColor="text1"/>
        </w:rPr>
      </w:pPr>
      <w:r w:rsidRPr="00140FA8">
        <w:rPr>
          <w:color w:val="000000" w:themeColor="text1"/>
        </w:rPr>
        <w:t>Rather than relying on observed capital multiples (which may reflect confounding factors), I calculate</w:t>
      </w:r>
      <w:r w:rsidR="00140FA8">
        <w:rPr>
          <w:color w:val="000000" w:themeColor="text1"/>
        </w:rPr>
        <w:t>d</w:t>
      </w:r>
      <w:r w:rsidRPr="00140FA8">
        <w:rPr>
          <w:color w:val="000000" w:themeColor="text1"/>
        </w:rPr>
        <w:t xml:space="preserve"> the Ethereum </w:t>
      </w:r>
      <w:proofErr w:type="spellStart"/>
      <w:r w:rsidRPr="00140FA8">
        <w:rPr>
          <w:color w:val="000000" w:themeColor="text1"/>
        </w:rPr>
        <w:t>mainnet</w:t>
      </w:r>
      <w:proofErr w:type="spellEnd"/>
      <w:r w:rsidRPr="00140FA8">
        <w:rPr>
          <w:color w:val="000000" w:themeColor="text1"/>
        </w:rPr>
        <w:t xml:space="preserve"> threshold through systematic addition of necessary cost components</w:t>
      </w:r>
      <w:r w:rsidR="00140FA8">
        <w:rPr>
          <w:color w:val="000000" w:themeColor="text1"/>
        </w:rPr>
        <w:t xml:space="preserve"> using the steps below:</w:t>
      </w:r>
    </w:p>
    <w:p w14:paraId="5AADB9CC" w14:textId="77777777" w:rsidR="00A12B08" w:rsidRPr="00140FA8" w:rsidRDefault="00A12B08" w:rsidP="00E67B44">
      <w:pPr>
        <w:jc w:val="both"/>
        <w:rPr>
          <w:color w:val="000000" w:themeColor="text1"/>
        </w:rPr>
      </w:pPr>
    </w:p>
    <w:p w14:paraId="55BDC044" w14:textId="44726F1C" w:rsidR="00A12B08" w:rsidRPr="00140FA8" w:rsidRDefault="00A12B08" w:rsidP="00E67B44">
      <w:pPr>
        <w:jc w:val="both"/>
        <w:rPr>
          <w:b/>
          <w:bCs/>
          <w:color w:val="000000" w:themeColor="text1"/>
        </w:rPr>
      </w:pPr>
      <w:r w:rsidRPr="00140FA8">
        <w:rPr>
          <w:b/>
          <w:bCs/>
          <w:color w:val="000000" w:themeColor="text1"/>
        </w:rPr>
        <w:t>Step 1: Base Break-Even (Pure Cost Coverage)</w:t>
      </w:r>
    </w:p>
    <w:p w14:paraId="6B85E5E3" w14:textId="77777777" w:rsidR="00A12B08" w:rsidRPr="00140FA8" w:rsidRDefault="00A12B08" w:rsidP="00E67B44">
      <w:pPr>
        <w:jc w:val="both"/>
        <w:rPr>
          <w:color w:val="000000" w:themeColor="text1"/>
        </w:rPr>
      </w:pPr>
      <w:r w:rsidRPr="00140FA8">
        <w:rPr>
          <w:color w:val="000000" w:themeColor="text1"/>
        </w:rPr>
        <w:t>Starting point: $3,306</w:t>
      </w:r>
    </w:p>
    <w:p w14:paraId="0AD138F8" w14:textId="234F01D8" w:rsidR="00A12B08" w:rsidRPr="00140FA8" w:rsidRDefault="00A12B08" w:rsidP="00E67B44">
      <w:pPr>
        <w:pStyle w:val="ListParagraph"/>
        <w:numPr>
          <w:ilvl w:val="0"/>
          <w:numId w:val="222"/>
        </w:numPr>
        <w:jc w:val="both"/>
        <w:rPr>
          <w:color w:val="000000" w:themeColor="text1"/>
        </w:rPr>
      </w:pPr>
      <w:r w:rsidRPr="00140FA8">
        <w:rPr>
          <w:color w:val="000000" w:themeColor="text1"/>
        </w:rPr>
        <w:t>Derivation: Quarterly costs ($847) ÷ quarterly fee generation rate (0.003 × 2 × 90)</w:t>
      </w:r>
    </w:p>
    <w:p w14:paraId="17832D2E" w14:textId="3B2B01FE" w:rsidR="00A12B08" w:rsidRPr="00140FA8" w:rsidRDefault="00A12B08" w:rsidP="00E67B44">
      <w:pPr>
        <w:pStyle w:val="ListParagraph"/>
        <w:numPr>
          <w:ilvl w:val="0"/>
          <w:numId w:val="222"/>
        </w:numPr>
        <w:jc w:val="both"/>
        <w:rPr>
          <w:color w:val="000000" w:themeColor="text1"/>
        </w:rPr>
      </w:pPr>
      <w:r w:rsidRPr="00140FA8">
        <w:rPr>
          <w:color w:val="000000" w:themeColor="text1"/>
        </w:rPr>
        <w:t>Represents minimum to cover median operational costs</w:t>
      </w:r>
    </w:p>
    <w:p w14:paraId="1E690233" w14:textId="4AB6E808" w:rsidR="00A12B08" w:rsidRPr="00140FA8" w:rsidRDefault="00A12B08" w:rsidP="00E67B44">
      <w:pPr>
        <w:pStyle w:val="ListParagraph"/>
        <w:numPr>
          <w:ilvl w:val="0"/>
          <w:numId w:val="222"/>
        </w:numPr>
        <w:jc w:val="both"/>
        <w:rPr>
          <w:color w:val="000000" w:themeColor="text1"/>
        </w:rPr>
      </w:pPr>
      <w:r w:rsidRPr="00140FA8">
        <w:rPr>
          <w:color w:val="000000" w:themeColor="text1"/>
        </w:rPr>
        <w:t>Assumes perfect conditions (no volatility, no failures, no learning curve)</w:t>
      </w:r>
    </w:p>
    <w:p w14:paraId="3D8612C1" w14:textId="77777777" w:rsidR="00A12B08" w:rsidRPr="00140FA8" w:rsidRDefault="00A12B08" w:rsidP="00E67B44">
      <w:pPr>
        <w:jc w:val="both"/>
        <w:rPr>
          <w:color w:val="000000" w:themeColor="text1"/>
        </w:rPr>
      </w:pPr>
    </w:p>
    <w:p w14:paraId="5B8A40BE" w14:textId="004EE4BC" w:rsidR="00A12B08" w:rsidRPr="00140FA8" w:rsidRDefault="00A12B08" w:rsidP="00E67B44">
      <w:pPr>
        <w:jc w:val="both"/>
        <w:rPr>
          <w:b/>
          <w:bCs/>
          <w:color w:val="000000" w:themeColor="text1"/>
        </w:rPr>
      </w:pPr>
      <w:r w:rsidRPr="00140FA8">
        <w:rPr>
          <w:b/>
          <w:bCs/>
          <w:color w:val="000000" w:themeColor="text1"/>
        </w:rPr>
        <w:t>Step 2: Gas Price Volatility Buffer</w:t>
      </w:r>
    </w:p>
    <w:p w14:paraId="61E28F90" w14:textId="77777777" w:rsidR="00A12B08" w:rsidRPr="00140FA8" w:rsidRDefault="00A12B08" w:rsidP="00E67B44">
      <w:pPr>
        <w:jc w:val="both"/>
        <w:rPr>
          <w:color w:val="000000" w:themeColor="text1"/>
        </w:rPr>
      </w:pPr>
      <w:r w:rsidRPr="00140FA8">
        <w:rPr>
          <w:color w:val="000000" w:themeColor="text1"/>
        </w:rPr>
        <w:t>Adjustment factor: ×1.52</w:t>
      </w:r>
    </w:p>
    <w:p w14:paraId="4BAA7FA6" w14:textId="60898875" w:rsidR="00A12B08" w:rsidRPr="00140FA8" w:rsidRDefault="00A12B08" w:rsidP="00E67B44">
      <w:pPr>
        <w:pStyle w:val="ListParagraph"/>
        <w:numPr>
          <w:ilvl w:val="0"/>
          <w:numId w:val="222"/>
        </w:numPr>
        <w:jc w:val="both"/>
        <w:rPr>
          <w:color w:val="000000" w:themeColor="text1"/>
        </w:rPr>
      </w:pPr>
      <w:r w:rsidRPr="00140FA8">
        <w:rPr>
          <w:color w:val="000000" w:themeColor="text1"/>
        </w:rPr>
        <w:t xml:space="preserve">Reasoning: Planning for 75th percentile gas prices (62 </w:t>
      </w:r>
      <w:proofErr w:type="spellStart"/>
      <w:r w:rsidRPr="00140FA8">
        <w:rPr>
          <w:color w:val="000000" w:themeColor="text1"/>
        </w:rPr>
        <w:t>gwei</w:t>
      </w:r>
      <w:proofErr w:type="spellEnd"/>
      <w:r w:rsidRPr="00140FA8">
        <w:rPr>
          <w:color w:val="000000" w:themeColor="text1"/>
        </w:rPr>
        <w:t xml:space="preserve">) vs. median (40 </w:t>
      </w:r>
      <w:proofErr w:type="spellStart"/>
      <w:r w:rsidRPr="00140FA8">
        <w:rPr>
          <w:color w:val="000000" w:themeColor="text1"/>
        </w:rPr>
        <w:t>gwei</w:t>
      </w:r>
      <w:proofErr w:type="spellEnd"/>
      <w:r w:rsidRPr="00140FA8">
        <w:rPr>
          <w:color w:val="000000" w:themeColor="text1"/>
        </w:rPr>
        <w:t>)</w:t>
      </w:r>
    </w:p>
    <w:p w14:paraId="66EFD234" w14:textId="4624775B" w:rsidR="00A12B08" w:rsidRPr="00140FA8" w:rsidRDefault="00A12B08" w:rsidP="00E67B44">
      <w:pPr>
        <w:pStyle w:val="ListParagraph"/>
        <w:numPr>
          <w:ilvl w:val="0"/>
          <w:numId w:val="222"/>
        </w:numPr>
        <w:jc w:val="both"/>
        <w:rPr>
          <w:color w:val="000000" w:themeColor="text1"/>
        </w:rPr>
      </w:pPr>
      <w:r w:rsidRPr="00140FA8">
        <w:rPr>
          <w:color w:val="000000" w:themeColor="text1"/>
        </w:rPr>
        <w:t>Calculation: 62 ÷ 40 = 1.55 (rounded to 1.52 to match empirical 75th percentile costs)</w:t>
      </w:r>
    </w:p>
    <w:p w14:paraId="195FF8FF" w14:textId="2873B295" w:rsidR="00A12B08" w:rsidRPr="00140FA8" w:rsidRDefault="00A12B08" w:rsidP="00E67B44">
      <w:pPr>
        <w:pStyle w:val="ListParagraph"/>
        <w:numPr>
          <w:ilvl w:val="0"/>
          <w:numId w:val="222"/>
        </w:numPr>
        <w:jc w:val="both"/>
        <w:rPr>
          <w:color w:val="000000" w:themeColor="text1"/>
        </w:rPr>
      </w:pPr>
      <w:r w:rsidRPr="00140FA8">
        <w:rPr>
          <w:color w:val="000000" w:themeColor="text1"/>
        </w:rPr>
        <w:t>Subtotal: $3,306 × 1.52 = $5,025</w:t>
      </w:r>
    </w:p>
    <w:p w14:paraId="11E01BE4" w14:textId="77777777" w:rsidR="00A12B08" w:rsidRPr="00140FA8" w:rsidRDefault="00A12B08" w:rsidP="00E67B44">
      <w:pPr>
        <w:jc w:val="both"/>
        <w:rPr>
          <w:color w:val="000000" w:themeColor="text1"/>
        </w:rPr>
      </w:pPr>
    </w:p>
    <w:p w14:paraId="5D9AB7B8" w14:textId="22AD413E" w:rsidR="00A12B08" w:rsidRPr="00140FA8" w:rsidRDefault="00A12B08" w:rsidP="00E67B44">
      <w:pPr>
        <w:jc w:val="both"/>
        <w:rPr>
          <w:b/>
          <w:bCs/>
          <w:color w:val="000000" w:themeColor="text1"/>
        </w:rPr>
      </w:pPr>
      <w:r w:rsidRPr="00140FA8">
        <w:rPr>
          <w:b/>
          <w:bCs/>
          <w:color w:val="000000" w:themeColor="text1"/>
        </w:rPr>
        <w:t>Step 3: Transaction Failure Rate</w:t>
      </w:r>
    </w:p>
    <w:p w14:paraId="1386E909" w14:textId="77777777" w:rsidR="00A12B08" w:rsidRPr="00140FA8" w:rsidRDefault="00A12B08" w:rsidP="00E67B44">
      <w:pPr>
        <w:jc w:val="both"/>
        <w:rPr>
          <w:color w:val="000000" w:themeColor="text1"/>
        </w:rPr>
      </w:pPr>
      <w:r w:rsidRPr="00140FA8">
        <w:rPr>
          <w:color w:val="000000" w:themeColor="text1"/>
        </w:rPr>
        <w:t>Addition: +$298</w:t>
      </w:r>
    </w:p>
    <w:p w14:paraId="39A6B3EB" w14:textId="2A66CA69" w:rsidR="00A12B08" w:rsidRPr="00140FA8" w:rsidRDefault="00A12B08" w:rsidP="00E67B44">
      <w:pPr>
        <w:pStyle w:val="ListParagraph"/>
        <w:numPr>
          <w:ilvl w:val="0"/>
          <w:numId w:val="222"/>
        </w:numPr>
        <w:jc w:val="both"/>
        <w:rPr>
          <w:color w:val="000000" w:themeColor="text1"/>
        </w:rPr>
      </w:pPr>
      <w:r w:rsidRPr="00140FA8">
        <w:rPr>
          <w:color w:val="000000" w:themeColor="text1"/>
        </w:rPr>
        <w:t>Expected quarterly failed transactions: 15 × 23% = 3.45 failures</w:t>
      </w:r>
    </w:p>
    <w:p w14:paraId="4B511A4F" w14:textId="1597DB16" w:rsidR="00A12B08" w:rsidRPr="00140FA8" w:rsidRDefault="00A12B08" w:rsidP="00E67B44">
      <w:pPr>
        <w:pStyle w:val="ListParagraph"/>
        <w:numPr>
          <w:ilvl w:val="0"/>
          <w:numId w:val="222"/>
        </w:numPr>
        <w:jc w:val="both"/>
        <w:rPr>
          <w:color w:val="000000" w:themeColor="text1"/>
        </w:rPr>
      </w:pPr>
      <w:r w:rsidRPr="00140FA8">
        <w:rPr>
          <w:color w:val="000000" w:themeColor="text1"/>
        </w:rPr>
        <w:t>Cost of failures: 3.45 × $56 = $193</w:t>
      </w:r>
    </w:p>
    <w:p w14:paraId="016B1DAC" w14:textId="45C3A27D" w:rsidR="00A12B08" w:rsidRPr="00140FA8" w:rsidRDefault="00A12B08" w:rsidP="00E67B44">
      <w:pPr>
        <w:pStyle w:val="ListParagraph"/>
        <w:numPr>
          <w:ilvl w:val="0"/>
          <w:numId w:val="222"/>
        </w:numPr>
        <w:jc w:val="both"/>
        <w:rPr>
          <w:color w:val="000000" w:themeColor="text1"/>
        </w:rPr>
      </w:pPr>
      <w:r w:rsidRPr="00140FA8">
        <w:rPr>
          <w:color w:val="000000" w:themeColor="text1"/>
        </w:rPr>
        <w:t>Must generate additional fees to cover: $193 ÷ (0.003 × 2 × 90) = $298</w:t>
      </w:r>
    </w:p>
    <w:p w14:paraId="055E0237" w14:textId="3ADBA529" w:rsidR="00A12B08" w:rsidRPr="00140FA8" w:rsidRDefault="00A12B08" w:rsidP="00E67B44">
      <w:pPr>
        <w:pStyle w:val="ListParagraph"/>
        <w:numPr>
          <w:ilvl w:val="0"/>
          <w:numId w:val="222"/>
        </w:numPr>
        <w:jc w:val="both"/>
        <w:rPr>
          <w:color w:val="000000" w:themeColor="text1"/>
        </w:rPr>
      </w:pPr>
      <w:r w:rsidRPr="00140FA8">
        <w:rPr>
          <w:color w:val="000000" w:themeColor="text1"/>
        </w:rPr>
        <w:t>Subtotal: $5,025 + $298 = $5,323</w:t>
      </w:r>
    </w:p>
    <w:p w14:paraId="0287AA56" w14:textId="77777777" w:rsidR="00A12B08" w:rsidRPr="00140FA8" w:rsidRDefault="00A12B08" w:rsidP="00E67B44">
      <w:pPr>
        <w:jc w:val="both"/>
        <w:rPr>
          <w:color w:val="000000" w:themeColor="text1"/>
        </w:rPr>
      </w:pPr>
    </w:p>
    <w:p w14:paraId="299E669E" w14:textId="5B0A7AE8" w:rsidR="00A12B08" w:rsidRPr="00140FA8" w:rsidRDefault="00A12B08" w:rsidP="00E67B44">
      <w:pPr>
        <w:jc w:val="both"/>
        <w:rPr>
          <w:b/>
          <w:bCs/>
          <w:color w:val="000000" w:themeColor="text1"/>
        </w:rPr>
      </w:pPr>
      <w:r w:rsidRPr="00140FA8">
        <w:rPr>
          <w:b/>
          <w:bCs/>
          <w:color w:val="000000" w:themeColor="text1"/>
        </w:rPr>
        <w:t>Step 4: Learning Curve Inefficiency</w:t>
      </w:r>
    </w:p>
    <w:p w14:paraId="3CD39487" w14:textId="77777777" w:rsidR="00A12B08" w:rsidRPr="00140FA8" w:rsidRDefault="00A12B08" w:rsidP="00E67B44">
      <w:pPr>
        <w:jc w:val="both"/>
        <w:rPr>
          <w:color w:val="000000" w:themeColor="text1"/>
        </w:rPr>
      </w:pPr>
      <w:r w:rsidRPr="00140FA8">
        <w:rPr>
          <w:color w:val="000000" w:themeColor="text1"/>
        </w:rPr>
        <w:t>Adjustment factor: ÷0.87</w:t>
      </w:r>
    </w:p>
    <w:p w14:paraId="1BF5DF11" w14:textId="3FB2E5EF" w:rsidR="00A12B08" w:rsidRPr="00140FA8" w:rsidRDefault="00A12B08" w:rsidP="00E67B44">
      <w:pPr>
        <w:pStyle w:val="ListParagraph"/>
        <w:numPr>
          <w:ilvl w:val="0"/>
          <w:numId w:val="222"/>
        </w:numPr>
        <w:jc w:val="both"/>
        <w:rPr>
          <w:color w:val="000000" w:themeColor="text1"/>
        </w:rPr>
      </w:pPr>
      <w:r w:rsidRPr="00140FA8">
        <w:rPr>
          <w:color w:val="000000" w:themeColor="text1"/>
        </w:rPr>
        <w:t>First 6 months: Suboptimal range setting, timing, gas optimization</w:t>
      </w:r>
    </w:p>
    <w:p w14:paraId="427B4D24" w14:textId="3229DF4D" w:rsidR="00A12B08" w:rsidRPr="00140FA8" w:rsidRDefault="00A12B08" w:rsidP="00E67B44">
      <w:pPr>
        <w:pStyle w:val="ListParagraph"/>
        <w:numPr>
          <w:ilvl w:val="0"/>
          <w:numId w:val="222"/>
        </w:numPr>
        <w:jc w:val="both"/>
        <w:rPr>
          <w:color w:val="000000" w:themeColor="text1"/>
        </w:rPr>
      </w:pPr>
      <w:r w:rsidRPr="00140FA8">
        <w:rPr>
          <w:color w:val="000000" w:themeColor="text1"/>
        </w:rPr>
        <w:t>Observed efficiency: 87% of optimal fee capture among positions &lt;6 months old</w:t>
      </w:r>
    </w:p>
    <w:p w14:paraId="0F4B403D" w14:textId="129AC00C" w:rsidR="00A12B08" w:rsidRPr="00140FA8" w:rsidRDefault="00A12B08" w:rsidP="00E67B44">
      <w:pPr>
        <w:pStyle w:val="ListParagraph"/>
        <w:numPr>
          <w:ilvl w:val="0"/>
          <w:numId w:val="222"/>
        </w:numPr>
        <w:jc w:val="both"/>
        <w:rPr>
          <w:color w:val="000000" w:themeColor="text1"/>
        </w:rPr>
      </w:pPr>
      <w:r w:rsidRPr="00140FA8">
        <w:rPr>
          <w:color w:val="000000" w:themeColor="text1"/>
        </w:rPr>
        <w:t>Calculation: $5,323 ÷ 0.87 = $6,118</w:t>
      </w:r>
    </w:p>
    <w:p w14:paraId="54EC15B0" w14:textId="77777777" w:rsidR="00A12B08" w:rsidRPr="00140FA8" w:rsidRDefault="00A12B08" w:rsidP="00E67B44">
      <w:pPr>
        <w:jc w:val="both"/>
        <w:rPr>
          <w:color w:val="000000" w:themeColor="text1"/>
        </w:rPr>
      </w:pPr>
    </w:p>
    <w:p w14:paraId="0008DD41" w14:textId="5EFA4B3C" w:rsidR="00A12B08" w:rsidRPr="00140FA8" w:rsidRDefault="00A12B08" w:rsidP="00E67B44">
      <w:pPr>
        <w:jc w:val="both"/>
        <w:rPr>
          <w:b/>
          <w:bCs/>
          <w:color w:val="000000" w:themeColor="text1"/>
        </w:rPr>
      </w:pPr>
      <w:r w:rsidRPr="00140FA8">
        <w:rPr>
          <w:b/>
          <w:bCs/>
          <w:color w:val="000000" w:themeColor="text1"/>
        </w:rPr>
        <w:t>Step 5: Opportunity Cost of Capital</w:t>
      </w:r>
    </w:p>
    <w:p w14:paraId="6F1CB1B2" w14:textId="77777777" w:rsidR="00A12B08" w:rsidRPr="00140FA8" w:rsidRDefault="00A12B08" w:rsidP="00E67B44">
      <w:pPr>
        <w:jc w:val="both"/>
        <w:rPr>
          <w:color w:val="000000" w:themeColor="text1"/>
        </w:rPr>
      </w:pPr>
      <w:r w:rsidRPr="00140FA8">
        <w:rPr>
          <w:color w:val="000000" w:themeColor="text1"/>
        </w:rPr>
        <w:t>Addition: +$153</w:t>
      </w:r>
    </w:p>
    <w:p w14:paraId="3AD9E484" w14:textId="6EB7ED61" w:rsidR="00A12B08" w:rsidRPr="00140FA8" w:rsidRDefault="00A12B08" w:rsidP="00E67B44">
      <w:pPr>
        <w:pStyle w:val="ListParagraph"/>
        <w:numPr>
          <w:ilvl w:val="0"/>
          <w:numId w:val="222"/>
        </w:numPr>
        <w:jc w:val="both"/>
        <w:rPr>
          <w:color w:val="000000" w:themeColor="text1"/>
        </w:rPr>
      </w:pPr>
      <w:r w:rsidRPr="00140FA8">
        <w:rPr>
          <w:color w:val="000000" w:themeColor="text1"/>
        </w:rPr>
        <w:t>Alternative investment: 10% annual return (S&amp;P 500 approximate)</w:t>
      </w:r>
    </w:p>
    <w:p w14:paraId="54205DD0" w14:textId="0FEBF705" w:rsidR="00A12B08" w:rsidRPr="00140FA8" w:rsidRDefault="00A12B08" w:rsidP="00E67B44">
      <w:pPr>
        <w:pStyle w:val="ListParagraph"/>
        <w:numPr>
          <w:ilvl w:val="0"/>
          <w:numId w:val="222"/>
        </w:numPr>
        <w:jc w:val="both"/>
        <w:rPr>
          <w:color w:val="000000" w:themeColor="text1"/>
        </w:rPr>
      </w:pPr>
      <w:r w:rsidRPr="00140FA8">
        <w:rPr>
          <w:color w:val="000000" w:themeColor="text1"/>
        </w:rPr>
        <w:t>Quarterly opportunity cost: $6,118 × 2.5% = $153</w:t>
      </w:r>
    </w:p>
    <w:p w14:paraId="78BBE7CD" w14:textId="699F93A9" w:rsidR="00A12B08" w:rsidRPr="00140FA8" w:rsidRDefault="00A12B08" w:rsidP="00E67B44">
      <w:pPr>
        <w:pStyle w:val="ListParagraph"/>
        <w:numPr>
          <w:ilvl w:val="0"/>
          <w:numId w:val="222"/>
        </w:numPr>
        <w:jc w:val="both"/>
        <w:rPr>
          <w:color w:val="000000" w:themeColor="text1"/>
        </w:rPr>
      </w:pPr>
      <w:r w:rsidRPr="00140FA8">
        <w:rPr>
          <w:color w:val="000000" w:themeColor="text1"/>
        </w:rPr>
        <w:t>Must generate fees exceeding this opportunity cost</w:t>
      </w:r>
    </w:p>
    <w:p w14:paraId="5BB88B3F" w14:textId="2E75B934" w:rsidR="00A12B08" w:rsidRPr="00140FA8" w:rsidRDefault="00A12B08" w:rsidP="00E67B44">
      <w:pPr>
        <w:pStyle w:val="ListParagraph"/>
        <w:numPr>
          <w:ilvl w:val="0"/>
          <w:numId w:val="222"/>
        </w:numPr>
        <w:jc w:val="both"/>
        <w:rPr>
          <w:color w:val="000000" w:themeColor="text1"/>
        </w:rPr>
      </w:pPr>
      <w:r w:rsidRPr="00140FA8">
        <w:rPr>
          <w:color w:val="000000" w:themeColor="text1"/>
        </w:rPr>
        <w:t>Subtotal: $6,118 + $153 = $6,271</w:t>
      </w:r>
    </w:p>
    <w:p w14:paraId="51C2DFC1" w14:textId="77777777" w:rsidR="00A12B08" w:rsidRPr="00140FA8" w:rsidRDefault="00A12B08" w:rsidP="00E67B44">
      <w:pPr>
        <w:jc w:val="both"/>
        <w:rPr>
          <w:color w:val="000000" w:themeColor="text1"/>
        </w:rPr>
      </w:pPr>
    </w:p>
    <w:p w14:paraId="3C0ED039" w14:textId="04D04FA0" w:rsidR="00A12B08" w:rsidRPr="00140FA8" w:rsidRDefault="00A12B08" w:rsidP="00E67B44">
      <w:pPr>
        <w:jc w:val="both"/>
        <w:rPr>
          <w:b/>
          <w:bCs/>
          <w:color w:val="000000" w:themeColor="text1"/>
        </w:rPr>
      </w:pPr>
      <w:r w:rsidRPr="00140FA8">
        <w:rPr>
          <w:b/>
          <w:bCs/>
          <w:color w:val="000000" w:themeColor="text1"/>
        </w:rPr>
        <w:t>Step 6: Impermanent Loss Reserve</w:t>
      </w:r>
    </w:p>
    <w:p w14:paraId="1F56DDC5" w14:textId="77777777" w:rsidR="00A12B08" w:rsidRPr="00140FA8" w:rsidRDefault="00A12B08" w:rsidP="00E67B44">
      <w:pPr>
        <w:jc w:val="both"/>
        <w:rPr>
          <w:color w:val="000000" w:themeColor="text1"/>
        </w:rPr>
      </w:pPr>
      <w:r w:rsidRPr="00140FA8">
        <w:rPr>
          <w:color w:val="000000" w:themeColor="text1"/>
        </w:rPr>
        <w:t>Addition: +$180</w:t>
      </w:r>
    </w:p>
    <w:p w14:paraId="628697D8" w14:textId="507C3E79" w:rsidR="00A12B08" w:rsidRPr="00140FA8" w:rsidRDefault="00A12B08" w:rsidP="00E67B44">
      <w:pPr>
        <w:pStyle w:val="ListParagraph"/>
        <w:numPr>
          <w:ilvl w:val="0"/>
          <w:numId w:val="222"/>
        </w:numPr>
        <w:jc w:val="both"/>
        <w:rPr>
          <w:color w:val="000000" w:themeColor="text1"/>
        </w:rPr>
      </w:pPr>
      <w:r w:rsidRPr="00140FA8">
        <w:rPr>
          <w:color w:val="000000" w:themeColor="text1"/>
        </w:rPr>
        <w:t xml:space="preserve">Even stablecoin pairs experience temporary </w:t>
      </w:r>
      <w:r w:rsidR="00EB36E1">
        <w:rPr>
          <w:color w:val="000000" w:themeColor="text1"/>
        </w:rPr>
        <w:t>de-pegging</w:t>
      </w:r>
    </w:p>
    <w:p w14:paraId="607C2C08" w14:textId="045F6FFC" w:rsidR="00A12B08" w:rsidRPr="00140FA8" w:rsidRDefault="00A12B08" w:rsidP="00E67B44">
      <w:pPr>
        <w:pStyle w:val="ListParagraph"/>
        <w:numPr>
          <w:ilvl w:val="0"/>
          <w:numId w:val="222"/>
        </w:numPr>
        <w:jc w:val="both"/>
        <w:rPr>
          <w:color w:val="000000" w:themeColor="text1"/>
        </w:rPr>
      </w:pPr>
      <w:r w:rsidRPr="00140FA8">
        <w:rPr>
          <w:color w:val="000000" w:themeColor="text1"/>
        </w:rPr>
        <w:t>Average quarterly IL management: $180 (median across 48 stablecoin positions)</w:t>
      </w:r>
    </w:p>
    <w:p w14:paraId="16B224B2" w14:textId="2C059B59" w:rsidR="00A12B08" w:rsidRPr="00140FA8" w:rsidRDefault="00A12B08" w:rsidP="00E67B44">
      <w:pPr>
        <w:pStyle w:val="ListParagraph"/>
        <w:numPr>
          <w:ilvl w:val="0"/>
          <w:numId w:val="222"/>
        </w:numPr>
        <w:jc w:val="both"/>
        <w:rPr>
          <w:color w:val="000000" w:themeColor="text1"/>
        </w:rPr>
      </w:pPr>
      <w:r w:rsidRPr="00140FA8">
        <w:rPr>
          <w:color w:val="000000" w:themeColor="text1"/>
        </w:rPr>
        <w:t>Subtotal: $6,271 + $180 = $6,451</w:t>
      </w:r>
    </w:p>
    <w:p w14:paraId="4B3688D2" w14:textId="77777777" w:rsidR="00A12B08" w:rsidRPr="00140FA8" w:rsidRDefault="00A12B08" w:rsidP="00E67B44">
      <w:pPr>
        <w:jc w:val="both"/>
        <w:rPr>
          <w:color w:val="000000" w:themeColor="text1"/>
        </w:rPr>
      </w:pPr>
    </w:p>
    <w:p w14:paraId="062BB70F" w14:textId="35D333B9" w:rsidR="00A12B08" w:rsidRPr="00140FA8" w:rsidRDefault="00A12B08" w:rsidP="00E67B44">
      <w:pPr>
        <w:jc w:val="both"/>
        <w:rPr>
          <w:b/>
          <w:bCs/>
          <w:color w:val="000000" w:themeColor="text1"/>
        </w:rPr>
      </w:pPr>
      <w:r w:rsidRPr="00140FA8">
        <w:rPr>
          <w:b/>
          <w:bCs/>
          <w:color w:val="000000" w:themeColor="text1"/>
        </w:rPr>
        <w:t>Step 7: Drawdown Survival Requirement</w:t>
      </w:r>
    </w:p>
    <w:p w14:paraId="561A7AF6" w14:textId="77777777" w:rsidR="00A12B08" w:rsidRPr="00140FA8" w:rsidRDefault="00A12B08" w:rsidP="00E67B44">
      <w:pPr>
        <w:jc w:val="both"/>
        <w:rPr>
          <w:color w:val="000000" w:themeColor="text1"/>
        </w:rPr>
      </w:pPr>
      <w:r w:rsidRPr="00140FA8">
        <w:rPr>
          <w:color w:val="000000" w:themeColor="text1"/>
        </w:rPr>
        <w:t>Multiplier: ×2.0</w:t>
      </w:r>
    </w:p>
    <w:p w14:paraId="50EC1844" w14:textId="6D1C6EB8" w:rsidR="00A12B08" w:rsidRPr="00140FA8" w:rsidRDefault="00A12B08" w:rsidP="00E67B44">
      <w:pPr>
        <w:pStyle w:val="ListParagraph"/>
        <w:numPr>
          <w:ilvl w:val="0"/>
          <w:numId w:val="226"/>
        </w:numPr>
        <w:jc w:val="both"/>
        <w:rPr>
          <w:color w:val="000000" w:themeColor="text1"/>
        </w:rPr>
      </w:pPr>
      <w:r w:rsidRPr="00140FA8">
        <w:rPr>
          <w:color w:val="000000" w:themeColor="text1"/>
        </w:rPr>
        <w:t>Must survive 50% drawdown without forced exit</w:t>
      </w:r>
    </w:p>
    <w:p w14:paraId="0C6BCDEF" w14:textId="0120F5FC" w:rsidR="00A12B08" w:rsidRPr="00140FA8" w:rsidRDefault="00A12B08" w:rsidP="00E67B44">
      <w:pPr>
        <w:pStyle w:val="ListParagraph"/>
        <w:numPr>
          <w:ilvl w:val="0"/>
          <w:numId w:val="222"/>
        </w:numPr>
        <w:jc w:val="both"/>
        <w:rPr>
          <w:color w:val="000000" w:themeColor="text1"/>
        </w:rPr>
      </w:pPr>
      <w:r w:rsidRPr="00140FA8">
        <w:rPr>
          <w:color w:val="000000" w:themeColor="text1"/>
        </w:rPr>
        <w:t>A $10,000 position that drops 50% = $5,000 remaining</w:t>
      </w:r>
    </w:p>
    <w:p w14:paraId="1EC80C83" w14:textId="7A5BAC0B" w:rsidR="00A12B08" w:rsidRPr="00140FA8" w:rsidRDefault="00A12B08" w:rsidP="00E67B44">
      <w:pPr>
        <w:pStyle w:val="ListParagraph"/>
        <w:numPr>
          <w:ilvl w:val="0"/>
          <w:numId w:val="222"/>
        </w:numPr>
        <w:jc w:val="both"/>
        <w:rPr>
          <w:color w:val="000000" w:themeColor="text1"/>
        </w:rPr>
      </w:pPr>
      <w:r w:rsidRPr="00140FA8">
        <w:rPr>
          <w:color w:val="000000" w:themeColor="text1"/>
        </w:rPr>
        <w:t>If minimum viable = $6,451, then $5,000 &lt; $6,451 → forced exit</w:t>
      </w:r>
    </w:p>
    <w:p w14:paraId="7B94CA63" w14:textId="1140C1AB" w:rsidR="00A12B08" w:rsidRPr="00140FA8" w:rsidRDefault="00A12B08" w:rsidP="00E67B44">
      <w:pPr>
        <w:pStyle w:val="ListParagraph"/>
        <w:numPr>
          <w:ilvl w:val="0"/>
          <w:numId w:val="222"/>
        </w:numPr>
        <w:jc w:val="both"/>
        <w:rPr>
          <w:color w:val="000000" w:themeColor="text1"/>
        </w:rPr>
      </w:pPr>
      <w:r w:rsidRPr="00140FA8">
        <w:rPr>
          <w:color w:val="000000" w:themeColor="text1"/>
        </w:rPr>
        <w:t>Therefore require: $6,451 × 2 = $12,902 to survive drawdown</w:t>
      </w:r>
    </w:p>
    <w:p w14:paraId="16253F23" w14:textId="77777777" w:rsidR="00A12B08" w:rsidRPr="00140FA8" w:rsidRDefault="00A12B08" w:rsidP="00E67B44">
      <w:pPr>
        <w:jc w:val="both"/>
        <w:rPr>
          <w:color w:val="000000" w:themeColor="text1"/>
        </w:rPr>
      </w:pPr>
    </w:p>
    <w:p w14:paraId="2DF3EF44" w14:textId="69C5D03A" w:rsidR="00A12B08" w:rsidRPr="00140FA8" w:rsidRDefault="00A12B08" w:rsidP="00E67B44">
      <w:pPr>
        <w:jc w:val="both"/>
        <w:rPr>
          <w:b/>
          <w:bCs/>
          <w:color w:val="000000" w:themeColor="text1"/>
        </w:rPr>
      </w:pPr>
      <w:r w:rsidRPr="00140FA8">
        <w:rPr>
          <w:b/>
          <w:bCs/>
          <w:color w:val="000000" w:themeColor="text1"/>
        </w:rPr>
        <w:t>Step 8: Protocol Diversification Minimum</w:t>
      </w:r>
    </w:p>
    <w:p w14:paraId="022EDD79" w14:textId="77777777" w:rsidR="00A12B08" w:rsidRPr="00140FA8" w:rsidRDefault="00A12B08" w:rsidP="00E67B44">
      <w:pPr>
        <w:jc w:val="both"/>
        <w:rPr>
          <w:color w:val="000000" w:themeColor="text1"/>
        </w:rPr>
      </w:pPr>
      <w:r w:rsidRPr="00140FA8">
        <w:rPr>
          <w:color w:val="000000" w:themeColor="text1"/>
        </w:rPr>
        <w:t>Multiplier: ×1.8</w:t>
      </w:r>
    </w:p>
    <w:p w14:paraId="5AF30F4C" w14:textId="3B1CDBE1" w:rsidR="00A12B08" w:rsidRPr="00140FA8" w:rsidRDefault="00A12B08" w:rsidP="00E67B44">
      <w:pPr>
        <w:pStyle w:val="ListParagraph"/>
        <w:numPr>
          <w:ilvl w:val="0"/>
          <w:numId w:val="223"/>
        </w:numPr>
        <w:jc w:val="both"/>
        <w:rPr>
          <w:color w:val="000000" w:themeColor="text1"/>
        </w:rPr>
      </w:pPr>
      <w:r w:rsidRPr="00140FA8">
        <w:rPr>
          <w:color w:val="000000" w:themeColor="text1"/>
        </w:rPr>
        <w:t>Risk management requires 2-3 protocol diversification</w:t>
      </w:r>
    </w:p>
    <w:p w14:paraId="399EB41F" w14:textId="0F778DEA" w:rsidR="00A12B08" w:rsidRPr="00140FA8" w:rsidRDefault="00A12B08" w:rsidP="00E67B44">
      <w:pPr>
        <w:pStyle w:val="ListParagraph"/>
        <w:numPr>
          <w:ilvl w:val="0"/>
          <w:numId w:val="222"/>
        </w:numPr>
        <w:jc w:val="both"/>
        <w:rPr>
          <w:color w:val="000000" w:themeColor="text1"/>
        </w:rPr>
      </w:pPr>
      <w:r w:rsidRPr="00140FA8">
        <w:rPr>
          <w:color w:val="000000" w:themeColor="text1"/>
        </w:rPr>
        <w:t>Cannot split $12,902 into 2-3 viable positions</w:t>
      </w:r>
    </w:p>
    <w:p w14:paraId="1870EE1E" w14:textId="30C70A58" w:rsidR="00A12B08" w:rsidRPr="00140FA8" w:rsidRDefault="00A12B08" w:rsidP="00E67B44">
      <w:pPr>
        <w:pStyle w:val="ListParagraph"/>
        <w:numPr>
          <w:ilvl w:val="0"/>
          <w:numId w:val="222"/>
        </w:numPr>
        <w:jc w:val="both"/>
        <w:rPr>
          <w:color w:val="000000" w:themeColor="text1"/>
        </w:rPr>
      </w:pPr>
      <w:r w:rsidRPr="00140FA8">
        <w:rPr>
          <w:color w:val="000000" w:themeColor="text1"/>
        </w:rPr>
        <w:t>Need minimum 1.8x to enable meaningful diversification</w:t>
      </w:r>
    </w:p>
    <w:p w14:paraId="3F6BBB1B" w14:textId="054F797F" w:rsidR="00A12B08" w:rsidRPr="00140FA8" w:rsidRDefault="00A12B08" w:rsidP="00E67B44">
      <w:pPr>
        <w:pStyle w:val="ListParagraph"/>
        <w:numPr>
          <w:ilvl w:val="0"/>
          <w:numId w:val="222"/>
        </w:numPr>
        <w:jc w:val="both"/>
        <w:rPr>
          <w:color w:val="000000" w:themeColor="text1"/>
        </w:rPr>
      </w:pPr>
      <w:r w:rsidRPr="00140FA8">
        <w:rPr>
          <w:color w:val="000000" w:themeColor="text1"/>
        </w:rPr>
        <w:t>Final calculation: $12,902 × 1.8 = $23,223</w:t>
      </w:r>
    </w:p>
    <w:p w14:paraId="22F5DC38" w14:textId="77777777" w:rsidR="00A12B08" w:rsidRPr="00140FA8" w:rsidRDefault="00A12B08" w:rsidP="00E67B44">
      <w:pPr>
        <w:jc w:val="both"/>
        <w:rPr>
          <w:color w:val="000000" w:themeColor="text1"/>
        </w:rPr>
      </w:pPr>
    </w:p>
    <w:p w14:paraId="4D0E08EA" w14:textId="5AB528D5" w:rsidR="00A12B08" w:rsidRPr="00140FA8" w:rsidRDefault="00A12B08" w:rsidP="00E67B44">
      <w:pPr>
        <w:jc w:val="both"/>
        <w:rPr>
          <w:b/>
          <w:bCs/>
          <w:color w:val="000000" w:themeColor="text1"/>
        </w:rPr>
      </w:pPr>
      <w:r w:rsidRPr="00140FA8">
        <w:rPr>
          <w:b/>
          <w:bCs/>
          <w:color w:val="000000" w:themeColor="text1"/>
        </w:rPr>
        <w:t>Empirical Validation:</w:t>
      </w:r>
    </w:p>
    <w:p w14:paraId="2E78D82B" w14:textId="77777777" w:rsidR="00A12B08" w:rsidRPr="00140FA8" w:rsidRDefault="00A12B08" w:rsidP="00E67B44">
      <w:pPr>
        <w:jc w:val="both"/>
        <w:rPr>
          <w:color w:val="000000" w:themeColor="text1"/>
        </w:rPr>
      </w:pPr>
      <w:r w:rsidRPr="00140FA8">
        <w:rPr>
          <w:color w:val="000000" w:themeColor="text1"/>
        </w:rPr>
        <w:t xml:space="preserve">This component-based calculation ($23,223) aligns closely with observed median successful position size ($25,700, IQR: $21,000-$31,000 among n=48 </w:t>
      </w:r>
      <w:proofErr w:type="spellStart"/>
      <w:r w:rsidRPr="00140FA8">
        <w:rPr>
          <w:color w:val="000000" w:themeColor="text1"/>
        </w:rPr>
        <w:t>mainnet</w:t>
      </w:r>
      <w:proofErr w:type="spellEnd"/>
      <w:r w:rsidRPr="00140FA8">
        <w:rPr>
          <w:color w:val="000000" w:themeColor="text1"/>
        </w:rPr>
        <w:t xml:space="preserve"> positions achieving positive returns).</w:t>
      </w:r>
    </w:p>
    <w:p w14:paraId="6D09B752" w14:textId="77777777" w:rsidR="00A12B08" w:rsidRPr="00140FA8" w:rsidRDefault="00A12B08" w:rsidP="00E67B44">
      <w:pPr>
        <w:jc w:val="both"/>
        <w:rPr>
          <w:color w:val="000000" w:themeColor="text1"/>
        </w:rPr>
      </w:pPr>
    </w:p>
    <w:p w14:paraId="28CAAC7E" w14:textId="77777777" w:rsidR="00A12B08" w:rsidRPr="00140FA8" w:rsidRDefault="00A12B08" w:rsidP="00E67B44">
      <w:pPr>
        <w:jc w:val="both"/>
        <w:rPr>
          <w:color w:val="000000" w:themeColor="text1"/>
        </w:rPr>
      </w:pPr>
      <w:r w:rsidRPr="00140FA8">
        <w:rPr>
          <w:color w:val="000000" w:themeColor="text1"/>
        </w:rPr>
        <w:t>The difference ($25,700 - $23,223 = $2,477) likely reflects:</w:t>
      </w:r>
    </w:p>
    <w:p w14:paraId="0248203D" w14:textId="64106E42" w:rsidR="00A12B08" w:rsidRPr="00140FA8" w:rsidRDefault="00A12B08" w:rsidP="00E67B44">
      <w:pPr>
        <w:pStyle w:val="ListParagraph"/>
        <w:numPr>
          <w:ilvl w:val="0"/>
          <w:numId w:val="224"/>
        </w:numPr>
        <w:jc w:val="both"/>
        <w:rPr>
          <w:color w:val="000000" w:themeColor="text1"/>
        </w:rPr>
      </w:pPr>
      <w:r w:rsidRPr="00140FA8">
        <w:rPr>
          <w:color w:val="000000" w:themeColor="text1"/>
        </w:rPr>
        <w:lastRenderedPageBreak/>
        <w:t>Psychological comfort buffer (participants deploy slightly more than minimum)</w:t>
      </w:r>
    </w:p>
    <w:p w14:paraId="24097C0F" w14:textId="2D243A0D" w:rsidR="00A12B08" w:rsidRPr="00140FA8" w:rsidRDefault="00A12B08" w:rsidP="00E67B44">
      <w:pPr>
        <w:pStyle w:val="ListParagraph"/>
        <w:numPr>
          <w:ilvl w:val="0"/>
          <w:numId w:val="224"/>
        </w:numPr>
        <w:jc w:val="both"/>
        <w:rPr>
          <w:color w:val="000000" w:themeColor="text1"/>
        </w:rPr>
      </w:pPr>
      <w:r w:rsidRPr="00140FA8">
        <w:rPr>
          <w:color w:val="000000" w:themeColor="text1"/>
        </w:rPr>
        <w:t>Competition effects (larger positions capture more flow)</w:t>
      </w:r>
    </w:p>
    <w:p w14:paraId="1AE91243" w14:textId="7DBB877A" w:rsidR="00A12B08" w:rsidRPr="00140FA8" w:rsidRDefault="00A12B08" w:rsidP="00E67B44">
      <w:pPr>
        <w:pStyle w:val="ListParagraph"/>
        <w:numPr>
          <w:ilvl w:val="0"/>
          <w:numId w:val="224"/>
        </w:numPr>
        <w:jc w:val="both"/>
        <w:rPr>
          <w:color w:val="000000" w:themeColor="text1"/>
        </w:rPr>
      </w:pPr>
      <w:r w:rsidRPr="00140FA8">
        <w:rPr>
          <w:color w:val="000000" w:themeColor="text1"/>
        </w:rPr>
        <w:t>Additional reserves for opportunistic rebalancing</w:t>
      </w:r>
    </w:p>
    <w:p w14:paraId="7A6E5167" w14:textId="77777777" w:rsidR="00A12B08" w:rsidRPr="00140FA8" w:rsidRDefault="00A12B08" w:rsidP="00E67B44">
      <w:pPr>
        <w:jc w:val="both"/>
        <w:rPr>
          <w:color w:val="000000" w:themeColor="text1"/>
        </w:rPr>
      </w:pPr>
    </w:p>
    <w:p w14:paraId="7535DE0A" w14:textId="55517ABC" w:rsidR="00A12B08" w:rsidRPr="00140FA8" w:rsidRDefault="00A12B08" w:rsidP="00E67B44">
      <w:pPr>
        <w:jc w:val="both"/>
        <w:rPr>
          <w:b/>
          <w:bCs/>
          <w:color w:val="000000" w:themeColor="text1"/>
        </w:rPr>
      </w:pPr>
      <w:r w:rsidRPr="00140FA8">
        <w:rPr>
          <w:b/>
          <w:bCs/>
          <w:color w:val="000000" w:themeColor="text1"/>
        </w:rPr>
        <w:t>Reported Threshold: $25,000</w:t>
      </w:r>
    </w:p>
    <w:p w14:paraId="2E942EFA" w14:textId="644D5406" w:rsidR="00A12B08" w:rsidRPr="00140FA8" w:rsidRDefault="00A12B08" w:rsidP="00E67B44">
      <w:pPr>
        <w:pStyle w:val="ListParagraph"/>
        <w:numPr>
          <w:ilvl w:val="0"/>
          <w:numId w:val="225"/>
        </w:numPr>
        <w:jc w:val="both"/>
        <w:rPr>
          <w:color w:val="000000" w:themeColor="text1"/>
        </w:rPr>
      </w:pPr>
      <w:r w:rsidRPr="00140FA8">
        <w:rPr>
          <w:color w:val="000000" w:themeColor="text1"/>
        </w:rPr>
        <w:t xml:space="preserve">Based </w:t>
      </w:r>
      <w:proofErr w:type="gramStart"/>
      <w:r w:rsidRPr="00140FA8">
        <w:rPr>
          <w:color w:val="000000" w:themeColor="text1"/>
        </w:rPr>
        <w:t>on:</w:t>
      </w:r>
      <w:proofErr w:type="gramEnd"/>
      <w:r w:rsidRPr="00140FA8">
        <w:rPr>
          <w:color w:val="000000" w:themeColor="text1"/>
        </w:rPr>
        <w:t xml:space="preserve"> $23,223 component calculation</w:t>
      </w:r>
    </w:p>
    <w:p w14:paraId="05DB04B7" w14:textId="4D81CB96" w:rsidR="00A12B08" w:rsidRPr="00140FA8" w:rsidRDefault="00A12B08" w:rsidP="00E67B44">
      <w:pPr>
        <w:pStyle w:val="ListParagraph"/>
        <w:numPr>
          <w:ilvl w:val="0"/>
          <w:numId w:val="225"/>
        </w:numPr>
        <w:jc w:val="both"/>
        <w:rPr>
          <w:color w:val="000000" w:themeColor="text1"/>
        </w:rPr>
      </w:pPr>
      <w:r w:rsidRPr="00140FA8">
        <w:rPr>
          <w:color w:val="000000" w:themeColor="text1"/>
        </w:rPr>
        <w:t xml:space="preserve">Rounded </w:t>
      </w:r>
      <w:proofErr w:type="gramStart"/>
      <w:r w:rsidRPr="00140FA8">
        <w:rPr>
          <w:color w:val="000000" w:themeColor="text1"/>
        </w:rPr>
        <w:t>to:</w:t>
      </w:r>
      <w:proofErr w:type="gramEnd"/>
      <w:r w:rsidRPr="00140FA8">
        <w:rPr>
          <w:color w:val="000000" w:themeColor="text1"/>
        </w:rPr>
        <w:t xml:space="preserve"> $25,000 for practical guidance</w:t>
      </w:r>
    </w:p>
    <w:p w14:paraId="25B89552" w14:textId="1C3DC984" w:rsidR="00BF1BCB" w:rsidRPr="00140FA8" w:rsidRDefault="00A12B08" w:rsidP="00E67B44">
      <w:pPr>
        <w:pStyle w:val="ListParagraph"/>
        <w:numPr>
          <w:ilvl w:val="0"/>
          <w:numId w:val="225"/>
        </w:numPr>
        <w:jc w:val="both"/>
        <w:rPr>
          <w:color w:val="000000" w:themeColor="text1"/>
        </w:rPr>
      </w:pPr>
      <w:r w:rsidRPr="00140FA8">
        <w:rPr>
          <w:color w:val="000000" w:themeColor="text1"/>
        </w:rPr>
        <w:t>Range: $18,000-$31,000 reflects sensitivity to gas price assumptions (range from 25th to 95th percentile instead of 75th)</w:t>
      </w:r>
    </w:p>
    <w:p w14:paraId="24333FA2" w14:textId="77777777" w:rsidR="00A12B08" w:rsidRPr="00140FA8" w:rsidRDefault="00A12B08" w:rsidP="00E67B44">
      <w:pPr>
        <w:jc w:val="both"/>
        <w:rPr>
          <w:color w:val="000000" w:themeColor="text1"/>
        </w:rPr>
      </w:pPr>
    </w:p>
    <w:p w14:paraId="72FF751B" w14:textId="1C4A84DF" w:rsidR="00BF1BCB" w:rsidRPr="00140FA8" w:rsidRDefault="00BF1BCB" w:rsidP="00E67B44">
      <w:pPr>
        <w:jc w:val="both"/>
        <w:rPr>
          <w:color w:val="000000" w:themeColor="text1"/>
        </w:rPr>
      </w:pPr>
      <w:r w:rsidRPr="00140FA8">
        <w:rPr>
          <w:color w:val="000000" w:themeColor="text1"/>
        </w:rPr>
        <w:t>Note: Individual safety factors (gas volatility, execution quality, reserves) interact non-additively in practice, which is why the empirical multiplier exceeds what component analysis would suggest.</w:t>
      </w:r>
    </w:p>
    <w:p w14:paraId="0961160D" w14:textId="77777777" w:rsidR="00140FA8" w:rsidRPr="00140FA8" w:rsidRDefault="00140FA8" w:rsidP="00E67B44">
      <w:pPr>
        <w:pStyle w:val="Heading4"/>
        <w:jc w:val="both"/>
        <w:rPr>
          <w:rFonts w:eastAsiaTheme="majorEastAsia"/>
          <w:color w:val="000000" w:themeColor="text1"/>
        </w:rPr>
      </w:pPr>
    </w:p>
    <w:p w14:paraId="7200EB4F" w14:textId="71D81316" w:rsidR="002818CC" w:rsidRPr="00140FA8" w:rsidRDefault="00D40153" w:rsidP="00E67B44">
      <w:pPr>
        <w:pStyle w:val="Heading4"/>
        <w:jc w:val="both"/>
        <w:rPr>
          <w:rFonts w:eastAsiaTheme="majorEastAsia"/>
          <w:color w:val="000000" w:themeColor="text1"/>
        </w:rPr>
      </w:pPr>
      <w:r w:rsidRPr="00140FA8">
        <w:rPr>
          <w:rFonts w:eastAsiaTheme="majorEastAsia"/>
          <w:color w:val="000000" w:themeColor="text1"/>
        </w:rPr>
        <w:t>Layer 2 Calculation (for comparison):</w:t>
      </w:r>
    </w:p>
    <w:p w14:paraId="0905A948" w14:textId="77777777" w:rsidR="00D40153" w:rsidRPr="00140FA8" w:rsidRDefault="00D40153" w:rsidP="00E67B44">
      <w:pPr>
        <w:jc w:val="both"/>
        <w:rPr>
          <w:color w:val="000000" w:themeColor="text1"/>
        </w:rPr>
      </w:pPr>
      <w:r w:rsidRPr="00140FA8">
        <w:rPr>
          <w:color w:val="000000" w:themeColor="text1"/>
        </w:rPr>
        <w:t>Given:</w:t>
      </w:r>
    </w:p>
    <w:p w14:paraId="393BE10F" w14:textId="77777777" w:rsidR="00D40153" w:rsidRPr="00140FA8" w:rsidRDefault="00D40153" w:rsidP="00E67B44">
      <w:pPr>
        <w:numPr>
          <w:ilvl w:val="0"/>
          <w:numId w:val="171"/>
        </w:numPr>
        <w:jc w:val="both"/>
        <w:rPr>
          <w:color w:val="000000" w:themeColor="text1"/>
        </w:rPr>
      </w:pPr>
      <w:r w:rsidRPr="00140FA8">
        <w:rPr>
          <w:color w:val="000000" w:themeColor="text1"/>
        </w:rPr>
        <w:t xml:space="preserve">L2 gas costs: ~$2 per transaction (95% reduction vs </w:t>
      </w:r>
      <w:proofErr w:type="spellStart"/>
      <w:r w:rsidRPr="00140FA8">
        <w:rPr>
          <w:color w:val="000000" w:themeColor="text1"/>
        </w:rPr>
        <w:t>mainnet</w:t>
      </w:r>
      <w:proofErr w:type="spellEnd"/>
      <w:r w:rsidRPr="00140FA8">
        <w:rPr>
          <w:color w:val="000000" w:themeColor="text1"/>
        </w:rPr>
        <w:t>)</w:t>
      </w:r>
    </w:p>
    <w:p w14:paraId="4935D53D" w14:textId="77777777" w:rsidR="00D40153" w:rsidRPr="00140FA8" w:rsidRDefault="00D40153" w:rsidP="00E67B44">
      <w:pPr>
        <w:numPr>
          <w:ilvl w:val="0"/>
          <w:numId w:val="171"/>
        </w:numPr>
        <w:jc w:val="both"/>
        <w:rPr>
          <w:color w:val="000000" w:themeColor="text1"/>
        </w:rPr>
      </w:pPr>
      <w:r w:rsidRPr="00140FA8">
        <w:rPr>
          <w:color w:val="000000" w:themeColor="text1"/>
        </w:rPr>
        <w:t>Same transaction frequency: 15 per quarter</w:t>
      </w:r>
    </w:p>
    <w:p w14:paraId="3142685E" w14:textId="77777777" w:rsidR="00D40153" w:rsidRPr="00140FA8" w:rsidRDefault="00D40153" w:rsidP="00E67B44">
      <w:pPr>
        <w:numPr>
          <w:ilvl w:val="0"/>
          <w:numId w:val="171"/>
        </w:numPr>
        <w:jc w:val="both"/>
        <w:rPr>
          <w:color w:val="000000" w:themeColor="text1"/>
        </w:rPr>
      </w:pPr>
      <w:r w:rsidRPr="00140FA8">
        <w:rPr>
          <w:color w:val="000000" w:themeColor="text1"/>
        </w:rPr>
        <w:t>Quarterly gas costs: 15 × $2 = $30</w:t>
      </w:r>
    </w:p>
    <w:p w14:paraId="14B6D4E5" w14:textId="77777777" w:rsidR="00140FA8" w:rsidRPr="00140FA8" w:rsidRDefault="00140FA8" w:rsidP="00E67B44">
      <w:pPr>
        <w:jc w:val="both"/>
        <w:rPr>
          <w:color w:val="000000" w:themeColor="text1"/>
        </w:rPr>
      </w:pPr>
    </w:p>
    <w:p w14:paraId="5BAAA481" w14:textId="145179B5" w:rsidR="00D40153" w:rsidRPr="00140FA8" w:rsidRDefault="00D40153" w:rsidP="00E67B44">
      <w:pPr>
        <w:jc w:val="both"/>
        <w:rPr>
          <w:color w:val="000000" w:themeColor="text1"/>
        </w:rPr>
      </w:pPr>
      <w:r w:rsidRPr="00140FA8">
        <w:rPr>
          <w:color w:val="000000" w:themeColor="text1"/>
        </w:rPr>
        <w:t>For same 0.3% fee capture: Position size ≥ $30 / (0.003 × 2 × 90) Position size ≥ $56</w:t>
      </w:r>
    </w:p>
    <w:p w14:paraId="3C75D835" w14:textId="77777777" w:rsidR="00D40153" w:rsidRPr="00140FA8" w:rsidRDefault="00D40153" w:rsidP="00E67B44">
      <w:pPr>
        <w:jc w:val="both"/>
        <w:rPr>
          <w:color w:val="000000" w:themeColor="text1"/>
        </w:rPr>
      </w:pPr>
      <w:r w:rsidRPr="00140FA8">
        <w:rPr>
          <w:color w:val="000000" w:themeColor="text1"/>
        </w:rPr>
        <w:t>Including operational costs (proportionally reduced): Total operational burden: $30 + $10 + $10 + $312 = $362 quarterly Position size ≥ $362 / (0.003 × 2 × 90) Position size ≥ $670</w:t>
      </w:r>
    </w:p>
    <w:p w14:paraId="0FF43FF3" w14:textId="77777777" w:rsidR="00D40153" w:rsidRPr="00140FA8" w:rsidRDefault="00D40153" w:rsidP="00E67B44">
      <w:pPr>
        <w:jc w:val="both"/>
        <w:rPr>
          <w:color w:val="000000" w:themeColor="text1"/>
        </w:rPr>
      </w:pPr>
      <w:r w:rsidRPr="00140FA8">
        <w:rPr>
          <w:color w:val="000000" w:themeColor="text1"/>
        </w:rPr>
        <w:t>With safety margin: Minimum viable position = $670 × 5 = $3,350 ≈ $3,500</w:t>
      </w:r>
    </w:p>
    <w:p w14:paraId="24776B06" w14:textId="77777777" w:rsidR="00140FA8" w:rsidRPr="00140FA8" w:rsidRDefault="00140FA8" w:rsidP="00E67B44">
      <w:pPr>
        <w:jc w:val="both"/>
        <w:rPr>
          <w:rFonts w:eastAsiaTheme="majorEastAsia"/>
          <w:b/>
          <w:bCs/>
          <w:color w:val="000000" w:themeColor="text1"/>
        </w:rPr>
      </w:pPr>
    </w:p>
    <w:p w14:paraId="69C39361" w14:textId="7C7B624F" w:rsidR="00D40153" w:rsidRPr="00140FA8" w:rsidRDefault="00D40153" w:rsidP="00E67B44">
      <w:pPr>
        <w:jc w:val="both"/>
        <w:rPr>
          <w:rFonts w:eastAsiaTheme="majorEastAsia"/>
          <w:b/>
          <w:bCs/>
          <w:color w:val="000000" w:themeColor="text1"/>
        </w:rPr>
      </w:pPr>
      <w:r w:rsidRPr="00140FA8">
        <w:rPr>
          <w:rFonts w:eastAsiaTheme="majorEastAsia"/>
          <w:b/>
          <w:bCs/>
          <w:color w:val="000000" w:themeColor="text1"/>
        </w:rPr>
        <w:t>Polygon Calculation:</w:t>
      </w:r>
    </w:p>
    <w:p w14:paraId="2450FD36" w14:textId="419BCD5F" w:rsidR="002818CC" w:rsidRPr="00140FA8" w:rsidRDefault="00D40153" w:rsidP="00E67B44">
      <w:pPr>
        <w:jc w:val="both"/>
        <w:rPr>
          <w:color w:val="000000" w:themeColor="text1"/>
        </w:rPr>
      </w:pPr>
      <w:r w:rsidRPr="00140FA8">
        <w:rPr>
          <w:color w:val="000000" w:themeColor="text1"/>
        </w:rPr>
        <w:t>Gas costs: ~$0.20 per transaction Quarterly operational costs: ~$75 total Break-even calculation: $75 / (0.003 × 2 × 90) = $139 With safety margin: $139 × 5.4 ≈ $750</w:t>
      </w:r>
    </w:p>
    <w:p w14:paraId="642C6D17" w14:textId="77777777" w:rsidR="00D40153" w:rsidRPr="00140FA8" w:rsidRDefault="00D40153" w:rsidP="00E67B44">
      <w:pPr>
        <w:jc w:val="both"/>
        <w:rPr>
          <w:color w:val="000000" w:themeColor="text1"/>
        </w:rPr>
      </w:pPr>
    </w:p>
    <w:p w14:paraId="0367C58D" w14:textId="77777777" w:rsidR="00A12B08" w:rsidRPr="00140FA8" w:rsidRDefault="00D40153" w:rsidP="00E67B44">
      <w:pPr>
        <w:jc w:val="both"/>
        <w:rPr>
          <w:color w:val="000000" w:themeColor="text1"/>
        </w:rPr>
      </w:pPr>
      <w:r w:rsidRPr="00140FA8">
        <w:rPr>
          <w:b/>
          <w:bCs/>
          <w:color w:val="000000" w:themeColor="text1"/>
        </w:rPr>
        <w:t>Key Assumptions:</w:t>
      </w:r>
      <w:r w:rsidRPr="00140FA8">
        <w:rPr>
          <w:color w:val="000000" w:themeColor="text1"/>
        </w:rPr>
        <w:t xml:space="preserve"> </w:t>
      </w:r>
    </w:p>
    <w:p w14:paraId="7165E18C" w14:textId="77777777" w:rsidR="00A12B08" w:rsidRPr="00140FA8" w:rsidRDefault="00D40153" w:rsidP="00E67B44">
      <w:pPr>
        <w:pStyle w:val="ListParagraph"/>
        <w:numPr>
          <w:ilvl w:val="0"/>
          <w:numId w:val="185"/>
        </w:numPr>
        <w:jc w:val="both"/>
        <w:rPr>
          <w:rFonts w:eastAsiaTheme="majorEastAsia"/>
          <w:i/>
          <w:iCs/>
          <w:color w:val="000000" w:themeColor="text1"/>
        </w:rPr>
      </w:pPr>
      <w:r w:rsidRPr="00140FA8">
        <w:rPr>
          <w:color w:val="000000" w:themeColor="text1"/>
        </w:rPr>
        <w:t xml:space="preserve">Fee capture rate: 0.3% per trade (conservative for 0.05%-0.30% pools) </w:t>
      </w:r>
    </w:p>
    <w:p w14:paraId="072D8041" w14:textId="77777777" w:rsidR="00A12B08" w:rsidRPr="00140FA8" w:rsidRDefault="00D40153" w:rsidP="00E67B44">
      <w:pPr>
        <w:pStyle w:val="ListParagraph"/>
        <w:numPr>
          <w:ilvl w:val="0"/>
          <w:numId w:val="185"/>
        </w:numPr>
        <w:jc w:val="both"/>
        <w:rPr>
          <w:rFonts w:eastAsiaTheme="majorEastAsia"/>
          <w:i/>
          <w:iCs/>
          <w:color w:val="000000" w:themeColor="text1"/>
        </w:rPr>
      </w:pPr>
      <w:r w:rsidRPr="00140FA8">
        <w:rPr>
          <w:color w:val="000000" w:themeColor="text1"/>
        </w:rPr>
        <w:t xml:space="preserve">Daily turnover: 2x position size (median observed in stablecoin pairs) </w:t>
      </w:r>
    </w:p>
    <w:p w14:paraId="776DB82F" w14:textId="77777777" w:rsidR="00A12B08" w:rsidRPr="00140FA8" w:rsidRDefault="00D40153" w:rsidP="00E67B44">
      <w:pPr>
        <w:pStyle w:val="ListParagraph"/>
        <w:numPr>
          <w:ilvl w:val="0"/>
          <w:numId w:val="185"/>
        </w:numPr>
        <w:jc w:val="both"/>
        <w:rPr>
          <w:rFonts w:eastAsiaTheme="majorEastAsia"/>
          <w:i/>
          <w:iCs/>
          <w:color w:val="000000" w:themeColor="text1"/>
        </w:rPr>
      </w:pPr>
      <w:r w:rsidRPr="00140FA8">
        <w:rPr>
          <w:color w:val="000000" w:themeColor="text1"/>
        </w:rPr>
        <w:t xml:space="preserve">Transaction frequency: 15 per quarter (1.7 per week average) </w:t>
      </w:r>
    </w:p>
    <w:p w14:paraId="023CAF44" w14:textId="77777777" w:rsidR="00A12B08" w:rsidRPr="00140FA8" w:rsidRDefault="00D40153" w:rsidP="00E67B44">
      <w:pPr>
        <w:pStyle w:val="ListParagraph"/>
        <w:numPr>
          <w:ilvl w:val="0"/>
          <w:numId w:val="185"/>
        </w:numPr>
        <w:jc w:val="both"/>
        <w:rPr>
          <w:rFonts w:eastAsiaTheme="majorEastAsia"/>
          <w:i/>
          <w:iCs/>
          <w:color w:val="000000" w:themeColor="text1"/>
        </w:rPr>
      </w:pPr>
      <w:r w:rsidRPr="00140FA8">
        <w:rPr>
          <w:color w:val="000000" w:themeColor="text1"/>
        </w:rPr>
        <w:t xml:space="preserve">Safety margin: 5-7.5× to account for market conditions and execution variance </w:t>
      </w:r>
    </w:p>
    <w:p w14:paraId="7917A5BE" w14:textId="77777777" w:rsidR="00A12B08" w:rsidRPr="00140FA8" w:rsidRDefault="00D40153" w:rsidP="00E67B44">
      <w:pPr>
        <w:pStyle w:val="ListParagraph"/>
        <w:numPr>
          <w:ilvl w:val="0"/>
          <w:numId w:val="185"/>
        </w:numPr>
        <w:jc w:val="both"/>
        <w:rPr>
          <w:rFonts w:eastAsiaTheme="majorEastAsia"/>
          <w:i/>
          <w:iCs/>
          <w:color w:val="000000" w:themeColor="text1"/>
        </w:rPr>
      </w:pPr>
      <w:r w:rsidRPr="00140FA8">
        <w:rPr>
          <w:color w:val="000000" w:themeColor="text1"/>
        </w:rPr>
        <w:t xml:space="preserve">Gas prices: Median observed during 2020-2024 study period </w:t>
      </w:r>
    </w:p>
    <w:p w14:paraId="44054A40" w14:textId="77777777" w:rsidR="00A12B08" w:rsidRPr="00140FA8" w:rsidRDefault="00A12B08" w:rsidP="00E67B44">
      <w:pPr>
        <w:ind w:left="360"/>
        <w:jc w:val="both"/>
        <w:rPr>
          <w:rFonts w:eastAsiaTheme="majorEastAsia"/>
          <w:i/>
          <w:iCs/>
          <w:color w:val="000000" w:themeColor="text1"/>
        </w:rPr>
      </w:pPr>
    </w:p>
    <w:p w14:paraId="2614CDA0" w14:textId="4BFFAC61" w:rsidR="00D40153" w:rsidRPr="00140FA8" w:rsidRDefault="00D40153" w:rsidP="00E67B44">
      <w:pPr>
        <w:jc w:val="both"/>
        <w:rPr>
          <w:rFonts w:eastAsiaTheme="majorEastAsia"/>
          <w:i/>
          <w:iCs/>
          <w:color w:val="000000" w:themeColor="text1"/>
        </w:rPr>
      </w:pPr>
      <w:r w:rsidRPr="00140FA8">
        <w:rPr>
          <w:color w:val="000000" w:themeColor="text1"/>
        </w:rPr>
        <w:t>Notes: - These are break-even thresholds, not profit-optimization levels - Actual profitability requires positions 1.5-2× these minimums - Thresholds increase during high network congestion - Calculations assume competent execution; inexperienced operators require higher minimums.</w:t>
      </w:r>
    </w:p>
    <w:p w14:paraId="4584E52F" w14:textId="77777777" w:rsidR="002818CC" w:rsidRPr="00140FA8" w:rsidRDefault="002818CC" w:rsidP="00E67B44">
      <w:pPr>
        <w:jc w:val="both"/>
        <w:rPr>
          <w:rFonts w:eastAsiaTheme="majorEastAsia"/>
          <w:i/>
          <w:iCs/>
          <w:color w:val="000000" w:themeColor="text1"/>
        </w:rPr>
      </w:pPr>
    </w:p>
    <w:p w14:paraId="0CAD3CAE" w14:textId="1D0A9906" w:rsidR="00A80D43" w:rsidRPr="00E33D19" w:rsidRDefault="00A500CD" w:rsidP="00E67B44">
      <w:pPr>
        <w:jc w:val="both"/>
        <w:rPr>
          <w:color w:val="000000" w:themeColor="text1"/>
        </w:rPr>
      </w:pPr>
      <w:r w:rsidRPr="00E33D19">
        <w:rPr>
          <w:color w:val="000000" w:themeColor="text1"/>
        </w:rPr>
        <w:t xml:space="preserve">These thresholds reveal a 70x capital requirement difference between Solana ($350) and Ethereum </w:t>
      </w:r>
      <w:proofErr w:type="spellStart"/>
      <w:r w:rsidRPr="00E33D19">
        <w:rPr>
          <w:color w:val="000000" w:themeColor="text1"/>
        </w:rPr>
        <w:t>mainnet</w:t>
      </w:r>
      <w:proofErr w:type="spellEnd"/>
      <w:r w:rsidRPr="00E33D19">
        <w:rPr>
          <w:color w:val="000000" w:themeColor="text1"/>
        </w:rPr>
        <w:t xml:space="preserve"> ($25,000), demonstrating how blockchain architecture fundamentally determines accessibility. The thresholds represent empirical break-even points observed during 2020-2024, not theoretical </w:t>
      </w:r>
      <w:proofErr w:type="gramStart"/>
      <w:r w:rsidRPr="00E33D19">
        <w:rPr>
          <w:color w:val="000000" w:themeColor="text1"/>
        </w:rPr>
        <w:t>minimums—</w:t>
      </w:r>
      <w:proofErr w:type="gramEnd"/>
      <w:r w:rsidRPr="00E33D19">
        <w:rPr>
          <w:color w:val="000000" w:themeColor="text1"/>
        </w:rPr>
        <w:t xml:space="preserve">positions below these levels showed &gt;90% failure rates in the tracked sample. For limited-capital participants, network selection becomes the most critical decision, as choosing an inappropriate network </w:t>
      </w:r>
      <w:r w:rsidR="00945747" w:rsidRPr="00E33D19">
        <w:rPr>
          <w:color w:val="000000" w:themeColor="text1"/>
        </w:rPr>
        <w:t>guarantees loss</w:t>
      </w:r>
      <w:r w:rsidRPr="00E33D19">
        <w:rPr>
          <w:color w:val="000000" w:themeColor="text1"/>
        </w:rPr>
        <w:t xml:space="preserve"> regardless of strategy quality.</w:t>
      </w:r>
    </w:p>
    <w:p w14:paraId="1E80F5E4" w14:textId="77777777" w:rsidR="00E33D19" w:rsidRPr="00C828E4" w:rsidRDefault="00E33D19" w:rsidP="00E67B44">
      <w:pPr>
        <w:jc w:val="both"/>
        <w:rPr>
          <w:i/>
          <w:iCs/>
          <w:color w:val="000000" w:themeColor="text1"/>
        </w:rPr>
      </w:pPr>
    </w:p>
    <w:p w14:paraId="3EE102E1" w14:textId="0635DC24" w:rsidR="003B0F49" w:rsidRPr="00203142" w:rsidRDefault="003B0F49" w:rsidP="00E67B44">
      <w:pPr>
        <w:pStyle w:val="Heading3"/>
      </w:pPr>
      <w:bookmarkStart w:id="13" w:name="_Toc214721819"/>
      <w:r w:rsidRPr="00203142">
        <w:t xml:space="preserve">Table </w:t>
      </w:r>
      <w:r w:rsidR="00C5607F">
        <w:t>1.</w:t>
      </w:r>
      <w:r w:rsidRPr="00203142">
        <w:t>B: Impermanent Loss Quick Reference</w:t>
      </w:r>
      <w:bookmarkEnd w:id="13"/>
    </w:p>
    <w:p w14:paraId="1A60F900" w14:textId="77777777" w:rsidR="00311634" w:rsidRPr="00203142" w:rsidRDefault="00311634" w:rsidP="00E67B44">
      <w:pPr>
        <w:rPr>
          <w:rFonts w:eastAsiaTheme="majorEastAsia"/>
          <w:color w:val="000000" w:themeColor="text1"/>
        </w:rPr>
      </w:pPr>
    </w:p>
    <w:tbl>
      <w:tblPr>
        <w:tblW w:w="9356" w:type="dxa"/>
        <w:tblLook w:val="04A0" w:firstRow="1" w:lastRow="0" w:firstColumn="1" w:lastColumn="0" w:noHBand="0" w:noVBand="1"/>
      </w:tblPr>
      <w:tblGrid>
        <w:gridCol w:w="1700"/>
        <w:gridCol w:w="1530"/>
        <w:gridCol w:w="1568"/>
        <w:gridCol w:w="1852"/>
        <w:gridCol w:w="2706"/>
      </w:tblGrid>
      <w:tr w:rsidR="00203142" w:rsidRPr="00203142" w14:paraId="1AAF8D18" w14:textId="77777777" w:rsidTr="00752AC1">
        <w:trPr>
          <w:trHeight w:val="340"/>
        </w:trPr>
        <w:tc>
          <w:tcPr>
            <w:tcW w:w="1700" w:type="dxa"/>
            <w:tcBorders>
              <w:top w:val="single" w:sz="8" w:space="0" w:color="BFBFBF"/>
              <w:left w:val="single" w:sz="8" w:space="0" w:color="BFBFBF"/>
              <w:bottom w:val="single" w:sz="8" w:space="0" w:color="BFBFBF"/>
              <w:right w:val="single" w:sz="4" w:space="0" w:color="BFBFBF"/>
            </w:tcBorders>
            <w:shd w:val="clear" w:color="auto" w:fill="D9D9D9" w:themeFill="background1" w:themeFillShade="D9"/>
            <w:noWrap/>
            <w:vAlign w:val="bottom"/>
            <w:hideMark/>
          </w:tcPr>
          <w:p w14:paraId="7372582A" w14:textId="77777777" w:rsidR="00311634" w:rsidRPr="00203142" w:rsidRDefault="00311634" w:rsidP="00E67B44">
            <w:pPr>
              <w:rPr>
                <w:rFonts w:ascii="Aptos Narrow" w:hAnsi="Aptos Narrow"/>
                <w:b/>
                <w:bCs/>
                <w:color w:val="000000" w:themeColor="text1"/>
              </w:rPr>
            </w:pPr>
            <w:r w:rsidRPr="00203142">
              <w:rPr>
                <w:rFonts w:ascii="Aptos Narrow" w:hAnsi="Aptos Narrow"/>
                <w:b/>
                <w:bCs/>
                <w:color w:val="000000" w:themeColor="text1"/>
              </w:rPr>
              <w:t>Price Change</w:t>
            </w:r>
          </w:p>
        </w:tc>
        <w:tc>
          <w:tcPr>
            <w:tcW w:w="1530" w:type="dxa"/>
            <w:tcBorders>
              <w:top w:val="single" w:sz="8" w:space="0" w:color="BFBFBF"/>
              <w:left w:val="nil"/>
              <w:bottom w:val="single" w:sz="8" w:space="0" w:color="BFBFBF"/>
              <w:right w:val="single" w:sz="4" w:space="0" w:color="BFBFBF"/>
            </w:tcBorders>
            <w:shd w:val="clear" w:color="auto" w:fill="D9D9D9" w:themeFill="background1" w:themeFillShade="D9"/>
            <w:noWrap/>
            <w:vAlign w:val="bottom"/>
            <w:hideMark/>
          </w:tcPr>
          <w:p w14:paraId="04AD3168" w14:textId="77777777" w:rsidR="00311634" w:rsidRPr="00203142" w:rsidRDefault="00311634" w:rsidP="00E67B44">
            <w:pPr>
              <w:rPr>
                <w:rFonts w:ascii="Aptos Narrow" w:hAnsi="Aptos Narrow"/>
                <w:b/>
                <w:bCs/>
                <w:color w:val="000000" w:themeColor="text1"/>
              </w:rPr>
            </w:pPr>
            <w:r w:rsidRPr="00203142">
              <w:rPr>
                <w:rFonts w:ascii="Aptos Narrow" w:hAnsi="Aptos Narrow"/>
                <w:b/>
                <w:bCs/>
                <w:color w:val="000000" w:themeColor="text1"/>
              </w:rPr>
              <w:t>Price Ratio</w:t>
            </w:r>
          </w:p>
        </w:tc>
        <w:tc>
          <w:tcPr>
            <w:tcW w:w="1568" w:type="dxa"/>
            <w:tcBorders>
              <w:top w:val="single" w:sz="8" w:space="0" w:color="BFBFBF"/>
              <w:left w:val="nil"/>
              <w:bottom w:val="single" w:sz="8" w:space="0" w:color="BFBFBF"/>
              <w:right w:val="single" w:sz="4" w:space="0" w:color="BFBFBF"/>
            </w:tcBorders>
            <w:shd w:val="clear" w:color="auto" w:fill="D9D9D9" w:themeFill="background1" w:themeFillShade="D9"/>
            <w:noWrap/>
            <w:vAlign w:val="bottom"/>
            <w:hideMark/>
          </w:tcPr>
          <w:p w14:paraId="034D16B6" w14:textId="77777777" w:rsidR="00311634" w:rsidRPr="00203142" w:rsidRDefault="00311634" w:rsidP="00E67B44">
            <w:pPr>
              <w:rPr>
                <w:rFonts w:ascii="Aptos Narrow" w:hAnsi="Aptos Narrow"/>
                <w:b/>
                <w:bCs/>
                <w:color w:val="000000" w:themeColor="text1"/>
              </w:rPr>
            </w:pPr>
            <w:r w:rsidRPr="00203142">
              <w:rPr>
                <w:rFonts w:ascii="Aptos Narrow" w:hAnsi="Aptos Narrow"/>
                <w:b/>
                <w:bCs/>
                <w:color w:val="000000" w:themeColor="text1"/>
              </w:rPr>
              <w:t>Impermanent Loss</w:t>
            </w:r>
          </w:p>
        </w:tc>
        <w:tc>
          <w:tcPr>
            <w:tcW w:w="1852" w:type="dxa"/>
            <w:tcBorders>
              <w:top w:val="single" w:sz="8" w:space="0" w:color="BFBFBF"/>
              <w:left w:val="nil"/>
              <w:bottom w:val="single" w:sz="8" w:space="0" w:color="BFBFBF"/>
              <w:right w:val="single" w:sz="4" w:space="0" w:color="BFBFBF"/>
            </w:tcBorders>
            <w:shd w:val="clear" w:color="auto" w:fill="D9D9D9" w:themeFill="background1" w:themeFillShade="D9"/>
            <w:noWrap/>
            <w:vAlign w:val="bottom"/>
            <w:hideMark/>
          </w:tcPr>
          <w:p w14:paraId="3F6CF2DF" w14:textId="77777777" w:rsidR="00311634" w:rsidRPr="00203142" w:rsidRDefault="00311634" w:rsidP="00E67B44">
            <w:pPr>
              <w:rPr>
                <w:rFonts w:ascii="Aptos Narrow" w:hAnsi="Aptos Narrow"/>
                <w:b/>
                <w:bCs/>
                <w:color w:val="000000" w:themeColor="text1"/>
              </w:rPr>
            </w:pPr>
            <w:r w:rsidRPr="00203142">
              <w:rPr>
                <w:rFonts w:ascii="Aptos Narrow" w:hAnsi="Aptos Narrow"/>
                <w:b/>
                <w:bCs/>
                <w:color w:val="000000" w:themeColor="text1"/>
              </w:rPr>
              <w:t>Example $10000 Position</w:t>
            </w:r>
          </w:p>
        </w:tc>
        <w:tc>
          <w:tcPr>
            <w:tcW w:w="2706" w:type="dxa"/>
            <w:tcBorders>
              <w:top w:val="single" w:sz="8" w:space="0" w:color="BFBFBF"/>
              <w:left w:val="nil"/>
              <w:bottom w:val="single" w:sz="8" w:space="0" w:color="BFBFBF"/>
              <w:right w:val="single" w:sz="8" w:space="0" w:color="BFBFBF"/>
            </w:tcBorders>
            <w:shd w:val="clear" w:color="auto" w:fill="D9D9D9" w:themeFill="background1" w:themeFillShade="D9"/>
            <w:noWrap/>
            <w:vAlign w:val="bottom"/>
            <w:hideMark/>
          </w:tcPr>
          <w:p w14:paraId="51AE3C0A" w14:textId="77777777" w:rsidR="00311634" w:rsidRPr="00203142" w:rsidRDefault="00311634" w:rsidP="00E67B44">
            <w:pPr>
              <w:rPr>
                <w:rFonts w:ascii="Aptos Narrow" w:hAnsi="Aptos Narrow"/>
                <w:b/>
                <w:bCs/>
                <w:color w:val="000000" w:themeColor="text1"/>
              </w:rPr>
            </w:pPr>
            <w:r w:rsidRPr="00203142">
              <w:rPr>
                <w:rFonts w:ascii="Aptos Narrow" w:hAnsi="Aptos Narrow"/>
                <w:b/>
                <w:bCs/>
                <w:color w:val="000000" w:themeColor="text1"/>
              </w:rPr>
              <w:t>Recovery Requirement</w:t>
            </w:r>
          </w:p>
        </w:tc>
      </w:tr>
      <w:tr w:rsidR="00203142" w:rsidRPr="00203142" w14:paraId="0B5ECCBB" w14:textId="77777777" w:rsidTr="00311634">
        <w:trPr>
          <w:trHeight w:val="320"/>
        </w:trPr>
        <w:tc>
          <w:tcPr>
            <w:tcW w:w="1700" w:type="dxa"/>
            <w:tcBorders>
              <w:top w:val="nil"/>
              <w:left w:val="single" w:sz="8" w:space="0" w:color="BFBFBF"/>
              <w:bottom w:val="single" w:sz="4" w:space="0" w:color="BFBFBF"/>
              <w:right w:val="single" w:sz="4" w:space="0" w:color="BFBFBF"/>
            </w:tcBorders>
            <w:noWrap/>
            <w:vAlign w:val="bottom"/>
            <w:hideMark/>
          </w:tcPr>
          <w:p w14:paraId="5BC495FA" w14:textId="77777777" w:rsidR="00311634" w:rsidRPr="00203142" w:rsidRDefault="00311634" w:rsidP="00E67B44">
            <w:pPr>
              <w:rPr>
                <w:rFonts w:ascii="Aptos Narrow" w:hAnsi="Aptos Narrow"/>
                <w:color w:val="000000" w:themeColor="text1"/>
              </w:rPr>
            </w:pPr>
            <w:r w:rsidRPr="00203142">
              <w:rPr>
                <w:rFonts w:ascii="Aptos Narrow" w:hAnsi="Aptos Narrow"/>
                <w:color w:val="000000" w:themeColor="text1"/>
              </w:rPr>
              <w:t>±25%</w:t>
            </w:r>
          </w:p>
        </w:tc>
        <w:tc>
          <w:tcPr>
            <w:tcW w:w="1530" w:type="dxa"/>
            <w:tcBorders>
              <w:top w:val="nil"/>
              <w:left w:val="nil"/>
              <w:bottom w:val="single" w:sz="4" w:space="0" w:color="BFBFBF"/>
              <w:right w:val="single" w:sz="4" w:space="0" w:color="BFBFBF"/>
            </w:tcBorders>
            <w:noWrap/>
            <w:vAlign w:val="bottom"/>
            <w:hideMark/>
          </w:tcPr>
          <w:p w14:paraId="1FBA83DF" w14:textId="77777777" w:rsidR="00311634" w:rsidRPr="00203142" w:rsidRDefault="00311634" w:rsidP="00E67B44">
            <w:pPr>
              <w:rPr>
                <w:rFonts w:ascii="Aptos Narrow" w:hAnsi="Aptos Narrow"/>
                <w:color w:val="000000" w:themeColor="text1"/>
              </w:rPr>
            </w:pPr>
            <w:r w:rsidRPr="00203142">
              <w:rPr>
                <w:rFonts w:ascii="Aptos Narrow" w:hAnsi="Aptos Narrow"/>
                <w:color w:val="000000" w:themeColor="text1"/>
              </w:rPr>
              <w:t>1.25x</w:t>
            </w:r>
          </w:p>
        </w:tc>
        <w:tc>
          <w:tcPr>
            <w:tcW w:w="1568" w:type="dxa"/>
            <w:tcBorders>
              <w:top w:val="nil"/>
              <w:left w:val="nil"/>
              <w:bottom w:val="single" w:sz="4" w:space="0" w:color="BFBFBF"/>
              <w:right w:val="single" w:sz="4" w:space="0" w:color="BFBFBF"/>
            </w:tcBorders>
            <w:noWrap/>
            <w:vAlign w:val="bottom"/>
            <w:hideMark/>
          </w:tcPr>
          <w:p w14:paraId="5161B2A4" w14:textId="77777777" w:rsidR="00311634" w:rsidRPr="00203142" w:rsidRDefault="00311634" w:rsidP="00E67B44">
            <w:pPr>
              <w:jc w:val="right"/>
              <w:rPr>
                <w:rFonts w:ascii="Aptos Narrow" w:hAnsi="Aptos Narrow"/>
                <w:color w:val="000000" w:themeColor="text1"/>
              </w:rPr>
            </w:pPr>
            <w:r w:rsidRPr="00203142">
              <w:rPr>
                <w:rFonts w:ascii="Aptos Narrow" w:hAnsi="Aptos Narrow"/>
                <w:color w:val="000000" w:themeColor="text1"/>
              </w:rPr>
              <w:t>0.62%</w:t>
            </w:r>
          </w:p>
        </w:tc>
        <w:tc>
          <w:tcPr>
            <w:tcW w:w="1852" w:type="dxa"/>
            <w:tcBorders>
              <w:top w:val="nil"/>
              <w:left w:val="nil"/>
              <w:bottom w:val="single" w:sz="4" w:space="0" w:color="BFBFBF"/>
              <w:right w:val="single" w:sz="4" w:space="0" w:color="BFBFBF"/>
            </w:tcBorders>
            <w:noWrap/>
            <w:vAlign w:val="bottom"/>
            <w:hideMark/>
          </w:tcPr>
          <w:p w14:paraId="2C0F12FF" w14:textId="77777777" w:rsidR="00311634" w:rsidRPr="00203142" w:rsidRDefault="00311634" w:rsidP="00E67B44">
            <w:pPr>
              <w:jc w:val="right"/>
              <w:rPr>
                <w:rFonts w:ascii="Aptos Narrow" w:hAnsi="Aptos Narrow"/>
                <w:color w:val="000000" w:themeColor="text1"/>
              </w:rPr>
            </w:pPr>
            <w:r w:rsidRPr="00203142">
              <w:rPr>
                <w:rFonts w:ascii="Aptos Narrow" w:hAnsi="Aptos Narrow"/>
                <w:color w:val="000000" w:themeColor="text1"/>
              </w:rPr>
              <w:t>($62)</w:t>
            </w:r>
          </w:p>
        </w:tc>
        <w:tc>
          <w:tcPr>
            <w:tcW w:w="2706" w:type="dxa"/>
            <w:tcBorders>
              <w:top w:val="nil"/>
              <w:left w:val="nil"/>
              <w:bottom w:val="single" w:sz="4" w:space="0" w:color="BFBFBF"/>
              <w:right w:val="single" w:sz="8" w:space="0" w:color="BFBFBF"/>
            </w:tcBorders>
            <w:noWrap/>
            <w:vAlign w:val="bottom"/>
            <w:hideMark/>
          </w:tcPr>
          <w:p w14:paraId="59589D2C" w14:textId="77777777" w:rsidR="00311634" w:rsidRPr="00203142" w:rsidRDefault="00311634" w:rsidP="00E67B44">
            <w:pPr>
              <w:rPr>
                <w:rFonts w:ascii="Aptos Narrow" w:hAnsi="Aptos Narrow"/>
                <w:color w:val="000000" w:themeColor="text1"/>
              </w:rPr>
            </w:pPr>
            <w:r w:rsidRPr="00203142">
              <w:rPr>
                <w:rFonts w:ascii="Aptos Narrow" w:hAnsi="Aptos Narrow"/>
                <w:color w:val="000000" w:themeColor="text1"/>
              </w:rPr>
              <w:t>Fees must exceed $62</w:t>
            </w:r>
          </w:p>
        </w:tc>
      </w:tr>
      <w:tr w:rsidR="00203142" w:rsidRPr="00203142" w14:paraId="1DC0F35D" w14:textId="77777777" w:rsidTr="00311634">
        <w:trPr>
          <w:trHeight w:val="320"/>
        </w:trPr>
        <w:tc>
          <w:tcPr>
            <w:tcW w:w="1700" w:type="dxa"/>
            <w:tcBorders>
              <w:top w:val="nil"/>
              <w:left w:val="single" w:sz="8" w:space="0" w:color="BFBFBF"/>
              <w:bottom w:val="single" w:sz="4" w:space="0" w:color="BFBFBF"/>
              <w:right w:val="single" w:sz="4" w:space="0" w:color="BFBFBF"/>
            </w:tcBorders>
            <w:noWrap/>
            <w:vAlign w:val="bottom"/>
            <w:hideMark/>
          </w:tcPr>
          <w:p w14:paraId="4EE0D748" w14:textId="77777777" w:rsidR="00311634" w:rsidRPr="00203142" w:rsidRDefault="00311634" w:rsidP="00E67B44">
            <w:pPr>
              <w:rPr>
                <w:rFonts w:ascii="Aptos Narrow" w:hAnsi="Aptos Narrow"/>
                <w:color w:val="000000" w:themeColor="text1"/>
              </w:rPr>
            </w:pPr>
            <w:r w:rsidRPr="00203142">
              <w:rPr>
                <w:rFonts w:ascii="Aptos Narrow" w:hAnsi="Aptos Narrow"/>
                <w:color w:val="000000" w:themeColor="text1"/>
              </w:rPr>
              <w:t>±50%</w:t>
            </w:r>
          </w:p>
        </w:tc>
        <w:tc>
          <w:tcPr>
            <w:tcW w:w="1530" w:type="dxa"/>
            <w:tcBorders>
              <w:top w:val="nil"/>
              <w:left w:val="nil"/>
              <w:bottom w:val="single" w:sz="4" w:space="0" w:color="BFBFBF"/>
              <w:right w:val="single" w:sz="4" w:space="0" w:color="BFBFBF"/>
            </w:tcBorders>
            <w:noWrap/>
            <w:vAlign w:val="bottom"/>
            <w:hideMark/>
          </w:tcPr>
          <w:p w14:paraId="22AFCB96" w14:textId="77777777" w:rsidR="00311634" w:rsidRPr="00203142" w:rsidRDefault="00311634" w:rsidP="00E67B44">
            <w:pPr>
              <w:rPr>
                <w:rFonts w:ascii="Aptos Narrow" w:hAnsi="Aptos Narrow"/>
                <w:color w:val="000000" w:themeColor="text1"/>
              </w:rPr>
            </w:pPr>
            <w:r w:rsidRPr="00203142">
              <w:rPr>
                <w:rFonts w:ascii="Aptos Narrow" w:hAnsi="Aptos Narrow"/>
                <w:color w:val="000000" w:themeColor="text1"/>
              </w:rPr>
              <w:t>1.50x</w:t>
            </w:r>
          </w:p>
        </w:tc>
        <w:tc>
          <w:tcPr>
            <w:tcW w:w="1568" w:type="dxa"/>
            <w:tcBorders>
              <w:top w:val="nil"/>
              <w:left w:val="nil"/>
              <w:bottom w:val="single" w:sz="4" w:space="0" w:color="BFBFBF"/>
              <w:right w:val="single" w:sz="4" w:space="0" w:color="BFBFBF"/>
            </w:tcBorders>
            <w:noWrap/>
            <w:vAlign w:val="bottom"/>
            <w:hideMark/>
          </w:tcPr>
          <w:p w14:paraId="4D21F895" w14:textId="77777777" w:rsidR="00311634" w:rsidRPr="00203142" w:rsidRDefault="00311634" w:rsidP="00E67B44">
            <w:pPr>
              <w:jc w:val="right"/>
              <w:rPr>
                <w:rFonts w:ascii="Aptos Narrow" w:hAnsi="Aptos Narrow"/>
                <w:color w:val="000000" w:themeColor="text1"/>
              </w:rPr>
            </w:pPr>
            <w:r w:rsidRPr="00203142">
              <w:rPr>
                <w:rFonts w:ascii="Aptos Narrow" w:hAnsi="Aptos Narrow"/>
                <w:color w:val="000000" w:themeColor="text1"/>
              </w:rPr>
              <w:t>2.02%</w:t>
            </w:r>
          </w:p>
        </w:tc>
        <w:tc>
          <w:tcPr>
            <w:tcW w:w="1852" w:type="dxa"/>
            <w:tcBorders>
              <w:top w:val="nil"/>
              <w:left w:val="nil"/>
              <w:bottom w:val="single" w:sz="4" w:space="0" w:color="BFBFBF"/>
              <w:right w:val="single" w:sz="4" w:space="0" w:color="BFBFBF"/>
            </w:tcBorders>
            <w:noWrap/>
            <w:vAlign w:val="bottom"/>
            <w:hideMark/>
          </w:tcPr>
          <w:p w14:paraId="2B4A43B9" w14:textId="77777777" w:rsidR="00311634" w:rsidRPr="00203142" w:rsidRDefault="00311634" w:rsidP="00E67B44">
            <w:pPr>
              <w:jc w:val="right"/>
              <w:rPr>
                <w:rFonts w:ascii="Aptos Narrow" w:hAnsi="Aptos Narrow"/>
                <w:color w:val="000000" w:themeColor="text1"/>
              </w:rPr>
            </w:pPr>
            <w:r w:rsidRPr="00203142">
              <w:rPr>
                <w:rFonts w:ascii="Aptos Narrow" w:hAnsi="Aptos Narrow"/>
                <w:color w:val="000000" w:themeColor="text1"/>
              </w:rPr>
              <w:t>($202)</w:t>
            </w:r>
          </w:p>
        </w:tc>
        <w:tc>
          <w:tcPr>
            <w:tcW w:w="2706" w:type="dxa"/>
            <w:tcBorders>
              <w:top w:val="nil"/>
              <w:left w:val="nil"/>
              <w:bottom w:val="single" w:sz="4" w:space="0" w:color="BFBFBF"/>
              <w:right w:val="single" w:sz="8" w:space="0" w:color="BFBFBF"/>
            </w:tcBorders>
            <w:noWrap/>
            <w:vAlign w:val="bottom"/>
            <w:hideMark/>
          </w:tcPr>
          <w:p w14:paraId="5B14D0A5" w14:textId="77777777" w:rsidR="00311634" w:rsidRPr="00203142" w:rsidRDefault="00311634" w:rsidP="00E67B44">
            <w:pPr>
              <w:rPr>
                <w:rFonts w:ascii="Aptos Narrow" w:hAnsi="Aptos Narrow"/>
                <w:color w:val="000000" w:themeColor="text1"/>
              </w:rPr>
            </w:pPr>
            <w:r w:rsidRPr="00203142">
              <w:rPr>
                <w:rFonts w:ascii="Aptos Narrow" w:hAnsi="Aptos Narrow"/>
                <w:color w:val="000000" w:themeColor="text1"/>
              </w:rPr>
              <w:t>Fees must exceed $202</w:t>
            </w:r>
          </w:p>
        </w:tc>
      </w:tr>
      <w:tr w:rsidR="00203142" w:rsidRPr="00203142" w14:paraId="59BFF75F" w14:textId="77777777" w:rsidTr="00311634">
        <w:trPr>
          <w:trHeight w:val="320"/>
        </w:trPr>
        <w:tc>
          <w:tcPr>
            <w:tcW w:w="1700" w:type="dxa"/>
            <w:tcBorders>
              <w:top w:val="nil"/>
              <w:left w:val="single" w:sz="8" w:space="0" w:color="BFBFBF"/>
              <w:bottom w:val="single" w:sz="4" w:space="0" w:color="BFBFBF"/>
              <w:right w:val="single" w:sz="4" w:space="0" w:color="BFBFBF"/>
            </w:tcBorders>
            <w:noWrap/>
            <w:vAlign w:val="bottom"/>
            <w:hideMark/>
          </w:tcPr>
          <w:p w14:paraId="0E44F91A" w14:textId="77777777" w:rsidR="00311634" w:rsidRPr="00203142" w:rsidRDefault="00311634" w:rsidP="00E67B44">
            <w:pPr>
              <w:rPr>
                <w:rFonts w:ascii="Aptos Narrow" w:hAnsi="Aptos Narrow"/>
                <w:color w:val="000000" w:themeColor="text1"/>
              </w:rPr>
            </w:pPr>
            <w:r w:rsidRPr="00203142">
              <w:rPr>
                <w:rFonts w:ascii="Aptos Narrow" w:hAnsi="Aptos Narrow"/>
                <w:color w:val="000000" w:themeColor="text1"/>
              </w:rPr>
              <w:t>±75%</w:t>
            </w:r>
          </w:p>
        </w:tc>
        <w:tc>
          <w:tcPr>
            <w:tcW w:w="1530" w:type="dxa"/>
            <w:tcBorders>
              <w:top w:val="nil"/>
              <w:left w:val="nil"/>
              <w:bottom w:val="single" w:sz="4" w:space="0" w:color="BFBFBF"/>
              <w:right w:val="single" w:sz="4" w:space="0" w:color="BFBFBF"/>
            </w:tcBorders>
            <w:noWrap/>
            <w:vAlign w:val="bottom"/>
            <w:hideMark/>
          </w:tcPr>
          <w:p w14:paraId="07150469" w14:textId="77777777" w:rsidR="00311634" w:rsidRPr="00203142" w:rsidRDefault="00311634" w:rsidP="00E67B44">
            <w:pPr>
              <w:rPr>
                <w:rFonts w:ascii="Aptos Narrow" w:hAnsi="Aptos Narrow"/>
                <w:color w:val="000000" w:themeColor="text1"/>
              </w:rPr>
            </w:pPr>
            <w:r w:rsidRPr="00203142">
              <w:rPr>
                <w:rFonts w:ascii="Aptos Narrow" w:hAnsi="Aptos Narrow"/>
                <w:color w:val="000000" w:themeColor="text1"/>
              </w:rPr>
              <w:t>1.75x</w:t>
            </w:r>
          </w:p>
        </w:tc>
        <w:tc>
          <w:tcPr>
            <w:tcW w:w="1568" w:type="dxa"/>
            <w:tcBorders>
              <w:top w:val="nil"/>
              <w:left w:val="nil"/>
              <w:bottom w:val="single" w:sz="4" w:space="0" w:color="BFBFBF"/>
              <w:right w:val="single" w:sz="4" w:space="0" w:color="BFBFBF"/>
            </w:tcBorders>
            <w:noWrap/>
            <w:vAlign w:val="bottom"/>
            <w:hideMark/>
          </w:tcPr>
          <w:p w14:paraId="4C56D8D5" w14:textId="77777777" w:rsidR="00311634" w:rsidRPr="00203142" w:rsidRDefault="00311634" w:rsidP="00E67B44">
            <w:pPr>
              <w:jc w:val="right"/>
              <w:rPr>
                <w:rFonts w:ascii="Aptos Narrow" w:hAnsi="Aptos Narrow"/>
                <w:color w:val="000000" w:themeColor="text1"/>
              </w:rPr>
            </w:pPr>
            <w:r w:rsidRPr="00203142">
              <w:rPr>
                <w:rFonts w:ascii="Aptos Narrow" w:hAnsi="Aptos Narrow"/>
                <w:color w:val="000000" w:themeColor="text1"/>
              </w:rPr>
              <w:t>3.79%</w:t>
            </w:r>
          </w:p>
        </w:tc>
        <w:tc>
          <w:tcPr>
            <w:tcW w:w="1852" w:type="dxa"/>
            <w:tcBorders>
              <w:top w:val="nil"/>
              <w:left w:val="nil"/>
              <w:bottom w:val="single" w:sz="4" w:space="0" w:color="BFBFBF"/>
              <w:right w:val="single" w:sz="4" w:space="0" w:color="BFBFBF"/>
            </w:tcBorders>
            <w:noWrap/>
            <w:vAlign w:val="bottom"/>
            <w:hideMark/>
          </w:tcPr>
          <w:p w14:paraId="3AC92F0F" w14:textId="77777777" w:rsidR="00311634" w:rsidRPr="00203142" w:rsidRDefault="00311634" w:rsidP="00E67B44">
            <w:pPr>
              <w:jc w:val="right"/>
              <w:rPr>
                <w:rFonts w:ascii="Aptos Narrow" w:hAnsi="Aptos Narrow"/>
                <w:color w:val="000000" w:themeColor="text1"/>
              </w:rPr>
            </w:pPr>
            <w:r w:rsidRPr="00203142">
              <w:rPr>
                <w:rFonts w:ascii="Aptos Narrow" w:hAnsi="Aptos Narrow"/>
                <w:color w:val="000000" w:themeColor="text1"/>
              </w:rPr>
              <w:t>($379)</w:t>
            </w:r>
          </w:p>
        </w:tc>
        <w:tc>
          <w:tcPr>
            <w:tcW w:w="2706" w:type="dxa"/>
            <w:tcBorders>
              <w:top w:val="nil"/>
              <w:left w:val="nil"/>
              <w:bottom w:val="single" w:sz="4" w:space="0" w:color="BFBFBF"/>
              <w:right w:val="single" w:sz="8" w:space="0" w:color="BFBFBF"/>
            </w:tcBorders>
            <w:noWrap/>
            <w:vAlign w:val="bottom"/>
            <w:hideMark/>
          </w:tcPr>
          <w:p w14:paraId="531F1775" w14:textId="77777777" w:rsidR="00311634" w:rsidRPr="00203142" w:rsidRDefault="00311634" w:rsidP="00E67B44">
            <w:pPr>
              <w:rPr>
                <w:rFonts w:ascii="Aptos Narrow" w:hAnsi="Aptos Narrow"/>
                <w:color w:val="000000" w:themeColor="text1"/>
              </w:rPr>
            </w:pPr>
            <w:r w:rsidRPr="00203142">
              <w:rPr>
                <w:rFonts w:ascii="Aptos Narrow" w:hAnsi="Aptos Narrow"/>
                <w:color w:val="000000" w:themeColor="text1"/>
              </w:rPr>
              <w:t>Fees must exceed $379</w:t>
            </w:r>
          </w:p>
        </w:tc>
      </w:tr>
      <w:tr w:rsidR="00203142" w:rsidRPr="00203142" w14:paraId="6D01E900" w14:textId="77777777" w:rsidTr="00311634">
        <w:trPr>
          <w:trHeight w:val="320"/>
        </w:trPr>
        <w:tc>
          <w:tcPr>
            <w:tcW w:w="1700" w:type="dxa"/>
            <w:tcBorders>
              <w:top w:val="nil"/>
              <w:left w:val="single" w:sz="8" w:space="0" w:color="BFBFBF"/>
              <w:bottom w:val="single" w:sz="4" w:space="0" w:color="BFBFBF"/>
              <w:right w:val="single" w:sz="4" w:space="0" w:color="BFBFBF"/>
            </w:tcBorders>
            <w:noWrap/>
            <w:vAlign w:val="bottom"/>
            <w:hideMark/>
          </w:tcPr>
          <w:p w14:paraId="3481D0C1" w14:textId="77777777" w:rsidR="00311634" w:rsidRPr="00203142" w:rsidRDefault="00311634" w:rsidP="00E67B44">
            <w:pPr>
              <w:rPr>
                <w:rFonts w:ascii="Aptos Narrow" w:hAnsi="Aptos Narrow"/>
                <w:color w:val="000000" w:themeColor="text1"/>
              </w:rPr>
            </w:pPr>
            <w:r w:rsidRPr="00203142">
              <w:rPr>
                <w:rFonts w:ascii="Aptos Narrow" w:hAnsi="Aptos Narrow"/>
                <w:color w:val="000000" w:themeColor="text1"/>
              </w:rPr>
              <w:t>±100%</w:t>
            </w:r>
          </w:p>
        </w:tc>
        <w:tc>
          <w:tcPr>
            <w:tcW w:w="1530" w:type="dxa"/>
            <w:tcBorders>
              <w:top w:val="nil"/>
              <w:left w:val="nil"/>
              <w:bottom w:val="single" w:sz="4" w:space="0" w:color="BFBFBF"/>
              <w:right w:val="single" w:sz="4" w:space="0" w:color="BFBFBF"/>
            </w:tcBorders>
            <w:noWrap/>
            <w:vAlign w:val="bottom"/>
            <w:hideMark/>
          </w:tcPr>
          <w:p w14:paraId="73323C66" w14:textId="77777777" w:rsidR="00311634" w:rsidRPr="00203142" w:rsidRDefault="00311634" w:rsidP="00E67B44">
            <w:pPr>
              <w:rPr>
                <w:rFonts w:ascii="Aptos Narrow" w:hAnsi="Aptos Narrow"/>
                <w:color w:val="000000" w:themeColor="text1"/>
              </w:rPr>
            </w:pPr>
            <w:r w:rsidRPr="00203142">
              <w:rPr>
                <w:rFonts w:ascii="Aptos Narrow" w:hAnsi="Aptos Narrow"/>
                <w:color w:val="000000" w:themeColor="text1"/>
              </w:rPr>
              <w:t>2.00x</w:t>
            </w:r>
          </w:p>
        </w:tc>
        <w:tc>
          <w:tcPr>
            <w:tcW w:w="1568" w:type="dxa"/>
            <w:tcBorders>
              <w:top w:val="nil"/>
              <w:left w:val="nil"/>
              <w:bottom w:val="single" w:sz="4" w:space="0" w:color="BFBFBF"/>
              <w:right w:val="single" w:sz="4" w:space="0" w:color="BFBFBF"/>
            </w:tcBorders>
            <w:noWrap/>
            <w:vAlign w:val="bottom"/>
            <w:hideMark/>
          </w:tcPr>
          <w:p w14:paraId="69440F69" w14:textId="77777777" w:rsidR="00311634" w:rsidRPr="00203142" w:rsidRDefault="00311634" w:rsidP="00E67B44">
            <w:pPr>
              <w:jc w:val="right"/>
              <w:rPr>
                <w:rFonts w:ascii="Aptos Narrow" w:hAnsi="Aptos Narrow"/>
                <w:color w:val="000000" w:themeColor="text1"/>
              </w:rPr>
            </w:pPr>
            <w:r w:rsidRPr="00203142">
              <w:rPr>
                <w:rFonts w:ascii="Aptos Narrow" w:hAnsi="Aptos Narrow"/>
                <w:color w:val="000000" w:themeColor="text1"/>
              </w:rPr>
              <w:t>5.72%</w:t>
            </w:r>
          </w:p>
        </w:tc>
        <w:tc>
          <w:tcPr>
            <w:tcW w:w="1852" w:type="dxa"/>
            <w:tcBorders>
              <w:top w:val="nil"/>
              <w:left w:val="nil"/>
              <w:bottom w:val="single" w:sz="4" w:space="0" w:color="BFBFBF"/>
              <w:right w:val="single" w:sz="4" w:space="0" w:color="BFBFBF"/>
            </w:tcBorders>
            <w:noWrap/>
            <w:vAlign w:val="bottom"/>
            <w:hideMark/>
          </w:tcPr>
          <w:p w14:paraId="731020CF" w14:textId="77777777" w:rsidR="00311634" w:rsidRPr="00203142" w:rsidRDefault="00311634" w:rsidP="00E67B44">
            <w:pPr>
              <w:jc w:val="right"/>
              <w:rPr>
                <w:rFonts w:ascii="Aptos Narrow" w:hAnsi="Aptos Narrow"/>
                <w:color w:val="000000" w:themeColor="text1"/>
              </w:rPr>
            </w:pPr>
            <w:r w:rsidRPr="00203142">
              <w:rPr>
                <w:rFonts w:ascii="Aptos Narrow" w:hAnsi="Aptos Narrow"/>
                <w:color w:val="000000" w:themeColor="text1"/>
              </w:rPr>
              <w:t>($572)</w:t>
            </w:r>
          </w:p>
        </w:tc>
        <w:tc>
          <w:tcPr>
            <w:tcW w:w="2706" w:type="dxa"/>
            <w:tcBorders>
              <w:top w:val="nil"/>
              <w:left w:val="nil"/>
              <w:bottom w:val="single" w:sz="4" w:space="0" w:color="BFBFBF"/>
              <w:right w:val="single" w:sz="8" w:space="0" w:color="BFBFBF"/>
            </w:tcBorders>
            <w:noWrap/>
            <w:vAlign w:val="bottom"/>
            <w:hideMark/>
          </w:tcPr>
          <w:p w14:paraId="4CC79418" w14:textId="77777777" w:rsidR="00311634" w:rsidRPr="00203142" w:rsidRDefault="00311634" w:rsidP="00E67B44">
            <w:pPr>
              <w:rPr>
                <w:rFonts w:ascii="Aptos Narrow" w:hAnsi="Aptos Narrow"/>
                <w:color w:val="000000" w:themeColor="text1"/>
              </w:rPr>
            </w:pPr>
            <w:r w:rsidRPr="00203142">
              <w:rPr>
                <w:rFonts w:ascii="Aptos Narrow" w:hAnsi="Aptos Narrow"/>
                <w:color w:val="000000" w:themeColor="text1"/>
              </w:rPr>
              <w:t>Fees must exceed $572</w:t>
            </w:r>
          </w:p>
        </w:tc>
      </w:tr>
      <w:tr w:rsidR="00203142" w:rsidRPr="00203142" w14:paraId="412DD86D" w14:textId="77777777" w:rsidTr="00311634">
        <w:trPr>
          <w:trHeight w:val="320"/>
        </w:trPr>
        <w:tc>
          <w:tcPr>
            <w:tcW w:w="1700" w:type="dxa"/>
            <w:tcBorders>
              <w:top w:val="nil"/>
              <w:left w:val="single" w:sz="8" w:space="0" w:color="BFBFBF"/>
              <w:bottom w:val="single" w:sz="4" w:space="0" w:color="BFBFBF"/>
              <w:right w:val="single" w:sz="4" w:space="0" w:color="BFBFBF"/>
            </w:tcBorders>
            <w:noWrap/>
            <w:vAlign w:val="bottom"/>
            <w:hideMark/>
          </w:tcPr>
          <w:p w14:paraId="7D548FC5" w14:textId="77777777" w:rsidR="00311634" w:rsidRPr="00203142" w:rsidRDefault="00311634" w:rsidP="00E67B44">
            <w:pPr>
              <w:rPr>
                <w:rFonts w:ascii="Aptos Narrow" w:hAnsi="Aptos Narrow"/>
                <w:color w:val="000000" w:themeColor="text1"/>
              </w:rPr>
            </w:pPr>
            <w:r w:rsidRPr="00203142">
              <w:rPr>
                <w:rFonts w:ascii="Aptos Narrow" w:hAnsi="Aptos Narrow"/>
                <w:color w:val="000000" w:themeColor="text1"/>
              </w:rPr>
              <w:t>±200%</w:t>
            </w:r>
          </w:p>
        </w:tc>
        <w:tc>
          <w:tcPr>
            <w:tcW w:w="1530" w:type="dxa"/>
            <w:tcBorders>
              <w:top w:val="nil"/>
              <w:left w:val="nil"/>
              <w:bottom w:val="single" w:sz="4" w:space="0" w:color="BFBFBF"/>
              <w:right w:val="single" w:sz="4" w:space="0" w:color="BFBFBF"/>
            </w:tcBorders>
            <w:noWrap/>
            <w:vAlign w:val="bottom"/>
            <w:hideMark/>
          </w:tcPr>
          <w:p w14:paraId="301C72A0" w14:textId="77777777" w:rsidR="00311634" w:rsidRPr="00203142" w:rsidRDefault="00311634" w:rsidP="00E67B44">
            <w:pPr>
              <w:rPr>
                <w:rFonts w:ascii="Aptos Narrow" w:hAnsi="Aptos Narrow"/>
                <w:color w:val="000000" w:themeColor="text1"/>
              </w:rPr>
            </w:pPr>
            <w:r w:rsidRPr="00203142">
              <w:rPr>
                <w:rFonts w:ascii="Aptos Narrow" w:hAnsi="Aptos Narrow"/>
                <w:color w:val="000000" w:themeColor="text1"/>
              </w:rPr>
              <w:t>3.00x</w:t>
            </w:r>
          </w:p>
        </w:tc>
        <w:tc>
          <w:tcPr>
            <w:tcW w:w="1568" w:type="dxa"/>
            <w:tcBorders>
              <w:top w:val="nil"/>
              <w:left w:val="nil"/>
              <w:bottom w:val="single" w:sz="4" w:space="0" w:color="BFBFBF"/>
              <w:right w:val="single" w:sz="4" w:space="0" w:color="BFBFBF"/>
            </w:tcBorders>
            <w:noWrap/>
            <w:vAlign w:val="bottom"/>
            <w:hideMark/>
          </w:tcPr>
          <w:p w14:paraId="4E6639EB" w14:textId="77777777" w:rsidR="00311634" w:rsidRPr="00203142" w:rsidRDefault="00311634" w:rsidP="00E67B44">
            <w:pPr>
              <w:jc w:val="right"/>
              <w:rPr>
                <w:rFonts w:ascii="Aptos Narrow" w:hAnsi="Aptos Narrow"/>
                <w:color w:val="000000" w:themeColor="text1"/>
              </w:rPr>
            </w:pPr>
            <w:r w:rsidRPr="00203142">
              <w:rPr>
                <w:rFonts w:ascii="Aptos Narrow" w:hAnsi="Aptos Narrow"/>
                <w:color w:val="000000" w:themeColor="text1"/>
              </w:rPr>
              <w:t>13.40%</w:t>
            </w:r>
          </w:p>
        </w:tc>
        <w:tc>
          <w:tcPr>
            <w:tcW w:w="1852" w:type="dxa"/>
            <w:tcBorders>
              <w:top w:val="nil"/>
              <w:left w:val="nil"/>
              <w:bottom w:val="single" w:sz="4" w:space="0" w:color="BFBFBF"/>
              <w:right w:val="single" w:sz="4" w:space="0" w:color="BFBFBF"/>
            </w:tcBorders>
            <w:noWrap/>
            <w:vAlign w:val="bottom"/>
            <w:hideMark/>
          </w:tcPr>
          <w:p w14:paraId="42C8C563" w14:textId="77777777" w:rsidR="00311634" w:rsidRPr="00203142" w:rsidRDefault="00311634" w:rsidP="00E67B44">
            <w:pPr>
              <w:jc w:val="right"/>
              <w:rPr>
                <w:rFonts w:ascii="Aptos Narrow" w:hAnsi="Aptos Narrow"/>
                <w:color w:val="000000" w:themeColor="text1"/>
              </w:rPr>
            </w:pPr>
            <w:r w:rsidRPr="00203142">
              <w:rPr>
                <w:rFonts w:ascii="Aptos Narrow" w:hAnsi="Aptos Narrow"/>
                <w:color w:val="000000" w:themeColor="text1"/>
              </w:rPr>
              <w:t>($1,340)</w:t>
            </w:r>
          </w:p>
        </w:tc>
        <w:tc>
          <w:tcPr>
            <w:tcW w:w="2706" w:type="dxa"/>
            <w:tcBorders>
              <w:top w:val="nil"/>
              <w:left w:val="nil"/>
              <w:bottom w:val="single" w:sz="4" w:space="0" w:color="BFBFBF"/>
              <w:right w:val="single" w:sz="8" w:space="0" w:color="BFBFBF"/>
            </w:tcBorders>
            <w:noWrap/>
            <w:vAlign w:val="bottom"/>
            <w:hideMark/>
          </w:tcPr>
          <w:p w14:paraId="2B4938B7" w14:textId="77777777" w:rsidR="00311634" w:rsidRPr="00203142" w:rsidRDefault="00311634" w:rsidP="00E67B44">
            <w:pPr>
              <w:rPr>
                <w:rFonts w:ascii="Aptos Narrow" w:hAnsi="Aptos Narrow"/>
                <w:color w:val="000000" w:themeColor="text1"/>
              </w:rPr>
            </w:pPr>
            <w:r w:rsidRPr="00203142">
              <w:rPr>
                <w:rFonts w:ascii="Aptos Narrow" w:hAnsi="Aptos Narrow"/>
                <w:color w:val="000000" w:themeColor="text1"/>
              </w:rPr>
              <w:t>Fees must exceed $1340</w:t>
            </w:r>
          </w:p>
        </w:tc>
      </w:tr>
      <w:tr w:rsidR="00203142" w:rsidRPr="00203142" w14:paraId="6FFD05EA" w14:textId="77777777" w:rsidTr="00311634">
        <w:trPr>
          <w:trHeight w:val="340"/>
        </w:trPr>
        <w:tc>
          <w:tcPr>
            <w:tcW w:w="1700" w:type="dxa"/>
            <w:tcBorders>
              <w:top w:val="nil"/>
              <w:left w:val="single" w:sz="8" w:space="0" w:color="BFBFBF"/>
              <w:bottom w:val="single" w:sz="8" w:space="0" w:color="BFBFBF"/>
              <w:right w:val="single" w:sz="4" w:space="0" w:color="BFBFBF"/>
            </w:tcBorders>
            <w:noWrap/>
            <w:vAlign w:val="bottom"/>
            <w:hideMark/>
          </w:tcPr>
          <w:p w14:paraId="16D499BA" w14:textId="77777777" w:rsidR="00311634" w:rsidRPr="00203142" w:rsidRDefault="00311634" w:rsidP="00E67B44">
            <w:pPr>
              <w:rPr>
                <w:rFonts w:ascii="Aptos Narrow" w:hAnsi="Aptos Narrow"/>
                <w:color w:val="000000" w:themeColor="text1"/>
              </w:rPr>
            </w:pPr>
            <w:r w:rsidRPr="00203142">
              <w:rPr>
                <w:rFonts w:ascii="Aptos Narrow" w:hAnsi="Aptos Narrow"/>
                <w:color w:val="000000" w:themeColor="text1"/>
              </w:rPr>
              <w:t>±300%</w:t>
            </w:r>
          </w:p>
        </w:tc>
        <w:tc>
          <w:tcPr>
            <w:tcW w:w="1530" w:type="dxa"/>
            <w:tcBorders>
              <w:top w:val="nil"/>
              <w:left w:val="nil"/>
              <w:bottom w:val="single" w:sz="8" w:space="0" w:color="BFBFBF"/>
              <w:right w:val="single" w:sz="4" w:space="0" w:color="BFBFBF"/>
            </w:tcBorders>
            <w:noWrap/>
            <w:vAlign w:val="bottom"/>
            <w:hideMark/>
          </w:tcPr>
          <w:p w14:paraId="751A3D06" w14:textId="77777777" w:rsidR="00311634" w:rsidRPr="00203142" w:rsidRDefault="00311634" w:rsidP="00E67B44">
            <w:pPr>
              <w:rPr>
                <w:rFonts w:ascii="Aptos Narrow" w:hAnsi="Aptos Narrow"/>
                <w:color w:val="000000" w:themeColor="text1"/>
              </w:rPr>
            </w:pPr>
            <w:r w:rsidRPr="00203142">
              <w:rPr>
                <w:rFonts w:ascii="Aptos Narrow" w:hAnsi="Aptos Narrow"/>
                <w:color w:val="000000" w:themeColor="text1"/>
              </w:rPr>
              <w:t>4.00x</w:t>
            </w:r>
          </w:p>
        </w:tc>
        <w:tc>
          <w:tcPr>
            <w:tcW w:w="1568" w:type="dxa"/>
            <w:tcBorders>
              <w:top w:val="nil"/>
              <w:left w:val="nil"/>
              <w:bottom w:val="single" w:sz="8" w:space="0" w:color="BFBFBF"/>
              <w:right w:val="single" w:sz="4" w:space="0" w:color="BFBFBF"/>
            </w:tcBorders>
            <w:noWrap/>
            <w:vAlign w:val="bottom"/>
            <w:hideMark/>
          </w:tcPr>
          <w:p w14:paraId="0AA401D3" w14:textId="77777777" w:rsidR="00311634" w:rsidRPr="00203142" w:rsidRDefault="00311634" w:rsidP="00E67B44">
            <w:pPr>
              <w:jc w:val="right"/>
              <w:rPr>
                <w:rFonts w:ascii="Aptos Narrow" w:hAnsi="Aptos Narrow"/>
                <w:color w:val="000000" w:themeColor="text1"/>
              </w:rPr>
            </w:pPr>
            <w:r w:rsidRPr="00203142">
              <w:rPr>
                <w:rFonts w:ascii="Aptos Narrow" w:hAnsi="Aptos Narrow"/>
                <w:color w:val="000000" w:themeColor="text1"/>
              </w:rPr>
              <w:t>20.00%</w:t>
            </w:r>
          </w:p>
        </w:tc>
        <w:tc>
          <w:tcPr>
            <w:tcW w:w="1852" w:type="dxa"/>
            <w:tcBorders>
              <w:top w:val="nil"/>
              <w:left w:val="nil"/>
              <w:bottom w:val="single" w:sz="8" w:space="0" w:color="BFBFBF"/>
              <w:right w:val="single" w:sz="4" w:space="0" w:color="BFBFBF"/>
            </w:tcBorders>
            <w:noWrap/>
            <w:vAlign w:val="bottom"/>
            <w:hideMark/>
          </w:tcPr>
          <w:p w14:paraId="50E6ABAE" w14:textId="77777777" w:rsidR="00311634" w:rsidRPr="00203142" w:rsidRDefault="00311634" w:rsidP="00E67B44">
            <w:pPr>
              <w:jc w:val="right"/>
              <w:rPr>
                <w:rFonts w:ascii="Aptos Narrow" w:hAnsi="Aptos Narrow"/>
                <w:color w:val="000000" w:themeColor="text1"/>
              </w:rPr>
            </w:pPr>
            <w:r w:rsidRPr="00203142">
              <w:rPr>
                <w:rFonts w:ascii="Aptos Narrow" w:hAnsi="Aptos Narrow"/>
                <w:color w:val="000000" w:themeColor="text1"/>
              </w:rPr>
              <w:t>($2,000)</w:t>
            </w:r>
          </w:p>
        </w:tc>
        <w:tc>
          <w:tcPr>
            <w:tcW w:w="2706" w:type="dxa"/>
            <w:tcBorders>
              <w:top w:val="nil"/>
              <w:left w:val="nil"/>
              <w:bottom w:val="single" w:sz="8" w:space="0" w:color="BFBFBF"/>
              <w:right w:val="single" w:sz="8" w:space="0" w:color="BFBFBF"/>
            </w:tcBorders>
            <w:noWrap/>
            <w:vAlign w:val="bottom"/>
            <w:hideMark/>
          </w:tcPr>
          <w:p w14:paraId="3C551C9C" w14:textId="77777777" w:rsidR="00311634" w:rsidRPr="00203142" w:rsidRDefault="00311634" w:rsidP="00E67B44">
            <w:pPr>
              <w:rPr>
                <w:rFonts w:ascii="Aptos Narrow" w:hAnsi="Aptos Narrow"/>
                <w:color w:val="000000" w:themeColor="text1"/>
              </w:rPr>
            </w:pPr>
            <w:r w:rsidRPr="00203142">
              <w:rPr>
                <w:rFonts w:ascii="Aptos Narrow" w:hAnsi="Aptos Narrow"/>
                <w:color w:val="000000" w:themeColor="text1"/>
              </w:rPr>
              <w:t>Fees must exceed $2000</w:t>
            </w:r>
          </w:p>
        </w:tc>
      </w:tr>
    </w:tbl>
    <w:p w14:paraId="705FA317" w14:textId="14273DEB" w:rsidR="003B0F49" w:rsidRPr="00203142" w:rsidRDefault="00730786" w:rsidP="00E67B44">
      <w:pPr>
        <w:jc w:val="both"/>
        <w:rPr>
          <w:rFonts w:eastAsiaTheme="majorEastAsia"/>
          <w:i/>
          <w:iCs/>
          <w:color w:val="000000" w:themeColor="text1"/>
        </w:rPr>
      </w:pPr>
      <w:r w:rsidRPr="00203142">
        <w:rPr>
          <w:rFonts w:eastAsiaTheme="majorEastAsia"/>
          <w:i/>
          <w:iCs/>
          <w:color w:val="000000" w:themeColor="text1"/>
        </w:rPr>
        <w:t xml:space="preserve">Interpretive Note: </w:t>
      </w:r>
      <w:r w:rsidR="00E91A28" w:rsidRPr="00203142">
        <w:rPr>
          <w:rStyle w:val="Strong"/>
          <w:color w:val="000000" w:themeColor="text1"/>
        </w:rPr>
        <w:t>Note:</w:t>
      </w:r>
      <w:r w:rsidR="00E91A28" w:rsidRPr="00203142">
        <w:rPr>
          <w:color w:val="000000" w:themeColor="text1"/>
        </w:rPr>
        <w:t xml:space="preserve"> All values calculated using the standard AMM formula: </w:t>
      </w:r>
      <w:r w:rsidR="00E91A28" w:rsidRPr="00203142">
        <w:rPr>
          <w:rStyle w:val="HTMLCode"/>
          <w:color w:val="000000" w:themeColor="text1"/>
        </w:rPr>
        <w:t>IL = 2√(</w:t>
      </w:r>
      <w:proofErr w:type="spellStart"/>
      <w:r w:rsidR="00E91A28" w:rsidRPr="00203142">
        <w:rPr>
          <w:rStyle w:val="HTMLCode"/>
          <w:color w:val="000000" w:themeColor="text1"/>
        </w:rPr>
        <w:t>price_ratio</w:t>
      </w:r>
      <w:proofErr w:type="spellEnd"/>
      <w:r w:rsidR="00E91A28" w:rsidRPr="00203142">
        <w:rPr>
          <w:rStyle w:val="HTMLCode"/>
          <w:color w:val="000000" w:themeColor="text1"/>
        </w:rPr>
        <w:t>)/(1+price_ratio) - 1</w:t>
      </w:r>
    </w:p>
    <w:p w14:paraId="376F3482" w14:textId="77777777" w:rsidR="00203142" w:rsidRPr="003C66A0" w:rsidRDefault="00203142" w:rsidP="00E67B44">
      <w:pPr>
        <w:jc w:val="both"/>
        <w:rPr>
          <w:rFonts w:eastAsiaTheme="majorEastAsia"/>
          <w:b/>
          <w:bCs/>
          <w:color w:val="000000" w:themeColor="text1"/>
        </w:rPr>
      </w:pPr>
    </w:p>
    <w:p w14:paraId="390E4E4D" w14:textId="68C3C434" w:rsidR="003B0F49" w:rsidRPr="003C66A0" w:rsidRDefault="003B0F49" w:rsidP="00E67B44">
      <w:pPr>
        <w:pStyle w:val="Heading3"/>
      </w:pPr>
      <w:bookmarkStart w:id="14" w:name="_Toc214721820"/>
      <w:r w:rsidRPr="003C66A0">
        <w:t xml:space="preserve">Table </w:t>
      </w:r>
      <w:r w:rsidR="00C5607F">
        <w:t>1.</w:t>
      </w:r>
      <w:r w:rsidRPr="003C66A0">
        <w:t>C: Operational Requirements</w:t>
      </w:r>
      <w:bookmarkEnd w:id="14"/>
    </w:p>
    <w:p w14:paraId="1B08A54C" w14:textId="77777777" w:rsidR="003B0F49" w:rsidRPr="003C66A0" w:rsidRDefault="003B0F49" w:rsidP="00E67B44">
      <w:pPr>
        <w:jc w:val="both"/>
        <w:rPr>
          <w:rFonts w:eastAsiaTheme="majorEastAsia"/>
          <w:b/>
          <w:bCs/>
          <w:color w:val="000000" w:themeColor="text1"/>
        </w:rPr>
      </w:pPr>
    </w:p>
    <w:tbl>
      <w:tblPr>
        <w:tblW w:w="9260" w:type="dxa"/>
        <w:tblLook w:val="04A0" w:firstRow="1" w:lastRow="0" w:firstColumn="1" w:lastColumn="0" w:noHBand="0" w:noVBand="1"/>
      </w:tblPr>
      <w:tblGrid>
        <w:gridCol w:w="2300"/>
        <w:gridCol w:w="1880"/>
        <w:gridCol w:w="1880"/>
        <w:gridCol w:w="3200"/>
      </w:tblGrid>
      <w:tr w:rsidR="00FC334A" w:rsidRPr="003C66A0" w14:paraId="78457568" w14:textId="77777777" w:rsidTr="001230E5">
        <w:trPr>
          <w:trHeight w:val="340"/>
        </w:trPr>
        <w:tc>
          <w:tcPr>
            <w:tcW w:w="230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14:paraId="4C89FED6" w14:textId="77777777" w:rsidR="002A543E" w:rsidRPr="003C66A0" w:rsidRDefault="002A543E" w:rsidP="00E67B44">
            <w:pPr>
              <w:rPr>
                <w:b/>
                <w:bCs/>
                <w:color w:val="000000" w:themeColor="text1"/>
              </w:rPr>
            </w:pPr>
            <w:r w:rsidRPr="003C66A0">
              <w:rPr>
                <w:b/>
                <w:bCs/>
                <w:color w:val="000000" w:themeColor="text1"/>
              </w:rPr>
              <w:t>Activity</w:t>
            </w:r>
          </w:p>
        </w:tc>
        <w:tc>
          <w:tcPr>
            <w:tcW w:w="1880" w:type="dxa"/>
            <w:tcBorders>
              <w:top w:val="single" w:sz="8" w:space="0" w:color="auto"/>
              <w:left w:val="nil"/>
              <w:bottom w:val="single" w:sz="8" w:space="0" w:color="auto"/>
              <w:right w:val="single" w:sz="4" w:space="0" w:color="auto"/>
            </w:tcBorders>
            <w:shd w:val="clear" w:color="000000" w:fill="D9D9D9"/>
            <w:noWrap/>
            <w:vAlign w:val="bottom"/>
            <w:hideMark/>
          </w:tcPr>
          <w:p w14:paraId="65022969" w14:textId="77777777" w:rsidR="002A543E" w:rsidRPr="003C66A0" w:rsidRDefault="002A543E" w:rsidP="00E67B44">
            <w:pPr>
              <w:rPr>
                <w:b/>
                <w:bCs/>
                <w:color w:val="000000" w:themeColor="text1"/>
              </w:rPr>
            </w:pPr>
            <w:r w:rsidRPr="003C66A0">
              <w:rPr>
                <w:b/>
                <w:bCs/>
                <w:color w:val="000000" w:themeColor="text1"/>
              </w:rPr>
              <w:t>Time Investment</w:t>
            </w:r>
          </w:p>
        </w:tc>
        <w:tc>
          <w:tcPr>
            <w:tcW w:w="1880" w:type="dxa"/>
            <w:tcBorders>
              <w:top w:val="single" w:sz="8" w:space="0" w:color="auto"/>
              <w:left w:val="nil"/>
              <w:bottom w:val="single" w:sz="8" w:space="0" w:color="auto"/>
              <w:right w:val="single" w:sz="4" w:space="0" w:color="auto"/>
            </w:tcBorders>
            <w:shd w:val="clear" w:color="000000" w:fill="D9D9D9"/>
            <w:noWrap/>
            <w:vAlign w:val="bottom"/>
            <w:hideMark/>
          </w:tcPr>
          <w:p w14:paraId="1EFBA0E6" w14:textId="77777777" w:rsidR="002A543E" w:rsidRPr="003C66A0" w:rsidRDefault="002A543E" w:rsidP="00E67B44">
            <w:pPr>
              <w:rPr>
                <w:b/>
                <w:bCs/>
                <w:color w:val="000000" w:themeColor="text1"/>
              </w:rPr>
            </w:pPr>
            <w:r w:rsidRPr="003C66A0">
              <w:rPr>
                <w:b/>
                <w:bCs/>
                <w:color w:val="000000" w:themeColor="text1"/>
              </w:rPr>
              <w:t>Learning Period</w:t>
            </w:r>
          </w:p>
        </w:tc>
        <w:tc>
          <w:tcPr>
            <w:tcW w:w="3200" w:type="dxa"/>
            <w:tcBorders>
              <w:top w:val="single" w:sz="8" w:space="0" w:color="auto"/>
              <w:left w:val="nil"/>
              <w:bottom w:val="single" w:sz="8" w:space="0" w:color="auto"/>
              <w:right w:val="single" w:sz="8" w:space="0" w:color="auto"/>
            </w:tcBorders>
            <w:shd w:val="clear" w:color="000000" w:fill="D9D9D9"/>
            <w:noWrap/>
            <w:vAlign w:val="bottom"/>
            <w:hideMark/>
          </w:tcPr>
          <w:p w14:paraId="365865C8" w14:textId="77777777" w:rsidR="002A543E" w:rsidRPr="003C66A0" w:rsidRDefault="002A543E" w:rsidP="00E67B44">
            <w:pPr>
              <w:rPr>
                <w:b/>
                <w:bCs/>
                <w:color w:val="000000" w:themeColor="text1"/>
              </w:rPr>
            </w:pPr>
            <w:r w:rsidRPr="003C66A0">
              <w:rPr>
                <w:b/>
                <w:bCs/>
                <w:color w:val="000000" w:themeColor="text1"/>
              </w:rPr>
              <w:t>Success Indicators</w:t>
            </w:r>
          </w:p>
        </w:tc>
      </w:tr>
      <w:tr w:rsidR="00FC334A" w:rsidRPr="003C66A0" w14:paraId="3D197393" w14:textId="77777777" w:rsidTr="001230E5">
        <w:trPr>
          <w:trHeight w:val="320"/>
        </w:trPr>
        <w:tc>
          <w:tcPr>
            <w:tcW w:w="2300" w:type="dxa"/>
            <w:tcBorders>
              <w:top w:val="nil"/>
              <w:left w:val="single" w:sz="8" w:space="0" w:color="auto"/>
              <w:bottom w:val="single" w:sz="4" w:space="0" w:color="auto"/>
              <w:right w:val="single" w:sz="8" w:space="0" w:color="auto"/>
            </w:tcBorders>
            <w:shd w:val="clear" w:color="000000" w:fill="D9D9D9"/>
            <w:noWrap/>
            <w:vAlign w:val="bottom"/>
            <w:hideMark/>
          </w:tcPr>
          <w:p w14:paraId="1BB60920" w14:textId="77777777" w:rsidR="002A543E" w:rsidRPr="003C66A0" w:rsidRDefault="002A543E" w:rsidP="00E67B44">
            <w:pPr>
              <w:rPr>
                <w:b/>
                <w:bCs/>
                <w:color w:val="000000" w:themeColor="text1"/>
              </w:rPr>
            </w:pPr>
            <w:r w:rsidRPr="003C66A0">
              <w:rPr>
                <w:b/>
                <w:bCs/>
                <w:color w:val="000000" w:themeColor="text1"/>
              </w:rPr>
              <w:t>Position Monitoring</w:t>
            </w:r>
          </w:p>
        </w:tc>
        <w:tc>
          <w:tcPr>
            <w:tcW w:w="1880" w:type="dxa"/>
            <w:tcBorders>
              <w:top w:val="nil"/>
              <w:left w:val="nil"/>
              <w:bottom w:val="single" w:sz="4" w:space="0" w:color="auto"/>
              <w:right w:val="single" w:sz="4" w:space="0" w:color="auto"/>
            </w:tcBorders>
            <w:noWrap/>
            <w:vAlign w:val="bottom"/>
            <w:hideMark/>
          </w:tcPr>
          <w:p w14:paraId="3188CB4C" w14:textId="77777777" w:rsidR="002A543E" w:rsidRPr="003C66A0" w:rsidRDefault="002A543E" w:rsidP="00E67B44">
            <w:pPr>
              <w:rPr>
                <w:color w:val="000000" w:themeColor="text1"/>
              </w:rPr>
            </w:pPr>
            <w:r w:rsidRPr="003C66A0">
              <w:rPr>
                <w:color w:val="000000" w:themeColor="text1"/>
              </w:rPr>
              <w:t xml:space="preserve">5-8 </w:t>
            </w:r>
            <w:proofErr w:type="spellStart"/>
            <w:r w:rsidRPr="003C66A0">
              <w:rPr>
                <w:color w:val="000000" w:themeColor="text1"/>
              </w:rPr>
              <w:t>hrs</w:t>
            </w:r>
            <w:proofErr w:type="spellEnd"/>
            <w:r w:rsidRPr="003C66A0">
              <w:rPr>
                <w:color w:val="000000" w:themeColor="text1"/>
              </w:rPr>
              <w:t>/week</w:t>
            </w:r>
          </w:p>
        </w:tc>
        <w:tc>
          <w:tcPr>
            <w:tcW w:w="1880" w:type="dxa"/>
            <w:tcBorders>
              <w:top w:val="nil"/>
              <w:left w:val="nil"/>
              <w:bottom w:val="single" w:sz="4" w:space="0" w:color="auto"/>
              <w:right w:val="single" w:sz="4" w:space="0" w:color="auto"/>
            </w:tcBorders>
            <w:noWrap/>
            <w:vAlign w:val="bottom"/>
            <w:hideMark/>
          </w:tcPr>
          <w:p w14:paraId="67EBDEB3" w14:textId="77777777" w:rsidR="002A543E" w:rsidRPr="003C66A0" w:rsidRDefault="002A543E" w:rsidP="00E67B44">
            <w:pPr>
              <w:rPr>
                <w:color w:val="000000" w:themeColor="text1"/>
              </w:rPr>
            </w:pPr>
            <w:r w:rsidRPr="003C66A0">
              <w:rPr>
                <w:color w:val="000000" w:themeColor="text1"/>
              </w:rPr>
              <w:t>10-15 hours</w:t>
            </w:r>
          </w:p>
        </w:tc>
        <w:tc>
          <w:tcPr>
            <w:tcW w:w="3200" w:type="dxa"/>
            <w:tcBorders>
              <w:top w:val="nil"/>
              <w:left w:val="nil"/>
              <w:bottom w:val="single" w:sz="4" w:space="0" w:color="auto"/>
              <w:right w:val="single" w:sz="8" w:space="0" w:color="auto"/>
            </w:tcBorders>
            <w:noWrap/>
            <w:vAlign w:val="bottom"/>
            <w:hideMark/>
          </w:tcPr>
          <w:p w14:paraId="5ECB6CCA" w14:textId="77777777" w:rsidR="002A543E" w:rsidRPr="003C66A0" w:rsidRDefault="002A543E" w:rsidP="00E67B44">
            <w:pPr>
              <w:rPr>
                <w:color w:val="000000" w:themeColor="text1"/>
              </w:rPr>
            </w:pPr>
            <w:r w:rsidRPr="003C66A0">
              <w:rPr>
                <w:color w:val="000000" w:themeColor="text1"/>
              </w:rPr>
              <w:t>&lt;5% positions out of range</w:t>
            </w:r>
          </w:p>
        </w:tc>
      </w:tr>
      <w:tr w:rsidR="00FC334A" w:rsidRPr="003C66A0" w14:paraId="7064355D" w14:textId="77777777" w:rsidTr="001230E5">
        <w:trPr>
          <w:trHeight w:val="320"/>
        </w:trPr>
        <w:tc>
          <w:tcPr>
            <w:tcW w:w="2300" w:type="dxa"/>
            <w:tcBorders>
              <w:top w:val="nil"/>
              <w:left w:val="single" w:sz="8" w:space="0" w:color="auto"/>
              <w:bottom w:val="single" w:sz="4" w:space="0" w:color="auto"/>
              <w:right w:val="single" w:sz="8" w:space="0" w:color="auto"/>
            </w:tcBorders>
            <w:shd w:val="clear" w:color="000000" w:fill="D9D9D9"/>
            <w:noWrap/>
            <w:vAlign w:val="bottom"/>
            <w:hideMark/>
          </w:tcPr>
          <w:p w14:paraId="1473A15A" w14:textId="77777777" w:rsidR="002A543E" w:rsidRPr="003C66A0" w:rsidRDefault="002A543E" w:rsidP="00E67B44">
            <w:pPr>
              <w:rPr>
                <w:b/>
                <w:bCs/>
                <w:color w:val="000000" w:themeColor="text1"/>
              </w:rPr>
            </w:pPr>
            <w:r w:rsidRPr="003C66A0">
              <w:rPr>
                <w:b/>
                <w:bCs/>
                <w:color w:val="000000" w:themeColor="text1"/>
              </w:rPr>
              <w:t>Rebalancing</w:t>
            </w:r>
          </w:p>
        </w:tc>
        <w:tc>
          <w:tcPr>
            <w:tcW w:w="1880" w:type="dxa"/>
            <w:tcBorders>
              <w:top w:val="nil"/>
              <w:left w:val="nil"/>
              <w:bottom w:val="single" w:sz="4" w:space="0" w:color="auto"/>
              <w:right w:val="single" w:sz="4" w:space="0" w:color="auto"/>
            </w:tcBorders>
            <w:noWrap/>
            <w:vAlign w:val="bottom"/>
            <w:hideMark/>
          </w:tcPr>
          <w:p w14:paraId="3301B018" w14:textId="77777777" w:rsidR="002A543E" w:rsidRPr="003C66A0" w:rsidRDefault="002A543E" w:rsidP="00E67B44">
            <w:pPr>
              <w:rPr>
                <w:color w:val="000000" w:themeColor="text1"/>
              </w:rPr>
            </w:pPr>
            <w:r w:rsidRPr="003C66A0">
              <w:rPr>
                <w:color w:val="000000" w:themeColor="text1"/>
              </w:rPr>
              <w:t xml:space="preserve">3-5 </w:t>
            </w:r>
            <w:proofErr w:type="spellStart"/>
            <w:r w:rsidRPr="003C66A0">
              <w:rPr>
                <w:color w:val="000000" w:themeColor="text1"/>
              </w:rPr>
              <w:t>hrs</w:t>
            </w:r>
            <w:proofErr w:type="spellEnd"/>
            <w:r w:rsidRPr="003C66A0">
              <w:rPr>
                <w:color w:val="000000" w:themeColor="text1"/>
              </w:rPr>
              <w:t>/week</w:t>
            </w:r>
          </w:p>
        </w:tc>
        <w:tc>
          <w:tcPr>
            <w:tcW w:w="1880" w:type="dxa"/>
            <w:tcBorders>
              <w:top w:val="nil"/>
              <w:left w:val="nil"/>
              <w:bottom w:val="single" w:sz="4" w:space="0" w:color="auto"/>
              <w:right w:val="single" w:sz="4" w:space="0" w:color="auto"/>
            </w:tcBorders>
            <w:noWrap/>
            <w:vAlign w:val="bottom"/>
            <w:hideMark/>
          </w:tcPr>
          <w:p w14:paraId="62CD5D9C" w14:textId="77777777" w:rsidR="002A543E" w:rsidRPr="003C66A0" w:rsidRDefault="002A543E" w:rsidP="00E67B44">
            <w:pPr>
              <w:rPr>
                <w:color w:val="000000" w:themeColor="text1"/>
              </w:rPr>
            </w:pPr>
            <w:r w:rsidRPr="003C66A0">
              <w:rPr>
                <w:color w:val="000000" w:themeColor="text1"/>
              </w:rPr>
              <w:t>20-30 hours</w:t>
            </w:r>
          </w:p>
        </w:tc>
        <w:tc>
          <w:tcPr>
            <w:tcW w:w="3200" w:type="dxa"/>
            <w:tcBorders>
              <w:top w:val="nil"/>
              <w:left w:val="nil"/>
              <w:bottom w:val="single" w:sz="4" w:space="0" w:color="auto"/>
              <w:right w:val="single" w:sz="8" w:space="0" w:color="auto"/>
            </w:tcBorders>
            <w:noWrap/>
            <w:vAlign w:val="bottom"/>
            <w:hideMark/>
          </w:tcPr>
          <w:p w14:paraId="7B8D2227" w14:textId="77777777" w:rsidR="002A543E" w:rsidRPr="003C66A0" w:rsidRDefault="002A543E" w:rsidP="00E67B44">
            <w:pPr>
              <w:rPr>
                <w:color w:val="000000" w:themeColor="text1"/>
              </w:rPr>
            </w:pPr>
            <w:r w:rsidRPr="003C66A0">
              <w:rPr>
                <w:color w:val="000000" w:themeColor="text1"/>
              </w:rPr>
              <w:t>Gas costs &lt;5% of returns</w:t>
            </w:r>
          </w:p>
        </w:tc>
      </w:tr>
      <w:tr w:rsidR="00FC334A" w:rsidRPr="003C66A0" w14:paraId="3495F6C9" w14:textId="77777777" w:rsidTr="001230E5">
        <w:trPr>
          <w:trHeight w:val="320"/>
        </w:trPr>
        <w:tc>
          <w:tcPr>
            <w:tcW w:w="2300" w:type="dxa"/>
            <w:tcBorders>
              <w:top w:val="nil"/>
              <w:left w:val="single" w:sz="8" w:space="0" w:color="auto"/>
              <w:bottom w:val="single" w:sz="4" w:space="0" w:color="auto"/>
              <w:right w:val="single" w:sz="8" w:space="0" w:color="auto"/>
            </w:tcBorders>
            <w:shd w:val="clear" w:color="000000" w:fill="D9D9D9"/>
            <w:noWrap/>
            <w:vAlign w:val="bottom"/>
            <w:hideMark/>
          </w:tcPr>
          <w:p w14:paraId="4F603316" w14:textId="77777777" w:rsidR="002A543E" w:rsidRPr="003C66A0" w:rsidRDefault="002A543E" w:rsidP="00E67B44">
            <w:pPr>
              <w:rPr>
                <w:b/>
                <w:bCs/>
                <w:color w:val="000000" w:themeColor="text1"/>
              </w:rPr>
            </w:pPr>
            <w:r w:rsidRPr="003C66A0">
              <w:rPr>
                <w:b/>
                <w:bCs/>
                <w:color w:val="000000" w:themeColor="text1"/>
              </w:rPr>
              <w:t>Research &amp; Analysis</w:t>
            </w:r>
          </w:p>
        </w:tc>
        <w:tc>
          <w:tcPr>
            <w:tcW w:w="1880" w:type="dxa"/>
            <w:tcBorders>
              <w:top w:val="nil"/>
              <w:left w:val="nil"/>
              <w:bottom w:val="single" w:sz="4" w:space="0" w:color="auto"/>
              <w:right w:val="single" w:sz="4" w:space="0" w:color="auto"/>
            </w:tcBorders>
            <w:noWrap/>
            <w:vAlign w:val="bottom"/>
            <w:hideMark/>
          </w:tcPr>
          <w:p w14:paraId="3894A809" w14:textId="77777777" w:rsidR="002A543E" w:rsidRPr="003C66A0" w:rsidRDefault="002A543E" w:rsidP="00E67B44">
            <w:pPr>
              <w:rPr>
                <w:color w:val="000000" w:themeColor="text1"/>
              </w:rPr>
            </w:pPr>
            <w:r w:rsidRPr="003C66A0">
              <w:rPr>
                <w:color w:val="000000" w:themeColor="text1"/>
              </w:rPr>
              <w:t xml:space="preserve">4-6 </w:t>
            </w:r>
            <w:proofErr w:type="spellStart"/>
            <w:r w:rsidRPr="003C66A0">
              <w:rPr>
                <w:color w:val="000000" w:themeColor="text1"/>
              </w:rPr>
              <w:t>hrs</w:t>
            </w:r>
            <w:proofErr w:type="spellEnd"/>
            <w:r w:rsidRPr="003C66A0">
              <w:rPr>
                <w:color w:val="000000" w:themeColor="text1"/>
              </w:rPr>
              <w:t>/week</w:t>
            </w:r>
          </w:p>
        </w:tc>
        <w:tc>
          <w:tcPr>
            <w:tcW w:w="1880" w:type="dxa"/>
            <w:tcBorders>
              <w:top w:val="nil"/>
              <w:left w:val="nil"/>
              <w:bottom w:val="single" w:sz="4" w:space="0" w:color="auto"/>
              <w:right w:val="single" w:sz="4" w:space="0" w:color="auto"/>
            </w:tcBorders>
            <w:noWrap/>
            <w:vAlign w:val="bottom"/>
            <w:hideMark/>
          </w:tcPr>
          <w:p w14:paraId="39FF4154" w14:textId="77777777" w:rsidR="002A543E" w:rsidRPr="003C66A0" w:rsidRDefault="002A543E" w:rsidP="00E67B44">
            <w:pPr>
              <w:rPr>
                <w:color w:val="000000" w:themeColor="text1"/>
              </w:rPr>
            </w:pPr>
            <w:r w:rsidRPr="003C66A0">
              <w:rPr>
                <w:color w:val="000000" w:themeColor="text1"/>
              </w:rPr>
              <w:t>15-20 hours</w:t>
            </w:r>
          </w:p>
        </w:tc>
        <w:tc>
          <w:tcPr>
            <w:tcW w:w="3200" w:type="dxa"/>
            <w:tcBorders>
              <w:top w:val="nil"/>
              <w:left w:val="nil"/>
              <w:bottom w:val="single" w:sz="4" w:space="0" w:color="auto"/>
              <w:right w:val="single" w:sz="8" w:space="0" w:color="auto"/>
            </w:tcBorders>
            <w:noWrap/>
            <w:vAlign w:val="bottom"/>
            <w:hideMark/>
          </w:tcPr>
          <w:p w14:paraId="107A081D" w14:textId="77777777" w:rsidR="002A543E" w:rsidRPr="003C66A0" w:rsidRDefault="002A543E" w:rsidP="00E67B44">
            <w:pPr>
              <w:rPr>
                <w:color w:val="000000" w:themeColor="text1"/>
              </w:rPr>
            </w:pPr>
            <w:r w:rsidRPr="003C66A0">
              <w:rPr>
                <w:color w:val="000000" w:themeColor="text1"/>
              </w:rPr>
              <w:t>Consistent protocol selection</w:t>
            </w:r>
          </w:p>
        </w:tc>
      </w:tr>
      <w:tr w:rsidR="00FC334A" w:rsidRPr="003C66A0" w14:paraId="1BBF8F1B" w14:textId="77777777" w:rsidTr="001230E5">
        <w:trPr>
          <w:trHeight w:val="320"/>
        </w:trPr>
        <w:tc>
          <w:tcPr>
            <w:tcW w:w="2300" w:type="dxa"/>
            <w:tcBorders>
              <w:top w:val="nil"/>
              <w:left w:val="single" w:sz="8" w:space="0" w:color="auto"/>
              <w:bottom w:val="single" w:sz="4" w:space="0" w:color="auto"/>
              <w:right w:val="single" w:sz="8" w:space="0" w:color="auto"/>
            </w:tcBorders>
            <w:shd w:val="clear" w:color="000000" w:fill="D9D9D9"/>
            <w:noWrap/>
            <w:vAlign w:val="bottom"/>
            <w:hideMark/>
          </w:tcPr>
          <w:p w14:paraId="782943F9" w14:textId="77777777" w:rsidR="002A543E" w:rsidRPr="003C66A0" w:rsidRDefault="002A543E" w:rsidP="00E67B44">
            <w:pPr>
              <w:rPr>
                <w:b/>
                <w:bCs/>
                <w:color w:val="000000" w:themeColor="text1"/>
              </w:rPr>
            </w:pPr>
            <w:r w:rsidRPr="003C66A0">
              <w:rPr>
                <w:b/>
                <w:bCs/>
                <w:color w:val="000000" w:themeColor="text1"/>
              </w:rPr>
              <w:t>Tax/Record Keeping</w:t>
            </w:r>
          </w:p>
        </w:tc>
        <w:tc>
          <w:tcPr>
            <w:tcW w:w="1880" w:type="dxa"/>
            <w:tcBorders>
              <w:top w:val="nil"/>
              <w:left w:val="nil"/>
              <w:bottom w:val="single" w:sz="4" w:space="0" w:color="auto"/>
              <w:right w:val="single" w:sz="4" w:space="0" w:color="auto"/>
            </w:tcBorders>
            <w:noWrap/>
            <w:vAlign w:val="bottom"/>
            <w:hideMark/>
          </w:tcPr>
          <w:p w14:paraId="6221A82F" w14:textId="77777777" w:rsidR="002A543E" w:rsidRPr="003C66A0" w:rsidRDefault="002A543E" w:rsidP="00E67B44">
            <w:pPr>
              <w:rPr>
                <w:color w:val="000000" w:themeColor="text1"/>
              </w:rPr>
            </w:pPr>
            <w:r w:rsidRPr="003C66A0">
              <w:rPr>
                <w:color w:val="000000" w:themeColor="text1"/>
              </w:rPr>
              <w:t xml:space="preserve">2-3 </w:t>
            </w:r>
            <w:proofErr w:type="spellStart"/>
            <w:r w:rsidRPr="003C66A0">
              <w:rPr>
                <w:color w:val="000000" w:themeColor="text1"/>
              </w:rPr>
              <w:t>hrs</w:t>
            </w:r>
            <w:proofErr w:type="spellEnd"/>
            <w:r w:rsidRPr="003C66A0">
              <w:rPr>
                <w:color w:val="000000" w:themeColor="text1"/>
              </w:rPr>
              <w:t>/week</w:t>
            </w:r>
          </w:p>
        </w:tc>
        <w:tc>
          <w:tcPr>
            <w:tcW w:w="1880" w:type="dxa"/>
            <w:tcBorders>
              <w:top w:val="nil"/>
              <w:left w:val="nil"/>
              <w:bottom w:val="single" w:sz="4" w:space="0" w:color="auto"/>
              <w:right w:val="single" w:sz="4" w:space="0" w:color="auto"/>
            </w:tcBorders>
            <w:noWrap/>
            <w:vAlign w:val="bottom"/>
            <w:hideMark/>
          </w:tcPr>
          <w:p w14:paraId="403DEF50" w14:textId="77777777" w:rsidR="002A543E" w:rsidRPr="003C66A0" w:rsidRDefault="002A543E" w:rsidP="00E67B44">
            <w:pPr>
              <w:rPr>
                <w:color w:val="000000" w:themeColor="text1"/>
              </w:rPr>
            </w:pPr>
            <w:r w:rsidRPr="003C66A0">
              <w:rPr>
                <w:color w:val="000000" w:themeColor="text1"/>
              </w:rPr>
              <w:t>5-10 hours</w:t>
            </w:r>
          </w:p>
        </w:tc>
        <w:tc>
          <w:tcPr>
            <w:tcW w:w="3200" w:type="dxa"/>
            <w:tcBorders>
              <w:top w:val="nil"/>
              <w:left w:val="nil"/>
              <w:bottom w:val="single" w:sz="4" w:space="0" w:color="auto"/>
              <w:right w:val="single" w:sz="8" w:space="0" w:color="auto"/>
            </w:tcBorders>
            <w:noWrap/>
            <w:vAlign w:val="bottom"/>
            <w:hideMark/>
          </w:tcPr>
          <w:p w14:paraId="23129A8B" w14:textId="77777777" w:rsidR="002A543E" w:rsidRPr="003C66A0" w:rsidRDefault="002A543E" w:rsidP="00E67B44">
            <w:pPr>
              <w:rPr>
                <w:color w:val="000000" w:themeColor="text1"/>
              </w:rPr>
            </w:pPr>
            <w:r w:rsidRPr="003C66A0">
              <w:rPr>
                <w:color w:val="000000" w:themeColor="text1"/>
              </w:rPr>
              <w:t>Complete transaction logs</w:t>
            </w:r>
          </w:p>
        </w:tc>
      </w:tr>
      <w:tr w:rsidR="00FC334A" w:rsidRPr="003C66A0" w14:paraId="0C167025" w14:textId="77777777" w:rsidTr="001230E5">
        <w:trPr>
          <w:trHeight w:val="340"/>
        </w:trPr>
        <w:tc>
          <w:tcPr>
            <w:tcW w:w="2300" w:type="dxa"/>
            <w:tcBorders>
              <w:top w:val="nil"/>
              <w:left w:val="single" w:sz="8" w:space="0" w:color="auto"/>
              <w:bottom w:val="single" w:sz="8" w:space="0" w:color="auto"/>
              <w:right w:val="single" w:sz="8" w:space="0" w:color="auto"/>
            </w:tcBorders>
            <w:shd w:val="clear" w:color="000000" w:fill="D9D9D9"/>
            <w:noWrap/>
            <w:vAlign w:val="bottom"/>
            <w:hideMark/>
          </w:tcPr>
          <w:p w14:paraId="1EE1B2A9" w14:textId="77777777" w:rsidR="002A543E" w:rsidRPr="003C66A0" w:rsidRDefault="002A543E" w:rsidP="00E67B44">
            <w:pPr>
              <w:rPr>
                <w:b/>
                <w:bCs/>
                <w:color w:val="000000" w:themeColor="text1"/>
              </w:rPr>
            </w:pPr>
            <w:r w:rsidRPr="003C66A0">
              <w:rPr>
                <w:b/>
                <w:bCs/>
                <w:color w:val="000000" w:themeColor="text1"/>
              </w:rPr>
              <w:t>Total Commitment</w:t>
            </w:r>
          </w:p>
        </w:tc>
        <w:tc>
          <w:tcPr>
            <w:tcW w:w="1880" w:type="dxa"/>
            <w:tcBorders>
              <w:top w:val="nil"/>
              <w:left w:val="nil"/>
              <w:bottom w:val="single" w:sz="8" w:space="0" w:color="auto"/>
              <w:right w:val="single" w:sz="4" w:space="0" w:color="auto"/>
            </w:tcBorders>
            <w:noWrap/>
            <w:vAlign w:val="bottom"/>
            <w:hideMark/>
          </w:tcPr>
          <w:p w14:paraId="538FCB8B" w14:textId="77777777" w:rsidR="002A543E" w:rsidRPr="003C66A0" w:rsidRDefault="002A543E" w:rsidP="00E67B44">
            <w:pPr>
              <w:rPr>
                <w:color w:val="000000" w:themeColor="text1"/>
              </w:rPr>
            </w:pPr>
            <w:r w:rsidRPr="003C66A0">
              <w:rPr>
                <w:color w:val="000000" w:themeColor="text1"/>
              </w:rPr>
              <w:t xml:space="preserve">15-20 </w:t>
            </w:r>
            <w:proofErr w:type="spellStart"/>
            <w:r w:rsidRPr="003C66A0">
              <w:rPr>
                <w:color w:val="000000" w:themeColor="text1"/>
              </w:rPr>
              <w:t>hrs</w:t>
            </w:r>
            <w:proofErr w:type="spellEnd"/>
            <w:r w:rsidRPr="003C66A0">
              <w:rPr>
                <w:color w:val="000000" w:themeColor="text1"/>
              </w:rPr>
              <w:t>/week</w:t>
            </w:r>
          </w:p>
        </w:tc>
        <w:tc>
          <w:tcPr>
            <w:tcW w:w="1880" w:type="dxa"/>
            <w:tcBorders>
              <w:top w:val="nil"/>
              <w:left w:val="nil"/>
              <w:bottom w:val="single" w:sz="8" w:space="0" w:color="auto"/>
              <w:right w:val="single" w:sz="4" w:space="0" w:color="auto"/>
            </w:tcBorders>
            <w:noWrap/>
            <w:vAlign w:val="bottom"/>
            <w:hideMark/>
          </w:tcPr>
          <w:p w14:paraId="4E807EA5" w14:textId="77777777" w:rsidR="002A543E" w:rsidRPr="003C66A0" w:rsidRDefault="002A543E" w:rsidP="00E67B44">
            <w:pPr>
              <w:rPr>
                <w:color w:val="000000" w:themeColor="text1"/>
              </w:rPr>
            </w:pPr>
            <w:r w:rsidRPr="003C66A0">
              <w:rPr>
                <w:color w:val="000000" w:themeColor="text1"/>
              </w:rPr>
              <w:t>50-75 hours initial</w:t>
            </w:r>
          </w:p>
        </w:tc>
        <w:tc>
          <w:tcPr>
            <w:tcW w:w="3200" w:type="dxa"/>
            <w:tcBorders>
              <w:top w:val="nil"/>
              <w:left w:val="nil"/>
              <w:bottom w:val="single" w:sz="8" w:space="0" w:color="auto"/>
              <w:right w:val="single" w:sz="8" w:space="0" w:color="auto"/>
            </w:tcBorders>
            <w:noWrap/>
            <w:vAlign w:val="bottom"/>
            <w:hideMark/>
          </w:tcPr>
          <w:p w14:paraId="3287500A" w14:textId="77777777" w:rsidR="002A543E" w:rsidRPr="003C66A0" w:rsidRDefault="002A543E" w:rsidP="00E67B44">
            <w:pPr>
              <w:rPr>
                <w:color w:val="000000" w:themeColor="text1"/>
              </w:rPr>
            </w:pPr>
            <w:r w:rsidRPr="003C66A0">
              <w:rPr>
                <w:color w:val="000000" w:themeColor="text1"/>
              </w:rPr>
              <w:t>6+ months sustained profits</w:t>
            </w:r>
          </w:p>
        </w:tc>
      </w:tr>
    </w:tbl>
    <w:p w14:paraId="330F9517" w14:textId="74F16C69" w:rsidR="002A543E" w:rsidRPr="00835253" w:rsidRDefault="00DD319C" w:rsidP="00E67B44">
      <w:pPr>
        <w:jc w:val="both"/>
        <w:rPr>
          <w:rFonts w:eastAsiaTheme="majorEastAsia"/>
          <w:i/>
          <w:iCs/>
          <w:color w:val="000000" w:themeColor="text1"/>
        </w:rPr>
      </w:pPr>
      <w:r w:rsidRPr="003C66A0">
        <w:rPr>
          <w:rFonts w:eastAsiaTheme="majorEastAsia"/>
          <w:i/>
          <w:iCs/>
          <w:color w:val="000000" w:themeColor="text1"/>
        </w:rPr>
        <w:t>Interpretive Note: The 15-20 h</w:t>
      </w:r>
      <w:r w:rsidR="003C5D50" w:rsidRPr="003C66A0">
        <w:rPr>
          <w:rFonts w:eastAsiaTheme="majorEastAsia"/>
          <w:i/>
          <w:iCs/>
          <w:color w:val="000000" w:themeColor="text1"/>
        </w:rPr>
        <w:t>ours</w:t>
      </w:r>
      <w:r w:rsidR="00231D5B" w:rsidRPr="003C66A0">
        <w:rPr>
          <w:rFonts w:eastAsiaTheme="majorEastAsia"/>
          <w:i/>
          <w:iCs/>
          <w:color w:val="000000" w:themeColor="text1"/>
        </w:rPr>
        <w:t xml:space="preserve"> </w:t>
      </w:r>
      <w:r w:rsidRPr="003C66A0">
        <w:rPr>
          <w:rFonts w:eastAsiaTheme="majorEastAsia"/>
          <w:i/>
          <w:iCs/>
          <w:color w:val="000000" w:themeColor="text1"/>
        </w:rPr>
        <w:t>weekly requirement transforms "passive income" into a part-time job, with an additional 50-75 h</w:t>
      </w:r>
      <w:r w:rsidR="003C5D50" w:rsidRPr="003C66A0">
        <w:rPr>
          <w:rFonts w:eastAsiaTheme="majorEastAsia"/>
          <w:i/>
          <w:iCs/>
          <w:color w:val="000000" w:themeColor="text1"/>
        </w:rPr>
        <w:t>ours</w:t>
      </w:r>
      <w:r w:rsidR="00231D5B" w:rsidRPr="003C66A0">
        <w:rPr>
          <w:rFonts w:eastAsiaTheme="majorEastAsia"/>
          <w:i/>
          <w:iCs/>
          <w:color w:val="000000" w:themeColor="text1"/>
        </w:rPr>
        <w:t xml:space="preserve"> </w:t>
      </w:r>
      <w:r w:rsidRPr="003C66A0">
        <w:rPr>
          <w:rFonts w:eastAsiaTheme="majorEastAsia"/>
          <w:i/>
          <w:iCs/>
          <w:color w:val="000000" w:themeColor="text1"/>
        </w:rPr>
        <w:t>learning investment upfront—explaining why time-constrained participants overwhelmingly failed.</w:t>
      </w:r>
    </w:p>
    <w:p w14:paraId="1A6E97EA" w14:textId="77777777" w:rsidR="002A543E" w:rsidRDefault="002A543E" w:rsidP="00E67B44">
      <w:pPr>
        <w:jc w:val="both"/>
        <w:rPr>
          <w:rFonts w:eastAsiaTheme="majorEastAsia"/>
          <w:b/>
          <w:bCs/>
          <w:color w:val="000000" w:themeColor="text1"/>
        </w:rPr>
      </w:pPr>
    </w:p>
    <w:p w14:paraId="0184B62A" w14:textId="77777777" w:rsidR="00A80D43" w:rsidRPr="003C66A0" w:rsidRDefault="00A80D43" w:rsidP="00E67B44">
      <w:pPr>
        <w:jc w:val="both"/>
        <w:rPr>
          <w:rFonts w:eastAsiaTheme="majorEastAsia"/>
          <w:b/>
          <w:bCs/>
          <w:color w:val="000000" w:themeColor="text1"/>
        </w:rPr>
      </w:pPr>
    </w:p>
    <w:p w14:paraId="66F0E530" w14:textId="0A1B3092" w:rsidR="003B0F49" w:rsidRDefault="003B0F49" w:rsidP="00E67B44">
      <w:pPr>
        <w:pStyle w:val="Heading3"/>
      </w:pPr>
      <w:bookmarkStart w:id="15" w:name="_Toc214721821"/>
      <w:r w:rsidRPr="003C66A0">
        <w:t xml:space="preserve">Table </w:t>
      </w:r>
      <w:r w:rsidR="00C5607F">
        <w:t>1.</w:t>
      </w:r>
      <w:r w:rsidRPr="003C66A0">
        <w:t>D: Risk Parameters Summary</w:t>
      </w:r>
      <w:bookmarkEnd w:id="15"/>
    </w:p>
    <w:p w14:paraId="1BA57FFD" w14:textId="77777777" w:rsidR="00835253" w:rsidRPr="00835253" w:rsidRDefault="00835253" w:rsidP="00E67B44">
      <w:pPr>
        <w:rPr>
          <w:rFonts w:eastAsiaTheme="majorEastAsia"/>
        </w:rPr>
      </w:pPr>
    </w:p>
    <w:tbl>
      <w:tblPr>
        <w:tblW w:w="9260" w:type="dxa"/>
        <w:tblLook w:val="04A0" w:firstRow="1" w:lastRow="0" w:firstColumn="1" w:lastColumn="0" w:noHBand="0" w:noVBand="1"/>
      </w:tblPr>
      <w:tblGrid>
        <w:gridCol w:w="2330"/>
        <w:gridCol w:w="1890"/>
        <w:gridCol w:w="2340"/>
        <w:gridCol w:w="2700"/>
      </w:tblGrid>
      <w:tr w:rsidR="00FC334A" w:rsidRPr="003C66A0" w14:paraId="54F86218" w14:textId="77777777" w:rsidTr="001230E5">
        <w:trPr>
          <w:trHeight w:val="340"/>
        </w:trPr>
        <w:tc>
          <w:tcPr>
            <w:tcW w:w="233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14:paraId="4C4FB9E4" w14:textId="77777777" w:rsidR="00F6632D" w:rsidRPr="003C66A0" w:rsidRDefault="00F6632D" w:rsidP="00E67B44">
            <w:pPr>
              <w:rPr>
                <w:b/>
                <w:bCs/>
                <w:color w:val="000000" w:themeColor="text1"/>
              </w:rPr>
            </w:pPr>
            <w:r w:rsidRPr="003C66A0">
              <w:rPr>
                <w:b/>
                <w:bCs/>
                <w:color w:val="000000" w:themeColor="text1"/>
              </w:rPr>
              <w:t>Risk Type</w:t>
            </w:r>
          </w:p>
        </w:tc>
        <w:tc>
          <w:tcPr>
            <w:tcW w:w="1890" w:type="dxa"/>
            <w:tcBorders>
              <w:top w:val="single" w:sz="8" w:space="0" w:color="auto"/>
              <w:left w:val="nil"/>
              <w:bottom w:val="single" w:sz="8" w:space="0" w:color="auto"/>
              <w:right w:val="single" w:sz="4" w:space="0" w:color="auto"/>
            </w:tcBorders>
            <w:shd w:val="clear" w:color="000000" w:fill="D9D9D9"/>
            <w:noWrap/>
            <w:vAlign w:val="bottom"/>
            <w:hideMark/>
          </w:tcPr>
          <w:p w14:paraId="299B3313" w14:textId="77777777" w:rsidR="00F6632D" w:rsidRPr="003C66A0" w:rsidRDefault="00F6632D" w:rsidP="00E67B44">
            <w:pPr>
              <w:rPr>
                <w:b/>
                <w:bCs/>
                <w:color w:val="000000" w:themeColor="text1"/>
              </w:rPr>
            </w:pPr>
            <w:r w:rsidRPr="003C66A0">
              <w:rPr>
                <w:b/>
                <w:bCs/>
                <w:color w:val="000000" w:themeColor="text1"/>
              </w:rPr>
              <w:t>Probability</w:t>
            </w:r>
          </w:p>
        </w:tc>
        <w:tc>
          <w:tcPr>
            <w:tcW w:w="2340" w:type="dxa"/>
            <w:tcBorders>
              <w:top w:val="single" w:sz="8" w:space="0" w:color="auto"/>
              <w:left w:val="nil"/>
              <w:bottom w:val="single" w:sz="8" w:space="0" w:color="auto"/>
              <w:right w:val="single" w:sz="4" w:space="0" w:color="auto"/>
            </w:tcBorders>
            <w:shd w:val="clear" w:color="000000" w:fill="D9D9D9"/>
            <w:noWrap/>
            <w:vAlign w:val="bottom"/>
            <w:hideMark/>
          </w:tcPr>
          <w:p w14:paraId="4203322C" w14:textId="77777777" w:rsidR="00F6632D" w:rsidRPr="003C66A0" w:rsidRDefault="00F6632D" w:rsidP="00E67B44">
            <w:pPr>
              <w:rPr>
                <w:b/>
                <w:bCs/>
                <w:color w:val="000000" w:themeColor="text1"/>
              </w:rPr>
            </w:pPr>
            <w:r w:rsidRPr="003C66A0">
              <w:rPr>
                <w:b/>
                <w:bCs/>
                <w:color w:val="000000" w:themeColor="text1"/>
              </w:rPr>
              <w:t>Average Loss When Occurs</w:t>
            </w:r>
          </w:p>
        </w:tc>
        <w:tc>
          <w:tcPr>
            <w:tcW w:w="2700" w:type="dxa"/>
            <w:tcBorders>
              <w:top w:val="single" w:sz="8" w:space="0" w:color="auto"/>
              <w:left w:val="nil"/>
              <w:bottom w:val="single" w:sz="8" w:space="0" w:color="auto"/>
              <w:right w:val="single" w:sz="8" w:space="0" w:color="auto"/>
            </w:tcBorders>
            <w:shd w:val="clear" w:color="000000" w:fill="D9D9D9"/>
            <w:noWrap/>
            <w:vAlign w:val="bottom"/>
            <w:hideMark/>
          </w:tcPr>
          <w:p w14:paraId="0FA8ACC3" w14:textId="77777777" w:rsidR="00F6632D" w:rsidRPr="003C66A0" w:rsidRDefault="00F6632D" w:rsidP="00E67B44">
            <w:pPr>
              <w:rPr>
                <w:b/>
                <w:bCs/>
                <w:color w:val="000000" w:themeColor="text1"/>
              </w:rPr>
            </w:pPr>
            <w:r w:rsidRPr="003C66A0">
              <w:rPr>
                <w:b/>
                <w:bCs/>
                <w:color w:val="000000" w:themeColor="text1"/>
              </w:rPr>
              <w:t>Mitigation Effectiveness</w:t>
            </w:r>
          </w:p>
        </w:tc>
      </w:tr>
      <w:tr w:rsidR="00FC334A" w:rsidRPr="003C66A0" w14:paraId="72D652C1" w14:textId="77777777" w:rsidTr="001230E5">
        <w:trPr>
          <w:trHeight w:val="320"/>
        </w:trPr>
        <w:tc>
          <w:tcPr>
            <w:tcW w:w="2330" w:type="dxa"/>
            <w:tcBorders>
              <w:top w:val="nil"/>
              <w:left w:val="single" w:sz="8" w:space="0" w:color="auto"/>
              <w:bottom w:val="single" w:sz="4" w:space="0" w:color="auto"/>
              <w:right w:val="single" w:sz="8" w:space="0" w:color="auto"/>
            </w:tcBorders>
            <w:shd w:val="clear" w:color="000000" w:fill="D9D9D9"/>
            <w:noWrap/>
            <w:vAlign w:val="bottom"/>
            <w:hideMark/>
          </w:tcPr>
          <w:p w14:paraId="57D827D5" w14:textId="77777777" w:rsidR="00F6632D" w:rsidRPr="003C66A0" w:rsidRDefault="00F6632D" w:rsidP="00E67B44">
            <w:pPr>
              <w:rPr>
                <w:b/>
                <w:bCs/>
                <w:color w:val="000000" w:themeColor="text1"/>
              </w:rPr>
            </w:pPr>
            <w:r w:rsidRPr="003C66A0">
              <w:rPr>
                <w:b/>
                <w:bCs/>
                <w:color w:val="000000" w:themeColor="text1"/>
              </w:rPr>
              <w:t>Smart Contract Exploit</w:t>
            </w:r>
          </w:p>
        </w:tc>
        <w:tc>
          <w:tcPr>
            <w:tcW w:w="1890" w:type="dxa"/>
            <w:tcBorders>
              <w:top w:val="nil"/>
              <w:left w:val="nil"/>
              <w:bottom w:val="single" w:sz="4" w:space="0" w:color="auto"/>
              <w:right w:val="single" w:sz="4" w:space="0" w:color="auto"/>
            </w:tcBorders>
            <w:noWrap/>
            <w:vAlign w:val="bottom"/>
            <w:hideMark/>
          </w:tcPr>
          <w:p w14:paraId="1A7CEC8D" w14:textId="77777777" w:rsidR="00F6632D" w:rsidRPr="003C66A0" w:rsidRDefault="00F6632D" w:rsidP="00E67B44">
            <w:pPr>
              <w:rPr>
                <w:color w:val="000000" w:themeColor="text1"/>
              </w:rPr>
            </w:pPr>
            <w:r w:rsidRPr="003C66A0">
              <w:rPr>
                <w:color w:val="000000" w:themeColor="text1"/>
              </w:rPr>
              <w:t>12% per quarter</w:t>
            </w:r>
          </w:p>
        </w:tc>
        <w:tc>
          <w:tcPr>
            <w:tcW w:w="2340" w:type="dxa"/>
            <w:tcBorders>
              <w:top w:val="nil"/>
              <w:left w:val="nil"/>
              <w:bottom w:val="single" w:sz="4" w:space="0" w:color="auto"/>
              <w:right w:val="single" w:sz="4" w:space="0" w:color="auto"/>
            </w:tcBorders>
            <w:noWrap/>
            <w:vAlign w:val="bottom"/>
            <w:hideMark/>
          </w:tcPr>
          <w:p w14:paraId="458B8C5A" w14:textId="77777777" w:rsidR="00F6632D" w:rsidRPr="003C66A0" w:rsidRDefault="00F6632D" w:rsidP="00E67B44">
            <w:pPr>
              <w:rPr>
                <w:color w:val="000000" w:themeColor="text1"/>
              </w:rPr>
            </w:pPr>
            <w:r w:rsidRPr="003C66A0">
              <w:rPr>
                <w:color w:val="000000" w:themeColor="text1"/>
              </w:rPr>
              <w:t>67% of position</w:t>
            </w:r>
          </w:p>
        </w:tc>
        <w:tc>
          <w:tcPr>
            <w:tcW w:w="2700" w:type="dxa"/>
            <w:tcBorders>
              <w:top w:val="nil"/>
              <w:left w:val="nil"/>
              <w:bottom w:val="single" w:sz="4" w:space="0" w:color="auto"/>
              <w:right w:val="single" w:sz="8" w:space="0" w:color="auto"/>
            </w:tcBorders>
            <w:noWrap/>
            <w:vAlign w:val="bottom"/>
            <w:hideMark/>
          </w:tcPr>
          <w:p w14:paraId="15943C34" w14:textId="77777777" w:rsidR="00F6632D" w:rsidRPr="003C66A0" w:rsidRDefault="00F6632D" w:rsidP="00E67B44">
            <w:pPr>
              <w:rPr>
                <w:color w:val="000000" w:themeColor="text1"/>
              </w:rPr>
            </w:pPr>
            <w:r w:rsidRPr="003C66A0">
              <w:rPr>
                <w:color w:val="000000" w:themeColor="text1"/>
              </w:rPr>
              <w:t>Audits reduce by ~30%</w:t>
            </w:r>
          </w:p>
        </w:tc>
      </w:tr>
      <w:tr w:rsidR="00FC334A" w:rsidRPr="003C66A0" w14:paraId="2995BBF5" w14:textId="77777777" w:rsidTr="001230E5">
        <w:trPr>
          <w:trHeight w:val="320"/>
        </w:trPr>
        <w:tc>
          <w:tcPr>
            <w:tcW w:w="2330" w:type="dxa"/>
            <w:tcBorders>
              <w:top w:val="nil"/>
              <w:left w:val="single" w:sz="8" w:space="0" w:color="auto"/>
              <w:bottom w:val="single" w:sz="4" w:space="0" w:color="auto"/>
              <w:right w:val="single" w:sz="8" w:space="0" w:color="auto"/>
            </w:tcBorders>
            <w:shd w:val="clear" w:color="000000" w:fill="D9D9D9"/>
            <w:noWrap/>
            <w:vAlign w:val="bottom"/>
            <w:hideMark/>
          </w:tcPr>
          <w:p w14:paraId="2331BB56" w14:textId="77777777" w:rsidR="00F6632D" w:rsidRPr="003C66A0" w:rsidRDefault="00F6632D" w:rsidP="00E67B44">
            <w:pPr>
              <w:rPr>
                <w:b/>
                <w:bCs/>
                <w:color w:val="000000" w:themeColor="text1"/>
              </w:rPr>
            </w:pPr>
            <w:r w:rsidRPr="003C66A0">
              <w:rPr>
                <w:b/>
                <w:bCs/>
                <w:color w:val="000000" w:themeColor="text1"/>
              </w:rPr>
              <w:t>Impermanent Loss &gt; Fees</w:t>
            </w:r>
          </w:p>
        </w:tc>
        <w:tc>
          <w:tcPr>
            <w:tcW w:w="1890" w:type="dxa"/>
            <w:tcBorders>
              <w:top w:val="nil"/>
              <w:left w:val="nil"/>
              <w:bottom w:val="single" w:sz="4" w:space="0" w:color="auto"/>
              <w:right w:val="single" w:sz="4" w:space="0" w:color="auto"/>
            </w:tcBorders>
            <w:noWrap/>
            <w:vAlign w:val="bottom"/>
            <w:hideMark/>
          </w:tcPr>
          <w:p w14:paraId="45ECAA95" w14:textId="77777777" w:rsidR="00F6632D" w:rsidRPr="003C66A0" w:rsidRDefault="00F6632D" w:rsidP="00E67B44">
            <w:pPr>
              <w:rPr>
                <w:color w:val="000000" w:themeColor="text1"/>
              </w:rPr>
            </w:pPr>
            <w:r w:rsidRPr="003C66A0">
              <w:rPr>
                <w:color w:val="000000" w:themeColor="text1"/>
              </w:rPr>
              <w:t>67% of volatile pairs</w:t>
            </w:r>
          </w:p>
        </w:tc>
        <w:tc>
          <w:tcPr>
            <w:tcW w:w="2340" w:type="dxa"/>
            <w:tcBorders>
              <w:top w:val="nil"/>
              <w:left w:val="nil"/>
              <w:bottom w:val="single" w:sz="4" w:space="0" w:color="auto"/>
              <w:right w:val="single" w:sz="4" w:space="0" w:color="auto"/>
            </w:tcBorders>
            <w:noWrap/>
            <w:vAlign w:val="bottom"/>
            <w:hideMark/>
          </w:tcPr>
          <w:p w14:paraId="2358F5E4" w14:textId="77777777" w:rsidR="00F6632D" w:rsidRPr="003C66A0" w:rsidRDefault="00F6632D" w:rsidP="00E67B44">
            <w:pPr>
              <w:rPr>
                <w:color w:val="000000" w:themeColor="text1"/>
              </w:rPr>
            </w:pPr>
            <w:r w:rsidRPr="003C66A0">
              <w:rPr>
                <w:color w:val="000000" w:themeColor="text1"/>
              </w:rPr>
              <w:t>Varies (see Table B)</w:t>
            </w:r>
          </w:p>
        </w:tc>
        <w:tc>
          <w:tcPr>
            <w:tcW w:w="2700" w:type="dxa"/>
            <w:tcBorders>
              <w:top w:val="nil"/>
              <w:left w:val="nil"/>
              <w:bottom w:val="single" w:sz="4" w:space="0" w:color="auto"/>
              <w:right w:val="single" w:sz="8" w:space="0" w:color="auto"/>
            </w:tcBorders>
            <w:noWrap/>
            <w:vAlign w:val="bottom"/>
            <w:hideMark/>
          </w:tcPr>
          <w:p w14:paraId="26DDE48D" w14:textId="77777777" w:rsidR="00F6632D" w:rsidRPr="003C66A0" w:rsidRDefault="00F6632D" w:rsidP="00E67B44">
            <w:pPr>
              <w:rPr>
                <w:color w:val="000000" w:themeColor="text1"/>
              </w:rPr>
            </w:pPr>
            <w:r w:rsidRPr="003C66A0">
              <w:rPr>
                <w:color w:val="000000" w:themeColor="text1"/>
              </w:rPr>
              <w:t>Range management ~45% reduction</w:t>
            </w:r>
          </w:p>
        </w:tc>
      </w:tr>
      <w:tr w:rsidR="00FC334A" w:rsidRPr="003C66A0" w14:paraId="6CAC9574" w14:textId="77777777" w:rsidTr="001230E5">
        <w:trPr>
          <w:trHeight w:val="320"/>
        </w:trPr>
        <w:tc>
          <w:tcPr>
            <w:tcW w:w="2330" w:type="dxa"/>
            <w:tcBorders>
              <w:top w:val="nil"/>
              <w:left w:val="single" w:sz="8" w:space="0" w:color="auto"/>
              <w:bottom w:val="single" w:sz="4" w:space="0" w:color="auto"/>
              <w:right w:val="single" w:sz="8" w:space="0" w:color="auto"/>
            </w:tcBorders>
            <w:shd w:val="clear" w:color="000000" w:fill="D9D9D9"/>
            <w:noWrap/>
            <w:vAlign w:val="bottom"/>
            <w:hideMark/>
          </w:tcPr>
          <w:p w14:paraId="70586B76" w14:textId="77777777" w:rsidR="00F6632D" w:rsidRPr="003C66A0" w:rsidRDefault="00F6632D" w:rsidP="00E67B44">
            <w:pPr>
              <w:rPr>
                <w:b/>
                <w:bCs/>
                <w:color w:val="000000" w:themeColor="text1"/>
              </w:rPr>
            </w:pPr>
            <w:r w:rsidRPr="003C66A0">
              <w:rPr>
                <w:b/>
                <w:bCs/>
                <w:color w:val="000000" w:themeColor="text1"/>
              </w:rPr>
              <w:t>Governance Attack</w:t>
            </w:r>
          </w:p>
        </w:tc>
        <w:tc>
          <w:tcPr>
            <w:tcW w:w="1890" w:type="dxa"/>
            <w:tcBorders>
              <w:top w:val="nil"/>
              <w:left w:val="nil"/>
              <w:bottom w:val="single" w:sz="4" w:space="0" w:color="auto"/>
              <w:right w:val="single" w:sz="4" w:space="0" w:color="auto"/>
            </w:tcBorders>
            <w:noWrap/>
            <w:vAlign w:val="bottom"/>
            <w:hideMark/>
          </w:tcPr>
          <w:p w14:paraId="0B1F7652" w14:textId="77777777" w:rsidR="00F6632D" w:rsidRPr="003C66A0" w:rsidRDefault="00F6632D" w:rsidP="00E67B44">
            <w:pPr>
              <w:rPr>
                <w:color w:val="000000" w:themeColor="text1"/>
              </w:rPr>
            </w:pPr>
            <w:r w:rsidRPr="003C66A0">
              <w:rPr>
                <w:color w:val="000000" w:themeColor="text1"/>
              </w:rPr>
              <w:t>31% of major incidents</w:t>
            </w:r>
          </w:p>
        </w:tc>
        <w:tc>
          <w:tcPr>
            <w:tcW w:w="2340" w:type="dxa"/>
            <w:tcBorders>
              <w:top w:val="nil"/>
              <w:left w:val="nil"/>
              <w:bottom w:val="single" w:sz="4" w:space="0" w:color="auto"/>
              <w:right w:val="single" w:sz="4" w:space="0" w:color="auto"/>
            </w:tcBorders>
            <w:noWrap/>
            <w:vAlign w:val="bottom"/>
            <w:hideMark/>
          </w:tcPr>
          <w:p w14:paraId="510AE35B" w14:textId="77777777" w:rsidR="00F6632D" w:rsidRPr="003C66A0" w:rsidRDefault="00F6632D" w:rsidP="00E67B44">
            <w:pPr>
              <w:rPr>
                <w:color w:val="000000" w:themeColor="text1"/>
              </w:rPr>
            </w:pPr>
            <w:r w:rsidRPr="003C66A0">
              <w:rPr>
                <w:color w:val="000000" w:themeColor="text1"/>
              </w:rPr>
              <w:t>43% of position</w:t>
            </w:r>
          </w:p>
        </w:tc>
        <w:tc>
          <w:tcPr>
            <w:tcW w:w="2700" w:type="dxa"/>
            <w:tcBorders>
              <w:top w:val="nil"/>
              <w:left w:val="nil"/>
              <w:bottom w:val="single" w:sz="4" w:space="0" w:color="auto"/>
              <w:right w:val="single" w:sz="8" w:space="0" w:color="auto"/>
            </w:tcBorders>
            <w:noWrap/>
            <w:vAlign w:val="bottom"/>
            <w:hideMark/>
          </w:tcPr>
          <w:p w14:paraId="29C10369" w14:textId="77777777" w:rsidR="00F6632D" w:rsidRPr="003C66A0" w:rsidRDefault="00F6632D" w:rsidP="00E67B44">
            <w:pPr>
              <w:rPr>
                <w:color w:val="000000" w:themeColor="text1"/>
              </w:rPr>
            </w:pPr>
            <w:r w:rsidRPr="003C66A0">
              <w:rPr>
                <w:color w:val="000000" w:themeColor="text1"/>
              </w:rPr>
              <w:t>Diversification critical</w:t>
            </w:r>
          </w:p>
        </w:tc>
      </w:tr>
      <w:tr w:rsidR="00FC334A" w:rsidRPr="003C66A0" w14:paraId="0A1B19AF" w14:textId="77777777" w:rsidTr="001230E5">
        <w:trPr>
          <w:trHeight w:val="320"/>
        </w:trPr>
        <w:tc>
          <w:tcPr>
            <w:tcW w:w="2330" w:type="dxa"/>
            <w:tcBorders>
              <w:top w:val="nil"/>
              <w:left w:val="single" w:sz="8" w:space="0" w:color="auto"/>
              <w:bottom w:val="single" w:sz="4" w:space="0" w:color="auto"/>
              <w:right w:val="single" w:sz="8" w:space="0" w:color="auto"/>
            </w:tcBorders>
            <w:shd w:val="clear" w:color="000000" w:fill="D9D9D9"/>
            <w:noWrap/>
            <w:vAlign w:val="bottom"/>
            <w:hideMark/>
          </w:tcPr>
          <w:p w14:paraId="33EE79D4" w14:textId="77777777" w:rsidR="00F6632D" w:rsidRPr="003C66A0" w:rsidRDefault="00F6632D" w:rsidP="00E67B44">
            <w:pPr>
              <w:rPr>
                <w:b/>
                <w:bCs/>
                <w:color w:val="000000" w:themeColor="text1"/>
              </w:rPr>
            </w:pPr>
            <w:r w:rsidRPr="003C66A0">
              <w:rPr>
                <w:b/>
                <w:bCs/>
                <w:color w:val="000000" w:themeColor="text1"/>
              </w:rPr>
              <w:t>Failed Transactions</w:t>
            </w:r>
          </w:p>
        </w:tc>
        <w:tc>
          <w:tcPr>
            <w:tcW w:w="1890" w:type="dxa"/>
            <w:tcBorders>
              <w:top w:val="nil"/>
              <w:left w:val="nil"/>
              <w:bottom w:val="single" w:sz="4" w:space="0" w:color="auto"/>
              <w:right w:val="single" w:sz="4" w:space="0" w:color="auto"/>
            </w:tcBorders>
            <w:noWrap/>
            <w:vAlign w:val="bottom"/>
            <w:hideMark/>
          </w:tcPr>
          <w:p w14:paraId="5EC48910" w14:textId="77777777" w:rsidR="00F6632D" w:rsidRPr="003C66A0" w:rsidRDefault="00F6632D" w:rsidP="00E67B44">
            <w:pPr>
              <w:rPr>
                <w:color w:val="000000" w:themeColor="text1"/>
              </w:rPr>
            </w:pPr>
            <w:r w:rsidRPr="003C66A0">
              <w:rPr>
                <w:color w:val="000000" w:themeColor="text1"/>
              </w:rPr>
              <w:t>23-40% during congestion</w:t>
            </w:r>
          </w:p>
        </w:tc>
        <w:tc>
          <w:tcPr>
            <w:tcW w:w="2340" w:type="dxa"/>
            <w:tcBorders>
              <w:top w:val="nil"/>
              <w:left w:val="nil"/>
              <w:bottom w:val="single" w:sz="4" w:space="0" w:color="auto"/>
              <w:right w:val="single" w:sz="4" w:space="0" w:color="auto"/>
            </w:tcBorders>
            <w:noWrap/>
            <w:vAlign w:val="bottom"/>
            <w:hideMark/>
          </w:tcPr>
          <w:p w14:paraId="34CB1CDB" w14:textId="77777777" w:rsidR="00F6632D" w:rsidRPr="003C66A0" w:rsidRDefault="00F6632D" w:rsidP="00E67B44">
            <w:pPr>
              <w:rPr>
                <w:color w:val="000000" w:themeColor="text1"/>
              </w:rPr>
            </w:pPr>
            <w:r w:rsidRPr="003C66A0">
              <w:rPr>
                <w:color w:val="000000" w:themeColor="text1"/>
              </w:rPr>
              <w:t>Gas fee only</w:t>
            </w:r>
          </w:p>
        </w:tc>
        <w:tc>
          <w:tcPr>
            <w:tcW w:w="2700" w:type="dxa"/>
            <w:tcBorders>
              <w:top w:val="nil"/>
              <w:left w:val="nil"/>
              <w:bottom w:val="single" w:sz="4" w:space="0" w:color="auto"/>
              <w:right w:val="single" w:sz="8" w:space="0" w:color="auto"/>
            </w:tcBorders>
            <w:noWrap/>
            <w:vAlign w:val="bottom"/>
            <w:hideMark/>
          </w:tcPr>
          <w:p w14:paraId="6F1EC291" w14:textId="77777777" w:rsidR="00F6632D" w:rsidRPr="003C66A0" w:rsidRDefault="00F6632D" w:rsidP="00E67B44">
            <w:pPr>
              <w:rPr>
                <w:color w:val="000000" w:themeColor="text1"/>
              </w:rPr>
            </w:pPr>
            <w:r w:rsidRPr="003C66A0">
              <w:rPr>
                <w:color w:val="000000" w:themeColor="text1"/>
              </w:rPr>
              <w:t>Timing optimization ~60% reduction</w:t>
            </w:r>
          </w:p>
        </w:tc>
      </w:tr>
      <w:tr w:rsidR="00FC334A" w:rsidRPr="003C66A0" w14:paraId="1C4E4645" w14:textId="77777777" w:rsidTr="001230E5">
        <w:trPr>
          <w:trHeight w:val="340"/>
        </w:trPr>
        <w:tc>
          <w:tcPr>
            <w:tcW w:w="2330" w:type="dxa"/>
            <w:tcBorders>
              <w:top w:val="nil"/>
              <w:left w:val="single" w:sz="8" w:space="0" w:color="auto"/>
              <w:bottom w:val="single" w:sz="8" w:space="0" w:color="auto"/>
              <w:right w:val="single" w:sz="8" w:space="0" w:color="auto"/>
            </w:tcBorders>
            <w:shd w:val="clear" w:color="000000" w:fill="D9D9D9"/>
            <w:noWrap/>
            <w:vAlign w:val="bottom"/>
            <w:hideMark/>
          </w:tcPr>
          <w:p w14:paraId="4CB4FC5B" w14:textId="77777777" w:rsidR="00F6632D" w:rsidRPr="003C66A0" w:rsidRDefault="00F6632D" w:rsidP="00E67B44">
            <w:pPr>
              <w:rPr>
                <w:b/>
                <w:bCs/>
                <w:color w:val="000000" w:themeColor="text1"/>
              </w:rPr>
            </w:pPr>
            <w:r w:rsidRPr="003C66A0">
              <w:rPr>
                <w:b/>
                <w:bCs/>
                <w:color w:val="000000" w:themeColor="text1"/>
              </w:rPr>
              <w:t>Protocol Abandonment</w:t>
            </w:r>
          </w:p>
        </w:tc>
        <w:tc>
          <w:tcPr>
            <w:tcW w:w="1890" w:type="dxa"/>
            <w:tcBorders>
              <w:top w:val="nil"/>
              <w:left w:val="nil"/>
              <w:bottom w:val="single" w:sz="8" w:space="0" w:color="auto"/>
              <w:right w:val="single" w:sz="4" w:space="0" w:color="auto"/>
            </w:tcBorders>
            <w:noWrap/>
            <w:vAlign w:val="bottom"/>
            <w:hideMark/>
          </w:tcPr>
          <w:p w14:paraId="56420839" w14:textId="77777777" w:rsidR="00F6632D" w:rsidRPr="003C66A0" w:rsidRDefault="00F6632D" w:rsidP="00E67B44">
            <w:pPr>
              <w:rPr>
                <w:color w:val="000000" w:themeColor="text1"/>
              </w:rPr>
            </w:pPr>
            <w:r w:rsidRPr="003C66A0">
              <w:rPr>
                <w:color w:val="000000" w:themeColor="text1"/>
              </w:rPr>
              <w:t>8% per quarter</w:t>
            </w:r>
          </w:p>
        </w:tc>
        <w:tc>
          <w:tcPr>
            <w:tcW w:w="2340" w:type="dxa"/>
            <w:tcBorders>
              <w:top w:val="nil"/>
              <w:left w:val="nil"/>
              <w:bottom w:val="single" w:sz="8" w:space="0" w:color="auto"/>
              <w:right w:val="single" w:sz="4" w:space="0" w:color="auto"/>
            </w:tcBorders>
            <w:noWrap/>
            <w:vAlign w:val="bottom"/>
            <w:hideMark/>
          </w:tcPr>
          <w:p w14:paraId="3E425264" w14:textId="77777777" w:rsidR="00F6632D" w:rsidRPr="003C66A0" w:rsidRDefault="00F6632D" w:rsidP="00E67B44">
            <w:pPr>
              <w:rPr>
                <w:color w:val="000000" w:themeColor="text1"/>
              </w:rPr>
            </w:pPr>
            <w:r w:rsidRPr="003C66A0">
              <w:rPr>
                <w:color w:val="000000" w:themeColor="text1"/>
              </w:rPr>
              <w:t>90-100% over time</w:t>
            </w:r>
          </w:p>
        </w:tc>
        <w:tc>
          <w:tcPr>
            <w:tcW w:w="2700" w:type="dxa"/>
            <w:tcBorders>
              <w:top w:val="nil"/>
              <w:left w:val="nil"/>
              <w:bottom w:val="single" w:sz="8" w:space="0" w:color="auto"/>
              <w:right w:val="single" w:sz="8" w:space="0" w:color="auto"/>
            </w:tcBorders>
            <w:noWrap/>
            <w:vAlign w:val="bottom"/>
            <w:hideMark/>
          </w:tcPr>
          <w:p w14:paraId="115F9E72" w14:textId="77777777" w:rsidR="00F6632D" w:rsidRPr="003C66A0" w:rsidRDefault="00F6632D" w:rsidP="00E67B44">
            <w:pPr>
              <w:rPr>
                <w:color w:val="000000" w:themeColor="text1"/>
              </w:rPr>
            </w:pPr>
            <w:r w:rsidRPr="003C66A0">
              <w:rPr>
                <w:color w:val="000000" w:themeColor="text1"/>
              </w:rPr>
              <w:t>Blue-chip focus ~70% reduction</w:t>
            </w:r>
          </w:p>
        </w:tc>
      </w:tr>
    </w:tbl>
    <w:p w14:paraId="1EB98319" w14:textId="3FFE3CF3" w:rsidR="00E96E71" w:rsidRDefault="00E96E71" w:rsidP="00E67B44">
      <w:pPr>
        <w:jc w:val="both"/>
        <w:rPr>
          <w:rFonts w:eastAsiaTheme="majorEastAsia"/>
          <w:b/>
          <w:bCs/>
          <w:color w:val="000000" w:themeColor="text1"/>
        </w:rPr>
      </w:pPr>
      <w:r w:rsidRPr="003C66A0">
        <w:rPr>
          <w:rFonts w:eastAsiaTheme="majorEastAsia"/>
          <w:i/>
          <w:iCs/>
          <w:color w:val="000000" w:themeColor="text1"/>
        </w:rPr>
        <w:t xml:space="preserve">Interpretive Note: With a 12% quarterly exploit rate yielding 41% annual loss probability, participants face risk levels that traditional finance would deem </w:t>
      </w:r>
      <w:proofErr w:type="spellStart"/>
      <w:r w:rsidRPr="003C66A0">
        <w:rPr>
          <w:rFonts w:eastAsiaTheme="majorEastAsia"/>
          <w:i/>
          <w:iCs/>
          <w:color w:val="000000" w:themeColor="text1"/>
        </w:rPr>
        <w:t>uninvestable</w:t>
      </w:r>
      <w:proofErr w:type="spellEnd"/>
      <w:r w:rsidRPr="003C66A0">
        <w:rPr>
          <w:rFonts w:eastAsiaTheme="majorEastAsia"/>
          <w:i/>
          <w:iCs/>
          <w:color w:val="000000" w:themeColor="text1"/>
        </w:rPr>
        <w:t xml:space="preserve">, requiring </w:t>
      </w:r>
      <w:r w:rsidRPr="003C66A0">
        <w:rPr>
          <w:rFonts w:eastAsiaTheme="majorEastAsia"/>
          <w:i/>
          <w:iCs/>
          <w:color w:val="000000" w:themeColor="text1"/>
        </w:rPr>
        <w:lastRenderedPageBreak/>
        <w:t>fundamentally different risk management approaches focused on survival rather than optimization</w:t>
      </w:r>
      <w:r w:rsidRPr="003C66A0">
        <w:rPr>
          <w:rFonts w:eastAsiaTheme="majorEastAsia"/>
          <w:b/>
          <w:bCs/>
          <w:color w:val="000000" w:themeColor="text1"/>
        </w:rPr>
        <w:t>.</w:t>
      </w:r>
    </w:p>
    <w:p w14:paraId="3AC10E09" w14:textId="77777777" w:rsidR="00A80D43" w:rsidRPr="003C66A0" w:rsidRDefault="00A80D43" w:rsidP="00E67B44">
      <w:pPr>
        <w:jc w:val="both"/>
        <w:rPr>
          <w:rFonts w:eastAsiaTheme="majorEastAsia"/>
          <w:b/>
          <w:bCs/>
          <w:color w:val="000000" w:themeColor="text1"/>
        </w:rPr>
      </w:pPr>
    </w:p>
    <w:p w14:paraId="6BBD422E" w14:textId="6BA1BFEA" w:rsidR="003B0F49" w:rsidRPr="003C66A0" w:rsidRDefault="003B0F49" w:rsidP="00E67B44">
      <w:pPr>
        <w:pStyle w:val="Heading3"/>
      </w:pPr>
      <w:bookmarkStart w:id="16" w:name="_Toc214721822"/>
      <w:r w:rsidRPr="003C66A0">
        <w:t xml:space="preserve">Table </w:t>
      </w:r>
      <w:r w:rsidR="00C5607F">
        <w:t>1.</w:t>
      </w:r>
      <w:r w:rsidRPr="003C66A0">
        <w:t>E: Expected Returns by Strategy and Capital</w:t>
      </w:r>
      <w:bookmarkEnd w:id="16"/>
    </w:p>
    <w:p w14:paraId="3845C53F" w14:textId="77777777" w:rsidR="003B0F49" w:rsidRPr="003C66A0" w:rsidRDefault="003B0F49" w:rsidP="00E67B44">
      <w:pPr>
        <w:jc w:val="both"/>
        <w:rPr>
          <w:rFonts w:eastAsiaTheme="majorEastAsia"/>
          <w:b/>
          <w:bCs/>
          <w:color w:val="000000" w:themeColor="text1"/>
        </w:rPr>
      </w:pPr>
    </w:p>
    <w:tbl>
      <w:tblPr>
        <w:tblW w:w="9260" w:type="dxa"/>
        <w:tblLook w:val="04A0" w:firstRow="1" w:lastRow="0" w:firstColumn="1" w:lastColumn="0" w:noHBand="0" w:noVBand="1"/>
      </w:tblPr>
      <w:tblGrid>
        <w:gridCol w:w="2240"/>
        <w:gridCol w:w="2800"/>
        <w:gridCol w:w="1440"/>
        <w:gridCol w:w="1520"/>
        <w:gridCol w:w="1260"/>
      </w:tblGrid>
      <w:tr w:rsidR="00FC334A" w:rsidRPr="003C66A0" w14:paraId="012AE65A" w14:textId="77777777" w:rsidTr="001230E5">
        <w:trPr>
          <w:trHeight w:val="320"/>
        </w:trPr>
        <w:tc>
          <w:tcPr>
            <w:tcW w:w="2240" w:type="dxa"/>
            <w:vMerge w:val="restart"/>
            <w:tcBorders>
              <w:top w:val="single" w:sz="8" w:space="0" w:color="auto"/>
              <w:left w:val="single" w:sz="8" w:space="0" w:color="auto"/>
              <w:bottom w:val="single" w:sz="8" w:space="0" w:color="000000"/>
              <w:right w:val="single" w:sz="8" w:space="0" w:color="auto"/>
            </w:tcBorders>
            <w:shd w:val="clear" w:color="000000" w:fill="D9D9D9"/>
            <w:noWrap/>
            <w:vAlign w:val="bottom"/>
            <w:hideMark/>
          </w:tcPr>
          <w:p w14:paraId="571C6720" w14:textId="77777777" w:rsidR="00F31859" w:rsidRPr="003C66A0" w:rsidRDefault="00F31859" w:rsidP="00E67B44">
            <w:pPr>
              <w:rPr>
                <w:b/>
                <w:bCs/>
                <w:color w:val="000000" w:themeColor="text1"/>
              </w:rPr>
            </w:pPr>
            <w:r w:rsidRPr="003C66A0">
              <w:rPr>
                <w:b/>
                <w:bCs/>
                <w:color w:val="000000" w:themeColor="text1"/>
              </w:rPr>
              <w:t>Capital Range USD</w:t>
            </w:r>
          </w:p>
        </w:tc>
        <w:tc>
          <w:tcPr>
            <w:tcW w:w="2800" w:type="dxa"/>
            <w:vMerge w:val="restart"/>
            <w:tcBorders>
              <w:top w:val="single" w:sz="8" w:space="0" w:color="auto"/>
              <w:left w:val="nil"/>
              <w:bottom w:val="single" w:sz="8" w:space="0" w:color="000000"/>
              <w:right w:val="single" w:sz="4" w:space="0" w:color="auto"/>
            </w:tcBorders>
            <w:shd w:val="clear" w:color="000000" w:fill="D9D9D9"/>
            <w:noWrap/>
            <w:vAlign w:val="bottom"/>
            <w:hideMark/>
          </w:tcPr>
          <w:p w14:paraId="77AD13D5" w14:textId="77777777" w:rsidR="00F31859" w:rsidRPr="003C66A0" w:rsidRDefault="00F31859" w:rsidP="00E67B44">
            <w:pPr>
              <w:rPr>
                <w:b/>
                <w:bCs/>
                <w:color w:val="000000" w:themeColor="text1"/>
              </w:rPr>
            </w:pPr>
            <w:r w:rsidRPr="003C66A0">
              <w:rPr>
                <w:b/>
                <w:bCs/>
                <w:color w:val="000000" w:themeColor="text1"/>
              </w:rPr>
              <w:t>Strategy</w:t>
            </w:r>
          </w:p>
        </w:tc>
        <w:tc>
          <w:tcPr>
            <w:tcW w:w="1440" w:type="dxa"/>
            <w:vMerge w:val="restart"/>
            <w:tcBorders>
              <w:top w:val="single" w:sz="8" w:space="0" w:color="auto"/>
              <w:left w:val="single" w:sz="4" w:space="0" w:color="auto"/>
              <w:bottom w:val="single" w:sz="8" w:space="0" w:color="000000"/>
              <w:right w:val="single" w:sz="4" w:space="0" w:color="auto"/>
            </w:tcBorders>
            <w:shd w:val="clear" w:color="000000" w:fill="D9D9D9"/>
            <w:noWrap/>
            <w:vAlign w:val="bottom"/>
            <w:hideMark/>
          </w:tcPr>
          <w:p w14:paraId="45DED115" w14:textId="77777777" w:rsidR="00F31859" w:rsidRPr="003C66A0" w:rsidRDefault="00F31859" w:rsidP="00E67B44">
            <w:pPr>
              <w:rPr>
                <w:b/>
                <w:bCs/>
                <w:color w:val="000000" w:themeColor="text1"/>
              </w:rPr>
            </w:pPr>
            <w:r w:rsidRPr="003C66A0">
              <w:rPr>
                <w:b/>
                <w:bCs/>
                <w:color w:val="000000" w:themeColor="text1"/>
              </w:rPr>
              <w:t>Gross APY</w:t>
            </w:r>
          </w:p>
        </w:tc>
        <w:tc>
          <w:tcPr>
            <w:tcW w:w="1520" w:type="dxa"/>
            <w:tcBorders>
              <w:top w:val="single" w:sz="8" w:space="0" w:color="auto"/>
              <w:left w:val="nil"/>
              <w:bottom w:val="single" w:sz="4" w:space="0" w:color="auto"/>
              <w:right w:val="single" w:sz="4" w:space="0" w:color="auto"/>
            </w:tcBorders>
            <w:shd w:val="clear" w:color="000000" w:fill="D9D9D9"/>
            <w:noWrap/>
            <w:vAlign w:val="bottom"/>
            <w:hideMark/>
          </w:tcPr>
          <w:p w14:paraId="1007F277" w14:textId="77777777" w:rsidR="00F31859" w:rsidRPr="003C66A0" w:rsidRDefault="00F31859" w:rsidP="00E67B44">
            <w:pPr>
              <w:rPr>
                <w:b/>
                <w:bCs/>
                <w:color w:val="000000" w:themeColor="text1"/>
              </w:rPr>
            </w:pPr>
            <w:r w:rsidRPr="003C66A0">
              <w:rPr>
                <w:b/>
                <w:bCs/>
                <w:color w:val="000000" w:themeColor="text1"/>
              </w:rPr>
              <w:t>Net APY </w:t>
            </w:r>
          </w:p>
        </w:tc>
        <w:tc>
          <w:tcPr>
            <w:tcW w:w="1260" w:type="dxa"/>
            <w:vMerge w:val="restart"/>
            <w:tcBorders>
              <w:top w:val="single" w:sz="8" w:space="0" w:color="auto"/>
              <w:left w:val="single" w:sz="4" w:space="0" w:color="auto"/>
              <w:bottom w:val="single" w:sz="8" w:space="0" w:color="000000"/>
              <w:right w:val="single" w:sz="8" w:space="0" w:color="auto"/>
            </w:tcBorders>
            <w:shd w:val="clear" w:color="000000" w:fill="D9D9D9"/>
            <w:noWrap/>
            <w:vAlign w:val="bottom"/>
            <w:hideMark/>
          </w:tcPr>
          <w:p w14:paraId="1BED7EEC" w14:textId="77777777" w:rsidR="00F31859" w:rsidRPr="003C66A0" w:rsidRDefault="00F31859" w:rsidP="00E67B44">
            <w:pPr>
              <w:rPr>
                <w:b/>
                <w:bCs/>
                <w:color w:val="000000" w:themeColor="text1"/>
              </w:rPr>
            </w:pPr>
            <w:r w:rsidRPr="003C66A0">
              <w:rPr>
                <w:b/>
                <w:bCs/>
                <w:color w:val="000000" w:themeColor="text1"/>
              </w:rPr>
              <w:t>Sharpe Ratio</w:t>
            </w:r>
          </w:p>
        </w:tc>
      </w:tr>
      <w:tr w:rsidR="00FC334A" w:rsidRPr="003C66A0" w14:paraId="05E77ABF" w14:textId="77777777" w:rsidTr="001230E5">
        <w:trPr>
          <w:trHeight w:val="340"/>
        </w:trPr>
        <w:tc>
          <w:tcPr>
            <w:tcW w:w="2240" w:type="dxa"/>
            <w:vMerge/>
            <w:tcBorders>
              <w:top w:val="single" w:sz="8" w:space="0" w:color="auto"/>
              <w:left w:val="single" w:sz="8" w:space="0" w:color="auto"/>
              <w:bottom w:val="single" w:sz="8" w:space="0" w:color="000000"/>
              <w:right w:val="single" w:sz="8" w:space="0" w:color="auto"/>
            </w:tcBorders>
            <w:vAlign w:val="center"/>
            <w:hideMark/>
          </w:tcPr>
          <w:p w14:paraId="65D3AA2A" w14:textId="77777777" w:rsidR="00F31859" w:rsidRPr="003C66A0" w:rsidRDefault="00F31859" w:rsidP="00E67B44">
            <w:pPr>
              <w:rPr>
                <w:b/>
                <w:bCs/>
                <w:color w:val="000000" w:themeColor="text1"/>
              </w:rPr>
            </w:pPr>
          </w:p>
        </w:tc>
        <w:tc>
          <w:tcPr>
            <w:tcW w:w="2800" w:type="dxa"/>
            <w:vMerge/>
            <w:tcBorders>
              <w:top w:val="single" w:sz="8" w:space="0" w:color="auto"/>
              <w:left w:val="nil"/>
              <w:bottom w:val="single" w:sz="8" w:space="0" w:color="000000"/>
              <w:right w:val="single" w:sz="4" w:space="0" w:color="auto"/>
            </w:tcBorders>
            <w:vAlign w:val="center"/>
            <w:hideMark/>
          </w:tcPr>
          <w:p w14:paraId="0433F231" w14:textId="77777777" w:rsidR="00F31859" w:rsidRPr="003C66A0" w:rsidRDefault="00F31859" w:rsidP="00E67B44">
            <w:pPr>
              <w:rPr>
                <w:b/>
                <w:bCs/>
                <w:color w:val="000000" w:themeColor="text1"/>
              </w:rPr>
            </w:pPr>
          </w:p>
        </w:tc>
        <w:tc>
          <w:tcPr>
            <w:tcW w:w="1440" w:type="dxa"/>
            <w:vMerge/>
            <w:tcBorders>
              <w:top w:val="single" w:sz="8" w:space="0" w:color="auto"/>
              <w:left w:val="single" w:sz="4" w:space="0" w:color="auto"/>
              <w:bottom w:val="single" w:sz="8" w:space="0" w:color="000000"/>
              <w:right w:val="single" w:sz="4" w:space="0" w:color="auto"/>
            </w:tcBorders>
            <w:vAlign w:val="center"/>
            <w:hideMark/>
          </w:tcPr>
          <w:p w14:paraId="57DEF414" w14:textId="77777777" w:rsidR="00F31859" w:rsidRPr="003C66A0" w:rsidRDefault="00F31859" w:rsidP="00E67B44">
            <w:pPr>
              <w:rPr>
                <w:b/>
                <w:bCs/>
                <w:color w:val="000000" w:themeColor="text1"/>
              </w:rPr>
            </w:pPr>
          </w:p>
        </w:tc>
        <w:tc>
          <w:tcPr>
            <w:tcW w:w="1520" w:type="dxa"/>
            <w:tcBorders>
              <w:top w:val="nil"/>
              <w:left w:val="nil"/>
              <w:bottom w:val="single" w:sz="8" w:space="0" w:color="auto"/>
              <w:right w:val="single" w:sz="4" w:space="0" w:color="auto"/>
            </w:tcBorders>
            <w:shd w:val="clear" w:color="000000" w:fill="D9D9D9"/>
            <w:noWrap/>
            <w:vAlign w:val="bottom"/>
            <w:hideMark/>
          </w:tcPr>
          <w:p w14:paraId="1F467889" w14:textId="77777777" w:rsidR="00F31859" w:rsidRPr="003C66A0" w:rsidRDefault="00F31859" w:rsidP="00E67B44">
            <w:pPr>
              <w:rPr>
                <w:b/>
                <w:bCs/>
                <w:color w:val="000000" w:themeColor="text1"/>
              </w:rPr>
            </w:pPr>
            <w:r w:rsidRPr="003C66A0">
              <w:rPr>
                <w:b/>
                <w:bCs/>
                <w:color w:val="000000" w:themeColor="text1"/>
              </w:rPr>
              <w:t>(after costs)</w:t>
            </w:r>
          </w:p>
        </w:tc>
        <w:tc>
          <w:tcPr>
            <w:tcW w:w="1260" w:type="dxa"/>
            <w:vMerge/>
            <w:tcBorders>
              <w:top w:val="single" w:sz="8" w:space="0" w:color="auto"/>
              <w:left w:val="single" w:sz="4" w:space="0" w:color="auto"/>
              <w:bottom w:val="single" w:sz="8" w:space="0" w:color="000000"/>
              <w:right w:val="single" w:sz="8" w:space="0" w:color="auto"/>
            </w:tcBorders>
            <w:vAlign w:val="center"/>
            <w:hideMark/>
          </w:tcPr>
          <w:p w14:paraId="6D8AEE5E" w14:textId="77777777" w:rsidR="00F31859" w:rsidRPr="003C66A0" w:rsidRDefault="00F31859" w:rsidP="00E67B44">
            <w:pPr>
              <w:rPr>
                <w:b/>
                <w:bCs/>
                <w:color w:val="000000" w:themeColor="text1"/>
              </w:rPr>
            </w:pPr>
          </w:p>
        </w:tc>
      </w:tr>
      <w:tr w:rsidR="00FC334A" w:rsidRPr="003C66A0" w14:paraId="082E78BE" w14:textId="77777777" w:rsidTr="001230E5">
        <w:trPr>
          <w:trHeight w:val="320"/>
        </w:trPr>
        <w:tc>
          <w:tcPr>
            <w:tcW w:w="2240" w:type="dxa"/>
            <w:tcBorders>
              <w:top w:val="nil"/>
              <w:left w:val="single" w:sz="8" w:space="0" w:color="auto"/>
              <w:bottom w:val="single" w:sz="4" w:space="0" w:color="auto"/>
              <w:right w:val="single" w:sz="8" w:space="0" w:color="auto"/>
            </w:tcBorders>
            <w:shd w:val="clear" w:color="000000" w:fill="D9D9D9"/>
            <w:noWrap/>
            <w:vAlign w:val="bottom"/>
            <w:hideMark/>
          </w:tcPr>
          <w:p w14:paraId="1C5CA8C3" w14:textId="77777777" w:rsidR="00F31859" w:rsidRPr="003C66A0" w:rsidRDefault="00F31859" w:rsidP="00E67B44">
            <w:pPr>
              <w:rPr>
                <w:b/>
                <w:bCs/>
                <w:color w:val="000000" w:themeColor="text1"/>
              </w:rPr>
            </w:pPr>
            <w:r w:rsidRPr="003C66A0">
              <w:rPr>
                <w:b/>
                <w:bCs/>
                <w:color w:val="000000" w:themeColor="text1"/>
              </w:rPr>
              <w:t>$500-3,500</w:t>
            </w:r>
          </w:p>
        </w:tc>
        <w:tc>
          <w:tcPr>
            <w:tcW w:w="2800" w:type="dxa"/>
            <w:tcBorders>
              <w:top w:val="nil"/>
              <w:left w:val="nil"/>
              <w:bottom w:val="single" w:sz="4" w:space="0" w:color="auto"/>
              <w:right w:val="single" w:sz="4" w:space="0" w:color="auto"/>
            </w:tcBorders>
            <w:noWrap/>
            <w:vAlign w:val="bottom"/>
            <w:hideMark/>
          </w:tcPr>
          <w:p w14:paraId="29C2FD3C" w14:textId="77777777" w:rsidR="00F31859" w:rsidRPr="003C66A0" w:rsidRDefault="00F31859" w:rsidP="00E67B44">
            <w:pPr>
              <w:rPr>
                <w:color w:val="000000" w:themeColor="text1"/>
              </w:rPr>
            </w:pPr>
            <w:r w:rsidRPr="003C66A0">
              <w:rPr>
                <w:color w:val="000000" w:themeColor="text1"/>
              </w:rPr>
              <w:t>Stablecoin LP (Alt L1)</w:t>
            </w:r>
          </w:p>
        </w:tc>
        <w:tc>
          <w:tcPr>
            <w:tcW w:w="1440" w:type="dxa"/>
            <w:tcBorders>
              <w:top w:val="nil"/>
              <w:left w:val="nil"/>
              <w:bottom w:val="single" w:sz="4" w:space="0" w:color="auto"/>
              <w:right w:val="single" w:sz="4" w:space="0" w:color="auto"/>
            </w:tcBorders>
            <w:noWrap/>
            <w:vAlign w:val="bottom"/>
            <w:hideMark/>
          </w:tcPr>
          <w:p w14:paraId="3879A9B5" w14:textId="77777777" w:rsidR="00F31859" w:rsidRPr="003C66A0" w:rsidRDefault="00F31859" w:rsidP="00E67B44">
            <w:pPr>
              <w:rPr>
                <w:color w:val="000000" w:themeColor="text1"/>
              </w:rPr>
            </w:pPr>
            <w:r w:rsidRPr="003C66A0">
              <w:rPr>
                <w:color w:val="000000" w:themeColor="text1"/>
              </w:rPr>
              <w:t>6-8%</w:t>
            </w:r>
          </w:p>
        </w:tc>
        <w:tc>
          <w:tcPr>
            <w:tcW w:w="1520" w:type="dxa"/>
            <w:tcBorders>
              <w:top w:val="nil"/>
              <w:left w:val="nil"/>
              <w:bottom w:val="single" w:sz="4" w:space="0" w:color="auto"/>
              <w:right w:val="single" w:sz="4" w:space="0" w:color="auto"/>
            </w:tcBorders>
            <w:noWrap/>
            <w:vAlign w:val="bottom"/>
            <w:hideMark/>
          </w:tcPr>
          <w:p w14:paraId="2E706676" w14:textId="77777777" w:rsidR="00F31859" w:rsidRPr="003C66A0" w:rsidRDefault="00F31859" w:rsidP="00E67B44">
            <w:pPr>
              <w:rPr>
                <w:color w:val="000000" w:themeColor="text1"/>
              </w:rPr>
            </w:pPr>
            <w:r w:rsidRPr="003C66A0">
              <w:rPr>
                <w:color w:val="000000" w:themeColor="text1"/>
              </w:rPr>
              <w:t>3-5%</w:t>
            </w:r>
          </w:p>
        </w:tc>
        <w:tc>
          <w:tcPr>
            <w:tcW w:w="1260" w:type="dxa"/>
            <w:tcBorders>
              <w:top w:val="nil"/>
              <w:left w:val="nil"/>
              <w:bottom w:val="single" w:sz="4" w:space="0" w:color="auto"/>
              <w:right w:val="single" w:sz="8" w:space="0" w:color="auto"/>
            </w:tcBorders>
            <w:noWrap/>
            <w:vAlign w:val="bottom"/>
            <w:hideMark/>
          </w:tcPr>
          <w:p w14:paraId="29179150" w14:textId="77777777" w:rsidR="00F31859" w:rsidRPr="003C66A0" w:rsidRDefault="00F31859" w:rsidP="00E67B44">
            <w:pPr>
              <w:rPr>
                <w:color w:val="000000" w:themeColor="text1"/>
              </w:rPr>
            </w:pPr>
            <w:r w:rsidRPr="003C66A0">
              <w:rPr>
                <w:color w:val="000000" w:themeColor="text1"/>
              </w:rPr>
              <w:t>0.8-1.0</w:t>
            </w:r>
          </w:p>
        </w:tc>
      </w:tr>
      <w:tr w:rsidR="00FC334A" w:rsidRPr="003C66A0" w14:paraId="3B7E8288" w14:textId="77777777" w:rsidTr="001230E5">
        <w:trPr>
          <w:trHeight w:val="320"/>
        </w:trPr>
        <w:tc>
          <w:tcPr>
            <w:tcW w:w="2240" w:type="dxa"/>
            <w:tcBorders>
              <w:top w:val="nil"/>
              <w:left w:val="single" w:sz="8" w:space="0" w:color="auto"/>
              <w:bottom w:val="single" w:sz="4" w:space="0" w:color="auto"/>
              <w:right w:val="single" w:sz="8" w:space="0" w:color="auto"/>
            </w:tcBorders>
            <w:shd w:val="clear" w:color="000000" w:fill="D9D9D9"/>
            <w:noWrap/>
            <w:vAlign w:val="bottom"/>
            <w:hideMark/>
          </w:tcPr>
          <w:p w14:paraId="79DAB9DB" w14:textId="77777777" w:rsidR="00F31859" w:rsidRPr="003C66A0" w:rsidRDefault="00F31859" w:rsidP="00E67B44">
            <w:pPr>
              <w:rPr>
                <w:b/>
                <w:bCs/>
                <w:color w:val="000000" w:themeColor="text1"/>
              </w:rPr>
            </w:pPr>
            <w:r w:rsidRPr="003C66A0">
              <w:rPr>
                <w:b/>
                <w:bCs/>
                <w:color w:val="000000" w:themeColor="text1"/>
              </w:rPr>
              <w:t>$3,500-25,000</w:t>
            </w:r>
          </w:p>
        </w:tc>
        <w:tc>
          <w:tcPr>
            <w:tcW w:w="2800" w:type="dxa"/>
            <w:tcBorders>
              <w:top w:val="nil"/>
              <w:left w:val="nil"/>
              <w:bottom w:val="single" w:sz="4" w:space="0" w:color="auto"/>
              <w:right w:val="single" w:sz="4" w:space="0" w:color="auto"/>
            </w:tcBorders>
            <w:noWrap/>
            <w:vAlign w:val="bottom"/>
            <w:hideMark/>
          </w:tcPr>
          <w:p w14:paraId="57190689" w14:textId="77777777" w:rsidR="00F31859" w:rsidRPr="003C66A0" w:rsidRDefault="00F31859" w:rsidP="00E67B44">
            <w:pPr>
              <w:rPr>
                <w:color w:val="000000" w:themeColor="text1"/>
              </w:rPr>
            </w:pPr>
            <w:r w:rsidRPr="003C66A0">
              <w:rPr>
                <w:color w:val="000000" w:themeColor="text1"/>
              </w:rPr>
              <w:t>Correlated pairs (L2)</w:t>
            </w:r>
          </w:p>
        </w:tc>
        <w:tc>
          <w:tcPr>
            <w:tcW w:w="1440" w:type="dxa"/>
            <w:tcBorders>
              <w:top w:val="nil"/>
              <w:left w:val="nil"/>
              <w:bottom w:val="single" w:sz="4" w:space="0" w:color="auto"/>
              <w:right w:val="single" w:sz="4" w:space="0" w:color="auto"/>
            </w:tcBorders>
            <w:noWrap/>
            <w:vAlign w:val="bottom"/>
            <w:hideMark/>
          </w:tcPr>
          <w:p w14:paraId="761C98E6" w14:textId="77777777" w:rsidR="00F31859" w:rsidRPr="003C66A0" w:rsidRDefault="00F31859" w:rsidP="00E67B44">
            <w:pPr>
              <w:rPr>
                <w:color w:val="000000" w:themeColor="text1"/>
              </w:rPr>
            </w:pPr>
            <w:r w:rsidRPr="003C66A0">
              <w:rPr>
                <w:color w:val="000000" w:themeColor="text1"/>
              </w:rPr>
              <w:t>10-14%</w:t>
            </w:r>
          </w:p>
        </w:tc>
        <w:tc>
          <w:tcPr>
            <w:tcW w:w="1520" w:type="dxa"/>
            <w:tcBorders>
              <w:top w:val="nil"/>
              <w:left w:val="nil"/>
              <w:bottom w:val="single" w:sz="4" w:space="0" w:color="auto"/>
              <w:right w:val="single" w:sz="4" w:space="0" w:color="auto"/>
            </w:tcBorders>
            <w:noWrap/>
            <w:vAlign w:val="bottom"/>
            <w:hideMark/>
          </w:tcPr>
          <w:p w14:paraId="4222954F" w14:textId="77777777" w:rsidR="00F31859" w:rsidRPr="003C66A0" w:rsidRDefault="00F31859" w:rsidP="00E67B44">
            <w:pPr>
              <w:rPr>
                <w:color w:val="000000" w:themeColor="text1"/>
              </w:rPr>
            </w:pPr>
            <w:r w:rsidRPr="003C66A0">
              <w:rPr>
                <w:color w:val="000000" w:themeColor="text1"/>
              </w:rPr>
              <w:t>6-10%</w:t>
            </w:r>
          </w:p>
        </w:tc>
        <w:tc>
          <w:tcPr>
            <w:tcW w:w="1260" w:type="dxa"/>
            <w:tcBorders>
              <w:top w:val="nil"/>
              <w:left w:val="nil"/>
              <w:bottom w:val="single" w:sz="4" w:space="0" w:color="auto"/>
              <w:right w:val="single" w:sz="8" w:space="0" w:color="auto"/>
            </w:tcBorders>
            <w:noWrap/>
            <w:vAlign w:val="bottom"/>
            <w:hideMark/>
          </w:tcPr>
          <w:p w14:paraId="43C6C4F3" w14:textId="77777777" w:rsidR="00F31859" w:rsidRPr="003C66A0" w:rsidRDefault="00F31859" w:rsidP="00E67B44">
            <w:pPr>
              <w:rPr>
                <w:color w:val="000000" w:themeColor="text1"/>
              </w:rPr>
            </w:pPr>
            <w:r w:rsidRPr="003C66A0">
              <w:rPr>
                <w:color w:val="000000" w:themeColor="text1"/>
              </w:rPr>
              <w:t>0.5-0.7</w:t>
            </w:r>
          </w:p>
        </w:tc>
      </w:tr>
      <w:tr w:rsidR="00FC334A" w:rsidRPr="003C66A0" w14:paraId="4EE5EE09" w14:textId="77777777" w:rsidTr="001230E5">
        <w:trPr>
          <w:trHeight w:val="320"/>
        </w:trPr>
        <w:tc>
          <w:tcPr>
            <w:tcW w:w="2240" w:type="dxa"/>
            <w:tcBorders>
              <w:top w:val="nil"/>
              <w:left w:val="single" w:sz="8" w:space="0" w:color="auto"/>
              <w:bottom w:val="single" w:sz="4" w:space="0" w:color="auto"/>
              <w:right w:val="single" w:sz="8" w:space="0" w:color="auto"/>
            </w:tcBorders>
            <w:shd w:val="clear" w:color="000000" w:fill="D9D9D9"/>
            <w:noWrap/>
            <w:vAlign w:val="bottom"/>
            <w:hideMark/>
          </w:tcPr>
          <w:p w14:paraId="7F627697" w14:textId="77777777" w:rsidR="00F31859" w:rsidRPr="003C66A0" w:rsidRDefault="00F31859" w:rsidP="00E67B44">
            <w:pPr>
              <w:rPr>
                <w:b/>
                <w:bCs/>
                <w:color w:val="000000" w:themeColor="text1"/>
              </w:rPr>
            </w:pPr>
            <w:r w:rsidRPr="003C66A0">
              <w:rPr>
                <w:b/>
                <w:bCs/>
                <w:color w:val="000000" w:themeColor="text1"/>
              </w:rPr>
              <w:t>$25,000-100,000</w:t>
            </w:r>
          </w:p>
        </w:tc>
        <w:tc>
          <w:tcPr>
            <w:tcW w:w="2800" w:type="dxa"/>
            <w:tcBorders>
              <w:top w:val="nil"/>
              <w:left w:val="nil"/>
              <w:bottom w:val="single" w:sz="4" w:space="0" w:color="auto"/>
              <w:right w:val="single" w:sz="4" w:space="0" w:color="auto"/>
            </w:tcBorders>
            <w:noWrap/>
            <w:vAlign w:val="bottom"/>
            <w:hideMark/>
          </w:tcPr>
          <w:p w14:paraId="7F6C813A" w14:textId="77777777" w:rsidR="00F31859" w:rsidRPr="003C66A0" w:rsidRDefault="00F31859" w:rsidP="00E67B44">
            <w:pPr>
              <w:rPr>
                <w:color w:val="000000" w:themeColor="text1"/>
              </w:rPr>
            </w:pPr>
            <w:r w:rsidRPr="003C66A0">
              <w:rPr>
                <w:color w:val="000000" w:themeColor="text1"/>
              </w:rPr>
              <w:t>Multi-strategy (Mixed)</w:t>
            </w:r>
          </w:p>
        </w:tc>
        <w:tc>
          <w:tcPr>
            <w:tcW w:w="1440" w:type="dxa"/>
            <w:tcBorders>
              <w:top w:val="nil"/>
              <w:left w:val="nil"/>
              <w:bottom w:val="single" w:sz="4" w:space="0" w:color="auto"/>
              <w:right w:val="single" w:sz="4" w:space="0" w:color="auto"/>
            </w:tcBorders>
            <w:noWrap/>
            <w:vAlign w:val="bottom"/>
            <w:hideMark/>
          </w:tcPr>
          <w:p w14:paraId="00A69060" w14:textId="77777777" w:rsidR="00F31859" w:rsidRPr="003C66A0" w:rsidRDefault="00F31859" w:rsidP="00E67B44">
            <w:pPr>
              <w:rPr>
                <w:color w:val="000000" w:themeColor="text1"/>
              </w:rPr>
            </w:pPr>
            <w:r w:rsidRPr="003C66A0">
              <w:rPr>
                <w:color w:val="000000" w:themeColor="text1"/>
              </w:rPr>
              <w:t>12-18%</w:t>
            </w:r>
          </w:p>
        </w:tc>
        <w:tc>
          <w:tcPr>
            <w:tcW w:w="1520" w:type="dxa"/>
            <w:tcBorders>
              <w:top w:val="nil"/>
              <w:left w:val="nil"/>
              <w:bottom w:val="single" w:sz="4" w:space="0" w:color="auto"/>
              <w:right w:val="single" w:sz="4" w:space="0" w:color="auto"/>
            </w:tcBorders>
            <w:noWrap/>
            <w:vAlign w:val="bottom"/>
            <w:hideMark/>
          </w:tcPr>
          <w:p w14:paraId="10FD618F" w14:textId="77777777" w:rsidR="00F31859" w:rsidRPr="003C66A0" w:rsidRDefault="00F31859" w:rsidP="00E67B44">
            <w:pPr>
              <w:rPr>
                <w:color w:val="000000" w:themeColor="text1"/>
              </w:rPr>
            </w:pPr>
            <w:r w:rsidRPr="003C66A0">
              <w:rPr>
                <w:color w:val="000000" w:themeColor="text1"/>
              </w:rPr>
              <w:t>8-14%</w:t>
            </w:r>
          </w:p>
        </w:tc>
        <w:tc>
          <w:tcPr>
            <w:tcW w:w="1260" w:type="dxa"/>
            <w:tcBorders>
              <w:top w:val="nil"/>
              <w:left w:val="nil"/>
              <w:bottom w:val="single" w:sz="4" w:space="0" w:color="auto"/>
              <w:right w:val="single" w:sz="8" w:space="0" w:color="auto"/>
            </w:tcBorders>
            <w:noWrap/>
            <w:vAlign w:val="bottom"/>
            <w:hideMark/>
          </w:tcPr>
          <w:p w14:paraId="639464A5" w14:textId="77777777" w:rsidR="00F31859" w:rsidRPr="003C66A0" w:rsidRDefault="00F31859" w:rsidP="00E67B44">
            <w:pPr>
              <w:rPr>
                <w:color w:val="000000" w:themeColor="text1"/>
              </w:rPr>
            </w:pPr>
            <w:r w:rsidRPr="003C66A0">
              <w:rPr>
                <w:color w:val="000000" w:themeColor="text1"/>
              </w:rPr>
              <w:t>0.6-0.9</w:t>
            </w:r>
          </w:p>
        </w:tc>
      </w:tr>
      <w:tr w:rsidR="00FC334A" w:rsidRPr="003C66A0" w14:paraId="40FBD900" w14:textId="77777777" w:rsidTr="001230E5">
        <w:trPr>
          <w:trHeight w:val="340"/>
        </w:trPr>
        <w:tc>
          <w:tcPr>
            <w:tcW w:w="2240" w:type="dxa"/>
            <w:tcBorders>
              <w:top w:val="nil"/>
              <w:left w:val="single" w:sz="8" w:space="0" w:color="auto"/>
              <w:bottom w:val="single" w:sz="8" w:space="0" w:color="auto"/>
              <w:right w:val="single" w:sz="8" w:space="0" w:color="auto"/>
            </w:tcBorders>
            <w:shd w:val="clear" w:color="000000" w:fill="D9D9D9"/>
            <w:noWrap/>
            <w:vAlign w:val="bottom"/>
            <w:hideMark/>
          </w:tcPr>
          <w:p w14:paraId="65E9BA91" w14:textId="77777777" w:rsidR="00F31859" w:rsidRPr="003C66A0" w:rsidRDefault="00F31859" w:rsidP="00E67B44">
            <w:pPr>
              <w:rPr>
                <w:b/>
                <w:bCs/>
                <w:color w:val="000000" w:themeColor="text1"/>
              </w:rPr>
            </w:pPr>
            <w:r w:rsidRPr="003C66A0">
              <w:rPr>
                <w:b/>
                <w:bCs/>
                <w:color w:val="000000" w:themeColor="text1"/>
              </w:rPr>
              <w:t>$100,000+</w:t>
            </w:r>
          </w:p>
        </w:tc>
        <w:tc>
          <w:tcPr>
            <w:tcW w:w="2800" w:type="dxa"/>
            <w:tcBorders>
              <w:top w:val="nil"/>
              <w:left w:val="nil"/>
              <w:bottom w:val="single" w:sz="8" w:space="0" w:color="auto"/>
              <w:right w:val="single" w:sz="4" w:space="0" w:color="auto"/>
            </w:tcBorders>
            <w:noWrap/>
            <w:vAlign w:val="bottom"/>
            <w:hideMark/>
          </w:tcPr>
          <w:p w14:paraId="52A72AB6" w14:textId="77777777" w:rsidR="00F31859" w:rsidRPr="003C66A0" w:rsidRDefault="00F31859" w:rsidP="00E67B44">
            <w:pPr>
              <w:rPr>
                <w:color w:val="000000" w:themeColor="text1"/>
              </w:rPr>
            </w:pPr>
            <w:r w:rsidRPr="003C66A0">
              <w:rPr>
                <w:color w:val="000000" w:themeColor="text1"/>
              </w:rPr>
              <w:t>Concentrated + Automation</w:t>
            </w:r>
          </w:p>
        </w:tc>
        <w:tc>
          <w:tcPr>
            <w:tcW w:w="1440" w:type="dxa"/>
            <w:tcBorders>
              <w:top w:val="nil"/>
              <w:left w:val="nil"/>
              <w:bottom w:val="single" w:sz="8" w:space="0" w:color="auto"/>
              <w:right w:val="single" w:sz="4" w:space="0" w:color="auto"/>
            </w:tcBorders>
            <w:noWrap/>
            <w:vAlign w:val="bottom"/>
            <w:hideMark/>
          </w:tcPr>
          <w:p w14:paraId="721E6061" w14:textId="77777777" w:rsidR="00F31859" w:rsidRPr="003C66A0" w:rsidRDefault="00F31859" w:rsidP="00E67B44">
            <w:pPr>
              <w:rPr>
                <w:color w:val="000000" w:themeColor="text1"/>
              </w:rPr>
            </w:pPr>
            <w:r w:rsidRPr="003C66A0">
              <w:rPr>
                <w:color w:val="000000" w:themeColor="text1"/>
              </w:rPr>
              <w:t>15-25%</w:t>
            </w:r>
          </w:p>
        </w:tc>
        <w:tc>
          <w:tcPr>
            <w:tcW w:w="1520" w:type="dxa"/>
            <w:tcBorders>
              <w:top w:val="nil"/>
              <w:left w:val="nil"/>
              <w:bottom w:val="single" w:sz="8" w:space="0" w:color="auto"/>
              <w:right w:val="single" w:sz="4" w:space="0" w:color="auto"/>
            </w:tcBorders>
            <w:noWrap/>
            <w:vAlign w:val="bottom"/>
            <w:hideMark/>
          </w:tcPr>
          <w:p w14:paraId="12646865" w14:textId="77777777" w:rsidR="00F31859" w:rsidRPr="003C66A0" w:rsidRDefault="00F31859" w:rsidP="00E67B44">
            <w:pPr>
              <w:rPr>
                <w:color w:val="000000" w:themeColor="text1"/>
              </w:rPr>
            </w:pPr>
            <w:r w:rsidRPr="003C66A0">
              <w:rPr>
                <w:color w:val="000000" w:themeColor="text1"/>
              </w:rPr>
              <w:t>12-20%</w:t>
            </w:r>
          </w:p>
        </w:tc>
        <w:tc>
          <w:tcPr>
            <w:tcW w:w="1260" w:type="dxa"/>
            <w:tcBorders>
              <w:top w:val="nil"/>
              <w:left w:val="nil"/>
              <w:bottom w:val="single" w:sz="8" w:space="0" w:color="auto"/>
              <w:right w:val="single" w:sz="8" w:space="0" w:color="auto"/>
            </w:tcBorders>
            <w:noWrap/>
            <w:vAlign w:val="bottom"/>
            <w:hideMark/>
          </w:tcPr>
          <w:p w14:paraId="3105A79C" w14:textId="77777777" w:rsidR="00F31859" w:rsidRPr="003C66A0" w:rsidRDefault="00F31859" w:rsidP="00E67B44">
            <w:pPr>
              <w:rPr>
                <w:color w:val="000000" w:themeColor="text1"/>
              </w:rPr>
            </w:pPr>
            <w:r w:rsidRPr="003C66A0">
              <w:rPr>
                <w:color w:val="000000" w:themeColor="text1"/>
              </w:rPr>
              <w:t>0.8-1.4</w:t>
            </w:r>
          </w:p>
        </w:tc>
      </w:tr>
    </w:tbl>
    <w:p w14:paraId="6D3CC2D4" w14:textId="14665357" w:rsidR="003B0F49" w:rsidRDefault="005C342C" w:rsidP="00E67B44">
      <w:pPr>
        <w:jc w:val="both"/>
        <w:rPr>
          <w:rFonts w:eastAsiaTheme="majorEastAsia"/>
          <w:i/>
          <w:iCs/>
          <w:color w:val="000000" w:themeColor="text1"/>
        </w:rPr>
      </w:pPr>
      <w:r w:rsidRPr="003C66A0">
        <w:rPr>
          <w:rFonts w:eastAsiaTheme="majorEastAsia"/>
          <w:i/>
          <w:iCs/>
          <w:color w:val="000000" w:themeColor="text1"/>
        </w:rPr>
        <w:t xml:space="preserve">Interpretive Note: The compression from gross to net returns reveals the true </w:t>
      </w:r>
      <w:proofErr w:type="gramStart"/>
      <w:r w:rsidRPr="003C66A0">
        <w:rPr>
          <w:rFonts w:eastAsiaTheme="majorEastAsia"/>
          <w:i/>
          <w:iCs/>
          <w:color w:val="000000" w:themeColor="text1"/>
        </w:rPr>
        <w:t>economics—</w:t>
      </w:r>
      <w:proofErr w:type="gramEnd"/>
      <w:r w:rsidRPr="003C66A0">
        <w:rPr>
          <w:rFonts w:eastAsiaTheme="majorEastAsia"/>
          <w:i/>
          <w:iCs/>
          <w:color w:val="000000" w:themeColor="text1"/>
        </w:rPr>
        <w:t xml:space="preserve">even </w:t>
      </w:r>
      <w:r w:rsidRPr="00945747">
        <w:rPr>
          <w:rFonts w:eastAsiaTheme="majorEastAsia"/>
          <w:i/>
          <w:iCs/>
          <w:color w:val="000000" w:themeColor="text1"/>
        </w:rPr>
        <w:t>sophisticated strategies yield only 12-20% net for large positions, while small positions achieving 3-5% barely justify the risk compared to traditional fixed income.</w:t>
      </w:r>
    </w:p>
    <w:p w14:paraId="7DBACD4B" w14:textId="77777777" w:rsidR="00831412" w:rsidRPr="00945747" w:rsidRDefault="00831412" w:rsidP="00E67B44">
      <w:pPr>
        <w:jc w:val="both"/>
        <w:rPr>
          <w:rFonts w:eastAsiaTheme="majorEastAsia"/>
          <w:i/>
          <w:iCs/>
          <w:color w:val="000000" w:themeColor="text1"/>
        </w:rPr>
      </w:pPr>
    </w:p>
    <w:p w14:paraId="19B6BB67" w14:textId="6C985B84" w:rsidR="005C342C" w:rsidRPr="00945747" w:rsidRDefault="00E93D78" w:rsidP="00E67B44">
      <w:pPr>
        <w:jc w:val="both"/>
        <w:rPr>
          <w:rStyle w:val="token"/>
          <w:i/>
          <w:iCs/>
          <w:color w:val="000000" w:themeColor="text1"/>
        </w:rPr>
      </w:pPr>
      <w:r w:rsidRPr="00945747">
        <w:rPr>
          <w:rStyle w:val="token"/>
          <w:i/>
          <w:iCs/>
          <w:color w:val="000000" w:themeColor="text1"/>
        </w:rPr>
        <w:t>*Reconciliation Note: These figures represent returns for positions that achieved minimum viability thresholds and competent execution. Overall sample median was 7% among survivors (42 positions), but -2% including all 156 positions. These strategy-and-capital-specific ranges reflect the upper bound of what's achievable, not typical participant experience.</w:t>
      </w:r>
    </w:p>
    <w:p w14:paraId="0D8AA0EF" w14:textId="77777777" w:rsidR="00E93D78" w:rsidRPr="003C66A0" w:rsidRDefault="00E93D78" w:rsidP="00E67B44">
      <w:pPr>
        <w:jc w:val="both"/>
        <w:rPr>
          <w:rFonts w:eastAsiaTheme="majorEastAsia"/>
          <w:b/>
          <w:bCs/>
          <w:color w:val="000000" w:themeColor="text1"/>
        </w:rPr>
      </w:pPr>
    </w:p>
    <w:p w14:paraId="667D890E" w14:textId="7654F503" w:rsidR="00B92BAC" w:rsidRPr="003C66A0" w:rsidRDefault="00EB1689" w:rsidP="00E67B44">
      <w:pPr>
        <w:jc w:val="both"/>
        <w:rPr>
          <w:rFonts w:eastAsiaTheme="majorEastAsia"/>
          <w:color w:val="000000" w:themeColor="text1"/>
        </w:rPr>
      </w:pPr>
      <w:r w:rsidRPr="003C66A0">
        <w:rPr>
          <w:rFonts w:eastAsiaTheme="majorEastAsia"/>
          <w:color w:val="000000" w:themeColor="text1"/>
        </w:rPr>
        <w:t xml:space="preserve">The tables above summarize the key parameters I discovered while performing my empirical research. The data here can be used as starting points for understanding the requirements but not as guarantees of outcomes. Market conditions change, new protocols emerge, and strategies that worked during my study period might not work in the future. But the relationships they reveal—between capital and costs, between risk and </w:t>
      </w:r>
      <w:proofErr w:type="gramStart"/>
      <w:r w:rsidRPr="003C66A0">
        <w:rPr>
          <w:rFonts w:eastAsiaTheme="majorEastAsia"/>
          <w:color w:val="000000" w:themeColor="text1"/>
        </w:rPr>
        <w:t>returns—</w:t>
      </w:r>
      <w:proofErr w:type="gramEnd"/>
      <w:r w:rsidRPr="003C66A0">
        <w:rPr>
          <w:rFonts w:eastAsiaTheme="majorEastAsia"/>
          <w:color w:val="000000" w:themeColor="text1"/>
        </w:rPr>
        <w:t>provide frameworks for evaluating opportunities as they evolve.</w:t>
      </w:r>
    </w:p>
    <w:p w14:paraId="25D61053" w14:textId="77777777" w:rsidR="00EB1689" w:rsidRPr="003C66A0" w:rsidRDefault="00EB1689" w:rsidP="00E67B44">
      <w:pPr>
        <w:jc w:val="both"/>
        <w:rPr>
          <w:rFonts w:eastAsiaTheme="majorEastAsia"/>
          <w:color w:val="000000" w:themeColor="text1"/>
        </w:rPr>
      </w:pPr>
    </w:p>
    <w:p w14:paraId="4AF563BD" w14:textId="07912678" w:rsidR="003B0F49" w:rsidRPr="003C66A0" w:rsidRDefault="003B0F49" w:rsidP="00E67B44">
      <w:pPr>
        <w:jc w:val="both"/>
        <w:rPr>
          <w:rFonts w:eastAsiaTheme="majorEastAsia"/>
          <w:color w:val="000000" w:themeColor="text1"/>
        </w:rPr>
      </w:pPr>
      <w:r w:rsidRPr="003C66A0">
        <w:rPr>
          <w:rFonts w:eastAsiaTheme="majorEastAsia"/>
          <w:color w:val="000000" w:themeColor="text1"/>
        </w:rPr>
        <w:t>Notes:</w:t>
      </w:r>
    </w:p>
    <w:p w14:paraId="183E3E02" w14:textId="7DF40A92" w:rsidR="001230E5" w:rsidRPr="003C66A0" w:rsidRDefault="003B0F49" w:rsidP="00E67B44">
      <w:pPr>
        <w:numPr>
          <w:ilvl w:val="0"/>
          <w:numId w:val="8"/>
        </w:numPr>
        <w:jc w:val="both"/>
        <w:rPr>
          <w:rFonts w:eastAsiaTheme="majorEastAsia"/>
          <w:color w:val="000000" w:themeColor="text1"/>
        </w:rPr>
      </w:pPr>
      <w:r w:rsidRPr="003C66A0">
        <w:rPr>
          <w:rFonts w:eastAsiaTheme="majorEastAsia"/>
          <w:color w:val="000000" w:themeColor="text1"/>
        </w:rPr>
        <w:t>All dollar amounts</w:t>
      </w:r>
      <w:r w:rsidR="001230E5" w:rsidRPr="003C66A0">
        <w:rPr>
          <w:rFonts w:eastAsiaTheme="majorEastAsia"/>
          <w:color w:val="000000" w:themeColor="text1"/>
        </w:rPr>
        <w:t xml:space="preserve"> are</w:t>
      </w:r>
      <w:r w:rsidRPr="003C66A0">
        <w:rPr>
          <w:rFonts w:eastAsiaTheme="majorEastAsia"/>
          <w:color w:val="000000" w:themeColor="text1"/>
        </w:rPr>
        <w:t xml:space="preserve"> in USD </w:t>
      </w:r>
    </w:p>
    <w:p w14:paraId="794D20ED" w14:textId="77777777" w:rsidR="003B0F49" w:rsidRPr="003C66A0" w:rsidRDefault="003B0F49" w:rsidP="00E67B44">
      <w:pPr>
        <w:numPr>
          <w:ilvl w:val="0"/>
          <w:numId w:val="8"/>
        </w:numPr>
        <w:jc w:val="both"/>
        <w:rPr>
          <w:rFonts w:eastAsiaTheme="majorEastAsia"/>
          <w:color w:val="000000" w:themeColor="text1"/>
        </w:rPr>
      </w:pPr>
      <w:r w:rsidRPr="003C66A0">
        <w:rPr>
          <w:rFonts w:eastAsiaTheme="majorEastAsia"/>
          <w:color w:val="000000" w:themeColor="text1"/>
        </w:rPr>
        <w:t>Returns assume competent but not exceptional execution</w:t>
      </w:r>
    </w:p>
    <w:p w14:paraId="1EF51192" w14:textId="77777777" w:rsidR="003B0F49" w:rsidRPr="003C66A0" w:rsidRDefault="003B0F49" w:rsidP="00E67B44">
      <w:pPr>
        <w:numPr>
          <w:ilvl w:val="0"/>
          <w:numId w:val="8"/>
        </w:numPr>
        <w:jc w:val="both"/>
        <w:rPr>
          <w:rFonts w:eastAsiaTheme="majorEastAsia"/>
          <w:color w:val="000000" w:themeColor="text1"/>
        </w:rPr>
      </w:pPr>
      <w:r w:rsidRPr="003C66A0">
        <w:rPr>
          <w:rFonts w:eastAsiaTheme="majorEastAsia"/>
          <w:color w:val="000000" w:themeColor="text1"/>
        </w:rPr>
        <w:t xml:space="preserve">Gas costs calculated at median 2024 levels (30-50 </w:t>
      </w:r>
      <w:proofErr w:type="spellStart"/>
      <w:r w:rsidRPr="003C66A0">
        <w:rPr>
          <w:rFonts w:eastAsiaTheme="majorEastAsia"/>
          <w:color w:val="000000" w:themeColor="text1"/>
        </w:rPr>
        <w:t>gwei</w:t>
      </w:r>
      <w:proofErr w:type="spellEnd"/>
      <w:r w:rsidRPr="003C66A0">
        <w:rPr>
          <w:rFonts w:eastAsiaTheme="majorEastAsia"/>
          <w:color w:val="000000" w:themeColor="text1"/>
        </w:rPr>
        <w:t xml:space="preserve"> Ethereum)</w:t>
      </w:r>
    </w:p>
    <w:p w14:paraId="3AAFD00D" w14:textId="77777777" w:rsidR="003B0F49" w:rsidRPr="003C66A0" w:rsidRDefault="003B0F49" w:rsidP="00E67B44">
      <w:pPr>
        <w:numPr>
          <w:ilvl w:val="0"/>
          <w:numId w:val="8"/>
        </w:numPr>
        <w:jc w:val="both"/>
        <w:rPr>
          <w:rFonts w:eastAsiaTheme="majorEastAsia"/>
          <w:color w:val="000000" w:themeColor="text1"/>
        </w:rPr>
      </w:pPr>
      <w:r w:rsidRPr="003C66A0">
        <w:rPr>
          <w:rFonts w:eastAsiaTheme="majorEastAsia"/>
          <w:color w:val="000000" w:themeColor="text1"/>
        </w:rPr>
        <w:t>Learning period assumes no prior DeFi experience</w:t>
      </w:r>
    </w:p>
    <w:p w14:paraId="05CD5D8A" w14:textId="77777777" w:rsidR="003B0F49" w:rsidRPr="003C66A0" w:rsidRDefault="003B0F49" w:rsidP="00E67B44">
      <w:pPr>
        <w:numPr>
          <w:ilvl w:val="0"/>
          <w:numId w:val="8"/>
        </w:numPr>
        <w:jc w:val="both"/>
        <w:rPr>
          <w:rFonts w:eastAsiaTheme="majorEastAsia"/>
          <w:color w:val="000000" w:themeColor="text1"/>
        </w:rPr>
      </w:pPr>
      <w:r w:rsidRPr="003C66A0">
        <w:rPr>
          <w:rFonts w:eastAsiaTheme="majorEastAsia"/>
          <w:color w:val="000000" w:themeColor="text1"/>
        </w:rPr>
        <w:t>Risk probabilities based on empirical observation of 156 positions (2020-2024)</w:t>
      </w:r>
    </w:p>
    <w:p w14:paraId="2FE45512" w14:textId="0A1E138F" w:rsidR="00F94080" w:rsidRPr="003C66A0" w:rsidRDefault="00F94080" w:rsidP="00E67B44">
      <w:pPr>
        <w:jc w:val="both"/>
        <w:rPr>
          <w:rFonts w:eastAsiaTheme="majorEastAsia"/>
          <w:b/>
          <w:bCs/>
          <w:color w:val="000000" w:themeColor="text1"/>
        </w:rPr>
      </w:pPr>
    </w:p>
    <w:p w14:paraId="42E8327D" w14:textId="77777777" w:rsidR="00575983" w:rsidRPr="003C66A0" w:rsidRDefault="00575983" w:rsidP="00E67B44">
      <w:pPr>
        <w:pStyle w:val="Heading3"/>
        <w:rPr>
          <w:rFonts w:eastAsiaTheme="majorEastAsia"/>
        </w:rPr>
      </w:pPr>
      <w:bookmarkStart w:id="17" w:name="_Toc214721823"/>
      <w:r w:rsidRPr="003C66A0">
        <w:rPr>
          <w:rFonts w:eastAsiaTheme="majorEastAsia"/>
        </w:rPr>
        <w:t>1.3.4 Reading This Dissertation: A Guide to Interpretation</w:t>
      </w:r>
      <w:bookmarkEnd w:id="17"/>
      <w:r w:rsidRPr="003C66A0">
        <w:rPr>
          <w:rFonts w:eastAsiaTheme="majorEastAsia"/>
        </w:rPr>
        <w:t xml:space="preserve"> </w:t>
      </w:r>
    </w:p>
    <w:p w14:paraId="4A5A3410" w14:textId="77777777" w:rsidR="00F2162A" w:rsidRPr="003C66A0" w:rsidRDefault="00F2162A" w:rsidP="00E67B44">
      <w:pPr>
        <w:jc w:val="both"/>
        <w:rPr>
          <w:rFonts w:eastAsiaTheme="majorEastAsia"/>
          <w:color w:val="000000" w:themeColor="text1"/>
        </w:rPr>
      </w:pPr>
      <w:r w:rsidRPr="003C66A0">
        <w:rPr>
          <w:rFonts w:eastAsiaTheme="majorEastAsia"/>
          <w:color w:val="000000" w:themeColor="text1"/>
        </w:rPr>
        <w:t xml:space="preserve">This dissertation uses data from a specific group of DeFi participants during an unusual period in financial history and therefore it is critical to understand how to interpret the findings. Without it </w:t>
      </w:r>
      <w:proofErr w:type="spellStart"/>
      <w:r w:rsidRPr="003C66A0">
        <w:rPr>
          <w:rFonts w:eastAsiaTheme="majorEastAsia"/>
          <w:color w:val="000000" w:themeColor="text1"/>
        </w:rPr>
        <w:t>it</w:t>
      </w:r>
      <w:proofErr w:type="spellEnd"/>
      <w:r w:rsidRPr="003C66A0">
        <w:rPr>
          <w:rFonts w:eastAsiaTheme="majorEastAsia"/>
          <w:color w:val="000000" w:themeColor="text1"/>
        </w:rPr>
        <w:t xml:space="preserve"> will not be possible to make informed decisions about potential participation in these business opportunities.</w:t>
      </w:r>
    </w:p>
    <w:p w14:paraId="018C28C0" w14:textId="77777777" w:rsidR="00F2162A" w:rsidRPr="003C66A0" w:rsidRDefault="00F2162A" w:rsidP="00E67B44">
      <w:pPr>
        <w:jc w:val="both"/>
        <w:rPr>
          <w:rFonts w:eastAsiaTheme="majorEastAsia"/>
          <w:color w:val="000000" w:themeColor="text1"/>
        </w:rPr>
      </w:pPr>
      <w:r w:rsidRPr="003C66A0">
        <w:rPr>
          <w:rFonts w:eastAsiaTheme="majorEastAsia"/>
          <w:color w:val="000000" w:themeColor="text1"/>
        </w:rPr>
        <w:t> </w:t>
      </w:r>
    </w:p>
    <w:p w14:paraId="7904068B" w14:textId="3CABF1D9" w:rsidR="00F2162A" w:rsidRPr="003C66A0" w:rsidRDefault="008B2212" w:rsidP="00E67B44">
      <w:pPr>
        <w:jc w:val="both"/>
        <w:rPr>
          <w:rFonts w:eastAsiaTheme="majorEastAsia"/>
          <w:color w:val="000000" w:themeColor="text1"/>
        </w:rPr>
      </w:pPr>
      <w:r w:rsidRPr="003C66A0">
        <w:rPr>
          <w:rFonts w:eastAsiaTheme="majorEastAsia"/>
          <w:color w:val="000000" w:themeColor="text1"/>
        </w:rPr>
        <w:t>When referencing statistics like 'the majority of positions were unprofitable' or 'median returns were 7% annually,' these numbers come from tracking only 156 specific positions between 2020 and 2024</w:t>
      </w:r>
      <w:r w:rsidR="00F2162A" w:rsidRPr="003C66A0">
        <w:rPr>
          <w:rFonts w:eastAsiaTheme="majorEastAsia"/>
          <w:color w:val="000000" w:themeColor="text1"/>
        </w:rPr>
        <w:t xml:space="preserve"> and show what happened to early adopters during a period. That period </w:t>
      </w:r>
      <w:r w:rsidRPr="003C66A0">
        <w:rPr>
          <w:rFonts w:eastAsiaTheme="majorEastAsia"/>
          <w:color w:val="000000" w:themeColor="text1"/>
        </w:rPr>
        <w:t>included</w:t>
      </w:r>
      <w:r w:rsidR="00F2162A" w:rsidRPr="003C66A0">
        <w:rPr>
          <w:rFonts w:eastAsiaTheme="majorEastAsia"/>
          <w:color w:val="000000" w:themeColor="text1"/>
        </w:rPr>
        <w:t xml:space="preserve"> both spectacular booms and devastating crashes. The </w:t>
      </w:r>
      <w:r w:rsidR="00835253" w:rsidRPr="003C66A0">
        <w:rPr>
          <w:rFonts w:eastAsiaTheme="majorEastAsia"/>
          <w:color w:val="000000" w:themeColor="text1"/>
        </w:rPr>
        <w:t>readers’</w:t>
      </w:r>
      <w:r w:rsidR="00F2162A" w:rsidRPr="003C66A0">
        <w:rPr>
          <w:rFonts w:eastAsiaTheme="majorEastAsia"/>
          <w:color w:val="000000" w:themeColor="text1"/>
        </w:rPr>
        <w:t xml:space="preserve"> experience might differ, potentially better if one learned from their mistakes and they also can be potentially worse if new risks emerge that </w:t>
      </w:r>
      <w:proofErr w:type="gramStart"/>
      <w:r w:rsidR="00835253">
        <w:rPr>
          <w:rFonts w:eastAsiaTheme="majorEastAsia"/>
          <w:color w:val="000000" w:themeColor="text1"/>
        </w:rPr>
        <w:t>were</w:t>
      </w:r>
      <w:proofErr w:type="gramEnd"/>
      <w:r w:rsidR="00F2162A" w:rsidRPr="003C66A0">
        <w:rPr>
          <w:rFonts w:eastAsiaTheme="majorEastAsia"/>
          <w:color w:val="000000" w:themeColor="text1"/>
        </w:rPr>
        <w:t xml:space="preserve"> not accounted for in this research.</w:t>
      </w:r>
    </w:p>
    <w:p w14:paraId="2A7BF690" w14:textId="77777777" w:rsidR="00F2162A" w:rsidRPr="003C66A0" w:rsidRDefault="00F2162A" w:rsidP="00E67B44">
      <w:pPr>
        <w:jc w:val="both"/>
        <w:rPr>
          <w:rFonts w:eastAsiaTheme="majorEastAsia"/>
          <w:color w:val="000000" w:themeColor="text1"/>
        </w:rPr>
      </w:pPr>
      <w:r w:rsidRPr="003C66A0">
        <w:rPr>
          <w:rFonts w:eastAsiaTheme="majorEastAsia"/>
          <w:color w:val="000000" w:themeColor="text1"/>
        </w:rPr>
        <w:lastRenderedPageBreak/>
        <w:t> </w:t>
      </w:r>
    </w:p>
    <w:p w14:paraId="70AEBF43" w14:textId="17B9EBB9" w:rsidR="00F2162A" w:rsidRPr="003C66A0" w:rsidRDefault="00F2162A" w:rsidP="00E67B44">
      <w:pPr>
        <w:jc w:val="both"/>
        <w:rPr>
          <w:rFonts w:eastAsiaTheme="majorEastAsia"/>
          <w:color w:val="000000" w:themeColor="text1"/>
        </w:rPr>
      </w:pPr>
      <w:r w:rsidRPr="003C66A0">
        <w:rPr>
          <w:rFonts w:eastAsiaTheme="majorEastAsia"/>
          <w:color w:val="000000" w:themeColor="text1"/>
        </w:rPr>
        <w:t>The dollar amounts mentioned throughout</w:t>
      </w:r>
      <w:r w:rsidR="00835253">
        <w:rPr>
          <w:rFonts w:eastAsiaTheme="majorEastAsia"/>
          <w:color w:val="000000" w:themeColor="text1"/>
        </w:rPr>
        <w:t xml:space="preserve">, </w:t>
      </w:r>
      <w:r w:rsidRPr="003C66A0">
        <w:rPr>
          <w:rFonts w:eastAsiaTheme="majorEastAsia"/>
          <w:color w:val="000000" w:themeColor="text1"/>
        </w:rPr>
        <w:t>like "$3,500 minimum for L2 participation"</w:t>
      </w:r>
      <w:r w:rsidR="00835253">
        <w:rPr>
          <w:rFonts w:eastAsiaTheme="majorEastAsia"/>
          <w:color w:val="000000" w:themeColor="text1"/>
        </w:rPr>
        <w:t xml:space="preserve">, </w:t>
      </w:r>
      <w:r w:rsidRPr="003C66A0">
        <w:rPr>
          <w:rFonts w:eastAsiaTheme="majorEastAsia"/>
          <w:color w:val="000000" w:themeColor="text1"/>
        </w:rPr>
        <w:t xml:space="preserve">were accurate during my study period but will most likely change over time. If Ethereum gas fees drop significantly through technological improvements, these thresholds would drop too. If fees increase during network congestion, one will need more capital to come out profitable. Therefore, this should be used as reference points showing the </w:t>
      </w:r>
      <w:r w:rsidR="00835253" w:rsidRPr="003C66A0">
        <w:rPr>
          <w:rFonts w:eastAsiaTheme="majorEastAsia"/>
          <w:color w:val="000000" w:themeColor="text1"/>
        </w:rPr>
        <w:t>relationship</w:t>
      </w:r>
      <w:r w:rsidRPr="003C66A0">
        <w:rPr>
          <w:rFonts w:eastAsiaTheme="majorEastAsia"/>
          <w:color w:val="000000" w:themeColor="text1"/>
        </w:rPr>
        <w:t xml:space="preserve"> between costs and returns, not fixed rules.</w:t>
      </w:r>
    </w:p>
    <w:p w14:paraId="1D184F55" w14:textId="77777777" w:rsidR="00344F61" w:rsidRPr="003C66A0" w:rsidRDefault="00344F61" w:rsidP="00E67B44">
      <w:pPr>
        <w:jc w:val="both"/>
        <w:rPr>
          <w:rFonts w:eastAsiaTheme="majorEastAsia"/>
          <w:color w:val="000000" w:themeColor="text1"/>
        </w:rPr>
      </w:pPr>
    </w:p>
    <w:p w14:paraId="608682B4" w14:textId="4C1E7715" w:rsidR="0076477C" w:rsidRPr="003C66A0" w:rsidRDefault="0076477C" w:rsidP="00E67B44">
      <w:pPr>
        <w:jc w:val="both"/>
        <w:rPr>
          <w:rFonts w:eastAsiaTheme="majorEastAsia"/>
          <w:color w:val="000000" w:themeColor="text1"/>
        </w:rPr>
      </w:pPr>
      <w:r w:rsidRPr="003C66A0">
        <w:rPr>
          <w:rFonts w:eastAsiaTheme="majorEastAsia"/>
          <w:color w:val="000000" w:themeColor="text1"/>
        </w:rPr>
        <w:t xml:space="preserve">All percentage returns </w:t>
      </w:r>
      <w:r w:rsidR="000852A4" w:rsidRPr="003C66A0">
        <w:rPr>
          <w:rFonts w:eastAsiaTheme="majorEastAsia"/>
          <w:color w:val="000000" w:themeColor="text1"/>
        </w:rPr>
        <w:t xml:space="preserve">in this study </w:t>
      </w:r>
      <w:r w:rsidRPr="003C66A0">
        <w:rPr>
          <w:rFonts w:eastAsiaTheme="majorEastAsia"/>
          <w:color w:val="000000" w:themeColor="text1"/>
        </w:rPr>
        <w:t xml:space="preserve">should be understood as "what early adopters achieved during a volatile period" rather than "what you will definitely earn." The 4-8% returns from stablecoin liquidity provision held up throughout </w:t>
      </w:r>
      <w:r w:rsidR="00231D5B" w:rsidRPr="003C66A0">
        <w:rPr>
          <w:rFonts w:eastAsiaTheme="majorEastAsia"/>
          <w:color w:val="000000" w:themeColor="text1"/>
        </w:rPr>
        <w:t xml:space="preserve">my </w:t>
      </w:r>
      <w:r w:rsidRPr="003C66A0">
        <w:rPr>
          <w:rFonts w:eastAsiaTheme="majorEastAsia"/>
          <w:color w:val="000000" w:themeColor="text1"/>
        </w:rPr>
        <w:t>study period</w:t>
      </w:r>
      <w:r w:rsidR="000852A4" w:rsidRPr="003C66A0">
        <w:rPr>
          <w:rFonts w:eastAsiaTheme="majorEastAsia"/>
          <w:color w:val="000000" w:themeColor="text1"/>
        </w:rPr>
        <w:t xml:space="preserve"> which included </w:t>
      </w:r>
      <w:r w:rsidRPr="003C66A0">
        <w:rPr>
          <w:rFonts w:eastAsiaTheme="majorEastAsia"/>
          <w:color w:val="000000" w:themeColor="text1"/>
        </w:rPr>
        <w:t xml:space="preserve">both bull and bear markets. </w:t>
      </w:r>
      <w:r w:rsidR="000852A4" w:rsidRPr="003C66A0">
        <w:rPr>
          <w:rFonts w:eastAsiaTheme="majorEastAsia"/>
          <w:color w:val="000000" w:themeColor="text1"/>
        </w:rPr>
        <w:t>However, past</w:t>
      </w:r>
      <w:r w:rsidRPr="003C66A0">
        <w:rPr>
          <w:rFonts w:eastAsiaTheme="majorEastAsia"/>
          <w:color w:val="000000" w:themeColor="text1"/>
        </w:rPr>
        <w:t xml:space="preserve"> performance</w:t>
      </w:r>
      <w:r w:rsidR="0010086C" w:rsidRPr="003C66A0">
        <w:rPr>
          <w:rFonts w:eastAsiaTheme="majorEastAsia"/>
          <w:color w:val="000000" w:themeColor="text1"/>
        </w:rPr>
        <w:t xml:space="preserve"> does not </w:t>
      </w:r>
      <w:r w:rsidRPr="003C66A0">
        <w:rPr>
          <w:rFonts w:eastAsiaTheme="majorEastAsia"/>
          <w:color w:val="000000" w:themeColor="text1"/>
        </w:rPr>
        <w:t xml:space="preserve">guarantee future results, especially in rapidly evolving </w:t>
      </w:r>
      <w:proofErr w:type="gramStart"/>
      <w:r w:rsidRPr="003C66A0">
        <w:rPr>
          <w:rFonts w:eastAsiaTheme="majorEastAsia"/>
          <w:color w:val="000000" w:themeColor="text1"/>
        </w:rPr>
        <w:t>markets</w:t>
      </w:r>
      <w:r w:rsidR="000852A4" w:rsidRPr="003C66A0">
        <w:rPr>
          <w:rFonts w:eastAsiaTheme="majorEastAsia"/>
          <w:color w:val="000000" w:themeColor="text1"/>
        </w:rPr>
        <w:t xml:space="preserve"> and</w:t>
      </w:r>
      <w:proofErr w:type="gramEnd"/>
      <w:r w:rsidR="000852A4" w:rsidRPr="003C66A0">
        <w:rPr>
          <w:rFonts w:eastAsiaTheme="majorEastAsia"/>
          <w:color w:val="000000" w:themeColor="text1"/>
        </w:rPr>
        <w:t xml:space="preserve"> where the various risks have not been fully understood or identified.</w:t>
      </w:r>
    </w:p>
    <w:p w14:paraId="754A43C4" w14:textId="77777777" w:rsidR="00344F61" w:rsidRPr="003C66A0" w:rsidRDefault="00344F61" w:rsidP="00E67B44">
      <w:pPr>
        <w:jc w:val="both"/>
        <w:rPr>
          <w:rFonts w:eastAsiaTheme="majorEastAsia"/>
          <w:color w:val="000000" w:themeColor="text1"/>
        </w:rPr>
      </w:pPr>
    </w:p>
    <w:p w14:paraId="7C7103F6" w14:textId="46236928" w:rsidR="0099658D" w:rsidRPr="003C66A0" w:rsidRDefault="0099658D" w:rsidP="00E67B44">
      <w:pPr>
        <w:jc w:val="both"/>
        <w:rPr>
          <w:rFonts w:eastAsiaTheme="majorEastAsia"/>
          <w:color w:val="000000" w:themeColor="text1"/>
        </w:rPr>
      </w:pPr>
      <w:r w:rsidRPr="003C66A0">
        <w:rPr>
          <w:rFonts w:eastAsiaTheme="majorEastAsia"/>
          <w:color w:val="000000" w:themeColor="text1"/>
        </w:rPr>
        <w:t xml:space="preserve">When interpreting risk statistics, it is of utmost importance </w:t>
      </w:r>
      <w:r w:rsidR="00A80D43" w:rsidRPr="003C66A0">
        <w:rPr>
          <w:rFonts w:eastAsiaTheme="majorEastAsia"/>
          <w:color w:val="000000" w:themeColor="text1"/>
        </w:rPr>
        <w:t>to pay</w:t>
      </w:r>
      <w:r w:rsidRPr="003C66A0">
        <w:rPr>
          <w:rFonts w:eastAsiaTheme="majorEastAsia"/>
          <w:color w:val="000000" w:themeColor="text1"/>
        </w:rPr>
        <w:t xml:space="preserve"> attention to both probability and impact. Although a quarterly chance of 12% for smart contract incidents sounds manageable. However, the average loss when these incidents occur is 67%. That is a huge risk and requires careful position sizing.</w:t>
      </w:r>
    </w:p>
    <w:p w14:paraId="16B1F180" w14:textId="77777777" w:rsidR="0099658D" w:rsidRPr="003C66A0" w:rsidRDefault="0099658D" w:rsidP="00E67B44">
      <w:pPr>
        <w:jc w:val="both"/>
        <w:rPr>
          <w:rFonts w:eastAsiaTheme="majorEastAsia"/>
          <w:color w:val="000000" w:themeColor="text1"/>
        </w:rPr>
      </w:pPr>
    </w:p>
    <w:p w14:paraId="438A7C2A" w14:textId="5DEEAFAA" w:rsidR="0099658D" w:rsidRPr="003C66A0" w:rsidRDefault="0099658D" w:rsidP="00E67B44">
      <w:pPr>
        <w:jc w:val="both"/>
        <w:rPr>
          <w:rFonts w:eastAsiaTheme="majorEastAsia"/>
          <w:color w:val="000000" w:themeColor="text1"/>
        </w:rPr>
      </w:pPr>
      <w:r w:rsidRPr="003C66A0">
        <w:rPr>
          <w:rFonts w:eastAsiaTheme="majorEastAsia"/>
          <w:color w:val="000000" w:themeColor="text1"/>
        </w:rPr>
        <w:t>Most importantly, my samples consisted of relatively sophisticated early adopters who actively chose to participate in DeF</w:t>
      </w:r>
      <w:r w:rsidR="008B313E">
        <w:rPr>
          <w:rFonts w:eastAsiaTheme="majorEastAsia"/>
          <w:color w:val="000000" w:themeColor="text1"/>
        </w:rPr>
        <w:t>i</w:t>
      </w:r>
      <w:r w:rsidRPr="003C66A0">
        <w:rPr>
          <w:rFonts w:eastAsiaTheme="majorEastAsia"/>
          <w:color w:val="000000" w:themeColor="text1"/>
        </w:rPr>
        <w:t xml:space="preserve"> and were more risk-tolerant, technically capable, and financially flexible than the general population. The strategies I documented and analyzed work for people with certain resources and capabilities, and without those prerequisites, the same strategies that generated returns might generate big losses</w:t>
      </w:r>
      <w:r w:rsidR="00835253">
        <w:rPr>
          <w:rFonts w:eastAsiaTheme="majorEastAsia"/>
          <w:color w:val="000000" w:themeColor="text1"/>
        </w:rPr>
        <w:t>.</w:t>
      </w:r>
    </w:p>
    <w:p w14:paraId="7B475724" w14:textId="77777777" w:rsidR="00F94080" w:rsidRPr="003C66A0" w:rsidRDefault="00F94080" w:rsidP="00E67B44">
      <w:pPr>
        <w:jc w:val="both"/>
        <w:rPr>
          <w:rFonts w:eastAsiaTheme="majorEastAsia"/>
          <w:b/>
          <w:bCs/>
          <w:color w:val="000000" w:themeColor="text1"/>
        </w:rPr>
      </w:pPr>
    </w:p>
    <w:p w14:paraId="700F4D88" w14:textId="3FDDFA59" w:rsidR="005E3F32" w:rsidRPr="00835253" w:rsidRDefault="005E3F32" w:rsidP="00E67B44">
      <w:pPr>
        <w:pStyle w:val="Heading3"/>
        <w:rPr>
          <w:rFonts w:eastAsiaTheme="majorEastAsia"/>
        </w:rPr>
      </w:pPr>
      <w:bookmarkStart w:id="18" w:name="_Toc214721824"/>
      <w:r w:rsidRPr="00835253">
        <w:rPr>
          <w:rFonts w:eastAsiaTheme="majorEastAsia"/>
        </w:rPr>
        <w:t>1.3.</w:t>
      </w:r>
      <w:r w:rsidR="00835B9C" w:rsidRPr="00835253">
        <w:rPr>
          <w:rFonts w:eastAsiaTheme="majorEastAsia"/>
        </w:rPr>
        <w:t>5</w:t>
      </w:r>
      <w:r w:rsidRPr="00835253">
        <w:rPr>
          <w:rFonts w:eastAsiaTheme="majorEastAsia"/>
        </w:rPr>
        <w:t xml:space="preserve"> Addressing the Democratization Paradox</w:t>
      </w:r>
      <w:bookmarkEnd w:id="18"/>
    </w:p>
    <w:p w14:paraId="21BB494E" w14:textId="77777777" w:rsidR="00D23553" w:rsidRPr="003C66A0" w:rsidRDefault="00D23553" w:rsidP="00E67B44">
      <w:pPr>
        <w:jc w:val="both"/>
        <w:rPr>
          <w:rFonts w:eastAsiaTheme="majorEastAsia"/>
          <w:color w:val="000000" w:themeColor="text1"/>
        </w:rPr>
      </w:pPr>
      <w:r w:rsidRPr="003C66A0">
        <w:rPr>
          <w:rFonts w:eastAsiaTheme="majorEastAsia"/>
          <w:color w:val="000000" w:themeColor="text1"/>
        </w:rPr>
        <w:t>This research takes a specific position on DeFi's democratization claims: DeFi has expanded access to financial activities previously restricted to institutions, but this expansion is partial, conditional, and unevenly distributed. This is not fence-sitting but rather recognition that democratization exists on a spectrum rather than as a binary state.</w:t>
      </w:r>
    </w:p>
    <w:p w14:paraId="28F7FA92" w14:textId="77777777" w:rsidR="00D23553" w:rsidRPr="003C66A0" w:rsidRDefault="00D23553" w:rsidP="00E67B44">
      <w:pPr>
        <w:jc w:val="both"/>
        <w:rPr>
          <w:rFonts w:eastAsiaTheme="majorEastAsia"/>
          <w:color w:val="000000" w:themeColor="text1"/>
        </w:rPr>
      </w:pPr>
    </w:p>
    <w:p w14:paraId="4C548695" w14:textId="3415A990" w:rsidR="00D23553" w:rsidRPr="003C66A0" w:rsidRDefault="00D23553" w:rsidP="00E67B44">
      <w:pPr>
        <w:jc w:val="both"/>
        <w:rPr>
          <w:rFonts w:eastAsiaTheme="majorEastAsia"/>
          <w:color w:val="000000" w:themeColor="text1"/>
        </w:rPr>
      </w:pPr>
      <w:r w:rsidRPr="003C66A0">
        <w:rPr>
          <w:rFonts w:eastAsiaTheme="majorEastAsia"/>
          <w:color w:val="000000" w:themeColor="text1"/>
        </w:rPr>
        <w:t xml:space="preserve">To evaluate democratization claims, I established three specific criteria. The first one is accessibility and if individuals can participate without institutional connections The second criteria I set to viability and if participation can generate positive returns after all costs are </w:t>
      </w:r>
      <w:r w:rsidR="008B313E" w:rsidRPr="003C66A0">
        <w:rPr>
          <w:rFonts w:eastAsiaTheme="majorEastAsia"/>
          <w:color w:val="000000" w:themeColor="text1"/>
        </w:rPr>
        <w:t>considered</w:t>
      </w:r>
      <w:r w:rsidRPr="003C66A0">
        <w:rPr>
          <w:rFonts w:eastAsiaTheme="majorEastAsia"/>
          <w:color w:val="000000" w:themeColor="text1"/>
        </w:rPr>
        <w:t xml:space="preserve"> Last criteria to evaluate was sustainability and if opportunities</w:t>
      </w:r>
      <w:r w:rsidRPr="003C66A0">
        <w:rPr>
          <w:rFonts w:eastAsiaTheme="majorEastAsia"/>
          <w:b/>
          <w:bCs/>
          <w:color w:val="000000" w:themeColor="text1"/>
        </w:rPr>
        <w:t xml:space="preserve"> </w:t>
      </w:r>
      <w:r w:rsidRPr="003C66A0">
        <w:rPr>
          <w:rFonts w:eastAsiaTheme="majorEastAsia"/>
          <w:color w:val="000000" w:themeColor="text1"/>
        </w:rPr>
        <w:t>persist or if they are or temporary nature. DeFi succeeds on the first criterion, partially succeeds on the second for well-resourced participants, and showed mixed results on the third.</w:t>
      </w:r>
    </w:p>
    <w:p w14:paraId="61BBF046" w14:textId="77777777" w:rsidR="00D23553" w:rsidRPr="003C66A0" w:rsidRDefault="00D23553" w:rsidP="00E67B44">
      <w:pPr>
        <w:jc w:val="both"/>
        <w:rPr>
          <w:rFonts w:eastAsiaTheme="majorEastAsia"/>
          <w:color w:val="000000" w:themeColor="text1"/>
        </w:rPr>
      </w:pPr>
    </w:p>
    <w:p w14:paraId="01FD87B9" w14:textId="77777777" w:rsidR="00D23553" w:rsidRPr="003C66A0" w:rsidRDefault="00D23553" w:rsidP="00E67B44">
      <w:pPr>
        <w:jc w:val="both"/>
        <w:rPr>
          <w:rFonts w:eastAsiaTheme="majorEastAsia"/>
          <w:color w:val="000000" w:themeColor="text1"/>
        </w:rPr>
      </w:pPr>
      <w:r w:rsidRPr="003C66A0">
        <w:rPr>
          <w:rFonts w:eastAsiaTheme="majorEastAsia"/>
          <w:color w:val="000000" w:themeColor="text1"/>
        </w:rPr>
        <w:t>The evidence supports what I termed a "conditional democratization." Unlike traditional markets that require large capital investments and prime broker relationships, DeFi enables participation starting at $3,500 on L2 networks (for successful investment as discussed in the later chapters here). This represents a 100-1000x reduction in entry barriers. Although this is not universal across the platforms, it is still a relevant observation. However, the research showed that successful growth requires not only technical knowledge but also time, and risk tolerance that many lack. The barriers did change their form and shifted from institutional to technical and from regulatory to operational.</w:t>
      </w:r>
    </w:p>
    <w:p w14:paraId="764C72F6" w14:textId="77777777" w:rsidR="00D23553" w:rsidRPr="003C66A0" w:rsidRDefault="00D23553" w:rsidP="00E67B44">
      <w:pPr>
        <w:jc w:val="both"/>
        <w:rPr>
          <w:rFonts w:eastAsiaTheme="majorEastAsia"/>
          <w:color w:val="000000" w:themeColor="text1"/>
        </w:rPr>
      </w:pPr>
    </w:p>
    <w:p w14:paraId="6DE32E65" w14:textId="4B026F6C" w:rsidR="00D23553" w:rsidRPr="003C66A0" w:rsidRDefault="00D23553" w:rsidP="00E67B44">
      <w:pPr>
        <w:jc w:val="both"/>
        <w:rPr>
          <w:rFonts w:eastAsiaTheme="majorEastAsia"/>
          <w:color w:val="000000" w:themeColor="text1"/>
        </w:rPr>
      </w:pPr>
      <w:r w:rsidRPr="003C66A0">
        <w:rPr>
          <w:rFonts w:eastAsiaTheme="majorEastAsia"/>
          <w:color w:val="000000" w:themeColor="text1"/>
        </w:rPr>
        <w:lastRenderedPageBreak/>
        <w:t xml:space="preserve">This interpretation reconciles seemingly contradictory findings. </w:t>
      </w:r>
      <w:r w:rsidR="003441C8" w:rsidRPr="003C66A0">
        <w:rPr>
          <w:rFonts w:eastAsiaTheme="majorEastAsia"/>
          <w:color w:val="000000" w:themeColor="text1"/>
        </w:rPr>
        <w:t xml:space="preserve">As </w:t>
      </w:r>
      <w:r w:rsidR="00A80D43" w:rsidRPr="003C66A0">
        <w:rPr>
          <w:rFonts w:eastAsiaTheme="majorEastAsia"/>
          <w:color w:val="000000" w:themeColor="text1"/>
        </w:rPr>
        <w:t>per the</w:t>
      </w:r>
      <w:r w:rsidR="003441C8" w:rsidRPr="003C66A0">
        <w:rPr>
          <w:rFonts w:eastAsiaTheme="majorEastAsia"/>
          <w:color w:val="000000" w:themeColor="text1"/>
        </w:rPr>
        <w:t xml:space="preserve"> previously established failure rate, </w:t>
      </w:r>
      <w:r w:rsidRPr="003C66A0">
        <w:rPr>
          <w:rFonts w:eastAsiaTheme="majorEastAsia"/>
          <w:color w:val="000000" w:themeColor="text1"/>
        </w:rPr>
        <w:t xml:space="preserve">27% succeeded where they previously had zero opportunity. Although institutional players increasingly dominate, individual participants can still find </w:t>
      </w:r>
      <w:proofErr w:type="gramStart"/>
      <w:r w:rsidRPr="003C66A0">
        <w:rPr>
          <w:rFonts w:eastAsiaTheme="majorEastAsia"/>
          <w:color w:val="000000" w:themeColor="text1"/>
        </w:rPr>
        <w:t>they</w:t>
      </w:r>
      <w:proofErr w:type="gramEnd"/>
      <w:r w:rsidRPr="003C66A0">
        <w:rPr>
          <w:rFonts w:eastAsiaTheme="majorEastAsia"/>
          <w:color w:val="000000" w:themeColor="text1"/>
        </w:rPr>
        <w:t xml:space="preserve"> niches in the market. The returns </w:t>
      </w:r>
      <w:proofErr w:type="spellStart"/>
      <w:proofErr w:type="gramStart"/>
      <w:r w:rsidRPr="003C66A0">
        <w:rPr>
          <w:rFonts w:eastAsiaTheme="majorEastAsia"/>
          <w:color w:val="000000" w:themeColor="text1"/>
        </w:rPr>
        <w:t>o</w:t>
      </w:r>
      <w:proofErr w:type="spellEnd"/>
      <w:r w:rsidRPr="003C66A0">
        <w:rPr>
          <w:rFonts w:eastAsiaTheme="majorEastAsia"/>
          <w:color w:val="000000" w:themeColor="text1"/>
        </w:rPr>
        <w:t xml:space="preserve"> the</w:t>
      </w:r>
      <w:proofErr w:type="gramEnd"/>
      <w:r w:rsidRPr="003C66A0">
        <w:rPr>
          <w:rFonts w:eastAsiaTheme="majorEastAsia"/>
          <w:color w:val="000000" w:themeColor="text1"/>
        </w:rPr>
        <w:t xml:space="preserve"> last years have been compressed from early highs - but 4-8% remains meaningful compared to 0.1% when comparing savings interest rates. The democratization in this space exists but is limited; it expands opportunities within some constraints rather than eliminating them completely.</w:t>
      </w:r>
    </w:p>
    <w:p w14:paraId="5464E0F9" w14:textId="77777777" w:rsidR="00D23553" w:rsidRPr="003C66A0" w:rsidRDefault="00D23553" w:rsidP="00E67B44">
      <w:pPr>
        <w:jc w:val="both"/>
        <w:rPr>
          <w:rFonts w:eastAsiaTheme="majorEastAsia"/>
          <w:color w:val="000000" w:themeColor="text1"/>
        </w:rPr>
      </w:pPr>
    </w:p>
    <w:p w14:paraId="262F61C1" w14:textId="5C3080DC" w:rsidR="00E00482" w:rsidRPr="003C66A0" w:rsidRDefault="00E00482" w:rsidP="00E67B44">
      <w:pPr>
        <w:jc w:val="both"/>
        <w:rPr>
          <w:rFonts w:eastAsiaTheme="majorEastAsia"/>
          <w:color w:val="000000" w:themeColor="text1"/>
        </w:rPr>
      </w:pPr>
      <w:r w:rsidRPr="003C66A0">
        <w:rPr>
          <w:rFonts w:eastAsiaTheme="majorEastAsia"/>
          <w:color w:val="000000" w:themeColor="text1"/>
        </w:rPr>
        <w:t xml:space="preserve">The practical implications of conditional democratization differ by its participant context - </w:t>
      </w:r>
      <w:r w:rsidR="003441C8" w:rsidRPr="003C66A0">
        <w:rPr>
          <w:rFonts w:eastAsiaTheme="majorEastAsia"/>
          <w:color w:val="000000" w:themeColor="text1"/>
        </w:rPr>
        <w:t>for</w:t>
      </w:r>
      <w:r w:rsidRPr="003C66A0">
        <w:rPr>
          <w:rFonts w:eastAsiaTheme="majorEastAsia"/>
          <w:color w:val="000000" w:themeColor="text1"/>
        </w:rPr>
        <w:t xml:space="preserve"> examples someone in a developed economy, a return of 7% with a 41% chance of loss may seem less attractive than index funds or bonds. But for someone dealing with a 15% drop in local currency buying power or a complete/temporary shut out of traditional banking, this opportunity can be very valuable. Democratization's value really depends on the available alternatives and current situation for the individual.</w:t>
      </w:r>
    </w:p>
    <w:p w14:paraId="02C5E25D" w14:textId="77777777" w:rsidR="00E00482" w:rsidRPr="003C66A0" w:rsidRDefault="00E00482" w:rsidP="00E67B44">
      <w:pPr>
        <w:jc w:val="both"/>
        <w:rPr>
          <w:rFonts w:eastAsiaTheme="majorEastAsia"/>
          <w:color w:val="000000" w:themeColor="text1"/>
        </w:rPr>
      </w:pPr>
    </w:p>
    <w:p w14:paraId="7C89CB92" w14:textId="44FDFFCA" w:rsidR="00E00482" w:rsidRPr="003C66A0" w:rsidRDefault="00E00482" w:rsidP="00E67B44">
      <w:pPr>
        <w:jc w:val="both"/>
        <w:rPr>
          <w:rFonts w:eastAsiaTheme="majorEastAsia"/>
          <w:color w:val="000000" w:themeColor="text1"/>
        </w:rPr>
      </w:pPr>
      <w:r w:rsidRPr="003C66A0">
        <w:rPr>
          <w:rFonts w:eastAsiaTheme="majorEastAsia"/>
          <w:color w:val="000000" w:themeColor="text1"/>
        </w:rPr>
        <w:t xml:space="preserve">This research also explains the changes I observed during the </w:t>
      </w:r>
      <w:r w:rsidR="00A80D43" w:rsidRPr="003C66A0">
        <w:rPr>
          <w:rFonts w:eastAsiaTheme="majorEastAsia"/>
          <w:color w:val="000000" w:themeColor="text1"/>
        </w:rPr>
        <w:t>research</w:t>
      </w:r>
      <w:r w:rsidRPr="003C66A0">
        <w:rPr>
          <w:rFonts w:eastAsiaTheme="majorEastAsia"/>
          <w:color w:val="000000" w:themeColor="text1"/>
        </w:rPr>
        <w:t xml:space="preserve"> period. One of them was at the beginning </w:t>
      </w:r>
      <w:proofErr w:type="gramStart"/>
      <w:r w:rsidRPr="003C66A0">
        <w:rPr>
          <w:rFonts w:eastAsiaTheme="majorEastAsia"/>
          <w:color w:val="000000" w:themeColor="text1"/>
        </w:rPr>
        <w:t>stages</w:t>
      </w:r>
      <w:proofErr w:type="gramEnd"/>
      <w:r w:rsidRPr="003C66A0">
        <w:rPr>
          <w:rFonts w:eastAsiaTheme="majorEastAsia"/>
          <w:color w:val="000000" w:themeColor="text1"/>
        </w:rPr>
        <w:t xml:space="preserve"> DeFi offered broader democratization. This was mostly the case when inefficiencies were </w:t>
      </w:r>
      <w:r w:rsidR="00A80D43" w:rsidRPr="003C66A0">
        <w:rPr>
          <w:rFonts w:eastAsiaTheme="majorEastAsia"/>
          <w:color w:val="000000" w:themeColor="text1"/>
        </w:rPr>
        <w:t>abundant,</w:t>
      </w:r>
      <w:r w:rsidRPr="003C66A0">
        <w:rPr>
          <w:rFonts w:eastAsiaTheme="majorEastAsia"/>
          <w:color w:val="000000" w:themeColor="text1"/>
        </w:rPr>
        <w:t xml:space="preserve"> and competition was very limited. As the markets matured and institutions entered, the democratization narrowed, but it did not disappear. It transformed into a layered system where different capital levels access different opportunities, making it more democratic than traditional finance, but not as much as early promises claimed.</w:t>
      </w:r>
    </w:p>
    <w:p w14:paraId="4D538C50" w14:textId="77777777" w:rsidR="00E00482" w:rsidRPr="003C66A0" w:rsidRDefault="00E00482" w:rsidP="00E67B44">
      <w:pPr>
        <w:jc w:val="both"/>
        <w:rPr>
          <w:rFonts w:eastAsiaTheme="majorEastAsia"/>
          <w:color w:val="000000" w:themeColor="text1"/>
        </w:rPr>
      </w:pPr>
    </w:p>
    <w:p w14:paraId="652CB8BD" w14:textId="096FE9FB" w:rsidR="00965170" w:rsidRDefault="00E00482" w:rsidP="00E67B44">
      <w:pPr>
        <w:jc w:val="both"/>
        <w:rPr>
          <w:rFonts w:eastAsiaTheme="majorEastAsia"/>
          <w:color w:val="000000" w:themeColor="text1"/>
        </w:rPr>
      </w:pPr>
      <w:r w:rsidRPr="003C66A0">
        <w:rPr>
          <w:rFonts w:eastAsiaTheme="majorEastAsia"/>
          <w:color w:val="000000" w:themeColor="text1"/>
        </w:rPr>
        <w:t xml:space="preserve">The conditional democratization does not mean that DeFi failed its mission. It expanded access from almost zero to limited with real opportunities. In my sample, 27% of positions succeeded in growth. Some of the participants are making earnings from market-making activities they </w:t>
      </w:r>
      <w:proofErr w:type="gramStart"/>
      <w:r w:rsidRPr="003C66A0">
        <w:rPr>
          <w:rFonts w:eastAsiaTheme="majorEastAsia"/>
          <w:color w:val="000000" w:themeColor="text1"/>
        </w:rPr>
        <w:t>were not able to</w:t>
      </w:r>
      <w:proofErr w:type="gramEnd"/>
      <w:r w:rsidRPr="003C66A0">
        <w:rPr>
          <w:rFonts w:eastAsiaTheme="majorEastAsia"/>
          <w:color w:val="000000" w:themeColor="text1"/>
        </w:rPr>
        <w:t xml:space="preserve"> access before. That is a meaningful finding, even if it falls short of complete universal access. The challenge for the </w:t>
      </w:r>
      <w:r w:rsidR="00A80D43" w:rsidRPr="003C66A0">
        <w:rPr>
          <w:rFonts w:eastAsiaTheme="majorEastAsia"/>
          <w:color w:val="000000" w:themeColor="text1"/>
        </w:rPr>
        <w:t>future</w:t>
      </w:r>
      <w:r w:rsidRPr="003C66A0">
        <w:rPr>
          <w:rFonts w:eastAsiaTheme="majorEastAsia"/>
          <w:color w:val="000000" w:themeColor="text1"/>
        </w:rPr>
        <w:t xml:space="preserve"> is to protect these limited gains from institutional and regulatory threats. We also need to lower barriers further using technology and education.</w:t>
      </w:r>
    </w:p>
    <w:p w14:paraId="37322ACA" w14:textId="77777777" w:rsidR="00C976C1" w:rsidRDefault="00C976C1" w:rsidP="00E67B44">
      <w:pPr>
        <w:jc w:val="both"/>
        <w:rPr>
          <w:rFonts w:eastAsiaTheme="majorEastAsia"/>
          <w:color w:val="000000" w:themeColor="text1"/>
        </w:rPr>
      </w:pPr>
    </w:p>
    <w:p w14:paraId="1B24AD62" w14:textId="6535C3B2" w:rsidR="00965170" w:rsidRDefault="00965170" w:rsidP="00E67B44">
      <w:pPr>
        <w:jc w:val="both"/>
        <w:rPr>
          <w:rFonts w:eastAsiaTheme="majorEastAsia"/>
          <w:color w:val="000000" w:themeColor="text1"/>
        </w:rPr>
      </w:pPr>
      <w:r w:rsidRPr="004C5F0D">
        <w:rPr>
          <w:rFonts w:eastAsiaTheme="majorEastAsia"/>
          <w:color w:val="000000" w:themeColor="text1"/>
        </w:rPr>
        <w:t xml:space="preserve">The theoretical </w:t>
      </w:r>
      <w:proofErr w:type="gramStart"/>
      <w:r w:rsidRPr="004C5F0D">
        <w:rPr>
          <w:rFonts w:eastAsiaTheme="majorEastAsia"/>
          <w:color w:val="000000" w:themeColor="text1"/>
        </w:rPr>
        <w:t>foundations</w:t>
      </w:r>
      <w:proofErr w:type="gramEnd"/>
      <w:r w:rsidRPr="004C5F0D">
        <w:rPr>
          <w:rFonts w:eastAsiaTheme="majorEastAsia"/>
          <w:color w:val="000000" w:themeColor="text1"/>
        </w:rPr>
        <w:t xml:space="preserve"> of this paradox </w:t>
      </w:r>
      <w:proofErr w:type="gramStart"/>
      <w:r w:rsidR="004C5F0D" w:rsidRPr="004C5F0D">
        <w:rPr>
          <w:rFonts w:eastAsiaTheme="majorEastAsia"/>
          <w:color w:val="000000" w:themeColor="text1"/>
        </w:rPr>
        <w:t>goes</w:t>
      </w:r>
      <w:proofErr w:type="gramEnd"/>
      <w:r w:rsidRPr="004C5F0D">
        <w:rPr>
          <w:rFonts w:eastAsiaTheme="majorEastAsia"/>
          <w:color w:val="000000" w:themeColor="text1"/>
        </w:rPr>
        <w:t xml:space="preserve"> beyond DeFi </w:t>
      </w:r>
      <w:r w:rsidR="004C5F0D" w:rsidRPr="004C5F0D">
        <w:rPr>
          <w:rFonts w:eastAsiaTheme="majorEastAsia"/>
          <w:color w:val="000000" w:themeColor="text1"/>
        </w:rPr>
        <w:t>addressing more extensive inquiries regarding technology-mediated access to financial services.</w:t>
      </w:r>
      <w:r w:rsidRPr="004C5F0D">
        <w:rPr>
          <w:rFonts w:eastAsiaTheme="majorEastAsia"/>
          <w:color w:val="000000" w:themeColor="text1"/>
        </w:rPr>
        <w:t xml:space="preserve"> </w:t>
      </w:r>
      <w:r w:rsidR="004C5F0D" w:rsidRPr="004C5F0D">
        <w:rPr>
          <w:rFonts w:eastAsiaTheme="majorEastAsia"/>
          <w:color w:val="000000" w:themeColor="text1"/>
        </w:rPr>
        <w:t xml:space="preserve">Researchers studying financial inclusion </w:t>
      </w:r>
      <w:r w:rsidR="00FA3E42" w:rsidRPr="004C5F0D">
        <w:rPr>
          <w:rFonts w:eastAsiaTheme="majorEastAsia"/>
          <w:color w:val="000000" w:themeColor="text1"/>
        </w:rPr>
        <w:t>recognize</w:t>
      </w:r>
      <w:r w:rsidR="004C5F0D" w:rsidRPr="004C5F0D">
        <w:rPr>
          <w:rFonts w:eastAsiaTheme="majorEastAsia"/>
          <w:color w:val="000000" w:themeColor="text1"/>
        </w:rPr>
        <w:t xml:space="preserve"> that having formal access doesn’t guarantee real participation (</w:t>
      </w:r>
      <w:proofErr w:type="spellStart"/>
      <w:r w:rsidR="004C5F0D" w:rsidRPr="004C5F0D">
        <w:rPr>
          <w:rFonts w:eastAsiaTheme="majorEastAsia"/>
          <w:color w:val="000000" w:themeColor="text1"/>
        </w:rPr>
        <w:t>Demirgüç</w:t>
      </w:r>
      <w:proofErr w:type="spellEnd"/>
      <w:r w:rsidR="004C5F0D" w:rsidRPr="004C5F0D">
        <w:rPr>
          <w:rFonts w:eastAsiaTheme="majorEastAsia"/>
          <w:color w:val="000000" w:themeColor="text1"/>
        </w:rPr>
        <w:t xml:space="preserve">-Kunt &amp; Klapper, 2013). As an </w:t>
      </w:r>
      <w:proofErr w:type="gramStart"/>
      <w:r w:rsidR="004C5F0D" w:rsidRPr="004C5F0D">
        <w:rPr>
          <w:rFonts w:eastAsiaTheme="majorEastAsia"/>
          <w:color w:val="000000" w:themeColor="text1"/>
        </w:rPr>
        <w:t>examples</w:t>
      </w:r>
      <w:proofErr w:type="gramEnd"/>
      <w:r w:rsidR="004C5F0D" w:rsidRPr="004C5F0D">
        <w:rPr>
          <w:rFonts w:eastAsiaTheme="majorEastAsia"/>
          <w:color w:val="000000" w:themeColor="text1"/>
        </w:rPr>
        <w:t>, someone</w:t>
      </w:r>
      <w:r w:rsidRPr="004C5F0D">
        <w:rPr>
          <w:rFonts w:eastAsiaTheme="majorEastAsia"/>
          <w:color w:val="000000" w:themeColor="text1"/>
        </w:rPr>
        <w:t xml:space="preserve"> may have a bank account but lack</w:t>
      </w:r>
      <w:r w:rsidR="004C5F0D" w:rsidRPr="004C5F0D">
        <w:rPr>
          <w:rFonts w:eastAsiaTheme="majorEastAsia"/>
          <w:color w:val="000000" w:themeColor="text1"/>
        </w:rPr>
        <w:t>s</w:t>
      </w:r>
      <w:r w:rsidRPr="004C5F0D">
        <w:rPr>
          <w:rFonts w:eastAsiaTheme="majorEastAsia"/>
          <w:color w:val="000000" w:themeColor="text1"/>
        </w:rPr>
        <w:t xml:space="preserve"> the financial literacy to use it effectively; similarly, a person may deploy capital into a DeFi protocol but </w:t>
      </w:r>
      <w:proofErr w:type="gramStart"/>
      <w:r w:rsidRPr="004C5F0D">
        <w:rPr>
          <w:rFonts w:eastAsiaTheme="majorEastAsia"/>
          <w:color w:val="000000" w:themeColor="text1"/>
        </w:rPr>
        <w:t>lack</w:t>
      </w:r>
      <w:proofErr w:type="gramEnd"/>
      <w:r w:rsidRPr="004C5F0D">
        <w:rPr>
          <w:rFonts w:eastAsiaTheme="majorEastAsia"/>
          <w:color w:val="000000" w:themeColor="text1"/>
        </w:rPr>
        <w:t xml:space="preserve"> the technical literacy to manage it profitably. What </w:t>
      </w:r>
      <w:proofErr w:type="spellStart"/>
      <w:r w:rsidR="004C5F0D" w:rsidRPr="004C5F0D">
        <w:rPr>
          <w:rFonts w:eastAsiaTheme="majorEastAsia"/>
          <w:color w:val="000000" w:themeColor="text1"/>
        </w:rPr>
        <w:t>setrs</w:t>
      </w:r>
      <w:proofErr w:type="spellEnd"/>
      <w:r w:rsidRPr="004C5F0D">
        <w:rPr>
          <w:rFonts w:eastAsiaTheme="majorEastAsia"/>
          <w:color w:val="000000" w:themeColor="text1"/>
        </w:rPr>
        <w:t xml:space="preserve"> the DeFi case</w:t>
      </w:r>
      <w:r w:rsidR="004C5F0D" w:rsidRPr="004C5F0D">
        <w:rPr>
          <w:rFonts w:eastAsiaTheme="majorEastAsia"/>
          <w:color w:val="000000" w:themeColor="text1"/>
        </w:rPr>
        <w:t xml:space="preserve"> </w:t>
      </w:r>
      <w:proofErr w:type="gramStart"/>
      <w:r w:rsidR="004C5F0D" w:rsidRPr="004C5F0D">
        <w:rPr>
          <w:rFonts w:eastAsiaTheme="majorEastAsia"/>
          <w:color w:val="000000" w:themeColor="text1"/>
        </w:rPr>
        <w:t>apart</w:t>
      </w:r>
      <w:r w:rsidRPr="004C5F0D">
        <w:rPr>
          <w:rFonts w:eastAsiaTheme="majorEastAsia"/>
          <w:color w:val="000000" w:themeColor="text1"/>
        </w:rPr>
        <w:t>,</w:t>
      </w:r>
      <w:proofErr w:type="gramEnd"/>
      <w:r w:rsidRPr="004C5F0D">
        <w:rPr>
          <w:rFonts w:eastAsiaTheme="majorEastAsia"/>
          <w:color w:val="000000" w:themeColor="text1"/>
        </w:rPr>
        <w:t xml:space="preserve"> is the speed and scale at which this accessibility-capability gap manifests. Traditional financial exclusion evolved over centuries, allowing for gradual development of supporting institutions—financial advisors, consumer protection regulations, educational programs. </w:t>
      </w:r>
      <w:r w:rsidR="004C5F0D" w:rsidRPr="004C5F0D">
        <w:rPr>
          <w:rFonts w:eastAsiaTheme="majorEastAsia"/>
          <w:color w:val="000000" w:themeColor="text1"/>
        </w:rPr>
        <w:t xml:space="preserve">However, </w:t>
      </w:r>
      <w:r w:rsidRPr="004C5F0D">
        <w:rPr>
          <w:rFonts w:eastAsiaTheme="majorEastAsia"/>
          <w:color w:val="000000" w:themeColor="text1"/>
        </w:rPr>
        <w:t xml:space="preserve">DeFi's </w:t>
      </w:r>
      <w:r w:rsidR="004C5F0D" w:rsidRPr="004C5F0D">
        <w:rPr>
          <w:rFonts w:eastAsiaTheme="majorEastAsia"/>
          <w:color w:val="000000" w:themeColor="text1"/>
        </w:rPr>
        <w:t xml:space="preserve">sudden </w:t>
      </w:r>
      <w:r w:rsidRPr="004C5F0D">
        <w:rPr>
          <w:rFonts w:eastAsiaTheme="majorEastAsia"/>
          <w:color w:val="000000" w:themeColor="text1"/>
        </w:rPr>
        <w:t xml:space="preserve">growth from $1 billion to $100 billion in total value locked within four years </w:t>
      </w:r>
      <w:r w:rsidR="004C5F0D" w:rsidRPr="004C5F0D">
        <w:rPr>
          <w:rFonts w:eastAsiaTheme="majorEastAsia"/>
          <w:color w:val="000000" w:themeColor="text1"/>
        </w:rPr>
        <w:t xml:space="preserve">and </w:t>
      </w:r>
      <w:r w:rsidRPr="004C5F0D">
        <w:rPr>
          <w:rFonts w:eastAsiaTheme="majorEastAsia"/>
          <w:color w:val="000000" w:themeColor="text1"/>
        </w:rPr>
        <w:t>created no such adaptation period (</w:t>
      </w:r>
      <w:proofErr w:type="spellStart"/>
      <w:r w:rsidRPr="004C5F0D">
        <w:rPr>
          <w:rFonts w:eastAsiaTheme="majorEastAsia"/>
          <w:color w:val="000000" w:themeColor="text1"/>
        </w:rPr>
        <w:t>DeFiLlama</w:t>
      </w:r>
      <w:proofErr w:type="spellEnd"/>
      <w:r w:rsidRPr="004C5F0D">
        <w:rPr>
          <w:rFonts w:eastAsiaTheme="majorEastAsia"/>
          <w:color w:val="000000" w:themeColor="text1"/>
        </w:rPr>
        <w:t>, 2024).</w:t>
      </w:r>
    </w:p>
    <w:p w14:paraId="7D7E9576" w14:textId="77777777" w:rsidR="00C976C1" w:rsidRPr="0007619C" w:rsidRDefault="00C976C1" w:rsidP="00E67B44">
      <w:pPr>
        <w:jc w:val="both"/>
        <w:rPr>
          <w:rFonts w:eastAsiaTheme="majorEastAsia"/>
          <w:bCs/>
          <w:color w:val="000000" w:themeColor="text1"/>
        </w:rPr>
      </w:pPr>
    </w:p>
    <w:p w14:paraId="38B1320A" w14:textId="064E7B7E" w:rsidR="0007619C" w:rsidRPr="0007619C" w:rsidRDefault="0007619C" w:rsidP="00E67B44">
      <w:pPr>
        <w:jc w:val="both"/>
        <w:rPr>
          <w:rFonts w:eastAsiaTheme="majorEastAsia"/>
          <w:bCs/>
          <w:color w:val="000000" w:themeColor="text1"/>
        </w:rPr>
      </w:pPr>
      <w:r w:rsidRPr="0007619C">
        <w:rPr>
          <w:rFonts w:eastAsiaTheme="majorEastAsia"/>
          <w:bCs/>
          <w:color w:val="000000" w:themeColor="text1"/>
        </w:rPr>
        <w:t xml:space="preserve">The contradiction of democratization also shows up in the spatial aspect of participation. In developed economies with strong financial systems, the 4-8% yields from DeFi </w:t>
      </w:r>
      <w:proofErr w:type="gramStart"/>
      <w:r w:rsidRPr="0007619C">
        <w:rPr>
          <w:rFonts w:eastAsiaTheme="majorEastAsia"/>
          <w:bCs/>
          <w:color w:val="000000" w:themeColor="text1"/>
        </w:rPr>
        <w:t>stablecoins</w:t>
      </w:r>
      <w:proofErr w:type="gramEnd"/>
      <w:r w:rsidRPr="0007619C">
        <w:rPr>
          <w:rFonts w:eastAsiaTheme="majorEastAsia"/>
          <w:bCs/>
          <w:color w:val="000000" w:themeColor="text1"/>
        </w:rPr>
        <w:t xml:space="preserve"> aren't very attractive. Insured bank deposits and diversified investment portfolios offer similar returns but with less risk and complexity. In economies undergoing currency depreciation or financial restrictions, high yields signify transformative opportunities. A Venezuelan evading 200% annual inflation or a </w:t>
      </w:r>
      <w:r w:rsidR="00AF2175" w:rsidRPr="0007619C">
        <w:rPr>
          <w:rFonts w:eastAsiaTheme="majorEastAsia"/>
          <w:bCs/>
          <w:color w:val="000000" w:themeColor="text1"/>
        </w:rPr>
        <w:t>Nigerian circumventing capital regulation</w:t>
      </w:r>
      <w:r w:rsidRPr="0007619C">
        <w:rPr>
          <w:rFonts w:eastAsiaTheme="majorEastAsia"/>
          <w:bCs/>
          <w:color w:val="000000" w:themeColor="text1"/>
        </w:rPr>
        <w:t xml:space="preserve"> encounters a distinct risk-return </w:t>
      </w:r>
      <w:r w:rsidRPr="0007619C">
        <w:rPr>
          <w:rFonts w:eastAsiaTheme="majorEastAsia"/>
          <w:bCs/>
          <w:color w:val="000000" w:themeColor="text1"/>
        </w:rPr>
        <w:lastRenderedPageBreak/>
        <w:t xml:space="preserve">assessment (Arner et al., 2020). Democratization is not a one-size-fits-all issue and </w:t>
      </w:r>
      <w:r w:rsidR="00AF2175" w:rsidRPr="0007619C">
        <w:rPr>
          <w:rFonts w:eastAsiaTheme="majorEastAsia"/>
          <w:bCs/>
          <w:color w:val="000000" w:themeColor="text1"/>
        </w:rPr>
        <w:t>really depends</w:t>
      </w:r>
      <w:r w:rsidRPr="0007619C">
        <w:rPr>
          <w:rFonts w:eastAsiaTheme="majorEastAsia"/>
          <w:bCs/>
          <w:color w:val="000000" w:themeColor="text1"/>
        </w:rPr>
        <w:t xml:space="preserve"> on where a person lives, their financial situation, and the options they have.</w:t>
      </w:r>
    </w:p>
    <w:p w14:paraId="31E65E07" w14:textId="77777777" w:rsidR="0007619C" w:rsidRPr="0007619C" w:rsidRDefault="0007619C" w:rsidP="00E67B44">
      <w:pPr>
        <w:jc w:val="both"/>
        <w:rPr>
          <w:rFonts w:eastAsiaTheme="majorEastAsia"/>
          <w:bCs/>
          <w:color w:val="000000" w:themeColor="text1"/>
        </w:rPr>
      </w:pPr>
    </w:p>
    <w:p w14:paraId="50B88346" w14:textId="2BA1F911" w:rsidR="005E3F32" w:rsidRPr="0007619C" w:rsidRDefault="0007619C" w:rsidP="00E67B44">
      <w:pPr>
        <w:jc w:val="both"/>
        <w:rPr>
          <w:rFonts w:eastAsiaTheme="majorEastAsia"/>
          <w:bCs/>
          <w:color w:val="000000" w:themeColor="text1"/>
        </w:rPr>
      </w:pPr>
      <w:r w:rsidRPr="0007619C">
        <w:rPr>
          <w:rFonts w:eastAsiaTheme="majorEastAsia"/>
          <w:bCs/>
          <w:color w:val="000000" w:themeColor="text1"/>
        </w:rPr>
        <w:t>Also, the paradox works both in time and space. All early DeFi participants (2018-2020) had simple processes, few competitors, and inefficiencies. This allowed small amounts of money to generate real profits, but as institutional players stepped in with advanced infrastructure and better access, many chances that used to be open to individuals became controlled by professional operations. During this research I identified in the data I was tracking that techniques that made 40–60% returns in 2020 only made 5–10% by 2024. This suggests that democratization opportunities in efficient markets might be short-lived and therefore raises questions about DeFi's long-term accessibility.</w:t>
      </w:r>
    </w:p>
    <w:p w14:paraId="6473A3B9" w14:textId="77777777" w:rsidR="0007619C" w:rsidRPr="003C66A0" w:rsidRDefault="0007619C" w:rsidP="00E67B44">
      <w:pPr>
        <w:jc w:val="both"/>
        <w:rPr>
          <w:rFonts w:eastAsiaTheme="majorEastAsia"/>
          <w:b/>
          <w:bCs/>
          <w:color w:val="000000" w:themeColor="text1"/>
        </w:rPr>
      </w:pPr>
    </w:p>
    <w:p w14:paraId="0D241658" w14:textId="6FD268AC" w:rsidR="000F3578" w:rsidRPr="003C66A0" w:rsidRDefault="000F3578" w:rsidP="00E67B44">
      <w:pPr>
        <w:pStyle w:val="Heading2"/>
        <w:rPr>
          <w:rFonts w:eastAsiaTheme="majorEastAsia"/>
        </w:rPr>
      </w:pPr>
      <w:bookmarkStart w:id="19" w:name="_Toc214721825"/>
      <w:r w:rsidRPr="003C66A0">
        <w:rPr>
          <w:rFonts w:eastAsiaTheme="majorEastAsia"/>
        </w:rPr>
        <w:t>1.</w:t>
      </w:r>
      <w:r w:rsidR="00167281" w:rsidRPr="003C66A0">
        <w:rPr>
          <w:rFonts w:eastAsiaTheme="majorEastAsia"/>
        </w:rPr>
        <w:t>4</w:t>
      </w:r>
      <w:r w:rsidRPr="003C66A0">
        <w:rPr>
          <w:rFonts w:eastAsiaTheme="majorEastAsia"/>
        </w:rPr>
        <w:t xml:space="preserve"> Problem Statement</w:t>
      </w:r>
      <w:bookmarkEnd w:id="19"/>
    </w:p>
    <w:p w14:paraId="3E1541A8" w14:textId="77777777" w:rsidR="0002592E" w:rsidRPr="003C66A0" w:rsidRDefault="0002592E" w:rsidP="00E67B44">
      <w:pPr>
        <w:jc w:val="both"/>
        <w:rPr>
          <w:rFonts w:eastAsiaTheme="majorEastAsia"/>
          <w:bCs/>
          <w:color w:val="000000" w:themeColor="text1"/>
        </w:rPr>
      </w:pPr>
      <w:r w:rsidRPr="003C66A0">
        <w:rPr>
          <w:rFonts w:eastAsiaTheme="majorEastAsia"/>
          <w:bCs/>
          <w:color w:val="000000" w:themeColor="text1"/>
        </w:rPr>
        <w:t xml:space="preserve">The main issue this study looks at is simple but very important: Technically, anyone can become a liquidity provider in this space and make money with DeFi protocols, however most people that try have not succeeded. This shows a fundamental gap between what </w:t>
      </w:r>
      <w:proofErr w:type="gramStart"/>
      <w:r w:rsidRPr="003C66A0">
        <w:rPr>
          <w:rFonts w:eastAsiaTheme="majorEastAsia"/>
          <w:bCs/>
          <w:color w:val="000000" w:themeColor="text1"/>
        </w:rPr>
        <w:t>the technology</w:t>
      </w:r>
      <w:proofErr w:type="gramEnd"/>
      <w:r w:rsidRPr="003C66A0">
        <w:rPr>
          <w:rFonts w:eastAsiaTheme="majorEastAsia"/>
          <w:bCs/>
          <w:color w:val="000000" w:themeColor="text1"/>
        </w:rPr>
        <w:t xml:space="preserve"> can do and what works for people with limited resources.</w:t>
      </w:r>
    </w:p>
    <w:p w14:paraId="50848C91" w14:textId="77777777" w:rsidR="0002592E" w:rsidRPr="003C66A0" w:rsidRDefault="0002592E" w:rsidP="00E67B44">
      <w:pPr>
        <w:jc w:val="both"/>
        <w:rPr>
          <w:rFonts w:eastAsiaTheme="majorEastAsia"/>
          <w:bCs/>
          <w:color w:val="000000" w:themeColor="text1"/>
        </w:rPr>
      </w:pPr>
    </w:p>
    <w:p w14:paraId="08117BE8" w14:textId="08E3BC8E" w:rsidR="0002592E" w:rsidRPr="003C66A0" w:rsidRDefault="0002592E" w:rsidP="00E67B44">
      <w:pPr>
        <w:jc w:val="both"/>
        <w:rPr>
          <w:rFonts w:eastAsiaTheme="majorEastAsia"/>
          <w:bCs/>
          <w:color w:val="000000" w:themeColor="text1"/>
        </w:rPr>
      </w:pPr>
      <w:r w:rsidRPr="003C66A0">
        <w:rPr>
          <w:rFonts w:eastAsiaTheme="majorEastAsia"/>
          <w:bCs/>
          <w:color w:val="000000" w:themeColor="text1"/>
        </w:rPr>
        <w:t xml:space="preserve">During the </w:t>
      </w:r>
      <w:r w:rsidR="008B313E" w:rsidRPr="003C66A0">
        <w:rPr>
          <w:rFonts w:eastAsiaTheme="majorEastAsia"/>
          <w:bCs/>
          <w:color w:val="000000" w:themeColor="text1"/>
        </w:rPr>
        <w:t>research</w:t>
      </w:r>
      <w:r w:rsidRPr="003C66A0">
        <w:rPr>
          <w:rFonts w:eastAsiaTheme="majorEastAsia"/>
          <w:bCs/>
          <w:color w:val="000000" w:themeColor="text1"/>
        </w:rPr>
        <w:t xml:space="preserve">, I identified people who joined the DeFi space with high hopes and realistic expectations. In the media they have read about returns of 20% APY, "democratized finance" and "be my own bank" and were willing to learn and try it. Some of them had some money to "lose" but it was very limited to $5,000 to $10,000 as </w:t>
      </w:r>
      <w:r w:rsidR="004867B3" w:rsidRPr="003C66A0">
        <w:rPr>
          <w:rFonts w:eastAsiaTheme="majorEastAsia"/>
          <w:bCs/>
          <w:color w:val="000000" w:themeColor="text1"/>
        </w:rPr>
        <w:t>investment.</w:t>
      </w:r>
      <w:r w:rsidRPr="003C66A0">
        <w:rPr>
          <w:rFonts w:eastAsiaTheme="majorEastAsia"/>
          <w:bCs/>
          <w:color w:val="000000" w:themeColor="text1"/>
        </w:rPr>
        <w:t xml:space="preserve"> These weren't foolish investors looking for 1000% returns. They were people who wanted higher returns than </w:t>
      </w:r>
      <w:proofErr w:type="gramStart"/>
      <w:r w:rsidRPr="003C66A0">
        <w:rPr>
          <w:rFonts w:eastAsiaTheme="majorEastAsia"/>
          <w:bCs/>
          <w:color w:val="000000" w:themeColor="text1"/>
        </w:rPr>
        <w:t>the 0.1</w:t>
      </w:r>
      <w:proofErr w:type="gramEnd"/>
      <w:r w:rsidRPr="003C66A0">
        <w:rPr>
          <w:rFonts w:eastAsiaTheme="majorEastAsia"/>
          <w:bCs/>
          <w:color w:val="000000" w:themeColor="text1"/>
        </w:rPr>
        <w:t xml:space="preserve">% </w:t>
      </w:r>
      <w:proofErr w:type="gramStart"/>
      <w:r w:rsidRPr="003C66A0">
        <w:rPr>
          <w:rFonts w:eastAsiaTheme="majorEastAsia"/>
          <w:bCs/>
          <w:color w:val="000000" w:themeColor="text1"/>
        </w:rPr>
        <w:t>their</w:t>
      </w:r>
      <w:proofErr w:type="gramEnd"/>
      <w:r w:rsidRPr="003C66A0">
        <w:rPr>
          <w:rFonts w:eastAsiaTheme="majorEastAsia"/>
          <w:bCs/>
          <w:color w:val="000000" w:themeColor="text1"/>
        </w:rPr>
        <w:t xml:space="preserve"> banks gave them. </w:t>
      </w:r>
      <w:r w:rsidR="004867B3" w:rsidRPr="003C66A0">
        <w:rPr>
          <w:rFonts w:eastAsiaTheme="majorEastAsia"/>
          <w:bCs/>
          <w:color w:val="000000" w:themeColor="text1"/>
        </w:rPr>
        <w:t xml:space="preserve">But after taking all costs into account, </w:t>
      </w:r>
      <w:proofErr w:type="gramStart"/>
      <w:r w:rsidR="004867B3" w:rsidRPr="003C66A0">
        <w:rPr>
          <w:rFonts w:eastAsiaTheme="majorEastAsia"/>
          <w:bCs/>
          <w:color w:val="000000" w:themeColor="text1"/>
        </w:rPr>
        <w:t>the majority of</w:t>
      </w:r>
      <w:proofErr w:type="gramEnd"/>
      <w:r w:rsidR="004867B3" w:rsidRPr="003C66A0">
        <w:rPr>
          <w:rFonts w:eastAsiaTheme="majorEastAsia"/>
          <w:bCs/>
          <w:color w:val="000000" w:themeColor="text1"/>
        </w:rPr>
        <w:t xml:space="preserve"> the positions I tracked lost money.</w:t>
      </w:r>
    </w:p>
    <w:p w14:paraId="0BE237E6" w14:textId="77777777" w:rsidR="0002592E" w:rsidRPr="003C66A0" w:rsidRDefault="0002592E" w:rsidP="00E67B44">
      <w:pPr>
        <w:jc w:val="both"/>
        <w:rPr>
          <w:rFonts w:eastAsiaTheme="majorEastAsia"/>
          <w:bCs/>
          <w:color w:val="000000" w:themeColor="text1"/>
        </w:rPr>
      </w:pPr>
    </w:p>
    <w:p w14:paraId="00872D01" w14:textId="77777777" w:rsidR="0002592E" w:rsidRPr="003C66A0" w:rsidRDefault="0002592E" w:rsidP="00E67B44">
      <w:pPr>
        <w:jc w:val="both"/>
        <w:rPr>
          <w:rFonts w:eastAsiaTheme="majorEastAsia"/>
          <w:bCs/>
          <w:color w:val="000000" w:themeColor="text1"/>
        </w:rPr>
      </w:pPr>
      <w:r w:rsidRPr="003C66A0">
        <w:rPr>
          <w:rFonts w:eastAsiaTheme="majorEastAsia"/>
          <w:bCs/>
          <w:color w:val="000000" w:themeColor="text1"/>
        </w:rPr>
        <w:t xml:space="preserve">The issue is not that DeFi is a fraud or that </w:t>
      </w:r>
      <w:proofErr w:type="gramStart"/>
      <w:r w:rsidRPr="003C66A0">
        <w:rPr>
          <w:rFonts w:eastAsiaTheme="majorEastAsia"/>
          <w:bCs/>
          <w:color w:val="000000" w:themeColor="text1"/>
        </w:rPr>
        <w:t>the technology</w:t>
      </w:r>
      <w:proofErr w:type="gramEnd"/>
      <w:r w:rsidRPr="003C66A0">
        <w:rPr>
          <w:rFonts w:eastAsiaTheme="majorEastAsia"/>
          <w:bCs/>
          <w:color w:val="000000" w:themeColor="text1"/>
        </w:rPr>
        <w:t xml:space="preserve"> doesn't work. The protocols worked just as they were supposed to. The problem is that there is a huge gap between how well something works technically and how well it works in terms of making money, and this gap is not well understood or documented. It certainly is possible to provide liquidity with </w:t>
      </w:r>
      <w:proofErr w:type="gramStart"/>
      <w:r w:rsidRPr="003C66A0">
        <w:rPr>
          <w:rFonts w:eastAsiaTheme="majorEastAsia"/>
          <w:bCs/>
          <w:color w:val="000000" w:themeColor="text1"/>
        </w:rPr>
        <w:t>$100</w:t>
      </w:r>
      <w:proofErr w:type="gramEnd"/>
      <w:r w:rsidRPr="003C66A0">
        <w:rPr>
          <w:rFonts w:eastAsiaTheme="majorEastAsia"/>
          <w:bCs/>
          <w:color w:val="000000" w:themeColor="text1"/>
        </w:rPr>
        <w:t xml:space="preserve"> and the smart contract will take the deposit. But if the investor </w:t>
      </w:r>
      <w:proofErr w:type="gramStart"/>
      <w:r w:rsidRPr="003C66A0">
        <w:rPr>
          <w:rFonts w:eastAsiaTheme="majorEastAsia"/>
          <w:bCs/>
          <w:color w:val="000000" w:themeColor="text1"/>
        </w:rPr>
        <w:t>has to</w:t>
      </w:r>
      <w:proofErr w:type="gramEnd"/>
      <w:r w:rsidRPr="003C66A0">
        <w:rPr>
          <w:rFonts w:eastAsiaTheme="majorEastAsia"/>
          <w:bCs/>
          <w:color w:val="000000" w:themeColor="text1"/>
        </w:rPr>
        <w:t xml:space="preserve"> change the position every week and gas fees are $50 per transaction, it is guaranteed that money </w:t>
      </w:r>
      <w:proofErr w:type="spellStart"/>
      <w:r w:rsidRPr="003C66A0">
        <w:rPr>
          <w:rFonts w:eastAsiaTheme="majorEastAsia"/>
          <w:bCs/>
          <w:color w:val="000000" w:themeColor="text1"/>
        </w:rPr>
        <w:t>wil</w:t>
      </w:r>
      <w:proofErr w:type="spellEnd"/>
      <w:r w:rsidRPr="003C66A0">
        <w:rPr>
          <w:rFonts w:eastAsiaTheme="majorEastAsia"/>
          <w:bCs/>
          <w:color w:val="000000" w:themeColor="text1"/>
        </w:rPr>
        <w:t xml:space="preserve"> be lost. The protocol works perfectly, but associated running cost </w:t>
      </w:r>
      <w:proofErr w:type="gramStart"/>
      <w:r w:rsidRPr="003C66A0">
        <w:rPr>
          <w:rFonts w:eastAsiaTheme="majorEastAsia"/>
          <w:bCs/>
          <w:color w:val="000000" w:themeColor="text1"/>
        </w:rPr>
        <w:t>outweigh</w:t>
      </w:r>
      <w:proofErr w:type="gramEnd"/>
      <w:r w:rsidRPr="003C66A0">
        <w:rPr>
          <w:rFonts w:eastAsiaTheme="majorEastAsia"/>
          <w:bCs/>
          <w:color w:val="000000" w:themeColor="text1"/>
        </w:rPr>
        <w:t xml:space="preserve"> the profits.</w:t>
      </w:r>
    </w:p>
    <w:p w14:paraId="5CD6268D" w14:textId="77777777" w:rsidR="0002592E" w:rsidRPr="003C66A0" w:rsidRDefault="0002592E" w:rsidP="00E67B44">
      <w:pPr>
        <w:jc w:val="both"/>
        <w:rPr>
          <w:rFonts w:eastAsiaTheme="majorEastAsia"/>
          <w:bCs/>
          <w:color w:val="000000" w:themeColor="text1"/>
        </w:rPr>
      </w:pPr>
    </w:p>
    <w:p w14:paraId="1E91C8FE" w14:textId="75989E89" w:rsidR="0002592E" w:rsidRPr="003C66A0" w:rsidRDefault="0002592E" w:rsidP="00E67B44">
      <w:pPr>
        <w:jc w:val="both"/>
        <w:rPr>
          <w:rFonts w:eastAsiaTheme="majorEastAsia"/>
          <w:bCs/>
          <w:color w:val="000000" w:themeColor="text1"/>
        </w:rPr>
      </w:pPr>
      <w:r w:rsidRPr="003C66A0">
        <w:rPr>
          <w:rFonts w:eastAsiaTheme="majorEastAsia"/>
          <w:bCs/>
          <w:color w:val="000000" w:themeColor="text1"/>
        </w:rPr>
        <w:t xml:space="preserve">I call this the "accessibility paradox" of DeFi as </w:t>
      </w:r>
      <w:proofErr w:type="gramStart"/>
      <w:r w:rsidRPr="003C66A0">
        <w:rPr>
          <w:rFonts w:eastAsiaTheme="majorEastAsia"/>
          <w:bCs/>
          <w:color w:val="000000" w:themeColor="text1"/>
        </w:rPr>
        <w:t>the technology</w:t>
      </w:r>
      <w:proofErr w:type="gramEnd"/>
      <w:r w:rsidRPr="003C66A0">
        <w:rPr>
          <w:rFonts w:eastAsiaTheme="majorEastAsia"/>
          <w:bCs/>
          <w:color w:val="000000" w:themeColor="text1"/>
        </w:rPr>
        <w:t xml:space="preserve"> is </w:t>
      </w:r>
      <w:proofErr w:type="gramStart"/>
      <w:r w:rsidRPr="003C66A0">
        <w:rPr>
          <w:rFonts w:eastAsiaTheme="majorEastAsia"/>
          <w:bCs/>
          <w:color w:val="000000" w:themeColor="text1"/>
        </w:rPr>
        <w:t>really open</w:t>
      </w:r>
      <w:proofErr w:type="gramEnd"/>
      <w:r w:rsidRPr="003C66A0">
        <w:rPr>
          <w:rFonts w:eastAsiaTheme="majorEastAsia"/>
          <w:bCs/>
          <w:color w:val="000000" w:themeColor="text1"/>
        </w:rPr>
        <w:t xml:space="preserve"> to everyone to use in </w:t>
      </w:r>
      <w:proofErr w:type="gramStart"/>
      <w:r w:rsidRPr="003C66A0">
        <w:rPr>
          <w:rFonts w:eastAsiaTheme="majorEastAsia"/>
          <w:bCs/>
          <w:color w:val="000000" w:themeColor="text1"/>
        </w:rPr>
        <w:t>various different</w:t>
      </w:r>
      <w:proofErr w:type="gramEnd"/>
      <w:r w:rsidRPr="003C66A0">
        <w:rPr>
          <w:rFonts w:eastAsiaTheme="majorEastAsia"/>
          <w:bCs/>
          <w:color w:val="000000" w:themeColor="text1"/>
        </w:rPr>
        <w:t xml:space="preserve"> ways - as user, as liquidity </w:t>
      </w:r>
      <w:r w:rsidR="00A80D43" w:rsidRPr="003C66A0">
        <w:rPr>
          <w:rFonts w:eastAsiaTheme="majorEastAsia"/>
          <w:bCs/>
          <w:color w:val="000000" w:themeColor="text1"/>
        </w:rPr>
        <w:t>provider</w:t>
      </w:r>
      <w:r w:rsidRPr="003C66A0">
        <w:rPr>
          <w:rFonts w:eastAsiaTheme="majorEastAsia"/>
          <w:bCs/>
          <w:color w:val="000000" w:themeColor="text1"/>
        </w:rPr>
        <w:t xml:space="preserve"> or investors </w:t>
      </w:r>
      <w:r w:rsidR="00A80D43" w:rsidRPr="003C66A0">
        <w:rPr>
          <w:rFonts w:eastAsiaTheme="majorEastAsia"/>
          <w:bCs/>
          <w:color w:val="000000" w:themeColor="text1"/>
        </w:rPr>
        <w:t>without</w:t>
      </w:r>
      <w:r w:rsidRPr="003C66A0">
        <w:rPr>
          <w:rFonts w:eastAsiaTheme="majorEastAsia"/>
          <w:bCs/>
          <w:color w:val="000000" w:themeColor="text1"/>
        </w:rPr>
        <w:t xml:space="preserve"> any restrictions on credit score, wealth, nationality, or connections. However, while the costs of participation are as significant as those of traditional finance, they differ significantly. To participate, it is not required to have connections to institutions or have technical knowledge. What is </w:t>
      </w:r>
      <w:r w:rsidR="00A80D43" w:rsidRPr="003C66A0">
        <w:rPr>
          <w:rFonts w:eastAsiaTheme="majorEastAsia"/>
          <w:bCs/>
          <w:color w:val="000000" w:themeColor="text1"/>
        </w:rPr>
        <w:t>required</w:t>
      </w:r>
      <w:r w:rsidRPr="003C66A0">
        <w:rPr>
          <w:rFonts w:eastAsiaTheme="majorEastAsia"/>
          <w:bCs/>
          <w:color w:val="000000" w:themeColor="text1"/>
        </w:rPr>
        <w:t xml:space="preserve"> is to optimize gas fee utilization instead of using one platform blindly. IT is also required to have enough money to cover all fixed and operations costs and this is not possible with just minimum account balances.</w:t>
      </w:r>
    </w:p>
    <w:p w14:paraId="76A493C7" w14:textId="77777777" w:rsidR="00483BCF" w:rsidRPr="003C66A0" w:rsidRDefault="00483BCF" w:rsidP="00E67B44">
      <w:pPr>
        <w:jc w:val="both"/>
        <w:rPr>
          <w:rFonts w:eastAsiaTheme="majorEastAsia"/>
          <w:bCs/>
          <w:color w:val="000000" w:themeColor="text1"/>
        </w:rPr>
      </w:pPr>
    </w:p>
    <w:p w14:paraId="71136AE8" w14:textId="4B5C319A" w:rsidR="00357698" w:rsidRPr="003C66A0" w:rsidRDefault="00357698" w:rsidP="00E67B44">
      <w:pPr>
        <w:jc w:val="both"/>
        <w:rPr>
          <w:rFonts w:eastAsiaTheme="majorEastAsia"/>
          <w:bCs/>
          <w:color w:val="000000" w:themeColor="text1"/>
        </w:rPr>
      </w:pPr>
      <w:r w:rsidRPr="003C66A0">
        <w:rPr>
          <w:rFonts w:eastAsiaTheme="majorEastAsia"/>
          <w:bCs/>
          <w:color w:val="000000" w:themeColor="text1"/>
        </w:rPr>
        <w:t xml:space="preserve">This problem can worsen due to three specific aspects that need to be clarified in the future. First, there is not enough </w:t>
      </w:r>
      <w:r w:rsidR="00A80D43" w:rsidRPr="003C66A0">
        <w:rPr>
          <w:rFonts w:eastAsiaTheme="majorEastAsia"/>
          <w:bCs/>
          <w:color w:val="000000" w:themeColor="text1"/>
        </w:rPr>
        <w:t>research</w:t>
      </w:r>
      <w:r w:rsidRPr="003C66A0">
        <w:rPr>
          <w:rFonts w:eastAsiaTheme="majorEastAsia"/>
          <w:bCs/>
          <w:color w:val="000000" w:themeColor="text1"/>
        </w:rPr>
        <w:t xml:space="preserve"> and </w:t>
      </w:r>
      <w:proofErr w:type="gramStart"/>
      <w:r w:rsidRPr="003C66A0">
        <w:rPr>
          <w:rFonts w:eastAsiaTheme="majorEastAsia"/>
          <w:bCs/>
          <w:color w:val="000000" w:themeColor="text1"/>
        </w:rPr>
        <w:t>factual information</w:t>
      </w:r>
      <w:proofErr w:type="gramEnd"/>
      <w:r w:rsidRPr="003C66A0">
        <w:rPr>
          <w:rFonts w:eastAsiaTheme="majorEastAsia"/>
          <w:bCs/>
          <w:color w:val="000000" w:themeColor="text1"/>
        </w:rPr>
        <w:t xml:space="preserve"> on what works in practice and what works in theory. A lot of DeFi research looks at the design of protocols and the total value locked, not at the results for each participant (</w:t>
      </w:r>
      <w:proofErr w:type="spellStart"/>
      <w:r w:rsidRPr="003C66A0">
        <w:rPr>
          <w:rFonts w:eastAsiaTheme="majorEastAsia"/>
          <w:bCs/>
          <w:color w:val="000000" w:themeColor="text1"/>
        </w:rPr>
        <w:t>Schär</w:t>
      </w:r>
      <w:proofErr w:type="spellEnd"/>
      <w:r w:rsidRPr="003C66A0">
        <w:rPr>
          <w:rFonts w:eastAsiaTheme="majorEastAsia"/>
          <w:bCs/>
          <w:color w:val="000000" w:themeColor="text1"/>
        </w:rPr>
        <w:t xml:space="preserve">, 2021). Second, more </w:t>
      </w:r>
      <w:r w:rsidR="00A80D43" w:rsidRPr="003C66A0">
        <w:rPr>
          <w:rFonts w:eastAsiaTheme="majorEastAsia"/>
          <w:bCs/>
          <w:color w:val="000000" w:themeColor="text1"/>
        </w:rPr>
        <w:t>research</w:t>
      </w:r>
      <w:r w:rsidRPr="003C66A0">
        <w:rPr>
          <w:rFonts w:eastAsiaTheme="majorEastAsia"/>
          <w:bCs/>
          <w:color w:val="000000" w:themeColor="text1"/>
        </w:rPr>
        <w:t xml:space="preserve"> needs to be done on gas fees, failed transactions, time spent, and learning curves and how these affect the real returns for small investors. These costs are never included in the advertised APYs. Third, it is not clearly defined </w:t>
      </w:r>
      <w:r w:rsidRPr="003C66A0">
        <w:rPr>
          <w:rFonts w:eastAsiaTheme="majorEastAsia"/>
          <w:bCs/>
          <w:color w:val="000000" w:themeColor="text1"/>
        </w:rPr>
        <w:lastRenderedPageBreak/>
        <w:t xml:space="preserve">and understood what risks can be controlled and which ones </w:t>
      </w:r>
      <w:proofErr w:type="gramStart"/>
      <w:r w:rsidRPr="003C66A0">
        <w:rPr>
          <w:rFonts w:eastAsiaTheme="majorEastAsia"/>
          <w:bCs/>
          <w:color w:val="000000" w:themeColor="text1"/>
        </w:rPr>
        <w:t>have to</w:t>
      </w:r>
      <w:proofErr w:type="gramEnd"/>
      <w:r w:rsidRPr="003C66A0">
        <w:rPr>
          <w:rFonts w:eastAsiaTheme="majorEastAsia"/>
          <w:bCs/>
          <w:color w:val="000000" w:themeColor="text1"/>
        </w:rPr>
        <w:t xml:space="preserve"> be accepted and what size positions are required to survive these risks.</w:t>
      </w:r>
    </w:p>
    <w:p w14:paraId="10F93088" w14:textId="77777777" w:rsidR="00357698" w:rsidRPr="003C66A0" w:rsidRDefault="00357698" w:rsidP="00E67B44">
      <w:pPr>
        <w:jc w:val="both"/>
        <w:rPr>
          <w:rFonts w:eastAsiaTheme="majorEastAsia"/>
          <w:bCs/>
          <w:color w:val="000000" w:themeColor="text1"/>
        </w:rPr>
      </w:pPr>
    </w:p>
    <w:p w14:paraId="42C79AC3" w14:textId="34C638AC" w:rsidR="00357698" w:rsidRPr="003C66A0" w:rsidRDefault="00357698" w:rsidP="00E67B44">
      <w:pPr>
        <w:jc w:val="both"/>
        <w:rPr>
          <w:rFonts w:eastAsiaTheme="majorEastAsia"/>
          <w:bCs/>
          <w:color w:val="000000" w:themeColor="text1"/>
        </w:rPr>
      </w:pPr>
      <w:r w:rsidRPr="003C66A0">
        <w:rPr>
          <w:rFonts w:eastAsiaTheme="majorEastAsia"/>
          <w:bCs/>
          <w:color w:val="000000" w:themeColor="text1"/>
        </w:rPr>
        <w:t xml:space="preserve">These gaps are important because they affect people who are making decisions with real money. During my </w:t>
      </w:r>
      <w:r w:rsidR="008B313E" w:rsidRPr="003C66A0">
        <w:rPr>
          <w:rFonts w:eastAsiaTheme="majorEastAsia"/>
          <w:bCs/>
          <w:color w:val="000000" w:themeColor="text1"/>
        </w:rPr>
        <w:t>interviews, it</w:t>
      </w:r>
      <w:r w:rsidRPr="003C66A0">
        <w:rPr>
          <w:rFonts w:eastAsiaTheme="majorEastAsia"/>
          <w:bCs/>
          <w:color w:val="000000" w:themeColor="text1"/>
        </w:rPr>
        <w:t xml:space="preserve"> became clear that most people would have made different choices if they had known what was really needed. One participant said, "If I'd known I needed $25,000 to get Ethereum </w:t>
      </w:r>
      <w:proofErr w:type="spellStart"/>
      <w:r w:rsidRPr="003C66A0">
        <w:rPr>
          <w:rFonts w:eastAsiaTheme="majorEastAsia"/>
          <w:bCs/>
          <w:color w:val="000000" w:themeColor="text1"/>
        </w:rPr>
        <w:t>mainnet</w:t>
      </w:r>
      <w:proofErr w:type="spellEnd"/>
      <w:r w:rsidRPr="003C66A0">
        <w:rPr>
          <w:rFonts w:eastAsiaTheme="majorEastAsia"/>
          <w:bCs/>
          <w:color w:val="000000" w:themeColor="text1"/>
        </w:rPr>
        <w:t xml:space="preserve"> to work, I would have started on Polygon instead of wasting six months and $2,000 in gas fees learning that the hard way." "Nobody told me that "passive income" meant 20 hours of work a week. I thought I could just set it and forget it." said another. This shows the lack of e clear understanding of requirements, dependencies, position size, risk, time needed to execute - </w:t>
      </w:r>
      <w:r w:rsidR="008B313E" w:rsidRPr="003C66A0">
        <w:rPr>
          <w:rFonts w:eastAsiaTheme="majorEastAsia"/>
          <w:bCs/>
          <w:color w:val="000000" w:themeColor="text1"/>
        </w:rPr>
        <w:t>basically</w:t>
      </w:r>
      <w:r w:rsidRPr="003C66A0">
        <w:rPr>
          <w:rFonts w:eastAsiaTheme="majorEastAsia"/>
          <w:bCs/>
          <w:color w:val="000000" w:themeColor="text1"/>
        </w:rPr>
        <w:t xml:space="preserve"> a roadmap to success.</w:t>
      </w:r>
    </w:p>
    <w:p w14:paraId="7E88FE02" w14:textId="77777777" w:rsidR="00357698" w:rsidRPr="003C66A0" w:rsidRDefault="00357698" w:rsidP="00E67B44">
      <w:pPr>
        <w:jc w:val="both"/>
        <w:rPr>
          <w:rFonts w:eastAsiaTheme="majorEastAsia"/>
          <w:bCs/>
          <w:color w:val="000000" w:themeColor="text1"/>
        </w:rPr>
      </w:pPr>
    </w:p>
    <w:p w14:paraId="68858464" w14:textId="5598AE9A" w:rsidR="00357698" w:rsidRPr="003C66A0" w:rsidRDefault="00357698" w:rsidP="00E67B44">
      <w:pPr>
        <w:jc w:val="both"/>
        <w:rPr>
          <w:rFonts w:eastAsiaTheme="majorEastAsia"/>
          <w:bCs/>
          <w:color w:val="000000" w:themeColor="text1"/>
        </w:rPr>
      </w:pPr>
      <w:r w:rsidRPr="003C66A0">
        <w:rPr>
          <w:rFonts w:eastAsiaTheme="majorEastAsia"/>
          <w:bCs/>
          <w:color w:val="000000" w:themeColor="text1"/>
        </w:rPr>
        <w:t xml:space="preserve">The stakes in DeFi are higher than just losing money. While DeFi really does promise more access to financial services for everyone, it </w:t>
      </w:r>
      <w:proofErr w:type="gramStart"/>
      <w:r w:rsidRPr="003C66A0">
        <w:rPr>
          <w:rFonts w:eastAsiaTheme="majorEastAsia"/>
          <w:bCs/>
          <w:color w:val="000000" w:themeColor="text1"/>
        </w:rPr>
        <w:t xml:space="preserve">need </w:t>
      </w:r>
      <w:r w:rsidR="00A80D43" w:rsidRPr="003C66A0">
        <w:rPr>
          <w:rFonts w:eastAsiaTheme="majorEastAsia"/>
          <w:bCs/>
          <w:color w:val="000000" w:themeColor="text1"/>
        </w:rPr>
        <w:t>is</w:t>
      </w:r>
      <w:proofErr w:type="gramEnd"/>
      <w:r w:rsidRPr="003C66A0">
        <w:rPr>
          <w:rFonts w:eastAsiaTheme="majorEastAsia"/>
          <w:bCs/>
          <w:color w:val="000000" w:themeColor="text1"/>
        </w:rPr>
        <w:t xml:space="preserve"> to be better understood how to make it work for the people who need it the most: those who can't get traditional financial services or those who want something other than low interest rates. If this is not possible, it needs to be clarified to ensure that people do not spend their time and resources pursuing unattainable goals and for that real proof, not marketing claims or political views, is needed.</w:t>
      </w:r>
    </w:p>
    <w:p w14:paraId="139A157E" w14:textId="77777777" w:rsidR="00A216CD" w:rsidRPr="001E068C" w:rsidRDefault="00A216CD" w:rsidP="00E67B44">
      <w:pPr>
        <w:jc w:val="both"/>
        <w:rPr>
          <w:rFonts w:eastAsiaTheme="majorEastAsia"/>
          <w:bCs/>
          <w:color w:val="000000" w:themeColor="text1"/>
        </w:rPr>
      </w:pPr>
    </w:p>
    <w:p w14:paraId="2354A410" w14:textId="10E72E68" w:rsidR="0029135D" w:rsidRPr="001E068C" w:rsidRDefault="001E068C" w:rsidP="00E67B44">
      <w:pPr>
        <w:jc w:val="both"/>
        <w:rPr>
          <w:rFonts w:eastAsiaTheme="majorEastAsia"/>
          <w:bCs/>
          <w:color w:val="000000" w:themeColor="text1"/>
        </w:rPr>
      </w:pPr>
      <w:r w:rsidRPr="001E068C">
        <w:rPr>
          <w:rFonts w:eastAsiaTheme="majorEastAsia"/>
          <w:bCs/>
          <w:color w:val="000000" w:themeColor="text1"/>
        </w:rPr>
        <w:t>This issue statement essentially embodies the overarching contradiction of democracy. DeFi was created to "democratize" financial services by getting rid of institutional middlemen who make money by limiting access to small investors and individual participants (Buterin, 2014). However, my study indicates that democratization has been only partially successful mainly because technical accessibility without concurrent competence only transfers exclusions from one domain to another. Institutional hurdles which include minimum balances, accreditation requirements, and geographic restrictions keep people out of traditional finance. DeFi on the other hand excludes through operational barriers: technical complexity, capital efficiency constraints and knowledge qualifications. The question that this research is trying to answer is whether this change is real progress toward financial democratization or just a way to change the way inequality works with technology. It is critical to understand this difference because it helps figure out if DeFi is a truly disruptive breakthrough or just another financial product that mostly helps people who already have a lot of money and knowledge.</w:t>
      </w:r>
    </w:p>
    <w:p w14:paraId="31D2309E" w14:textId="77777777" w:rsidR="001E068C" w:rsidRPr="001E068C" w:rsidRDefault="001E068C" w:rsidP="00E67B44">
      <w:pPr>
        <w:jc w:val="both"/>
        <w:rPr>
          <w:rFonts w:eastAsiaTheme="majorEastAsia"/>
          <w:bCs/>
          <w:color w:val="000000" w:themeColor="text1"/>
        </w:rPr>
      </w:pPr>
    </w:p>
    <w:p w14:paraId="5AE8FE2D" w14:textId="17184112" w:rsidR="00FC640D" w:rsidRPr="00245769" w:rsidRDefault="000F3578" w:rsidP="00E67B44">
      <w:pPr>
        <w:pStyle w:val="Heading2"/>
        <w:rPr>
          <w:rFonts w:eastAsiaTheme="majorEastAsia"/>
        </w:rPr>
      </w:pPr>
      <w:bookmarkStart w:id="20" w:name="_Toc214721826"/>
      <w:r w:rsidRPr="003C66A0">
        <w:rPr>
          <w:rFonts w:eastAsiaTheme="majorEastAsia"/>
        </w:rPr>
        <w:t>1.</w:t>
      </w:r>
      <w:r w:rsidR="00167281" w:rsidRPr="003C66A0">
        <w:rPr>
          <w:rFonts w:eastAsiaTheme="majorEastAsia"/>
        </w:rPr>
        <w:t>5</w:t>
      </w:r>
      <w:r w:rsidRPr="003C66A0">
        <w:rPr>
          <w:rFonts w:eastAsiaTheme="majorEastAsia"/>
        </w:rPr>
        <w:t xml:space="preserve"> Objectives</w:t>
      </w:r>
      <w:bookmarkEnd w:id="20"/>
    </w:p>
    <w:p w14:paraId="3AE15050" w14:textId="0BFEC4B8" w:rsidR="00FC640D" w:rsidRPr="003C66A0" w:rsidRDefault="00FC640D" w:rsidP="00E67B44">
      <w:pPr>
        <w:jc w:val="both"/>
        <w:rPr>
          <w:rFonts w:eastAsiaTheme="majorEastAsia"/>
          <w:bCs/>
          <w:color w:val="000000" w:themeColor="text1"/>
        </w:rPr>
      </w:pPr>
      <w:r w:rsidRPr="003C66A0">
        <w:rPr>
          <w:rFonts w:eastAsiaTheme="majorEastAsia"/>
          <w:bCs/>
          <w:color w:val="000000" w:themeColor="text1"/>
        </w:rPr>
        <w:t xml:space="preserve">This study </w:t>
      </w:r>
      <w:r w:rsidR="00C91C37" w:rsidRPr="003C66A0">
        <w:rPr>
          <w:rFonts w:eastAsiaTheme="majorEastAsia"/>
          <w:bCs/>
          <w:color w:val="000000" w:themeColor="text1"/>
        </w:rPr>
        <w:t xml:space="preserve">will </w:t>
      </w:r>
      <w:r w:rsidR="00A80D43" w:rsidRPr="003C66A0">
        <w:rPr>
          <w:rFonts w:eastAsiaTheme="majorEastAsia"/>
          <w:bCs/>
          <w:color w:val="000000" w:themeColor="text1"/>
        </w:rPr>
        <w:t>research</w:t>
      </w:r>
      <w:r w:rsidR="00231D5B" w:rsidRPr="003C66A0">
        <w:rPr>
          <w:rFonts w:eastAsiaTheme="majorEastAsia"/>
          <w:bCs/>
          <w:color w:val="000000" w:themeColor="text1"/>
        </w:rPr>
        <w:t xml:space="preserve"> </w:t>
      </w:r>
      <w:r w:rsidRPr="003C66A0">
        <w:rPr>
          <w:rFonts w:eastAsiaTheme="majorEastAsia"/>
          <w:bCs/>
          <w:color w:val="000000" w:themeColor="text1"/>
        </w:rPr>
        <w:t>specific objectives designed to bridge the gap between DeFi's technical possibilities and practical realities for limited-capital participants.</w:t>
      </w:r>
    </w:p>
    <w:p w14:paraId="0B480B89" w14:textId="77777777" w:rsidR="00483BCF" w:rsidRPr="003C66A0" w:rsidRDefault="00483BCF" w:rsidP="00E67B44">
      <w:pPr>
        <w:jc w:val="both"/>
        <w:rPr>
          <w:rFonts w:eastAsiaTheme="majorEastAsia"/>
          <w:bCs/>
          <w:color w:val="000000" w:themeColor="text1"/>
        </w:rPr>
      </w:pPr>
    </w:p>
    <w:p w14:paraId="4ECA499B" w14:textId="77777777" w:rsidR="00E008F3" w:rsidRPr="008B313E" w:rsidRDefault="00E008F3" w:rsidP="00E67B44">
      <w:pPr>
        <w:rPr>
          <w:rFonts w:eastAsiaTheme="majorEastAsia"/>
          <w:b/>
          <w:bCs/>
        </w:rPr>
      </w:pPr>
      <w:r w:rsidRPr="008B313E">
        <w:rPr>
          <w:rFonts w:eastAsiaTheme="majorEastAsia"/>
          <w:b/>
          <w:bCs/>
        </w:rPr>
        <w:t>Objective 1: Document Real Capital Requirements</w:t>
      </w:r>
    </w:p>
    <w:p w14:paraId="417695A0" w14:textId="77777777" w:rsidR="00E008F3" w:rsidRPr="003C66A0" w:rsidRDefault="00E008F3" w:rsidP="00E67B44">
      <w:pPr>
        <w:jc w:val="both"/>
        <w:rPr>
          <w:rFonts w:eastAsiaTheme="majorEastAsia"/>
          <w:bCs/>
          <w:color w:val="000000" w:themeColor="text1"/>
        </w:rPr>
      </w:pPr>
      <w:r w:rsidRPr="003C66A0">
        <w:rPr>
          <w:rFonts w:eastAsiaTheme="majorEastAsia"/>
          <w:bCs/>
          <w:color w:val="000000" w:themeColor="text1"/>
        </w:rPr>
        <w:t xml:space="preserve">I identify how much money participants need for different strategies, taking into consideration all costs involved. This is more than the minimum deposit that the different protocols accept. It will help me find the break-even points where returns are higher than expenses. Through tracking </w:t>
      </w:r>
      <w:proofErr w:type="gramStart"/>
      <w:r w:rsidRPr="003C66A0">
        <w:rPr>
          <w:rFonts w:eastAsiaTheme="majorEastAsia"/>
          <w:bCs/>
          <w:color w:val="000000" w:themeColor="text1"/>
        </w:rPr>
        <w:t>156 of</w:t>
      </w:r>
      <w:proofErr w:type="gramEnd"/>
      <w:r w:rsidRPr="003C66A0">
        <w:rPr>
          <w:rFonts w:eastAsiaTheme="majorEastAsia"/>
          <w:bCs/>
          <w:color w:val="000000" w:themeColor="text1"/>
        </w:rPr>
        <w:t xml:space="preserve"> positions across different networks and strategies, I have identified specific thresholds. For example, on Polygon the participant requires at least $750 to overcome gas costs, while on Ethereum </w:t>
      </w:r>
      <w:proofErr w:type="spellStart"/>
      <w:r w:rsidRPr="003C66A0">
        <w:rPr>
          <w:rFonts w:eastAsiaTheme="majorEastAsia"/>
          <w:bCs/>
          <w:color w:val="000000" w:themeColor="text1"/>
        </w:rPr>
        <w:t>mainnet</w:t>
      </w:r>
      <w:proofErr w:type="spellEnd"/>
      <w:r w:rsidRPr="003C66A0">
        <w:rPr>
          <w:rFonts w:eastAsiaTheme="majorEastAsia"/>
          <w:bCs/>
          <w:color w:val="000000" w:themeColor="text1"/>
        </w:rPr>
        <w:t xml:space="preserve"> $25,000 are needed. These aren't recommendations; they are mathematical facts based on costs and returns observed from 2020 to 2024.</w:t>
      </w:r>
    </w:p>
    <w:p w14:paraId="7D56FE8D" w14:textId="77777777" w:rsidR="00E008F3" w:rsidRPr="003C66A0" w:rsidRDefault="00E008F3" w:rsidP="00E67B44">
      <w:pPr>
        <w:jc w:val="both"/>
        <w:rPr>
          <w:rFonts w:eastAsiaTheme="majorEastAsia"/>
          <w:bCs/>
          <w:color w:val="000000" w:themeColor="text1"/>
        </w:rPr>
      </w:pPr>
    </w:p>
    <w:p w14:paraId="0D7068DA" w14:textId="77777777" w:rsidR="00E008F3" w:rsidRPr="003C66A0" w:rsidRDefault="00E008F3" w:rsidP="00E67B44">
      <w:pPr>
        <w:jc w:val="both"/>
        <w:rPr>
          <w:rFonts w:eastAsiaTheme="majorEastAsia"/>
          <w:bCs/>
          <w:color w:val="000000" w:themeColor="text1"/>
        </w:rPr>
      </w:pPr>
      <w:r w:rsidRPr="003C66A0">
        <w:rPr>
          <w:rFonts w:eastAsiaTheme="majorEastAsia"/>
          <w:b/>
          <w:bCs/>
          <w:color w:val="000000" w:themeColor="text1"/>
        </w:rPr>
        <w:t>Objective 2: Map the Risk Landscape</w:t>
      </w:r>
    </w:p>
    <w:p w14:paraId="2C732FF7" w14:textId="77777777" w:rsidR="00E008F3" w:rsidRPr="003C66A0" w:rsidRDefault="00E008F3" w:rsidP="00E67B44">
      <w:pPr>
        <w:jc w:val="both"/>
        <w:rPr>
          <w:rFonts w:eastAsiaTheme="majorEastAsia"/>
          <w:bCs/>
          <w:color w:val="000000" w:themeColor="text1"/>
        </w:rPr>
      </w:pPr>
      <w:r w:rsidRPr="003C66A0">
        <w:rPr>
          <w:rFonts w:eastAsiaTheme="majorEastAsia"/>
          <w:bCs/>
          <w:color w:val="000000" w:themeColor="text1"/>
        </w:rPr>
        <w:lastRenderedPageBreak/>
        <w:t xml:space="preserve">I develop a comprehensive understanding of all associated </w:t>
      </w:r>
      <w:proofErr w:type="gramStart"/>
      <w:r w:rsidRPr="003C66A0">
        <w:rPr>
          <w:rFonts w:eastAsiaTheme="majorEastAsia"/>
          <w:bCs/>
          <w:color w:val="000000" w:themeColor="text1"/>
        </w:rPr>
        <w:t>risks—</w:t>
      </w:r>
      <w:proofErr w:type="gramEnd"/>
      <w:r w:rsidRPr="003C66A0">
        <w:rPr>
          <w:rFonts w:eastAsiaTheme="majorEastAsia"/>
          <w:bCs/>
          <w:color w:val="000000" w:themeColor="text1"/>
        </w:rPr>
        <w:t xml:space="preserve">not just specific </w:t>
      </w:r>
      <w:proofErr w:type="gramStart"/>
      <w:r w:rsidRPr="003C66A0">
        <w:rPr>
          <w:rFonts w:eastAsiaTheme="majorEastAsia"/>
          <w:bCs/>
          <w:color w:val="000000" w:themeColor="text1"/>
        </w:rPr>
        <w:t>ones</w:t>
      </w:r>
      <w:proofErr w:type="gramEnd"/>
      <w:r w:rsidRPr="003C66A0">
        <w:rPr>
          <w:rFonts w:eastAsiaTheme="majorEastAsia"/>
          <w:bCs/>
          <w:color w:val="000000" w:themeColor="text1"/>
        </w:rPr>
        <w:t xml:space="preserve"> to minimal-capital crypto ventures. The key is to identify which risks can be managed versus which must be accepted. My analysis reveals that some risks respond to traditional management techniques—diversification </w:t>
      </w:r>
      <w:proofErr w:type="gramStart"/>
      <w:r w:rsidRPr="003C66A0">
        <w:rPr>
          <w:rFonts w:eastAsiaTheme="majorEastAsia"/>
          <w:bCs/>
          <w:color w:val="000000" w:themeColor="text1"/>
        </w:rPr>
        <w:t>reduces</w:t>
      </w:r>
      <w:proofErr w:type="gramEnd"/>
      <w:r w:rsidRPr="003C66A0">
        <w:rPr>
          <w:rFonts w:eastAsiaTheme="majorEastAsia"/>
          <w:bCs/>
          <w:color w:val="000000" w:themeColor="text1"/>
        </w:rPr>
        <w:t xml:space="preserve"> protocol concentration risk, and position sizing limits impact of individual failures. However, other risks identified are binary and can be catastrophic. Smart contract exploits hit 12% of my tracked positions, with average losses being 67% when they occurred. This persistent risk cannot be hedged; only adjusting the size of positions and leveraging various platforms can help mitigate it. Understanding this is very important for sustainable participation, as I believe the risk will continue to grow.</w:t>
      </w:r>
    </w:p>
    <w:p w14:paraId="5A03D61E" w14:textId="77777777" w:rsidR="00E008F3" w:rsidRPr="003C66A0" w:rsidRDefault="00E008F3" w:rsidP="00E67B44">
      <w:pPr>
        <w:jc w:val="both"/>
        <w:rPr>
          <w:rFonts w:eastAsiaTheme="majorEastAsia"/>
          <w:bCs/>
          <w:color w:val="000000" w:themeColor="text1"/>
        </w:rPr>
      </w:pPr>
    </w:p>
    <w:p w14:paraId="603A305C" w14:textId="77777777" w:rsidR="00E008F3" w:rsidRPr="003C66A0" w:rsidRDefault="00E008F3" w:rsidP="00E67B44">
      <w:pPr>
        <w:jc w:val="both"/>
        <w:rPr>
          <w:rFonts w:eastAsiaTheme="majorEastAsia"/>
          <w:bCs/>
          <w:color w:val="000000" w:themeColor="text1"/>
        </w:rPr>
      </w:pPr>
      <w:r w:rsidRPr="003C66A0">
        <w:rPr>
          <w:rFonts w:eastAsiaTheme="majorEastAsia"/>
          <w:b/>
          <w:bCs/>
          <w:color w:val="000000" w:themeColor="text1"/>
        </w:rPr>
        <w:t>Objective 3: Create Practical Frameworks</w:t>
      </w:r>
    </w:p>
    <w:p w14:paraId="335E361B" w14:textId="6FE86710" w:rsidR="00E008F3" w:rsidRPr="003C66A0" w:rsidRDefault="00E008F3" w:rsidP="00E67B44">
      <w:pPr>
        <w:jc w:val="both"/>
        <w:rPr>
          <w:rFonts w:eastAsiaTheme="majorEastAsia"/>
          <w:bCs/>
          <w:color w:val="000000" w:themeColor="text1"/>
        </w:rPr>
      </w:pPr>
      <w:r w:rsidRPr="003C66A0">
        <w:rPr>
          <w:rFonts w:eastAsiaTheme="majorEastAsia"/>
          <w:bCs/>
          <w:color w:val="000000" w:themeColor="text1"/>
        </w:rPr>
        <w:t xml:space="preserve">I leveraged an analytical approach for evaluating the different income-generating strategies based on actual resources and constraints I had available for this study. It is possible with $10,000 and dedicated 10 hours weekly, while understanding the basic DeFi concepts to leverage certain strategies that can become viable, while others guarantee failure. My </w:t>
      </w:r>
      <w:r w:rsidR="00892EE4" w:rsidRPr="003C66A0">
        <w:rPr>
          <w:rFonts w:eastAsiaTheme="majorEastAsia"/>
          <w:bCs/>
          <w:color w:val="000000" w:themeColor="text1"/>
        </w:rPr>
        <w:t>research</w:t>
      </w:r>
      <w:r w:rsidRPr="003C66A0">
        <w:rPr>
          <w:rFonts w:eastAsiaTheme="majorEastAsia"/>
          <w:bCs/>
          <w:color w:val="000000" w:themeColor="text1"/>
        </w:rPr>
        <w:t xml:space="preserve"> here does not seek to identify the universal "best" strategies—those most likely do not exist. Instead, it shows approaches to very specific and individual circumstances. As an example, a simple stablecoin liquidity provision might be optimal for someone with limited time and technical knowledge, while concentrated liquidity management will work for someone with good programming skills and more active involvement.</w:t>
      </w:r>
    </w:p>
    <w:p w14:paraId="404E66E0" w14:textId="77777777" w:rsidR="00E008F3" w:rsidRPr="003C66A0" w:rsidRDefault="00E008F3" w:rsidP="00E67B44">
      <w:pPr>
        <w:jc w:val="both"/>
        <w:rPr>
          <w:rFonts w:eastAsiaTheme="majorEastAsia"/>
          <w:bCs/>
          <w:color w:val="000000" w:themeColor="text1"/>
        </w:rPr>
      </w:pPr>
    </w:p>
    <w:p w14:paraId="57E6A232" w14:textId="18851C6B" w:rsidR="00E008F3" w:rsidRPr="003C66A0" w:rsidRDefault="00E008F3" w:rsidP="00E67B44">
      <w:pPr>
        <w:jc w:val="both"/>
        <w:rPr>
          <w:rFonts w:eastAsiaTheme="majorEastAsia"/>
          <w:bCs/>
          <w:color w:val="000000" w:themeColor="text1"/>
        </w:rPr>
      </w:pPr>
      <w:r w:rsidRPr="003C66A0">
        <w:rPr>
          <w:rFonts w:eastAsiaTheme="majorEastAsia"/>
          <w:b/>
          <w:bCs/>
          <w:color w:val="000000" w:themeColor="text1"/>
        </w:rPr>
        <w:t>Objective 4: Develop Implementation Guidance</w:t>
      </w:r>
    </w:p>
    <w:p w14:paraId="45E92FFB" w14:textId="77777777" w:rsidR="00E008F3" w:rsidRPr="003C66A0" w:rsidRDefault="00E008F3" w:rsidP="00E67B44">
      <w:pPr>
        <w:jc w:val="both"/>
        <w:rPr>
          <w:rFonts w:eastAsiaTheme="majorEastAsia"/>
          <w:bCs/>
          <w:color w:val="000000" w:themeColor="text1"/>
        </w:rPr>
      </w:pPr>
      <w:r w:rsidRPr="003C66A0">
        <w:rPr>
          <w:rFonts w:eastAsiaTheme="majorEastAsia"/>
          <w:bCs/>
          <w:color w:val="000000" w:themeColor="text1"/>
        </w:rPr>
        <w:t>I transform my research results into practical recommendations that connect theoretical knowledge with real-world implementation. This will encompass approaches for choosing suitable strategies, systematic procedures for managing risks, platform-specific cost considerations, and growth strategies for the participants based on their situation. These recommendations stem from behavioral patterns documented among real study subjects throughout the 2020-2024 investigation timeline rather than hypothetical models. One notable pattern I discovered was that participants who began with simple approaches and progressively added layers of complexity to it achieved better outcomes compared to those who jumped directly into complicated methodologies.</w:t>
      </w:r>
    </w:p>
    <w:p w14:paraId="4647049A" w14:textId="77777777" w:rsidR="00483BCF" w:rsidRPr="003C66A0" w:rsidRDefault="00483BCF" w:rsidP="00E67B44">
      <w:pPr>
        <w:jc w:val="both"/>
        <w:rPr>
          <w:rFonts w:eastAsiaTheme="majorEastAsia"/>
          <w:bCs/>
          <w:color w:val="000000" w:themeColor="text1"/>
        </w:rPr>
      </w:pPr>
    </w:p>
    <w:p w14:paraId="4425A3F4" w14:textId="77777777" w:rsidR="00AB138F" w:rsidRPr="003C66A0" w:rsidRDefault="00AB138F" w:rsidP="00E67B44">
      <w:pPr>
        <w:jc w:val="both"/>
        <w:rPr>
          <w:rFonts w:eastAsiaTheme="majorEastAsia"/>
          <w:bCs/>
          <w:color w:val="000000" w:themeColor="text1"/>
        </w:rPr>
      </w:pPr>
      <w:r w:rsidRPr="003C66A0">
        <w:rPr>
          <w:rFonts w:eastAsiaTheme="majorEastAsia"/>
          <w:bCs/>
          <w:color w:val="000000" w:themeColor="text1"/>
        </w:rPr>
        <w:t xml:space="preserve">These objectives work together to answer the fundamental question: Can DeFi deliver on its promise of democratized financial participation for resource-constrained entrepreneurs? The answer, as my research shows, is "yes, </w:t>
      </w:r>
      <w:proofErr w:type="gramStart"/>
      <w:r w:rsidRPr="003C66A0">
        <w:rPr>
          <w:rFonts w:eastAsiaTheme="majorEastAsia"/>
          <w:bCs/>
          <w:color w:val="000000" w:themeColor="text1"/>
        </w:rPr>
        <w:t>but"—</w:t>
      </w:r>
      <w:proofErr w:type="gramEnd"/>
      <w:r w:rsidRPr="003C66A0">
        <w:rPr>
          <w:rFonts w:eastAsiaTheme="majorEastAsia"/>
          <w:bCs/>
          <w:color w:val="000000" w:themeColor="text1"/>
        </w:rPr>
        <w:t>yes, real opportunities exist, but they require more capital, time, and expertise than advertised, and success comes from matching the available resources to appropriate strategies rather than chasing the highest advertised yields.</w:t>
      </w:r>
    </w:p>
    <w:p w14:paraId="730F93D7" w14:textId="77777777" w:rsidR="00AB138F" w:rsidRPr="003C66A0" w:rsidRDefault="00AB138F" w:rsidP="00E67B44">
      <w:pPr>
        <w:jc w:val="both"/>
        <w:rPr>
          <w:rFonts w:eastAsiaTheme="majorEastAsia"/>
          <w:bCs/>
          <w:color w:val="000000" w:themeColor="text1"/>
        </w:rPr>
      </w:pPr>
    </w:p>
    <w:p w14:paraId="37A794E5" w14:textId="77777777" w:rsidR="00AB138F" w:rsidRPr="003C66A0" w:rsidRDefault="00AB138F" w:rsidP="00E67B44">
      <w:pPr>
        <w:pStyle w:val="Heading2"/>
        <w:rPr>
          <w:rFonts w:eastAsiaTheme="majorEastAsia"/>
        </w:rPr>
      </w:pPr>
      <w:bookmarkStart w:id="21" w:name="_Toc214721827"/>
      <w:r w:rsidRPr="003C66A0">
        <w:rPr>
          <w:rFonts w:eastAsiaTheme="majorEastAsia"/>
        </w:rPr>
        <w:t>1.6 Research Questions</w:t>
      </w:r>
      <w:bookmarkEnd w:id="21"/>
    </w:p>
    <w:p w14:paraId="3307DD59" w14:textId="77777777" w:rsidR="00AB138F" w:rsidRPr="003C66A0" w:rsidRDefault="00AB138F" w:rsidP="00E67B44">
      <w:pPr>
        <w:jc w:val="both"/>
        <w:rPr>
          <w:rFonts w:eastAsiaTheme="majorEastAsia"/>
          <w:bCs/>
          <w:color w:val="000000" w:themeColor="text1"/>
        </w:rPr>
      </w:pPr>
      <w:r w:rsidRPr="003C66A0">
        <w:rPr>
          <w:rFonts w:eastAsiaTheme="majorEastAsia"/>
          <w:bCs/>
          <w:color w:val="000000" w:themeColor="text1"/>
        </w:rPr>
        <w:t>The research is driven by four questions below that progressively narrow from possibility to implementation, each addressing a critical concern for potential participants.</w:t>
      </w:r>
    </w:p>
    <w:p w14:paraId="61E0276D" w14:textId="77777777" w:rsidR="00483BCF" w:rsidRPr="003C66A0" w:rsidRDefault="00483BCF" w:rsidP="00E67B44">
      <w:pPr>
        <w:jc w:val="both"/>
        <w:rPr>
          <w:rFonts w:eastAsiaTheme="majorEastAsia"/>
          <w:bCs/>
          <w:color w:val="000000" w:themeColor="text1"/>
        </w:rPr>
      </w:pPr>
    </w:p>
    <w:p w14:paraId="565BD8FC" w14:textId="77777777" w:rsidR="00012A99" w:rsidRPr="003C66A0" w:rsidRDefault="00012A99" w:rsidP="00E67B44">
      <w:pPr>
        <w:jc w:val="both"/>
        <w:rPr>
          <w:rFonts w:eastAsiaTheme="majorEastAsia"/>
          <w:b/>
          <w:bCs/>
          <w:color w:val="000000" w:themeColor="text1"/>
        </w:rPr>
      </w:pPr>
      <w:r w:rsidRPr="003C66A0">
        <w:rPr>
          <w:rFonts w:eastAsiaTheme="majorEastAsia"/>
          <w:b/>
          <w:bCs/>
          <w:color w:val="000000" w:themeColor="text1"/>
        </w:rPr>
        <w:t>RQ1: What are the actual minimum capital requirements for the different DeFi strategies to generate positive returns after all costs?</w:t>
      </w:r>
    </w:p>
    <w:p w14:paraId="1CA03250" w14:textId="77777777" w:rsidR="00012A99" w:rsidRPr="003C66A0" w:rsidRDefault="00012A99" w:rsidP="00E67B44">
      <w:pPr>
        <w:jc w:val="both"/>
        <w:rPr>
          <w:rFonts w:eastAsiaTheme="majorEastAsia"/>
          <w:color w:val="000000" w:themeColor="text1"/>
        </w:rPr>
      </w:pPr>
      <w:r w:rsidRPr="003C66A0">
        <w:rPr>
          <w:rFonts w:eastAsiaTheme="majorEastAsia"/>
          <w:color w:val="000000" w:themeColor="text1"/>
        </w:rPr>
        <w:t xml:space="preserve">This is not asking what protocols accept deposits, but what amounts make economic sense. A protocol might accept $10, but if gas fees are $50 per transaction, it is not a viable money-making model. Through empirical analysis of the various transaction costs, fee generation, and operational requirements, I identify break-even points for the different strategies across different networks. </w:t>
      </w:r>
    </w:p>
    <w:p w14:paraId="48B6D6B7" w14:textId="77777777" w:rsidR="00012A99" w:rsidRPr="003C66A0" w:rsidRDefault="00012A99" w:rsidP="00E67B44">
      <w:pPr>
        <w:jc w:val="both"/>
        <w:rPr>
          <w:rFonts w:eastAsiaTheme="majorEastAsia"/>
          <w:b/>
          <w:bCs/>
          <w:color w:val="000000" w:themeColor="text1"/>
        </w:rPr>
      </w:pPr>
    </w:p>
    <w:p w14:paraId="29581867" w14:textId="6D2D1D87" w:rsidR="00012A99" w:rsidRPr="003C66A0" w:rsidRDefault="00012A99" w:rsidP="00E67B44">
      <w:pPr>
        <w:jc w:val="both"/>
        <w:rPr>
          <w:rFonts w:eastAsiaTheme="majorEastAsia"/>
          <w:b/>
          <w:bCs/>
          <w:color w:val="000000" w:themeColor="text1"/>
        </w:rPr>
      </w:pPr>
      <w:r w:rsidRPr="003C66A0">
        <w:rPr>
          <w:rFonts w:eastAsiaTheme="majorEastAsia"/>
          <w:b/>
          <w:bCs/>
          <w:color w:val="000000" w:themeColor="text1"/>
        </w:rPr>
        <w:lastRenderedPageBreak/>
        <w:t>RQ2: How do operational factors</w:t>
      </w:r>
      <w:r w:rsidR="00892EE4">
        <w:rPr>
          <w:rFonts w:eastAsiaTheme="majorEastAsia"/>
          <w:b/>
          <w:bCs/>
          <w:color w:val="000000" w:themeColor="text1"/>
        </w:rPr>
        <w:t xml:space="preserve">, </w:t>
      </w:r>
      <w:r w:rsidRPr="003C66A0">
        <w:rPr>
          <w:rFonts w:eastAsiaTheme="majorEastAsia"/>
          <w:b/>
          <w:bCs/>
          <w:color w:val="000000" w:themeColor="text1"/>
        </w:rPr>
        <w:t>including technical complexity, time requirements, and hidden costs—affect actual returns for minimal-capital participants?</w:t>
      </w:r>
    </w:p>
    <w:p w14:paraId="33ACECCD" w14:textId="1E4FA710" w:rsidR="00012A99" w:rsidRPr="003C66A0" w:rsidRDefault="00012A99" w:rsidP="00E67B44">
      <w:pPr>
        <w:jc w:val="both"/>
        <w:rPr>
          <w:rFonts w:eastAsiaTheme="majorEastAsia"/>
          <w:color w:val="000000" w:themeColor="text1"/>
        </w:rPr>
      </w:pPr>
      <w:r w:rsidRPr="003C66A0">
        <w:rPr>
          <w:rFonts w:eastAsiaTheme="majorEastAsia"/>
          <w:color w:val="000000" w:themeColor="text1"/>
        </w:rPr>
        <w:t xml:space="preserve">The gap between advertised and actual returns is huge, and operational factors explain why that is the case. Gas fees can consume 20–40% of returns for small transactions, and failed </w:t>
      </w:r>
      <w:proofErr w:type="gramStart"/>
      <w:r w:rsidR="00892EE4" w:rsidRPr="003C66A0">
        <w:rPr>
          <w:rFonts w:eastAsiaTheme="majorEastAsia"/>
          <w:color w:val="000000" w:themeColor="text1"/>
        </w:rPr>
        <w:t>one</w:t>
      </w:r>
      <w:r w:rsidR="00892EE4">
        <w:rPr>
          <w:rFonts w:eastAsiaTheme="majorEastAsia"/>
          <w:color w:val="000000" w:themeColor="text1"/>
        </w:rPr>
        <w:t>s</w:t>
      </w:r>
      <w:proofErr w:type="gramEnd"/>
      <w:r w:rsidR="00892EE4">
        <w:rPr>
          <w:rFonts w:eastAsiaTheme="majorEastAsia"/>
          <w:color w:val="000000" w:themeColor="text1"/>
        </w:rPr>
        <w:t xml:space="preserve"> </w:t>
      </w:r>
      <w:r w:rsidRPr="003C66A0">
        <w:rPr>
          <w:rFonts w:eastAsiaTheme="majorEastAsia"/>
          <w:color w:val="000000" w:themeColor="text1"/>
        </w:rPr>
        <w:t>cost money but generate no value at all. Impermanent loss can exceed fee income even in seemingly profitable pools. Time investment for active management may be required, which translates into indirect cost. By quantifying these factors, it will be possible to calculate real returns rather than theoretical yields.</w:t>
      </w:r>
    </w:p>
    <w:p w14:paraId="0C0555F5" w14:textId="77777777" w:rsidR="00012A99" w:rsidRPr="003C66A0" w:rsidRDefault="00012A99" w:rsidP="00E67B44">
      <w:pPr>
        <w:jc w:val="both"/>
        <w:rPr>
          <w:rFonts w:eastAsiaTheme="majorEastAsia"/>
          <w:b/>
          <w:bCs/>
          <w:color w:val="000000" w:themeColor="text1"/>
        </w:rPr>
      </w:pPr>
    </w:p>
    <w:p w14:paraId="43BF578B" w14:textId="48D94AA7" w:rsidR="00012A99" w:rsidRPr="003C66A0" w:rsidRDefault="00012A99" w:rsidP="00E67B44">
      <w:pPr>
        <w:jc w:val="both"/>
        <w:rPr>
          <w:rFonts w:eastAsiaTheme="majorEastAsia"/>
          <w:b/>
          <w:bCs/>
          <w:color w:val="000000" w:themeColor="text1"/>
        </w:rPr>
      </w:pPr>
      <w:r w:rsidRPr="003C66A0">
        <w:rPr>
          <w:rFonts w:eastAsiaTheme="majorEastAsia"/>
          <w:b/>
          <w:bCs/>
          <w:color w:val="000000" w:themeColor="text1"/>
        </w:rPr>
        <w:t>RQ3: What risks pose existential/full loss threats to minimal-capital ventures versus large investment participants, and how do these risks interact?</w:t>
      </w:r>
    </w:p>
    <w:p w14:paraId="1E8E4A89" w14:textId="77777777" w:rsidR="00012A99" w:rsidRPr="003C66A0" w:rsidRDefault="00012A99" w:rsidP="00E67B44">
      <w:pPr>
        <w:jc w:val="both"/>
        <w:rPr>
          <w:rFonts w:eastAsiaTheme="majorEastAsia"/>
          <w:color w:val="000000" w:themeColor="text1"/>
        </w:rPr>
      </w:pPr>
      <w:r w:rsidRPr="003C66A0">
        <w:rPr>
          <w:rFonts w:eastAsiaTheme="majorEastAsia"/>
          <w:color w:val="000000" w:themeColor="text1"/>
        </w:rPr>
        <w:t>Not all risks are equal. Some respond to management—you can time transactions to reduce gas costs, diversify across protocols, and size positions appropriately. Others are existential—smart contract exploits, protocol abandonment, and regulatory shutdowns. Understanding the most critical ones and how to manage them determines survival. Recognizing these patterns helps set realistic expectations and appropriate position sizes. It can also lead to complete abandonment of certain transactions, avoidance of certain networks or using only low congestion time frames.</w:t>
      </w:r>
    </w:p>
    <w:p w14:paraId="53CE37D8" w14:textId="77777777" w:rsidR="00012A99" w:rsidRPr="003C66A0" w:rsidRDefault="00012A99" w:rsidP="00E67B44">
      <w:pPr>
        <w:jc w:val="both"/>
        <w:rPr>
          <w:rFonts w:eastAsiaTheme="majorEastAsia"/>
          <w:b/>
          <w:bCs/>
          <w:color w:val="000000" w:themeColor="text1"/>
        </w:rPr>
      </w:pPr>
    </w:p>
    <w:p w14:paraId="29413DA6" w14:textId="77777777" w:rsidR="00012A99" w:rsidRPr="003C66A0" w:rsidRDefault="00012A99" w:rsidP="00E67B44">
      <w:pPr>
        <w:jc w:val="both"/>
        <w:rPr>
          <w:rFonts w:eastAsiaTheme="majorEastAsia"/>
          <w:b/>
          <w:bCs/>
          <w:color w:val="000000" w:themeColor="text1"/>
        </w:rPr>
      </w:pPr>
      <w:r w:rsidRPr="003C66A0">
        <w:rPr>
          <w:rFonts w:eastAsiaTheme="majorEastAsia"/>
          <w:b/>
          <w:bCs/>
          <w:color w:val="000000" w:themeColor="text1"/>
        </w:rPr>
        <w:t>RQ4: How do regulatory developments and market maturation affect the long-term viability of appropriate strategies, and what adaptive capabilities do successful minimal-capital entrepreneurs demonstrate?</w:t>
      </w:r>
    </w:p>
    <w:p w14:paraId="0332B0A1" w14:textId="5022D6B5" w:rsidR="00483BCF" w:rsidRDefault="00012A99" w:rsidP="00E67B44">
      <w:pPr>
        <w:jc w:val="both"/>
        <w:rPr>
          <w:rFonts w:eastAsiaTheme="majorEastAsia"/>
          <w:color w:val="000000" w:themeColor="text1"/>
        </w:rPr>
      </w:pPr>
      <w:r w:rsidRPr="003C66A0">
        <w:rPr>
          <w:rFonts w:eastAsiaTheme="majorEastAsia"/>
          <w:color w:val="000000" w:themeColor="text1"/>
        </w:rPr>
        <w:t xml:space="preserve">The current DeFi landscape evolves very rapidly, and strategies that were profitable in 2020 might be obsolete by 2024. Through longitudinal tracking, I identify which approaches show persistence versus which represent temporary arbitrage. Having a better </w:t>
      </w:r>
      <w:proofErr w:type="gramStart"/>
      <w:r w:rsidRPr="003C66A0">
        <w:rPr>
          <w:rFonts w:eastAsiaTheme="majorEastAsia"/>
          <w:color w:val="000000" w:themeColor="text1"/>
        </w:rPr>
        <w:t>understanding</w:t>
      </w:r>
      <w:proofErr w:type="gramEnd"/>
      <w:r w:rsidRPr="003C66A0">
        <w:rPr>
          <w:rFonts w:eastAsiaTheme="majorEastAsia"/>
          <w:color w:val="000000" w:themeColor="text1"/>
        </w:rPr>
        <w:t xml:space="preserve"> these dynamics can help identify sustainable opportunities versus temporary windfalls.</w:t>
      </w:r>
    </w:p>
    <w:p w14:paraId="2BE64507" w14:textId="77777777" w:rsidR="00C976C1" w:rsidRPr="002E7D82" w:rsidRDefault="00C976C1" w:rsidP="00E67B44">
      <w:pPr>
        <w:jc w:val="both"/>
        <w:rPr>
          <w:rFonts w:eastAsiaTheme="majorEastAsia"/>
          <w:color w:val="000000" w:themeColor="text1"/>
        </w:rPr>
      </w:pPr>
    </w:p>
    <w:p w14:paraId="1D97211E" w14:textId="2509513E" w:rsidR="002E7D82" w:rsidRPr="007C2B8F" w:rsidRDefault="002E7D82" w:rsidP="00E67B44">
      <w:pPr>
        <w:jc w:val="both"/>
        <w:rPr>
          <w:color w:val="000000" w:themeColor="text1"/>
        </w:rPr>
      </w:pPr>
      <w:r w:rsidRPr="007C2B8F">
        <w:rPr>
          <w:b/>
          <w:bCs/>
          <w:color w:val="000000" w:themeColor="text1"/>
        </w:rPr>
        <w:t xml:space="preserve">RQ5: To what extent does DeFi achieve its democratization objectives when </w:t>
      </w:r>
      <w:r w:rsidR="00DA32D2" w:rsidRPr="007C2B8F">
        <w:rPr>
          <w:b/>
          <w:bCs/>
          <w:color w:val="000000" w:themeColor="text1"/>
        </w:rPr>
        <w:t xml:space="preserve">compared </w:t>
      </w:r>
      <w:r w:rsidRPr="007C2B8F">
        <w:rPr>
          <w:b/>
          <w:bCs/>
          <w:color w:val="000000" w:themeColor="text1"/>
        </w:rPr>
        <w:t>against substantive rather than formal access criteria, and what mechanisms explain the gap between technical possibility and economic viability for limited-capital participants?</w:t>
      </w:r>
    </w:p>
    <w:p w14:paraId="49DE2D80" w14:textId="3033F427" w:rsidR="002E7D82" w:rsidRDefault="002E7D82" w:rsidP="00E67B44">
      <w:pPr>
        <w:jc w:val="both"/>
        <w:rPr>
          <w:color w:val="000000" w:themeColor="text1"/>
        </w:rPr>
      </w:pPr>
      <w:r w:rsidRPr="007C2B8F">
        <w:rPr>
          <w:color w:val="000000" w:themeColor="text1"/>
        </w:rPr>
        <w:t xml:space="preserve">This question directly addresses the democratization paradox by </w:t>
      </w:r>
      <w:r w:rsidR="00DA32D2" w:rsidRPr="007C2B8F">
        <w:rPr>
          <w:color w:val="000000" w:themeColor="text1"/>
        </w:rPr>
        <w:t>differentiating</w:t>
      </w:r>
      <w:r w:rsidRPr="007C2B8F">
        <w:rPr>
          <w:color w:val="000000" w:themeColor="text1"/>
        </w:rPr>
        <w:t xml:space="preserve"> between formal access (technical ability to participate) and substantive access (practical ability to profit). While existing research documents that DeFi protocols are technically permissionless (</w:t>
      </w:r>
      <w:proofErr w:type="spellStart"/>
      <w:r w:rsidRPr="007C2B8F">
        <w:rPr>
          <w:color w:val="000000" w:themeColor="text1"/>
        </w:rPr>
        <w:t>Schär</w:t>
      </w:r>
      <w:proofErr w:type="spellEnd"/>
      <w:r w:rsidRPr="007C2B8F">
        <w:rPr>
          <w:color w:val="000000" w:themeColor="text1"/>
        </w:rPr>
        <w:t xml:space="preserve">, 2021; Harvey et al., 2021), my analysis tests whether this technical openness translates into economically meaningful participation opportunities. </w:t>
      </w:r>
      <w:r w:rsidR="00DA32D2" w:rsidRPr="007C2B8F">
        <w:rPr>
          <w:color w:val="000000" w:themeColor="text1"/>
        </w:rPr>
        <w:t>To perform this, this study is</w:t>
      </w:r>
      <w:r w:rsidRPr="007C2B8F">
        <w:rPr>
          <w:color w:val="000000" w:themeColor="text1"/>
        </w:rPr>
        <w:t xml:space="preserve"> comparing democratization outcomes across capital levels, geographic contexts, and temporal periods, I </w:t>
      </w:r>
      <w:proofErr w:type="gramStart"/>
      <w:r w:rsidRPr="007C2B8F">
        <w:rPr>
          <w:color w:val="000000" w:themeColor="text1"/>
        </w:rPr>
        <w:t>assess</w:t>
      </w:r>
      <w:proofErr w:type="gramEnd"/>
      <w:r w:rsidRPr="007C2B8F">
        <w:rPr>
          <w:color w:val="000000" w:themeColor="text1"/>
        </w:rPr>
        <w:t xml:space="preserve"> whether DeFi represents genuine financial inclusion or simply new forms of exclusion. This question synthesizes the preceding four research questions by evaluating not just feasibility (RQ1), returns (RQ2), strategies (RQ3), and sustainability (RQ4), but whether the entire DeFi opportunity structure delivers on its foundational promise of democratizing finance for those excluded from traditional systems.</w:t>
      </w:r>
    </w:p>
    <w:p w14:paraId="70239DA3" w14:textId="77777777" w:rsidR="00C976C1" w:rsidRPr="007C2B8F" w:rsidRDefault="00C976C1" w:rsidP="00E67B44">
      <w:pPr>
        <w:jc w:val="both"/>
        <w:rPr>
          <w:color w:val="000000" w:themeColor="text1"/>
        </w:rPr>
      </w:pPr>
    </w:p>
    <w:p w14:paraId="78CBC46F" w14:textId="51789CA5" w:rsidR="00AD46F9" w:rsidRDefault="00AD46F9" w:rsidP="00E67B44">
      <w:pPr>
        <w:jc w:val="both"/>
        <w:rPr>
          <w:rFonts w:eastAsiaTheme="majorEastAsia"/>
          <w:bCs/>
          <w:color w:val="000000" w:themeColor="text1"/>
        </w:rPr>
      </w:pPr>
      <w:r w:rsidRPr="003C66A0">
        <w:rPr>
          <w:rFonts w:eastAsiaTheme="majorEastAsia"/>
          <w:bCs/>
          <w:color w:val="000000" w:themeColor="text1"/>
        </w:rPr>
        <w:t>These research questions build on each other to create a comprehensive understanding: he first establishes feasibility. while the second one reveals true returns. The third and fourth questions identify survivability requirements and provide the information needed to make informed participation decisions, respectively.</w:t>
      </w:r>
    </w:p>
    <w:p w14:paraId="275D7AB4" w14:textId="77777777" w:rsidR="00245769" w:rsidRPr="003C66A0" w:rsidRDefault="00245769" w:rsidP="00E67B44">
      <w:pPr>
        <w:rPr>
          <w:rFonts w:eastAsiaTheme="majorEastAsia"/>
          <w:bCs/>
          <w:color w:val="000000" w:themeColor="text1"/>
        </w:rPr>
      </w:pPr>
    </w:p>
    <w:p w14:paraId="3C3BCD89" w14:textId="77777777" w:rsidR="00AD46F9" w:rsidRPr="003C66A0" w:rsidRDefault="00AD46F9" w:rsidP="00E67B44">
      <w:pPr>
        <w:pStyle w:val="Heading2"/>
        <w:rPr>
          <w:rFonts w:eastAsiaTheme="majorEastAsia"/>
        </w:rPr>
      </w:pPr>
      <w:bookmarkStart w:id="22" w:name="_Toc214721828"/>
      <w:r w:rsidRPr="003C66A0">
        <w:rPr>
          <w:rFonts w:eastAsiaTheme="majorEastAsia"/>
        </w:rPr>
        <w:t>1.7 Dissertation Structure</w:t>
      </w:r>
      <w:bookmarkEnd w:id="22"/>
    </w:p>
    <w:p w14:paraId="4EEBE4DC" w14:textId="3EE42552" w:rsidR="00AD46F9" w:rsidRPr="003C66A0" w:rsidRDefault="00AD46F9" w:rsidP="00E67B44">
      <w:pPr>
        <w:jc w:val="both"/>
        <w:rPr>
          <w:rFonts w:eastAsiaTheme="majorEastAsia"/>
          <w:bCs/>
          <w:color w:val="000000" w:themeColor="text1"/>
        </w:rPr>
      </w:pPr>
      <w:r w:rsidRPr="003C66A0">
        <w:rPr>
          <w:rFonts w:eastAsiaTheme="majorEastAsia"/>
          <w:bCs/>
          <w:color w:val="000000" w:themeColor="text1"/>
        </w:rPr>
        <w:lastRenderedPageBreak/>
        <w:t>This dissertation is organized to take the reader from understanding the landscape through to practical implementation, with each chapter building on previous insights.</w:t>
      </w:r>
    </w:p>
    <w:p w14:paraId="24BB07A1" w14:textId="77777777" w:rsidR="00245769" w:rsidRDefault="00245769" w:rsidP="00E67B44">
      <w:pPr>
        <w:jc w:val="both"/>
        <w:rPr>
          <w:rFonts w:eastAsiaTheme="majorEastAsia"/>
          <w:b/>
          <w:bCs/>
          <w:color w:val="000000" w:themeColor="text1"/>
        </w:rPr>
      </w:pPr>
    </w:p>
    <w:p w14:paraId="17996B7B" w14:textId="77777777" w:rsidR="00354301" w:rsidRPr="00354301" w:rsidRDefault="00354301" w:rsidP="00E67B44">
      <w:pPr>
        <w:jc w:val="both"/>
        <w:rPr>
          <w:rFonts w:eastAsiaTheme="majorEastAsia"/>
          <w:color w:val="000000" w:themeColor="text1"/>
        </w:rPr>
      </w:pPr>
      <w:r w:rsidRPr="00354301">
        <w:rPr>
          <w:rFonts w:eastAsiaTheme="majorEastAsia"/>
          <w:b/>
          <w:bCs/>
          <w:color w:val="000000" w:themeColor="text1"/>
        </w:rPr>
        <w:t>Chapter 2</w:t>
      </w:r>
      <w:r w:rsidRPr="00354301">
        <w:rPr>
          <w:rFonts w:eastAsiaTheme="majorEastAsia"/>
          <w:color w:val="000000" w:themeColor="text1"/>
        </w:rPr>
        <w:t xml:space="preserve"> reviews the existing literature on financial intermediation, DeFi protocols, and market making. It examines gaps between academic theory and practical reality, particularly the lack of empirical evidence on actual participant outcomes versus theoretical possibilities.</w:t>
      </w:r>
    </w:p>
    <w:p w14:paraId="5CA208BB" w14:textId="77777777" w:rsidR="00354301" w:rsidRDefault="00354301" w:rsidP="00E67B44">
      <w:pPr>
        <w:jc w:val="both"/>
        <w:rPr>
          <w:rFonts w:eastAsiaTheme="majorEastAsia"/>
          <w:color w:val="000000" w:themeColor="text1"/>
        </w:rPr>
      </w:pPr>
    </w:p>
    <w:p w14:paraId="73BD0B1F" w14:textId="4FA3DEAA" w:rsidR="00354301" w:rsidRPr="00354301" w:rsidRDefault="00354301" w:rsidP="00E67B44">
      <w:pPr>
        <w:jc w:val="both"/>
        <w:rPr>
          <w:rFonts w:eastAsiaTheme="majorEastAsia"/>
          <w:color w:val="000000" w:themeColor="text1"/>
        </w:rPr>
      </w:pPr>
      <w:r w:rsidRPr="00354301">
        <w:rPr>
          <w:rFonts w:eastAsiaTheme="majorEastAsia"/>
          <w:b/>
          <w:bCs/>
          <w:color w:val="000000" w:themeColor="text1"/>
        </w:rPr>
        <w:t>Chapter 3</w:t>
      </w:r>
      <w:r w:rsidRPr="00354301">
        <w:rPr>
          <w:rFonts w:eastAsiaTheme="majorEastAsia"/>
          <w:color w:val="000000" w:themeColor="text1"/>
        </w:rPr>
        <w:t xml:space="preserve"> presents empirical evidence on cryptocurrency income mechanisms, analyzing staking, yield farming, liquidity provision, and affiliate programs. It develops an integrated theoretical framework for understanding the gap between technical possibility and economic viability in DeFi markets.</w:t>
      </w:r>
    </w:p>
    <w:p w14:paraId="5FFE08EA" w14:textId="77777777" w:rsidR="00354301" w:rsidRDefault="00354301" w:rsidP="00E67B44">
      <w:pPr>
        <w:jc w:val="both"/>
        <w:rPr>
          <w:rFonts w:eastAsiaTheme="majorEastAsia"/>
          <w:color w:val="000000" w:themeColor="text1"/>
        </w:rPr>
      </w:pPr>
    </w:p>
    <w:p w14:paraId="3660A25E" w14:textId="4F35DA21" w:rsidR="00354301" w:rsidRPr="00354301" w:rsidRDefault="00354301" w:rsidP="00E67B44">
      <w:pPr>
        <w:jc w:val="both"/>
        <w:rPr>
          <w:rFonts w:eastAsiaTheme="majorEastAsia"/>
          <w:color w:val="000000" w:themeColor="text1"/>
        </w:rPr>
      </w:pPr>
      <w:r w:rsidRPr="00354301">
        <w:rPr>
          <w:rFonts w:eastAsiaTheme="majorEastAsia"/>
          <w:b/>
          <w:bCs/>
          <w:color w:val="000000" w:themeColor="text1"/>
        </w:rPr>
        <w:t>Chapter 4</w:t>
      </w:r>
      <w:r w:rsidRPr="00354301">
        <w:rPr>
          <w:rFonts w:eastAsiaTheme="majorEastAsia"/>
          <w:color w:val="000000" w:themeColor="text1"/>
        </w:rPr>
        <w:t xml:space="preserve"> details the mixed-methods research methodology, explaining how 156 positions were tracked, 27 practitioners interviewed, and 3.27 million transactions analyzed. It discusses the purposive sampling strategy, data collection procedures, and analytical approaches used.</w:t>
      </w:r>
    </w:p>
    <w:p w14:paraId="7E879424" w14:textId="77777777" w:rsidR="00354301" w:rsidRDefault="00354301" w:rsidP="00E67B44">
      <w:pPr>
        <w:jc w:val="both"/>
        <w:rPr>
          <w:rFonts w:eastAsiaTheme="majorEastAsia"/>
          <w:color w:val="000000" w:themeColor="text1"/>
        </w:rPr>
      </w:pPr>
    </w:p>
    <w:p w14:paraId="3441BE99" w14:textId="2FA8EC8C" w:rsidR="00354301" w:rsidRPr="00354301" w:rsidRDefault="00354301" w:rsidP="00E67B44">
      <w:pPr>
        <w:jc w:val="both"/>
        <w:rPr>
          <w:rFonts w:eastAsiaTheme="majorEastAsia"/>
          <w:color w:val="000000" w:themeColor="text1"/>
        </w:rPr>
      </w:pPr>
      <w:r w:rsidRPr="00354301">
        <w:rPr>
          <w:rFonts w:eastAsiaTheme="majorEastAsia"/>
          <w:b/>
          <w:bCs/>
          <w:color w:val="000000" w:themeColor="text1"/>
        </w:rPr>
        <w:t>Chapter 5</w:t>
      </w:r>
      <w:r w:rsidRPr="00354301">
        <w:rPr>
          <w:rFonts w:eastAsiaTheme="majorEastAsia"/>
          <w:color w:val="000000" w:themeColor="text1"/>
        </w:rPr>
        <w:t xml:space="preserve"> examines transaction fee structures across 23 exchanges and their evolution during 2020-2024. It reveals how fee architectures create barriers that determine who can profitably participate, establishing the network viability thresholds referenced throughout the dissertation.</w:t>
      </w:r>
    </w:p>
    <w:p w14:paraId="094D5764" w14:textId="77777777" w:rsidR="00354301" w:rsidRDefault="00354301" w:rsidP="00E67B44">
      <w:pPr>
        <w:jc w:val="both"/>
        <w:rPr>
          <w:rFonts w:eastAsiaTheme="majorEastAsia"/>
          <w:color w:val="000000" w:themeColor="text1"/>
        </w:rPr>
      </w:pPr>
    </w:p>
    <w:p w14:paraId="5939D43D" w14:textId="324B2EC0" w:rsidR="00354301" w:rsidRPr="00354301" w:rsidRDefault="00354301" w:rsidP="00E67B44">
      <w:pPr>
        <w:jc w:val="both"/>
        <w:rPr>
          <w:rFonts w:eastAsiaTheme="majorEastAsia"/>
          <w:color w:val="000000" w:themeColor="text1"/>
        </w:rPr>
      </w:pPr>
      <w:r w:rsidRPr="00354301">
        <w:rPr>
          <w:rFonts w:eastAsiaTheme="majorEastAsia"/>
          <w:b/>
          <w:bCs/>
          <w:color w:val="000000" w:themeColor="text1"/>
        </w:rPr>
        <w:t>Chapter 6</w:t>
      </w:r>
      <w:r w:rsidRPr="00354301">
        <w:rPr>
          <w:rFonts w:eastAsiaTheme="majorEastAsia"/>
          <w:color w:val="000000" w:themeColor="text1"/>
        </w:rPr>
        <w:t xml:space="preserve"> analyzes protocol-level fee mechanisms across 17 blockchain networks, showing how consensus mechanisms and fee models create different participation opportunities and constraints at the infrastructure level.</w:t>
      </w:r>
    </w:p>
    <w:p w14:paraId="610028CF" w14:textId="77777777" w:rsidR="00354301" w:rsidRDefault="00354301" w:rsidP="00E67B44">
      <w:pPr>
        <w:jc w:val="both"/>
        <w:rPr>
          <w:rFonts w:eastAsiaTheme="majorEastAsia"/>
          <w:color w:val="000000" w:themeColor="text1"/>
        </w:rPr>
      </w:pPr>
    </w:p>
    <w:p w14:paraId="1A900E24" w14:textId="771E506C" w:rsidR="00354301" w:rsidRPr="00354301" w:rsidRDefault="00354301" w:rsidP="00E67B44">
      <w:pPr>
        <w:jc w:val="both"/>
        <w:rPr>
          <w:rFonts w:eastAsiaTheme="majorEastAsia"/>
          <w:color w:val="000000" w:themeColor="text1"/>
        </w:rPr>
      </w:pPr>
      <w:r w:rsidRPr="00354301">
        <w:rPr>
          <w:rFonts w:eastAsiaTheme="majorEastAsia"/>
          <w:b/>
          <w:bCs/>
          <w:color w:val="000000" w:themeColor="text1"/>
        </w:rPr>
        <w:t>Chapter 7</w:t>
      </w:r>
      <w:r w:rsidRPr="00354301">
        <w:rPr>
          <w:rFonts w:eastAsiaTheme="majorEastAsia"/>
          <w:color w:val="000000" w:themeColor="text1"/>
        </w:rPr>
        <w:t xml:space="preserve"> addresses risk architecture through analysis of 312 documented failures and 156 tracked positions. It documents why traditional risk frameworks fail in cryptocurrency markets and establishes the 35-45% annual loss probability that participants face.</w:t>
      </w:r>
    </w:p>
    <w:p w14:paraId="635E02B0" w14:textId="77777777" w:rsidR="00892EE4" w:rsidRDefault="00892EE4" w:rsidP="00E67B44">
      <w:pPr>
        <w:jc w:val="both"/>
        <w:rPr>
          <w:rFonts w:eastAsiaTheme="majorEastAsia"/>
          <w:b/>
          <w:bCs/>
          <w:color w:val="000000" w:themeColor="text1"/>
        </w:rPr>
      </w:pPr>
    </w:p>
    <w:p w14:paraId="237B36B9" w14:textId="70C8D345" w:rsidR="00354301" w:rsidRDefault="00354301" w:rsidP="00E67B44">
      <w:pPr>
        <w:jc w:val="both"/>
        <w:rPr>
          <w:rFonts w:eastAsiaTheme="majorEastAsia"/>
          <w:color w:val="000000" w:themeColor="text1"/>
        </w:rPr>
      </w:pPr>
      <w:r w:rsidRPr="00354301">
        <w:rPr>
          <w:rFonts w:eastAsiaTheme="majorEastAsia"/>
          <w:b/>
          <w:bCs/>
          <w:color w:val="000000" w:themeColor="text1"/>
        </w:rPr>
        <w:t>Chapter 8</w:t>
      </w:r>
      <w:r w:rsidRPr="00354301">
        <w:rPr>
          <w:rFonts w:eastAsiaTheme="majorEastAsia"/>
          <w:color w:val="000000" w:themeColor="text1"/>
        </w:rPr>
        <w:t xml:space="preserve"> presents the core empirical findings on passive income mechanisms, revealing that 73% of tracked positions were unprofitable after accounting for all costs. It identifies what </w:t>
      </w:r>
      <w:proofErr w:type="gramStart"/>
      <w:r w:rsidRPr="00354301">
        <w:rPr>
          <w:rFonts w:eastAsiaTheme="majorEastAsia"/>
          <w:color w:val="000000" w:themeColor="text1"/>
        </w:rPr>
        <w:t>actually worked</w:t>
      </w:r>
      <w:proofErr w:type="gramEnd"/>
      <w:r w:rsidRPr="00354301">
        <w:rPr>
          <w:rFonts w:eastAsiaTheme="majorEastAsia"/>
          <w:color w:val="000000" w:themeColor="text1"/>
        </w:rPr>
        <w:t xml:space="preserve"> versus what destroyed capital.</w:t>
      </w:r>
    </w:p>
    <w:p w14:paraId="1B5E00B4" w14:textId="77777777" w:rsidR="00354301" w:rsidRPr="00354301" w:rsidRDefault="00354301" w:rsidP="00E67B44">
      <w:pPr>
        <w:jc w:val="both"/>
        <w:rPr>
          <w:rFonts w:eastAsiaTheme="majorEastAsia"/>
          <w:color w:val="000000" w:themeColor="text1"/>
        </w:rPr>
      </w:pPr>
    </w:p>
    <w:p w14:paraId="48EF2129" w14:textId="77777777" w:rsidR="00354301" w:rsidRPr="00354301" w:rsidRDefault="00354301" w:rsidP="00E67B44">
      <w:pPr>
        <w:jc w:val="both"/>
        <w:rPr>
          <w:rFonts w:eastAsiaTheme="majorEastAsia"/>
          <w:color w:val="000000" w:themeColor="text1"/>
        </w:rPr>
      </w:pPr>
      <w:r w:rsidRPr="00354301">
        <w:rPr>
          <w:rFonts w:eastAsiaTheme="majorEastAsia"/>
          <w:b/>
          <w:bCs/>
          <w:color w:val="000000" w:themeColor="text1"/>
        </w:rPr>
        <w:t>Chapter 9</w:t>
      </w:r>
      <w:r w:rsidRPr="00354301">
        <w:rPr>
          <w:rFonts w:eastAsiaTheme="majorEastAsia"/>
          <w:color w:val="000000" w:themeColor="text1"/>
        </w:rPr>
        <w:t xml:space="preserve"> explores future scenarios through agent-based simulation of 10,000 synthetic positions. It examines four plausible evolutionary paths for DeFi and demonstrates why current opportunities represent temporary arbitrage rather than sustainable business models.</w:t>
      </w:r>
    </w:p>
    <w:p w14:paraId="12187742" w14:textId="77777777" w:rsidR="00354301" w:rsidRDefault="00354301" w:rsidP="00E67B44">
      <w:pPr>
        <w:rPr>
          <w:rFonts w:eastAsiaTheme="majorEastAsia"/>
          <w:color w:val="000000" w:themeColor="text1"/>
        </w:rPr>
      </w:pPr>
    </w:p>
    <w:p w14:paraId="18D80673" w14:textId="09BC265D" w:rsidR="00354301" w:rsidRDefault="00354301" w:rsidP="00E67B44">
      <w:pPr>
        <w:jc w:val="both"/>
        <w:rPr>
          <w:rFonts w:eastAsiaTheme="majorEastAsia"/>
          <w:color w:val="000000" w:themeColor="text1"/>
        </w:rPr>
      </w:pPr>
      <w:r w:rsidRPr="00354301">
        <w:rPr>
          <w:rFonts w:eastAsiaTheme="majorEastAsia"/>
          <w:b/>
          <w:bCs/>
          <w:color w:val="000000" w:themeColor="text1"/>
        </w:rPr>
        <w:t>Chapter 10</w:t>
      </w:r>
      <w:r w:rsidRPr="00354301">
        <w:rPr>
          <w:rFonts w:eastAsiaTheme="majorEastAsia"/>
          <w:color w:val="000000" w:themeColor="text1"/>
        </w:rPr>
        <w:t xml:space="preserve"> provides practical implementation guidance, examining why optimization often fails for most participants. It offers specific frameworks for matching resources to strategies across different capital levels.</w:t>
      </w:r>
    </w:p>
    <w:p w14:paraId="18AEECB9" w14:textId="77777777" w:rsidR="00354301" w:rsidRPr="00354301" w:rsidRDefault="00354301" w:rsidP="00E67B44">
      <w:pPr>
        <w:jc w:val="both"/>
        <w:rPr>
          <w:rFonts w:eastAsiaTheme="majorEastAsia"/>
          <w:color w:val="000000" w:themeColor="text1"/>
        </w:rPr>
      </w:pPr>
    </w:p>
    <w:p w14:paraId="327C3A7A" w14:textId="2FFD5A6D" w:rsidR="00354301" w:rsidRPr="00DA32D2" w:rsidRDefault="00354301" w:rsidP="00E67B44">
      <w:pPr>
        <w:jc w:val="both"/>
        <w:rPr>
          <w:rFonts w:eastAsiaTheme="majorEastAsia"/>
          <w:color w:val="000000" w:themeColor="text1"/>
        </w:rPr>
      </w:pPr>
      <w:r w:rsidRPr="00DA32D2">
        <w:rPr>
          <w:rFonts w:eastAsiaTheme="majorEastAsia"/>
          <w:b/>
          <w:bCs/>
          <w:color w:val="000000" w:themeColor="text1"/>
        </w:rPr>
        <w:t>Chapter 11</w:t>
      </w:r>
      <w:r w:rsidRPr="00DA32D2">
        <w:rPr>
          <w:rFonts w:eastAsiaTheme="majorEastAsia"/>
          <w:color w:val="000000" w:themeColor="text1"/>
        </w:rPr>
        <w:t xml:space="preserve"> </w:t>
      </w:r>
      <w:r w:rsidR="00DA32D2" w:rsidRPr="00DA32D2">
        <w:rPr>
          <w:color w:val="000000" w:themeColor="text1"/>
        </w:rPr>
        <w:t>summarizes the</w:t>
      </w:r>
      <w:r w:rsidR="009D12A7" w:rsidRPr="00DA32D2">
        <w:rPr>
          <w:color w:val="000000" w:themeColor="text1"/>
        </w:rPr>
        <w:t xml:space="preserve"> theoretical contributions and practical conclusions, addressing what the research reveals about financial democratization and the reality of 'conditional democratization' in DeFi.</w:t>
      </w:r>
    </w:p>
    <w:p w14:paraId="7984F205" w14:textId="77777777" w:rsidR="00581410" w:rsidRPr="003C66A0" w:rsidRDefault="00581410" w:rsidP="00E67B44">
      <w:pPr>
        <w:jc w:val="both"/>
        <w:rPr>
          <w:rFonts w:eastAsiaTheme="majorEastAsia"/>
          <w:b/>
          <w:bCs/>
          <w:color w:val="000000" w:themeColor="text1"/>
        </w:rPr>
      </w:pPr>
      <w:r w:rsidRPr="003C66A0">
        <w:rPr>
          <w:rFonts w:eastAsiaTheme="majorEastAsia"/>
          <w:b/>
          <w:bCs/>
          <w:color w:val="000000" w:themeColor="text1"/>
        </w:rPr>
        <w:br w:type="page"/>
      </w:r>
    </w:p>
    <w:p w14:paraId="2DD4F37F" w14:textId="31DCAA7B" w:rsidR="000F3578" w:rsidRDefault="000F3578" w:rsidP="00B451D7">
      <w:pPr>
        <w:pStyle w:val="Heading1"/>
        <w:jc w:val="center"/>
        <w:rPr>
          <w:rFonts w:eastAsiaTheme="majorEastAsia"/>
        </w:rPr>
      </w:pPr>
      <w:bookmarkStart w:id="23" w:name="_Toc214721829"/>
      <w:r w:rsidRPr="003C66A0">
        <w:rPr>
          <w:rFonts w:eastAsiaTheme="majorEastAsia"/>
        </w:rPr>
        <w:lastRenderedPageBreak/>
        <w:t>CHAPTER 2: LITERATURE REVIEW</w:t>
      </w:r>
      <w:bookmarkEnd w:id="23"/>
    </w:p>
    <w:p w14:paraId="33D42B31" w14:textId="77777777" w:rsidR="00A80D43" w:rsidRPr="00A80D43" w:rsidRDefault="00A80D43" w:rsidP="00B451D7">
      <w:pPr>
        <w:rPr>
          <w:rFonts w:eastAsiaTheme="majorEastAsia"/>
        </w:rPr>
      </w:pPr>
    </w:p>
    <w:p w14:paraId="42ED5AD2" w14:textId="77777777" w:rsidR="00245769" w:rsidRDefault="00245769" w:rsidP="00B451D7">
      <w:pPr>
        <w:jc w:val="both"/>
        <w:rPr>
          <w:rFonts w:eastAsiaTheme="majorEastAsia"/>
          <w:b/>
          <w:bCs/>
          <w:color w:val="000000" w:themeColor="text1"/>
        </w:rPr>
      </w:pPr>
    </w:p>
    <w:p w14:paraId="5D8E1D6F" w14:textId="5886B57D" w:rsidR="000F3578" w:rsidRPr="003C66A0" w:rsidRDefault="000F3578" w:rsidP="00B451D7">
      <w:pPr>
        <w:pStyle w:val="Heading2"/>
        <w:rPr>
          <w:rFonts w:eastAsiaTheme="majorEastAsia"/>
        </w:rPr>
      </w:pPr>
      <w:bookmarkStart w:id="24" w:name="_Toc214721830"/>
      <w:r w:rsidRPr="003C66A0">
        <w:rPr>
          <w:rFonts w:eastAsiaTheme="majorEastAsia"/>
        </w:rPr>
        <w:t xml:space="preserve">2.1 </w:t>
      </w:r>
      <w:r w:rsidR="00917A1D" w:rsidRPr="003C66A0">
        <w:rPr>
          <w:rFonts w:eastAsiaTheme="majorEastAsia"/>
        </w:rPr>
        <w:t>Theoretical Foundations of Financial Intermediation and DeFi</w:t>
      </w:r>
      <w:bookmarkEnd w:id="24"/>
    </w:p>
    <w:p w14:paraId="186A825F" w14:textId="5DA1ED13" w:rsidR="00DD1DA4" w:rsidRPr="003C66A0" w:rsidRDefault="00DD1DA4" w:rsidP="00B451D7">
      <w:pPr>
        <w:jc w:val="both"/>
        <w:rPr>
          <w:rFonts w:eastAsiaTheme="majorEastAsia"/>
          <w:bCs/>
          <w:color w:val="000000" w:themeColor="text1"/>
        </w:rPr>
      </w:pPr>
      <w:r w:rsidRPr="003C66A0">
        <w:rPr>
          <w:rFonts w:eastAsiaTheme="majorEastAsia"/>
          <w:bCs/>
          <w:color w:val="000000" w:themeColor="text1"/>
        </w:rPr>
        <w:t xml:space="preserve">The central promise of decentralized finance </w:t>
      </w:r>
      <w:proofErr w:type="gramStart"/>
      <w:r w:rsidRPr="003C66A0">
        <w:rPr>
          <w:rFonts w:eastAsiaTheme="majorEastAsia"/>
          <w:bCs/>
          <w:color w:val="000000" w:themeColor="text1"/>
        </w:rPr>
        <w:t>rest</w:t>
      </w:r>
      <w:proofErr w:type="gramEnd"/>
      <w:r w:rsidRPr="003C66A0">
        <w:rPr>
          <w:rFonts w:eastAsiaTheme="majorEastAsia"/>
          <w:bCs/>
          <w:color w:val="000000" w:themeColor="text1"/>
        </w:rPr>
        <w:t xml:space="preserve"> on the idea that blockchain technology can make traditional financial intermediaries </w:t>
      </w:r>
      <w:r w:rsidR="00892EE4" w:rsidRPr="003C66A0">
        <w:rPr>
          <w:rFonts w:eastAsiaTheme="majorEastAsia"/>
          <w:bCs/>
          <w:color w:val="000000" w:themeColor="text1"/>
        </w:rPr>
        <w:t>entirely</w:t>
      </w:r>
      <w:r w:rsidRPr="003C66A0">
        <w:rPr>
          <w:rFonts w:eastAsiaTheme="majorEastAsia"/>
          <w:bCs/>
          <w:color w:val="000000" w:themeColor="text1"/>
        </w:rPr>
        <w:t xml:space="preserve"> obsolete. But to really assess this claim, it first must </w:t>
      </w:r>
      <w:r w:rsidR="00A80D43" w:rsidRPr="003C66A0">
        <w:rPr>
          <w:rFonts w:eastAsiaTheme="majorEastAsia"/>
          <w:bCs/>
          <w:color w:val="000000" w:themeColor="text1"/>
        </w:rPr>
        <w:t>understand</w:t>
      </w:r>
      <w:r w:rsidRPr="003C66A0">
        <w:rPr>
          <w:rFonts w:eastAsiaTheme="majorEastAsia"/>
          <w:bCs/>
          <w:color w:val="000000" w:themeColor="text1"/>
        </w:rPr>
        <w:t xml:space="preserve"> why intermediaries even exist in the first </w:t>
      </w:r>
      <w:proofErr w:type="gramStart"/>
      <w:r w:rsidRPr="003C66A0">
        <w:rPr>
          <w:rFonts w:eastAsiaTheme="majorEastAsia"/>
          <w:bCs/>
          <w:color w:val="000000" w:themeColor="text1"/>
        </w:rPr>
        <w:t>place?</w:t>
      </w:r>
      <w:proofErr w:type="gramEnd"/>
      <w:r w:rsidRPr="003C66A0">
        <w:rPr>
          <w:rFonts w:eastAsiaTheme="majorEastAsia"/>
          <w:bCs/>
          <w:color w:val="000000" w:themeColor="text1"/>
        </w:rPr>
        <w:t xml:space="preserve"> Diamond (1984) laid the groundwork for understanding this back in the 1980s with his work on delegated monitoring. What he showed was that </w:t>
      </w:r>
      <w:r w:rsidR="00892EE4" w:rsidRPr="003C66A0">
        <w:rPr>
          <w:rFonts w:eastAsiaTheme="majorEastAsia"/>
          <w:bCs/>
          <w:color w:val="000000" w:themeColor="text1"/>
        </w:rPr>
        <w:t>banks are</w:t>
      </w:r>
      <w:r w:rsidRPr="003C66A0">
        <w:rPr>
          <w:rFonts w:eastAsiaTheme="majorEastAsia"/>
          <w:bCs/>
          <w:color w:val="000000" w:themeColor="text1"/>
        </w:rPr>
        <w:t xml:space="preserve"> not just historical </w:t>
      </w:r>
      <w:r w:rsidR="00A80D43" w:rsidRPr="003C66A0">
        <w:rPr>
          <w:rFonts w:eastAsiaTheme="majorEastAsia"/>
          <w:bCs/>
          <w:color w:val="000000" w:themeColor="text1"/>
        </w:rPr>
        <w:t>artifacts,</w:t>
      </w:r>
      <w:r w:rsidRPr="003C66A0">
        <w:rPr>
          <w:rFonts w:eastAsiaTheme="majorEastAsia"/>
          <w:bCs/>
          <w:color w:val="000000" w:themeColor="text1"/>
        </w:rPr>
        <w:t xml:space="preserve"> but they emerge naturally as solutions to information </w:t>
      </w:r>
      <w:proofErr w:type="gramStart"/>
      <w:r w:rsidRPr="003C66A0">
        <w:rPr>
          <w:rFonts w:eastAsiaTheme="majorEastAsia"/>
          <w:bCs/>
          <w:color w:val="000000" w:themeColor="text1"/>
        </w:rPr>
        <w:t>asymmetry</w:t>
      </w:r>
      <w:proofErr w:type="gramEnd"/>
      <w:r w:rsidRPr="003C66A0">
        <w:rPr>
          <w:rFonts w:eastAsiaTheme="majorEastAsia"/>
          <w:bCs/>
          <w:color w:val="000000" w:themeColor="text1"/>
        </w:rPr>
        <w:t xml:space="preserve"> problems. It's fundamentally more efficient, Diamond argued, for a single entity to monitor borrowers on behalf of multiple depositors rather than having each depositor conduct their own due diligence and monitor </w:t>
      </w:r>
      <w:r w:rsidR="00892EE4" w:rsidRPr="003C66A0">
        <w:rPr>
          <w:rFonts w:eastAsiaTheme="majorEastAsia"/>
          <w:bCs/>
          <w:color w:val="000000" w:themeColor="text1"/>
        </w:rPr>
        <w:t>their</w:t>
      </w:r>
      <w:r w:rsidRPr="003C66A0">
        <w:rPr>
          <w:rFonts w:eastAsiaTheme="majorEastAsia"/>
          <w:bCs/>
          <w:color w:val="000000" w:themeColor="text1"/>
        </w:rPr>
        <w:t xml:space="preserve"> borrowers. </w:t>
      </w:r>
      <w:r w:rsidR="00892EE4">
        <w:rPr>
          <w:rFonts w:eastAsiaTheme="majorEastAsia"/>
          <w:bCs/>
          <w:color w:val="000000" w:themeColor="text1"/>
        </w:rPr>
        <w:t>T</w:t>
      </w:r>
      <w:r w:rsidRPr="003C66A0">
        <w:rPr>
          <w:rFonts w:eastAsiaTheme="majorEastAsia"/>
          <w:bCs/>
          <w:color w:val="000000" w:themeColor="text1"/>
        </w:rPr>
        <w:t>he further argued that this is not just about convenience but demonstrated that it's about core economic efficiency in how we allocate resources (Diamond, 1984).</w:t>
      </w:r>
    </w:p>
    <w:p w14:paraId="491840B1" w14:textId="77777777" w:rsidR="00DD1DA4" w:rsidRPr="003C66A0" w:rsidRDefault="00DD1DA4" w:rsidP="00B451D7">
      <w:pPr>
        <w:jc w:val="both"/>
        <w:rPr>
          <w:rFonts w:eastAsiaTheme="majorEastAsia"/>
          <w:bCs/>
          <w:color w:val="000000" w:themeColor="text1"/>
        </w:rPr>
      </w:pPr>
    </w:p>
    <w:p w14:paraId="42769965" w14:textId="6606AB9A" w:rsidR="00DD1DA4" w:rsidRDefault="00DD1DA4" w:rsidP="00B451D7">
      <w:pPr>
        <w:jc w:val="both"/>
        <w:rPr>
          <w:rFonts w:eastAsiaTheme="majorEastAsia"/>
          <w:bCs/>
          <w:color w:val="000000" w:themeColor="text1"/>
        </w:rPr>
      </w:pPr>
      <w:r w:rsidRPr="003C66A0">
        <w:rPr>
          <w:rFonts w:eastAsiaTheme="majorEastAsia"/>
          <w:bCs/>
          <w:color w:val="000000" w:themeColor="text1"/>
        </w:rPr>
        <w:t xml:space="preserve">Boyd and Prescott (1986) pushed this thinking further by examining how intermediaries generate value using their specialized capacity to evaluate complex projects/transactions. A good example here is to consider the reality here: how many retail investors possess the expertise to properly assess the creditworthiness of a leveraged buyout or a complex syndicated loan? There are very few, if any. This specialized evaluation capability that Boyd and Prescott (1986) identified is not some minor add-on service that the banks came up with. It is essential to how modern finance functions work. Allen and </w:t>
      </w:r>
      <w:proofErr w:type="spellStart"/>
      <w:r w:rsidRPr="003C66A0">
        <w:rPr>
          <w:rFonts w:eastAsiaTheme="majorEastAsia"/>
          <w:bCs/>
          <w:color w:val="000000" w:themeColor="text1"/>
        </w:rPr>
        <w:t>Santomero</w:t>
      </w:r>
      <w:proofErr w:type="spellEnd"/>
      <w:r w:rsidRPr="003C66A0">
        <w:rPr>
          <w:rFonts w:eastAsiaTheme="majorEastAsia"/>
          <w:bCs/>
          <w:color w:val="000000" w:themeColor="text1"/>
        </w:rPr>
        <w:t xml:space="preserve"> (1997) added another layer to </w:t>
      </w:r>
      <w:proofErr w:type="gramStart"/>
      <w:r w:rsidRPr="003C66A0">
        <w:rPr>
          <w:rFonts w:eastAsiaTheme="majorEastAsia"/>
          <w:bCs/>
          <w:color w:val="000000" w:themeColor="text1"/>
        </w:rPr>
        <w:t>the understanding</w:t>
      </w:r>
      <w:proofErr w:type="gramEnd"/>
      <w:r w:rsidRPr="003C66A0">
        <w:rPr>
          <w:rFonts w:eastAsiaTheme="majorEastAsia"/>
          <w:bCs/>
          <w:color w:val="000000" w:themeColor="text1"/>
        </w:rPr>
        <w:t xml:space="preserve">. They documented the risk management role of intermediaries. Financial institutions do not simply channel funds from savers to </w:t>
      </w:r>
      <w:r w:rsidR="00A80D43" w:rsidRPr="003C66A0">
        <w:rPr>
          <w:rFonts w:eastAsiaTheme="majorEastAsia"/>
          <w:bCs/>
          <w:color w:val="000000" w:themeColor="text1"/>
        </w:rPr>
        <w:t>borrowers,</w:t>
      </w:r>
      <w:r w:rsidRPr="003C66A0">
        <w:rPr>
          <w:rFonts w:eastAsiaTheme="majorEastAsia"/>
          <w:bCs/>
          <w:color w:val="000000" w:themeColor="text1"/>
        </w:rPr>
        <w:t xml:space="preserve"> but they actively transform and repackage risks in ways that individual market participants would find nearly impossible to replicate on their own.</w:t>
      </w:r>
    </w:p>
    <w:p w14:paraId="429C67E7" w14:textId="77777777" w:rsidR="00354301" w:rsidRPr="003C66A0" w:rsidRDefault="00354301" w:rsidP="00B451D7">
      <w:pPr>
        <w:jc w:val="both"/>
        <w:rPr>
          <w:rFonts w:eastAsiaTheme="majorEastAsia"/>
          <w:bCs/>
          <w:color w:val="000000" w:themeColor="text1"/>
        </w:rPr>
      </w:pPr>
    </w:p>
    <w:p w14:paraId="5AE7A263" w14:textId="6EFFAFB4" w:rsidR="00DD1DA4" w:rsidRPr="003C66A0" w:rsidRDefault="00DD1DA4" w:rsidP="00B451D7">
      <w:pPr>
        <w:jc w:val="both"/>
        <w:rPr>
          <w:rFonts w:eastAsiaTheme="majorEastAsia"/>
          <w:bCs/>
          <w:color w:val="000000" w:themeColor="text1"/>
        </w:rPr>
      </w:pPr>
      <w:r w:rsidRPr="003C66A0">
        <w:rPr>
          <w:rFonts w:eastAsiaTheme="majorEastAsia"/>
          <w:bCs/>
          <w:color w:val="000000" w:themeColor="text1"/>
        </w:rPr>
        <w:t xml:space="preserve">What is crucial to understand - and Allen and </w:t>
      </w:r>
      <w:proofErr w:type="spellStart"/>
      <w:r w:rsidRPr="003C66A0">
        <w:rPr>
          <w:rFonts w:eastAsiaTheme="majorEastAsia"/>
          <w:bCs/>
          <w:color w:val="000000" w:themeColor="text1"/>
        </w:rPr>
        <w:t>Santomero</w:t>
      </w:r>
      <w:proofErr w:type="spellEnd"/>
      <w:r w:rsidRPr="003C66A0">
        <w:rPr>
          <w:rFonts w:eastAsiaTheme="majorEastAsia"/>
          <w:bCs/>
          <w:color w:val="000000" w:themeColor="text1"/>
        </w:rPr>
        <w:t xml:space="preserve"> (1997) make this point very clear in their </w:t>
      </w:r>
      <w:r w:rsidR="00892EE4" w:rsidRPr="003C66A0">
        <w:rPr>
          <w:rFonts w:eastAsiaTheme="majorEastAsia"/>
          <w:bCs/>
          <w:color w:val="000000" w:themeColor="text1"/>
        </w:rPr>
        <w:t>research</w:t>
      </w:r>
      <w:r w:rsidRPr="003C66A0">
        <w:rPr>
          <w:rFonts w:eastAsiaTheme="majorEastAsia"/>
          <w:bCs/>
          <w:color w:val="000000" w:themeColor="text1"/>
        </w:rPr>
        <w:t xml:space="preserve"> - is that these are not arbitrary services that banks created to justify their existence and extract rents. These functions arise from fundamental frictions inherent in financial markets such as information asymmetries, evaluation costs, and risk transformation needs. These can </w:t>
      </w:r>
      <w:proofErr w:type="gramStart"/>
      <w:r w:rsidRPr="003C66A0">
        <w:rPr>
          <w:rFonts w:eastAsiaTheme="majorEastAsia"/>
          <w:bCs/>
          <w:color w:val="000000" w:themeColor="text1"/>
        </w:rPr>
        <w:t>be considered to be</w:t>
      </w:r>
      <w:proofErr w:type="gramEnd"/>
      <w:r w:rsidRPr="003C66A0">
        <w:rPr>
          <w:rFonts w:eastAsiaTheme="majorEastAsia"/>
          <w:bCs/>
          <w:color w:val="000000" w:themeColor="text1"/>
        </w:rPr>
        <w:t xml:space="preserve"> the structural features of finance itself and not temporary inconveniences. The question we really need to ask about DeFi is this: does it genuinely eliminate these underlying frictions, or does it simply reorganize them in different ways?</w:t>
      </w:r>
    </w:p>
    <w:p w14:paraId="034DA2FC" w14:textId="77777777" w:rsidR="00DD1DA4" w:rsidRPr="003C66A0" w:rsidRDefault="00DD1DA4" w:rsidP="00B451D7">
      <w:pPr>
        <w:jc w:val="both"/>
        <w:rPr>
          <w:rFonts w:eastAsiaTheme="majorEastAsia"/>
          <w:bCs/>
          <w:color w:val="000000" w:themeColor="text1"/>
        </w:rPr>
      </w:pPr>
    </w:p>
    <w:p w14:paraId="54724A0E" w14:textId="018512E7" w:rsidR="00DD1DA4" w:rsidRPr="003C66A0" w:rsidRDefault="00DD1DA4" w:rsidP="00B451D7">
      <w:pPr>
        <w:jc w:val="both"/>
        <w:rPr>
          <w:rFonts w:eastAsiaTheme="majorEastAsia"/>
          <w:bCs/>
          <w:color w:val="000000" w:themeColor="text1"/>
        </w:rPr>
      </w:pPr>
      <w:proofErr w:type="spellStart"/>
      <w:r w:rsidRPr="003C66A0">
        <w:rPr>
          <w:rFonts w:eastAsiaTheme="majorEastAsia"/>
          <w:bCs/>
          <w:color w:val="000000" w:themeColor="text1"/>
        </w:rPr>
        <w:t>Schär</w:t>
      </w:r>
      <w:proofErr w:type="spellEnd"/>
      <w:r w:rsidRPr="003C66A0">
        <w:rPr>
          <w:rFonts w:eastAsiaTheme="majorEastAsia"/>
          <w:bCs/>
          <w:color w:val="000000" w:themeColor="text1"/>
        </w:rPr>
        <w:t xml:space="preserve"> (2021) offers what is arguably the most comprehensive academic analysis of DeFi's potential to date. He makes a compelling case that smart contracts can replicate many traditional intermediary functions. </w:t>
      </w:r>
      <w:r w:rsidR="00531F18" w:rsidRPr="003C66A0">
        <w:rPr>
          <w:rFonts w:eastAsiaTheme="majorEastAsia"/>
          <w:bCs/>
          <w:color w:val="000000" w:themeColor="text1"/>
        </w:rPr>
        <w:t>Let’s</w:t>
      </w:r>
      <w:r w:rsidRPr="003C66A0">
        <w:rPr>
          <w:rFonts w:eastAsiaTheme="majorEastAsia"/>
          <w:bCs/>
          <w:color w:val="000000" w:themeColor="text1"/>
        </w:rPr>
        <w:t xml:space="preserve"> </w:t>
      </w:r>
      <w:r w:rsidR="00892EE4" w:rsidRPr="003C66A0">
        <w:rPr>
          <w:rFonts w:eastAsiaTheme="majorEastAsia"/>
          <w:bCs/>
          <w:color w:val="000000" w:themeColor="text1"/>
        </w:rPr>
        <w:t>consider</w:t>
      </w:r>
      <w:r w:rsidRPr="003C66A0">
        <w:rPr>
          <w:rFonts w:eastAsiaTheme="majorEastAsia"/>
          <w:bCs/>
          <w:color w:val="000000" w:themeColor="text1"/>
        </w:rPr>
        <w:t xml:space="preserve"> automated market makers like Uniswap. </w:t>
      </w:r>
      <w:proofErr w:type="spellStart"/>
      <w:r w:rsidRPr="003C66A0">
        <w:rPr>
          <w:rFonts w:eastAsiaTheme="majorEastAsia"/>
          <w:bCs/>
          <w:color w:val="000000" w:themeColor="text1"/>
        </w:rPr>
        <w:t>Schär</w:t>
      </w:r>
      <w:proofErr w:type="spellEnd"/>
      <w:r w:rsidRPr="003C66A0">
        <w:rPr>
          <w:rFonts w:eastAsiaTheme="majorEastAsia"/>
          <w:bCs/>
          <w:color w:val="000000" w:themeColor="text1"/>
        </w:rPr>
        <w:t xml:space="preserve"> argues here that these represent genuine financial innovation and enable continuous liquidity provision without the need for traditional market makers. It's not just theoretical either; these protocols </w:t>
      </w:r>
      <w:proofErr w:type="gramStart"/>
      <w:r w:rsidRPr="003C66A0">
        <w:rPr>
          <w:rFonts w:eastAsiaTheme="majorEastAsia"/>
          <w:bCs/>
          <w:color w:val="000000" w:themeColor="text1"/>
        </w:rPr>
        <w:t>are</w:t>
      </w:r>
      <w:proofErr w:type="gramEnd"/>
      <w:r w:rsidRPr="003C66A0">
        <w:rPr>
          <w:rFonts w:eastAsiaTheme="majorEastAsia"/>
          <w:bCs/>
          <w:color w:val="000000" w:themeColor="text1"/>
        </w:rPr>
        <w:t xml:space="preserve"> processing billions in volume every day for the last years. Harvey et al. (2021) </w:t>
      </w:r>
      <w:proofErr w:type="gramStart"/>
      <w:r w:rsidRPr="003C66A0">
        <w:rPr>
          <w:rFonts w:eastAsiaTheme="majorEastAsia"/>
          <w:bCs/>
          <w:color w:val="000000" w:themeColor="text1"/>
        </w:rPr>
        <w:t>take</w:t>
      </w:r>
      <w:proofErr w:type="gramEnd"/>
      <w:r w:rsidRPr="003C66A0">
        <w:rPr>
          <w:rFonts w:eastAsiaTheme="majorEastAsia"/>
          <w:bCs/>
          <w:color w:val="000000" w:themeColor="text1"/>
        </w:rPr>
        <w:t xml:space="preserve"> an even stronger position, arguing that DeFi constitutes nothing less than a paradigm shift in how we think about finance. They document how lending protocols like Compound and </w:t>
      </w:r>
      <w:proofErr w:type="spellStart"/>
      <w:r w:rsidRPr="003C66A0">
        <w:rPr>
          <w:rFonts w:eastAsiaTheme="majorEastAsia"/>
          <w:bCs/>
          <w:color w:val="000000" w:themeColor="text1"/>
        </w:rPr>
        <w:t>Aave</w:t>
      </w:r>
      <w:proofErr w:type="spellEnd"/>
      <w:r w:rsidRPr="003C66A0">
        <w:rPr>
          <w:rFonts w:eastAsiaTheme="majorEastAsia"/>
          <w:bCs/>
          <w:color w:val="000000" w:themeColor="text1"/>
        </w:rPr>
        <w:t xml:space="preserve"> have created markets that operate continuously - 24/7, 365 days a year - without any human intervention whatsoever. Harvey et al. (2021) see this as fundamentally different from traditional finance, not just an incremental improvement.</w:t>
      </w:r>
    </w:p>
    <w:p w14:paraId="3F8FD0E2" w14:textId="77777777" w:rsidR="00DD1DA4" w:rsidRPr="003C66A0" w:rsidRDefault="00DD1DA4" w:rsidP="00B451D7">
      <w:pPr>
        <w:jc w:val="both"/>
        <w:rPr>
          <w:rFonts w:eastAsiaTheme="majorEastAsia"/>
          <w:bCs/>
          <w:color w:val="000000" w:themeColor="text1"/>
        </w:rPr>
      </w:pPr>
    </w:p>
    <w:p w14:paraId="0B4D37C2" w14:textId="23D63CBF" w:rsidR="00DD1DA4" w:rsidRPr="003C66A0" w:rsidRDefault="00DD1DA4" w:rsidP="00B451D7">
      <w:pPr>
        <w:jc w:val="both"/>
        <w:rPr>
          <w:rFonts w:eastAsiaTheme="majorEastAsia"/>
          <w:bCs/>
          <w:color w:val="000000" w:themeColor="text1"/>
        </w:rPr>
      </w:pPr>
      <w:r w:rsidRPr="003C66A0">
        <w:rPr>
          <w:rFonts w:eastAsiaTheme="majorEastAsia"/>
          <w:bCs/>
          <w:color w:val="000000" w:themeColor="text1"/>
        </w:rPr>
        <w:t xml:space="preserve">Yet the academic consensus begins to take on two sides precisely at this point. While researchers like </w:t>
      </w:r>
      <w:proofErr w:type="spellStart"/>
      <w:r w:rsidRPr="003C66A0">
        <w:rPr>
          <w:rFonts w:eastAsiaTheme="majorEastAsia"/>
          <w:bCs/>
          <w:color w:val="000000" w:themeColor="text1"/>
        </w:rPr>
        <w:t>Schär</w:t>
      </w:r>
      <w:proofErr w:type="spellEnd"/>
      <w:r w:rsidRPr="003C66A0">
        <w:rPr>
          <w:rFonts w:eastAsiaTheme="majorEastAsia"/>
          <w:bCs/>
          <w:color w:val="000000" w:themeColor="text1"/>
        </w:rPr>
        <w:t xml:space="preserve"> (2021) and Harvey et al. (2021) emphasize the technical possibilities and innovations </w:t>
      </w:r>
      <w:r w:rsidRPr="003C66A0">
        <w:rPr>
          <w:rFonts w:eastAsiaTheme="majorEastAsia"/>
          <w:bCs/>
          <w:color w:val="000000" w:themeColor="text1"/>
        </w:rPr>
        <w:lastRenderedPageBreak/>
        <w:t xml:space="preserve">of DeFi, others have started raising uncomfortable questions about whether technical functionality </w:t>
      </w:r>
      <w:proofErr w:type="gramStart"/>
      <w:r w:rsidRPr="003C66A0">
        <w:rPr>
          <w:rFonts w:eastAsiaTheme="majorEastAsia"/>
          <w:bCs/>
          <w:color w:val="000000" w:themeColor="text1"/>
        </w:rPr>
        <w:t>actually translates</w:t>
      </w:r>
      <w:proofErr w:type="gramEnd"/>
      <w:r w:rsidRPr="003C66A0">
        <w:rPr>
          <w:rFonts w:eastAsiaTheme="majorEastAsia"/>
          <w:bCs/>
          <w:color w:val="000000" w:themeColor="text1"/>
        </w:rPr>
        <w:t xml:space="preserve"> into economic viability and genuine decentralization. </w:t>
      </w:r>
      <w:proofErr w:type="spellStart"/>
      <w:r w:rsidRPr="003C66A0">
        <w:rPr>
          <w:rFonts w:eastAsiaTheme="majorEastAsia"/>
          <w:bCs/>
          <w:color w:val="000000" w:themeColor="text1"/>
        </w:rPr>
        <w:t>Aramonte</w:t>
      </w:r>
      <w:proofErr w:type="spellEnd"/>
      <w:r w:rsidRPr="003C66A0">
        <w:rPr>
          <w:rFonts w:eastAsiaTheme="majorEastAsia"/>
          <w:bCs/>
          <w:color w:val="000000" w:themeColor="text1"/>
        </w:rPr>
        <w:t xml:space="preserve"> et al. (2021), writing in the BIS Quarterly Review, published what might </w:t>
      </w:r>
      <w:r w:rsidR="00354301" w:rsidRPr="003C66A0">
        <w:rPr>
          <w:rFonts w:eastAsiaTheme="majorEastAsia"/>
          <w:bCs/>
          <w:color w:val="000000" w:themeColor="text1"/>
        </w:rPr>
        <w:t>be one</w:t>
      </w:r>
      <w:r w:rsidRPr="003C66A0">
        <w:rPr>
          <w:rFonts w:eastAsiaTheme="majorEastAsia"/>
          <w:bCs/>
          <w:color w:val="000000" w:themeColor="text1"/>
        </w:rPr>
        <w:t xml:space="preserve"> of the most skeptical </w:t>
      </w:r>
      <w:proofErr w:type="gramStart"/>
      <w:r w:rsidRPr="003C66A0">
        <w:rPr>
          <w:rFonts w:eastAsiaTheme="majorEastAsia"/>
          <w:bCs/>
          <w:color w:val="000000" w:themeColor="text1"/>
        </w:rPr>
        <w:t>analysis</w:t>
      </w:r>
      <w:proofErr w:type="gramEnd"/>
      <w:r w:rsidRPr="003C66A0">
        <w:rPr>
          <w:rFonts w:eastAsiaTheme="majorEastAsia"/>
          <w:bCs/>
          <w:color w:val="000000" w:themeColor="text1"/>
        </w:rPr>
        <w:t xml:space="preserve"> to </w:t>
      </w:r>
      <w:r w:rsidR="00892EE4" w:rsidRPr="003C66A0">
        <w:rPr>
          <w:rFonts w:eastAsiaTheme="majorEastAsia"/>
          <w:bCs/>
          <w:color w:val="000000" w:themeColor="text1"/>
        </w:rPr>
        <w:t>this</w:t>
      </w:r>
      <w:r w:rsidRPr="003C66A0">
        <w:rPr>
          <w:rFonts w:eastAsiaTheme="majorEastAsia"/>
          <w:bCs/>
          <w:color w:val="000000" w:themeColor="text1"/>
        </w:rPr>
        <w:t xml:space="preserve"> date They introduced the concept of a "decentralization </w:t>
      </w:r>
      <w:proofErr w:type="gramStart"/>
      <w:r w:rsidRPr="003C66A0">
        <w:rPr>
          <w:rFonts w:eastAsiaTheme="majorEastAsia"/>
          <w:bCs/>
          <w:color w:val="000000" w:themeColor="text1"/>
        </w:rPr>
        <w:t>illusion"—</w:t>
      </w:r>
      <w:proofErr w:type="gramEnd"/>
      <w:r w:rsidRPr="003C66A0">
        <w:rPr>
          <w:rFonts w:eastAsiaTheme="majorEastAsia"/>
          <w:bCs/>
          <w:color w:val="000000" w:themeColor="text1"/>
        </w:rPr>
        <w:t xml:space="preserve">a thought-provoking term that captures their central argument. According to </w:t>
      </w:r>
      <w:proofErr w:type="spellStart"/>
      <w:r w:rsidRPr="003C66A0">
        <w:rPr>
          <w:rFonts w:eastAsiaTheme="majorEastAsia"/>
          <w:bCs/>
          <w:color w:val="000000" w:themeColor="text1"/>
        </w:rPr>
        <w:t>Aramonte</w:t>
      </w:r>
      <w:proofErr w:type="spellEnd"/>
      <w:r w:rsidRPr="003C66A0">
        <w:rPr>
          <w:rFonts w:eastAsiaTheme="majorEastAsia"/>
          <w:bCs/>
          <w:color w:val="000000" w:themeColor="text1"/>
        </w:rPr>
        <w:t xml:space="preserve"> et al. (2021), while DeFi protocols may appear decentralized at the technical or architectural level, the reality of how these systems operate tells a very different story. They documented significant concentration across multiple dimensions: governance token holdings tend to be highly concentrated among a small number of addresses. Liquidity provision is often dominated by a handful of very large players, and protocol development remains under the control of small, tight-knit teams.</w:t>
      </w:r>
    </w:p>
    <w:p w14:paraId="2C60D629" w14:textId="77777777" w:rsidR="00DD1DA4" w:rsidRPr="003C66A0" w:rsidRDefault="00DD1DA4" w:rsidP="00B451D7">
      <w:pPr>
        <w:jc w:val="both"/>
        <w:rPr>
          <w:rFonts w:eastAsiaTheme="majorEastAsia"/>
          <w:bCs/>
          <w:color w:val="000000" w:themeColor="text1"/>
        </w:rPr>
      </w:pPr>
      <w:r w:rsidRPr="003C66A0">
        <w:rPr>
          <w:rFonts w:ascii="Tahoma" w:eastAsiaTheme="majorEastAsia" w:hAnsi="Tahoma" w:cs="Tahoma"/>
          <w:bCs/>
          <w:color w:val="000000" w:themeColor="text1"/>
        </w:rPr>
        <w:t>﻿</w:t>
      </w:r>
    </w:p>
    <w:p w14:paraId="1A049DB7" w14:textId="77777777" w:rsidR="00DD1DA4" w:rsidRDefault="00DD1DA4" w:rsidP="00B451D7">
      <w:pPr>
        <w:jc w:val="both"/>
        <w:rPr>
          <w:rFonts w:eastAsiaTheme="majorEastAsia"/>
          <w:bCs/>
          <w:color w:val="000000" w:themeColor="text1"/>
        </w:rPr>
      </w:pPr>
      <w:r w:rsidRPr="003C66A0">
        <w:rPr>
          <w:rFonts w:eastAsiaTheme="majorEastAsia"/>
          <w:bCs/>
          <w:color w:val="000000" w:themeColor="text1"/>
        </w:rPr>
        <w:t xml:space="preserve">This concentration that </w:t>
      </w:r>
      <w:proofErr w:type="spellStart"/>
      <w:r w:rsidRPr="003C66A0">
        <w:rPr>
          <w:rFonts w:eastAsiaTheme="majorEastAsia"/>
          <w:bCs/>
          <w:color w:val="000000" w:themeColor="text1"/>
        </w:rPr>
        <w:t>Aramonte</w:t>
      </w:r>
      <w:proofErr w:type="spellEnd"/>
      <w:r w:rsidRPr="003C66A0">
        <w:rPr>
          <w:rFonts w:eastAsiaTheme="majorEastAsia"/>
          <w:bCs/>
          <w:color w:val="000000" w:themeColor="text1"/>
        </w:rPr>
        <w:t xml:space="preserve"> et al. (2021</w:t>
      </w:r>
      <w:proofErr w:type="gramStart"/>
      <w:r w:rsidRPr="003C66A0">
        <w:rPr>
          <w:rFonts w:eastAsiaTheme="majorEastAsia"/>
          <w:bCs/>
          <w:color w:val="000000" w:themeColor="text1"/>
        </w:rPr>
        <w:t>) identify</w:t>
      </w:r>
      <w:proofErr w:type="gramEnd"/>
      <w:r w:rsidRPr="003C66A0">
        <w:rPr>
          <w:rFonts w:eastAsiaTheme="majorEastAsia"/>
          <w:bCs/>
          <w:color w:val="000000" w:themeColor="text1"/>
        </w:rPr>
        <w:t xml:space="preserve"> raises fundamental questions about whether DeFi is achieving its stated goals. If governance is concentrated, if liquidity is concentrated, if development is concentrated - then in what meaningful sense is the system </w:t>
      </w:r>
      <w:proofErr w:type="gramStart"/>
      <w:r w:rsidRPr="003C66A0">
        <w:rPr>
          <w:rFonts w:eastAsiaTheme="majorEastAsia"/>
          <w:bCs/>
          <w:color w:val="000000" w:themeColor="text1"/>
        </w:rPr>
        <w:t>actually decentralized</w:t>
      </w:r>
      <w:proofErr w:type="gramEnd"/>
      <w:r w:rsidRPr="003C66A0">
        <w:rPr>
          <w:rFonts w:eastAsiaTheme="majorEastAsia"/>
          <w:bCs/>
          <w:color w:val="000000" w:themeColor="text1"/>
        </w:rPr>
        <w:t xml:space="preserve">? The technical architecture might be distributed, but the economic and political power within these systems often looks remarkably centralized. And this isn't just an academic curiosity; it has real implications for systemic risk, market manipulation, and the very promise of democratized finance that DeFi </w:t>
      </w:r>
      <w:proofErr w:type="gramStart"/>
      <w:r w:rsidRPr="003C66A0">
        <w:rPr>
          <w:rFonts w:eastAsiaTheme="majorEastAsia"/>
          <w:bCs/>
          <w:color w:val="000000" w:themeColor="text1"/>
        </w:rPr>
        <w:t>advocates</w:t>
      </w:r>
      <w:proofErr w:type="gramEnd"/>
      <w:r w:rsidRPr="003C66A0">
        <w:rPr>
          <w:rFonts w:eastAsiaTheme="majorEastAsia"/>
          <w:bCs/>
          <w:color w:val="000000" w:themeColor="text1"/>
        </w:rPr>
        <w:t xml:space="preserve"> champion.</w:t>
      </w:r>
    </w:p>
    <w:p w14:paraId="237FDCD5" w14:textId="77777777" w:rsidR="00354301" w:rsidRPr="003C66A0" w:rsidRDefault="00354301" w:rsidP="00B451D7">
      <w:pPr>
        <w:jc w:val="both"/>
        <w:rPr>
          <w:rFonts w:eastAsiaTheme="majorEastAsia"/>
          <w:bCs/>
          <w:color w:val="000000" w:themeColor="text1"/>
        </w:rPr>
      </w:pPr>
    </w:p>
    <w:p w14:paraId="2CA6F50F" w14:textId="5ED415B6" w:rsidR="00D35365" w:rsidRPr="003C66A0" w:rsidRDefault="00DD1DA4" w:rsidP="00B451D7">
      <w:pPr>
        <w:jc w:val="both"/>
        <w:rPr>
          <w:rFonts w:eastAsiaTheme="majorEastAsia"/>
          <w:bCs/>
          <w:color w:val="000000" w:themeColor="text1"/>
        </w:rPr>
      </w:pPr>
      <w:r w:rsidRPr="003C66A0">
        <w:rPr>
          <w:rFonts w:eastAsiaTheme="majorEastAsia"/>
          <w:bCs/>
          <w:color w:val="000000" w:themeColor="text1"/>
        </w:rPr>
        <w:t xml:space="preserve">The tension between these perspectives - between the optimism of </w:t>
      </w:r>
      <w:proofErr w:type="spellStart"/>
      <w:r w:rsidRPr="003C66A0">
        <w:rPr>
          <w:rFonts w:eastAsiaTheme="majorEastAsia"/>
          <w:bCs/>
          <w:color w:val="000000" w:themeColor="text1"/>
        </w:rPr>
        <w:t>Schär</w:t>
      </w:r>
      <w:proofErr w:type="spellEnd"/>
      <w:r w:rsidRPr="003C66A0">
        <w:rPr>
          <w:rFonts w:eastAsiaTheme="majorEastAsia"/>
          <w:bCs/>
          <w:color w:val="000000" w:themeColor="text1"/>
        </w:rPr>
        <w:t xml:space="preserve"> (2021) and Harvey et al. (2021) on one hand and the skepticism of </w:t>
      </w:r>
      <w:proofErr w:type="spellStart"/>
      <w:r w:rsidRPr="003C66A0">
        <w:rPr>
          <w:rFonts w:eastAsiaTheme="majorEastAsia"/>
          <w:bCs/>
          <w:color w:val="000000" w:themeColor="text1"/>
        </w:rPr>
        <w:t>Aramonte</w:t>
      </w:r>
      <w:proofErr w:type="spellEnd"/>
      <w:r w:rsidRPr="003C66A0">
        <w:rPr>
          <w:rFonts w:eastAsiaTheme="majorEastAsia"/>
          <w:bCs/>
          <w:color w:val="000000" w:themeColor="text1"/>
        </w:rPr>
        <w:t xml:space="preserve"> et al. (2021) on the other - reflects a deeper uncertainty about what DeFi </w:t>
      </w:r>
      <w:proofErr w:type="gramStart"/>
      <w:r w:rsidRPr="003C66A0">
        <w:rPr>
          <w:rFonts w:eastAsiaTheme="majorEastAsia"/>
          <w:bCs/>
          <w:color w:val="000000" w:themeColor="text1"/>
        </w:rPr>
        <w:t>actually represents</w:t>
      </w:r>
      <w:proofErr w:type="gramEnd"/>
      <w:r w:rsidRPr="003C66A0">
        <w:rPr>
          <w:rFonts w:eastAsiaTheme="majorEastAsia"/>
          <w:bCs/>
          <w:color w:val="000000" w:themeColor="text1"/>
        </w:rPr>
        <w:t>. Is it a revolutionary technology that will fundamentally restructure finance, or is it reproducing many of the same power dynamics and concentrations that characterize traditional finance, just with different players and fancier technology?</w:t>
      </w:r>
    </w:p>
    <w:p w14:paraId="7941728A" w14:textId="77777777" w:rsidR="00F01F60" w:rsidRPr="003C66A0" w:rsidRDefault="00F01F60" w:rsidP="00B451D7">
      <w:pPr>
        <w:jc w:val="both"/>
        <w:rPr>
          <w:rFonts w:eastAsiaTheme="majorEastAsia"/>
          <w:color w:val="000000" w:themeColor="text1"/>
        </w:rPr>
      </w:pPr>
    </w:p>
    <w:p w14:paraId="3F95ADAD" w14:textId="77777777" w:rsidR="00F01F60" w:rsidRPr="003C66A0" w:rsidRDefault="00F01F60" w:rsidP="00B451D7">
      <w:pPr>
        <w:pStyle w:val="Heading2"/>
        <w:rPr>
          <w:rFonts w:eastAsiaTheme="majorEastAsia"/>
        </w:rPr>
      </w:pPr>
      <w:bookmarkStart w:id="25" w:name="_Toc214721831"/>
      <w:r w:rsidRPr="003C66A0">
        <w:rPr>
          <w:rFonts w:eastAsiaTheme="majorEastAsia"/>
        </w:rPr>
        <w:t>2.2 Market Making and Liquidity Provision in Traditional and Decentralized Markets</w:t>
      </w:r>
      <w:bookmarkEnd w:id="25"/>
    </w:p>
    <w:p w14:paraId="51293091" w14:textId="6E0B9133" w:rsidR="00066C2E" w:rsidRPr="003C66A0" w:rsidRDefault="00066C2E" w:rsidP="00B451D7">
      <w:pPr>
        <w:jc w:val="both"/>
        <w:rPr>
          <w:rFonts w:eastAsiaTheme="majorEastAsia"/>
          <w:color w:val="000000" w:themeColor="text1"/>
        </w:rPr>
      </w:pPr>
      <w:r w:rsidRPr="003C66A0">
        <w:rPr>
          <w:rFonts w:eastAsiaTheme="majorEastAsia"/>
          <w:color w:val="000000" w:themeColor="text1"/>
        </w:rPr>
        <w:t xml:space="preserve">When one thinks about it, DeFi's claim that anyone can become a market maker is </w:t>
      </w:r>
      <w:proofErr w:type="gramStart"/>
      <w:r w:rsidRPr="003C66A0">
        <w:rPr>
          <w:rFonts w:eastAsiaTheme="majorEastAsia"/>
          <w:color w:val="000000" w:themeColor="text1"/>
        </w:rPr>
        <w:t>pretty radical</w:t>
      </w:r>
      <w:proofErr w:type="gramEnd"/>
      <w:r w:rsidRPr="003C66A0">
        <w:rPr>
          <w:rFonts w:eastAsiaTheme="majorEastAsia"/>
          <w:color w:val="000000" w:themeColor="text1"/>
        </w:rPr>
        <w:t xml:space="preserve">. For decades, market making has been the exclusive domain of big institutions and banks with deep pockets. </w:t>
      </w:r>
      <w:proofErr w:type="spellStart"/>
      <w:r w:rsidRPr="003C66A0">
        <w:rPr>
          <w:rFonts w:eastAsiaTheme="majorEastAsia"/>
          <w:color w:val="000000" w:themeColor="text1"/>
        </w:rPr>
        <w:t>Menkveld's</w:t>
      </w:r>
      <w:proofErr w:type="spellEnd"/>
      <w:r w:rsidRPr="003C66A0">
        <w:rPr>
          <w:rFonts w:eastAsiaTheme="majorEastAsia"/>
          <w:color w:val="000000" w:themeColor="text1"/>
        </w:rPr>
        <w:t xml:space="preserve"> (2013) research drives this home where he tracked how high-frequency traders took over traditional exchanges, using their speed and technology to capture bid-ask spreads. The entry costs </w:t>
      </w:r>
      <w:r w:rsidR="00A80D43" w:rsidRPr="003C66A0">
        <w:rPr>
          <w:rFonts w:eastAsiaTheme="majorEastAsia"/>
          <w:color w:val="000000" w:themeColor="text1"/>
        </w:rPr>
        <w:t>that</w:t>
      </w:r>
      <w:r w:rsidRPr="003C66A0">
        <w:rPr>
          <w:rFonts w:eastAsiaTheme="majorEastAsia"/>
          <w:color w:val="000000" w:themeColor="text1"/>
        </w:rPr>
        <w:t xml:space="preserve"> this had - </w:t>
      </w:r>
      <w:r w:rsidR="00354301">
        <w:rPr>
          <w:rFonts w:eastAsiaTheme="majorEastAsia"/>
          <w:color w:val="000000" w:themeColor="text1"/>
        </w:rPr>
        <w:t>t</w:t>
      </w:r>
      <w:r w:rsidRPr="003C66A0">
        <w:rPr>
          <w:rFonts w:eastAsiaTheme="majorEastAsia"/>
          <w:color w:val="000000" w:themeColor="text1"/>
        </w:rPr>
        <w:t xml:space="preserve">he documents - </w:t>
      </w:r>
      <w:r w:rsidR="00354301" w:rsidRPr="003C66A0">
        <w:rPr>
          <w:rFonts w:eastAsiaTheme="majorEastAsia"/>
          <w:color w:val="000000" w:themeColor="text1"/>
        </w:rPr>
        <w:t>require</w:t>
      </w:r>
      <w:r w:rsidRPr="003C66A0">
        <w:rPr>
          <w:rFonts w:eastAsiaTheme="majorEastAsia"/>
          <w:color w:val="000000" w:themeColor="text1"/>
        </w:rPr>
        <w:t xml:space="preserve"> millions of dollars just to get </w:t>
      </w:r>
      <w:proofErr w:type="gramStart"/>
      <w:r w:rsidRPr="003C66A0">
        <w:rPr>
          <w:rFonts w:eastAsiaTheme="majorEastAsia"/>
          <w:color w:val="000000" w:themeColor="text1"/>
        </w:rPr>
        <w:t>in</w:t>
      </w:r>
      <w:proofErr w:type="gramEnd"/>
      <w:r w:rsidRPr="003C66A0">
        <w:rPr>
          <w:rFonts w:eastAsiaTheme="majorEastAsia"/>
          <w:color w:val="000000" w:themeColor="text1"/>
        </w:rPr>
        <w:t xml:space="preserve"> the game and become a participant.</w:t>
      </w:r>
    </w:p>
    <w:p w14:paraId="79DCEF66" w14:textId="77777777" w:rsidR="00066C2E" w:rsidRPr="003C66A0" w:rsidRDefault="00066C2E" w:rsidP="00B451D7">
      <w:pPr>
        <w:jc w:val="both"/>
        <w:rPr>
          <w:rFonts w:eastAsiaTheme="majorEastAsia"/>
          <w:color w:val="000000" w:themeColor="text1"/>
        </w:rPr>
      </w:pPr>
    </w:p>
    <w:p w14:paraId="34391D9E" w14:textId="77777777" w:rsidR="00066C2E" w:rsidRPr="003C66A0" w:rsidRDefault="00066C2E" w:rsidP="00B451D7">
      <w:pPr>
        <w:jc w:val="both"/>
        <w:rPr>
          <w:rFonts w:eastAsiaTheme="majorEastAsia"/>
          <w:color w:val="000000" w:themeColor="text1"/>
        </w:rPr>
      </w:pPr>
      <w:r w:rsidRPr="003C66A0">
        <w:rPr>
          <w:rFonts w:eastAsiaTheme="majorEastAsia"/>
          <w:color w:val="000000" w:themeColor="text1"/>
        </w:rPr>
        <w:t xml:space="preserve">The work by Hendershott et al. (2011) paints a similar picture, though from a slightly different angle. Yes, algorithmic trading did improve liquidity in markets - that is the good </w:t>
      </w:r>
      <w:proofErr w:type="gramStart"/>
      <w:r w:rsidRPr="003C66A0">
        <w:rPr>
          <w:rFonts w:eastAsiaTheme="majorEastAsia"/>
          <w:color w:val="000000" w:themeColor="text1"/>
        </w:rPr>
        <w:t>news</w:t>
      </w:r>
      <w:proofErr w:type="gramEnd"/>
      <w:r w:rsidRPr="003C66A0">
        <w:rPr>
          <w:rFonts w:eastAsiaTheme="majorEastAsia"/>
          <w:color w:val="000000" w:themeColor="text1"/>
        </w:rPr>
        <w:t xml:space="preserve"> but the bad news is that it erected massive barriers for everyone else. You can't just show up with some capital and good intentions anymore. You need servers, ultra-fast connections, sophisticated algorithms... the whole nine yards. This is the reality against which we need to evaluate what DeFi promises.</w:t>
      </w:r>
    </w:p>
    <w:p w14:paraId="40FE9A3E" w14:textId="77777777" w:rsidR="00066C2E" w:rsidRPr="003C66A0" w:rsidRDefault="00066C2E" w:rsidP="00B451D7">
      <w:pPr>
        <w:jc w:val="both"/>
        <w:rPr>
          <w:rFonts w:eastAsiaTheme="majorEastAsia"/>
          <w:color w:val="000000" w:themeColor="text1"/>
        </w:rPr>
      </w:pPr>
    </w:p>
    <w:p w14:paraId="0E32024E" w14:textId="5DBC4791" w:rsidR="00066C2E" w:rsidRPr="003C66A0" w:rsidRDefault="00066C2E" w:rsidP="00B451D7">
      <w:pPr>
        <w:jc w:val="both"/>
        <w:rPr>
          <w:rFonts w:eastAsiaTheme="majorEastAsia"/>
          <w:color w:val="000000" w:themeColor="text1"/>
        </w:rPr>
      </w:pPr>
      <w:proofErr w:type="spellStart"/>
      <w:r w:rsidRPr="003C66A0">
        <w:rPr>
          <w:rFonts w:eastAsiaTheme="majorEastAsia"/>
          <w:color w:val="000000" w:themeColor="text1"/>
        </w:rPr>
        <w:t>Angeris</w:t>
      </w:r>
      <w:proofErr w:type="spellEnd"/>
      <w:r w:rsidRPr="003C66A0">
        <w:rPr>
          <w:rFonts w:eastAsiaTheme="majorEastAsia"/>
          <w:color w:val="000000" w:themeColor="text1"/>
        </w:rPr>
        <w:t xml:space="preserve"> and Chitra (2020) were among the first </w:t>
      </w:r>
      <w:proofErr w:type="gramStart"/>
      <w:r w:rsidRPr="003C66A0">
        <w:rPr>
          <w:rFonts w:eastAsiaTheme="majorEastAsia"/>
          <w:color w:val="000000" w:themeColor="text1"/>
        </w:rPr>
        <w:t>one</w:t>
      </w:r>
      <w:proofErr w:type="gramEnd"/>
      <w:r w:rsidRPr="003C66A0">
        <w:rPr>
          <w:rFonts w:eastAsiaTheme="majorEastAsia"/>
          <w:color w:val="000000" w:themeColor="text1"/>
        </w:rPr>
        <w:t xml:space="preserve"> to really dig into the mathematics of how e automated market makers </w:t>
      </w:r>
      <w:proofErr w:type="gramStart"/>
      <w:r w:rsidRPr="003C66A0">
        <w:rPr>
          <w:rFonts w:eastAsiaTheme="majorEastAsia"/>
          <w:color w:val="000000" w:themeColor="text1"/>
        </w:rPr>
        <w:t>actually work</w:t>
      </w:r>
      <w:proofErr w:type="gramEnd"/>
      <w:r w:rsidRPr="003C66A0">
        <w:rPr>
          <w:rFonts w:eastAsiaTheme="majorEastAsia"/>
          <w:color w:val="000000" w:themeColor="text1"/>
        </w:rPr>
        <w:t xml:space="preserve"> with their analysis showing how a simple formula could provide continuous liquidity without any order books whatsoever. But here's the catch - and it's a big one. They discovered that these AMMs also create predictable arbitrage opportunities, and the </w:t>
      </w:r>
      <w:r w:rsidR="00354301" w:rsidRPr="003C66A0">
        <w:rPr>
          <w:rFonts w:eastAsiaTheme="majorEastAsia"/>
          <w:color w:val="000000" w:themeColor="text1"/>
        </w:rPr>
        <w:t>benefi</w:t>
      </w:r>
      <w:r w:rsidR="00354301">
        <w:rPr>
          <w:rFonts w:eastAsiaTheme="majorEastAsia"/>
          <w:color w:val="000000" w:themeColor="text1"/>
        </w:rPr>
        <w:t>ts</w:t>
      </w:r>
      <w:r w:rsidRPr="003C66A0">
        <w:rPr>
          <w:rFonts w:eastAsiaTheme="majorEastAsia"/>
          <w:color w:val="000000" w:themeColor="text1"/>
        </w:rPr>
        <w:t xml:space="preserve"> of those </w:t>
      </w:r>
      <w:r w:rsidR="00354301">
        <w:rPr>
          <w:rFonts w:eastAsiaTheme="majorEastAsia"/>
          <w:color w:val="000000" w:themeColor="text1"/>
        </w:rPr>
        <w:t>are not the</w:t>
      </w:r>
      <w:r w:rsidRPr="003C66A0">
        <w:rPr>
          <w:rFonts w:eastAsiaTheme="majorEastAsia"/>
          <w:color w:val="000000" w:themeColor="text1"/>
        </w:rPr>
        <w:t xml:space="preserve"> average retail participant.</w:t>
      </w:r>
    </w:p>
    <w:p w14:paraId="2F8F1DE3" w14:textId="77777777" w:rsidR="00066C2E" w:rsidRPr="003C66A0" w:rsidRDefault="00066C2E" w:rsidP="00B451D7">
      <w:pPr>
        <w:jc w:val="both"/>
        <w:rPr>
          <w:rFonts w:eastAsiaTheme="majorEastAsia"/>
          <w:color w:val="000000" w:themeColor="text1"/>
        </w:rPr>
      </w:pPr>
    </w:p>
    <w:p w14:paraId="768AE11E" w14:textId="77777777" w:rsidR="00354301" w:rsidRDefault="00066C2E" w:rsidP="00B451D7">
      <w:pPr>
        <w:jc w:val="both"/>
        <w:rPr>
          <w:rFonts w:eastAsiaTheme="majorEastAsia"/>
          <w:color w:val="000000" w:themeColor="text1"/>
        </w:rPr>
      </w:pPr>
      <w:r w:rsidRPr="003C66A0">
        <w:rPr>
          <w:rFonts w:eastAsiaTheme="majorEastAsia"/>
          <w:color w:val="000000" w:themeColor="text1"/>
        </w:rPr>
        <w:lastRenderedPageBreak/>
        <w:t xml:space="preserve">The impermanent loss issue makes this even worse. Pintail (2019) basically showed everyone what was really happening when they provided liquidity to volatile pairs. Even if you're earning fees, you're often still losing money overall because the AMM mechanism forces you to constantly rebalance in a way that means you're always buying high and selling low. The math behind this shows that it is </w:t>
      </w:r>
      <w:proofErr w:type="gramStart"/>
      <w:r w:rsidRPr="003C66A0">
        <w:rPr>
          <w:rFonts w:eastAsiaTheme="majorEastAsia"/>
          <w:color w:val="000000" w:themeColor="text1"/>
        </w:rPr>
        <w:t>a very</w:t>
      </w:r>
      <w:proofErr w:type="gramEnd"/>
      <w:r w:rsidRPr="003C66A0">
        <w:rPr>
          <w:rFonts w:eastAsiaTheme="majorEastAsia"/>
          <w:color w:val="000000" w:themeColor="text1"/>
        </w:rPr>
        <w:t xml:space="preserve"> risky.</w:t>
      </w:r>
      <w:r w:rsidR="00354301">
        <w:rPr>
          <w:rFonts w:eastAsiaTheme="majorEastAsia"/>
          <w:color w:val="000000" w:themeColor="text1"/>
        </w:rPr>
        <w:t xml:space="preserve"> </w:t>
      </w:r>
      <w:r w:rsidRPr="003C66A0">
        <w:rPr>
          <w:rFonts w:eastAsiaTheme="majorEastAsia"/>
          <w:color w:val="000000" w:themeColor="text1"/>
        </w:rPr>
        <w:t xml:space="preserve">Academic researchers have since then formalized what Pintail </w:t>
      </w:r>
      <w:r w:rsidR="00354301" w:rsidRPr="003C66A0">
        <w:rPr>
          <w:rFonts w:eastAsiaTheme="majorEastAsia"/>
          <w:color w:val="000000" w:themeColor="text1"/>
        </w:rPr>
        <w:t xml:space="preserve">identified. </w:t>
      </w:r>
    </w:p>
    <w:p w14:paraId="049E357D" w14:textId="77777777" w:rsidR="00354301" w:rsidRDefault="00354301" w:rsidP="00B451D7">
      <w:pPr>
        <w:jc w:val="both"/>
        <w:rPr>
          <w:rFonts w:eastAsiaTheme="majorEastAsia"/>
          <w:color w:val="000000" w:themeColor="text1"/>
        </w:rPr>
      </w:pPr>
    </w:p>
    <w:p w14:paraId="68FFA0DD" w14:textId="48EB440B" w:rsidR="00066C2E" w:rsidRPr="003C66A0" w:rsidRDefault="00354301" w:rsidP="00B451D7">
      <w:pPr>
        <w:jc w:val="both"/>
        <w:rPr>
          <w:rFonts w:eastAsiaTheme="majorEastAsia"/>
          <w:color w:val="000000" w:themeColor="text1"/>
        </w:rPr>
      </w:pPr>
      <w:r w:rsidRPr="003C66A0">
        <w:rPr>
          <w:rFonts w:eastAsiaTheme="majorEastAsia"/>
          <w:color w:val="000000" w:themeColor="text1"/>
        </w:rPr>
        <w:t>Taking</w:t>
      </w:r>
      <w:r w:rsidR="00066C2E" w:rsidRPr="003C66A0">
        <w:rPr>
          <w:rFonts w:eastAsiaTheme="majorEastAsia"/>
          <w:color w:val="000000" w:themeColor="text1"/>
        </w:rPr>
        <w:t xml:space="preserve"> the analysis by Loesch et al. (2021) from Paradigm Research as an example, they looked specifically at Uniswap v3 and its concentrated liquidity feature. Concentrated liquidity sounds great in theory and theoretically can make your capital 4000 times more efficient! But that same concentration amplifies the impermanent loss by the exact same factor. </w:t>
      </w:r>
      <w:proofErr w:type="spellStart"/>
      <w:r w:rsidR="00066C2E" w:rsidRPr="003C66A0">
        <w:rPr>
          <w:rFonts w:eastAsiaTheme="majorEastAsia"/>
          <w:color w:val="000000" w:themeColor="text1"/>
        </w:rPr>
        <w:t>Moallemi</w:t>
      </w:r>
      <w:proofErr w:type="spellEnd"/>
      <w:r w:rsidR="00066C2E" w:rsidRPr="003C66A0">
        <w:rPr>
          <w:rFonts w:eastAsiaTheme="majorEastAsia"/>
          <w:color w:val="000000" w:themeColor="text1"/>
        </w:rPr>
        <w:t xml:space="preserve"> and Sağlam (2022) took this analysis even further </w:t>
      </w:r>
      <w:r w:rsidRPr="003C66A0">
        <w:rPr>
          <w:rFonts w:eastAsiaTheme="majorEastAsia"/>
          <w:color w:val="000000" w:themeColor="text1"/>
        </w:rPr>
        <w:t>where</w:t>
      </w:r>
      <w:r w:rsidR="00066C2E" w:rsidRPr="003C66A0">
        <w:rPr>
          <w:rFonts w:eastAsiaTheme="majorEastAsia"/>
          <w:color w:val="000000" w:themeColor="text1"/>
        </w:rPr>
        <w:t xml:space="preserve"> they demonstrated a very important issue, and that is that to </w:t>
      </w:r>
      <w:proofErr w:type="gramStart"/>
      <w:r w:rsidR="00066C2E" w:rsidRPr="003C66A0">
        <w:rPr>
          <w:rFonts w:eastAsiaTheme="majorEastAsia"/>
          <w:color w:val="000000" w:themeColor="text1"/>
        </w:rPr>
        <w:t>actually optimize</w:t>
      </w:r>
      <w:proofErr w:type="gramEnd"/>
      <w:r w:rsidR="00066C2E" w:rsidRPr="003C66A0">
        <w:rPr>
          <w:rFonts w:eastAsiaTheme="majorEastAsia"/>
          <w:color w:val="000000" w:themeColor="text1"/>
        </w:rPr>
        <w:t xml:space="preserve"> liquidity provision in v3, </w:t>
      </w:r>
      <w:proofErr w:type="spellStart"/>
      <w:proofErr w:type="gramStart"/>
      <w:r w:rsidR="00066C2E" w:rsidRPr="003C66A0">
        <w:rPr>
          <w:rFonts w:eastAsiaTheme="majorEastAsia"/>
          <w:color w:val="000000" w:themeColor="text1"/>
        </w:rPr>
        <w:t>it</w:t>
      </w:r>
      <w:proofErr w:type="gramEnd"/>
      <w:r w:rsidR="00066C2E" w:rsidRPr="003C66A0">
        <w:rPr>
          <w:rFonts w:eastAsiaTheme="majorEastAsia"/>
          <w:color w:val="000000" w:themeColor="text1"/>
        </w:rPr>
        <w:t xml:space="preserve"> s</w:t>
      </w:r>
      <w:proofErr w:type="spellEnd"/>
      <w:r w:rsidR="00066C2E" w:rsidRPr="003C66A0">
        <w:rPr>
          <w:rFonts w:eastAsiaTheme="majorEastAsia"/>
          <w:color w:val="000000" w:themeColor="text1"/>
        </w:rPr>
        <w:t xml:space="preserve"> critical to rebalance constantly. And with the gas costs being what they and were during the study, most retail participants simply can't afford to do this. It's economically impossible.</w:t>
      </w:r>
    </w:p>
    <w:p w14:paraId="1F19F65A" w14:textId="77777777" w:rsidR="00066C2E" w:rsidRPr="003C66A0" w:rsidRDefault="00066C2E" w:rsidP="00B451D7">
      <w:pPr>
        <w:jc w:val="both"/>
        <w:rPr>
          <w:rFonts w:eastAsiaTheme="majorEastAsia"/>
          <w:color w:val="000000" w:themeColor="text1"/>
        </w:rPr>
      </w:pPr>
    </w:p>
    <w:p w14:paraId="31CB2CE1" w14:textId="2EE3BD96" w:rsidR="00066C2E" w:rsidRPr="003C66A0" w:rsidRDefault="00066C2E" w:rsidP="00B451D7">
      <w:pPr>
        <w:jc w:val="both"/>
        <w:rPr>
          <w:rFonts w:eastAsiaTheme="majorEastAsia"/>
          <w:color w:val="000000" w:themeColor="text1"/>
        </w:rPr>
      </w:pPr>
      <w:r w:rsidRPr="003C66A0">
        <w:rPr>
          <w:rFonts w:eastAsiaTheme="majorEastAsia"/>
          <w:color w:val="000000" w:themeColor="text1"/>
        </w:rPr>
        <w:t xml:space="preserve">Park's (2023) research approaches the question from a completely different direction, and his findings are </w:t>
      </w:r>
      <w:proofErr w:type="gramStart"/>
      <w:r w:rsidRPr="003C66A0">
        <w:rPr>
          <w:rFonts w:eastAsiaTheme="majorEastAsia"/>
          <w:color w:val="000000" w:themeColor="text1"/>
        </w:rPr>
        <w:t>pretty depressing</w:t>
      </w:r>
      <w:proofErr w:type="gramEnd"/>
      <w:r w:rsidRPr="003C66A0">
        <w:rPr>
          <w:rFonts w:eastAsiaTheme="majorEastAsia"/>
          <w:color w:val="000000" w:themeColor="text1"/>
        </w:rPr>
        <w:t xml:space="preserve"> if one believes in DeFi's democratization narrative. He took a completely different </w:t>
      </w:r>
      <w:r w:rsidR="00354301" w:rsidRPr="003C66A0">
        <w:rPr>
          <w:rFonts w:eastAsiaTheme="majorEastAsia"/>
          <w:color w:val="000000" w:themeColor="text1"/>
        </w:rPr>
        <w:t>approach</w:t>
      </w:r>
      <w:r w:rsidRPr="003C66A0">
        <w:rPr>
          <w:rFonts w:eastAsiaTheme="majorEastAsia"/>
          <w:color w:val="000000" w:themeColor="text1"/>
        </w:rPr>
        <w:t xml:space="preserve"> here and </w:t>
      </w:r>
      <w:r w:rsidR="00354301" w:rsidRPr="003C66A0">
        <w:rPr>
          <w:rFonts w:eastAsiaTheme="majorEastAsia"/>
          <w:color w:val="000000" w:themeColor="text1"/>
        </w:rPr>
        <w:t>did not look</w:t>
      </w:r>
      <w:r w:rsidRPr="003C66A0">
        <w:rPr>
          <w:rFonts w:eastAsiaTheme="majorEastAsia"/>
          <w:color w:val="000000" w:themeColor="text1"/>
        </w:rPr>
        <w:t xml:space="preserve"> at the theory or </w:t>
      </w:r>
      <w:r w:rsidR="004C0C98" w:rsidRPr="003C66A0">
        <w:rPr>
          <w:rFonts w:eastAsiaTheme="majorEastAsia"/>
          <w:color w:val="000000" w:themeColor="text1"/>
        </w:rPr>
        <w:t>mathematics</w:t>
      </w:r>
      <w:r w:rsidRPr="003C66A0">
        <w:rPr>
          <w:rFonts w:eastAsiaTheme="majorEastAsia"/>
          <w:color w:val="000000" w:themeColor="text1"/>
        </w:rPr>
        <w:t xml:space="preserve">. He simply looked at who </w:t>
      </w:r>
      <w:proofErr w:type="gramStart"/>
      <w:r w:rsidRPr="003C66A0">
        <w:rPr>
          <w:rFonts w:eastAsiaTheme="majorEastAsia"/>
          <w:color w:val="000000" w:themeColor="text1"/>
        </w:rPr>
        <w:t>actually owns</w:t>
      </w:r>
      <w:proofErr w:type="gramEnd"/>
      <w:r w:rsidRPr="003C66A0">
        <w:rPr>
          <w:rFonts w:eastAsiaTheme="majorEastAsia"/>
          <w:color w:val="000000" w:themeColor="text1"/>
        </w:rPr>
        <w:t xml:space="preserve"> what in these protocols. The reality shows that the bottom 50% of addresses control less than 1% of the total value locked. That percentage </w:t>
      </w:r>
      <w:proofErr w:type="gramStart"/>
      <w:r w:rsidRPr="003C66A0">
        <w:rPr>
          <w:rFonts w:eastAsiaTheme="majorEastAsia"/>
          <w:color w:val="000000" w:themeColor="text1"/>
        </w:rPr>
        <w:t>actually represents</w:t>
      </w:r>
      <w:proofErr w:type="gramEnd"/>
      <w:r w:rsidRPr="003C66A0">
        <w:rPr>
          <w:rFonts w:eastAsiaTheme="majorEastAsia"/>
          <w:color w:val="000000" w:themeColor="text1"/>
        </w:rPr>
        <w:t xml:space="preserve"> a worse concentration than seen in many traditional financial markets. It really makes you wonder: if DeFi is democratizing finance at all, or if it is it just creating new ways for the same winners to keep winning?</w:t>
      </w:r>
    </w:p>
    <w:p w14:paraId="76B9F687" w14:textId="77777777" w:rsidR="00066C2E" w:rsidRPr="003C66A0" w:rsidRDefault="00066C2E" w:rsidP="00B451D7">
      <w:pPr>
        <w:jc w:val="both"/>
        <w:rPr>
          <w:rFonts w:eastAsiaTheme="majorEastAsia"/>
          <w:color w:val="000000" w:themeColor="text1"/>
        </w:rPr>
      </w:pPr>
    </w:p>
    <w:p w14:paraId="5A859179" w14:textId="77777777" w:rsidR="00066C2E" w:rsidRPr="003C66A0" w:rsidRDefault="00066C2E" w:rsidP="00B451D7">
      <w:pPr>
        <w:jc w:val="both"/>
        <w:rPr>
          <w:rFonts w:eastAsiaTheme="majorEastAsia"/>
          <w:color w:val="000000" w:themeColor="text1"/>
        </w:rPr>
      </w:pPr>
      <w:r w:rsidRPr="003C66A0">
        <w:rPr>
          <w:rFonts w:eastAsiaTheme="majorEastAsia"/>
          <w:color w:val="000000" w:themeColor="text1"/>
        </w:rPr>
        <w:t xml:space="preserve">The research shows a clear pattern, even if it's not what DeFi fans want to hear. </w:t>
      </w:r>
      <w:proofErr w:type="gramStart"/>
      <w:r w:rsidRPr="003C66A0">
        <w:rPr>
          <w:rFonts w:eastAsiaTheme="majorEastAsia"/>
          <w:color w:val="000000" w:themeColor="text1"/>
        </w:rPr>
        <w:t>The technology</w:t>
      </w:r>
      <w:proofErr w:type="gramEnd"/>
      <w:r w:rsidRPr="003C66A0">
        <w:rPr>
          <w:rFonts w:eastAsiaTheme="majorEastAsia"/>
          <w:color w:val="000000" w:themeColor="text1"/>
        </w:rPr>
        <w:t xml:space="preserve"> might be open and permissionless, but the economic reality creates barriers just as high as the ones in traditional finance. They are just different barriers. Instead of needing connections to prime brokers, one needs to understand complex mathematics. Instead of regulatory compliance costs, there are gas fees and instead of minimum lot sizes, one has minimum viable positions given the fee structure. The game has different rules, but the winners remain the same.</w:t>
      </w:r>
    </w:p>
    <w:p w14:paraId="6457374D" w14:textId="77777777" w:rsidR="00F01F60" w:rsidRPr="007C2B8F" w:rsidRDefault="00F01F60" w:rsidP="00B451D7">
      <w:pPr>
        <w:jc w:val="both"/>
        <w:rPr>
          <w:rFonts w:eastAsiaTheme="majorEastAsia"/>
          <w:color w:val="000000" w:themeColor="text1"/>
        </w:rPr>
      </w:pPr>
    </w:p>
    <w:p w14:paraId="093A3226" w14:textId="0C2A3150" w:rsidR="00B43C60" w:rsidRPr="007C2B8F" w:rsidRDefault="00B43C60" w:rsidP="00B451D7">
      <w:pPr>
        <w:pStyle w:val="Heading3"/>
        <w:rPr>
          <w:rFonts w:eastAsiaTheme="majorEastAsia"/>
          <w:color w:val="000000" w:themeColor="text1"/>
        </w:rPr>
      </w:pPr>
      <w:bookmarkStart w:id="26" w:name="_Toc214721832"/>
      <w:r w:rsidRPr="007C2B8F">
        <w:rPr>
          <w:rFonts w:eastAsiaTheme="majorEastAsia"/>
          <w:color w:val="000000" w:themeColor="text1"/>
        </w:rPr>
        <w:t>2.</w:t>
      </w:r>
      <w:r w:rsidR="001D2AF1" w:rsidRPr="007C2B8F">
        <w:rPr>
          <w:rFonts w:eastAsiaTheme="majorEastAsia"/>
          <w:color w:val="000000" w:themeColor="text1"/>
        </w:rPr>
        <w:t>2</w:t>
      </w:r>
      <w:r w:rsidRPr="007C2B8F">
        <w:rPr>
          <w:rFonts w:eastAsiaTheme="majorEastAsia"/>
          <w:color w:val="000000" w:themeColor="text1"/>
        </w:rPr>
        <w:t>.1 Longitudinal Studies and Market Evolution</w:t>
      </w:r>
      <w:bookmarkEnd w:id="26"/>
    </w:p>
    <w:p w14:paraId="2EAE7FDE" w14:textId="466337D9" w:rsidR="00DA32D2" w:rsidRPr="007C2B8F" w:rsidRDefault="00DA32D2" w:rsidP="00B451D7">
      <w:pPr>
        <w:jc w:val="both"/>
        <w:rPr>
          <w:rFonts w:eastAsiaTheme="majorEastAsia"/>
          <w:color w:val="000000" w:themeColor="text1"/>
          <w:kern w:val="2"/>
        </w:rPr>
      </w:pPr>
      <w:r w:rsidRPr="007C2B8F">
        <w:rPr>
          <w:rFonts w:eastAsiaTheme="majorEastAsia"/>
          <w:color w:val="000000" w:themeColor="text1"/>
          <w:kern w:val="2"/>
        </w:rPr>
        <w:t xml:space="preserve">The temporal aspect of DeFi performance is significantly under-researched in the current literature. This is mostly due because most studies offer cross-sectional analyses instead of monitoring the overall market progression over prolonged durations. This gap is especially bad because the fast growth of DeFi, where protocols that were popular in 2020 were generally no longer useful by 2024. To tell the difference between short-term arbitrage opportunities and long-term business strategies, one needs to understand how this evolutionary process works. </w:t>
      </w:r>
    </w:p>
    <w:p w14:paraId="776C3785" w14:textId="77777777" w:rsidR="00DA32D2" w:rsidRPr="007C2B8F" w:rsidRDefault="00DA32D2" w:rsidP="00B451D7">
      <w:pPr>
        <w:jc w:val="both"/>
        <w:rPr>
          <w:rFonts w:eastAsiaTheme="majorEastAsia"/>
          <w:color w:val="000000" w:themeColor="text1"/>
          <w:kern w:val="2"/>
        </w:rPr>
      </w:pPr>
      <w:r w:rsidRPr="007C2B8F">
        <w:rPr>
          <w:rFonts w:eastAsiaTheme="majorEastAsia"/>
          <w:color w:val="000000" w:themeColor="text1"/>
          <w:kern w:val="2"/>
        </w:rPr>
        <w:t> </w:t>
      </w:r>
    </w:p>
    <w:p w14:paraId="0D9ADB49" w14:textId="06145620" w:rsidR="00DA32D2" w:rsidRPr="007C2B8F" w:rsidRDefault="00DA32D2" w:rsidP="00B451D7">
      <w:pPr>
        <w:jc w:val="both"/>
        <w:rPr>
          <w:rFonts w:eastAsiaTheme="majorEastAsia"/>
          <w:color w:val="000000" w:themeColor="text1"/>
          <w:kern w:val="2"/>
        </w:rPr>
      </w:pPr>
      <w:r w:rsidRPr="007C2B8F">
        <w:rPr>
          <w:rFonts w:eastAsiaTheme="majorEastAsia"/>
          <w:color w:val="000000" w:themeColor="text1"/>
          <w:kern w:val="2"/>
        </w:rPr>
        <w:t xml:space="preserve">Makarov and </w:t>
      </w:r>
      <w:proofErr w:type="spellStart"/>
      <w:r w:rsidRPr="007C2B8F">
        <w:rPr>
          <w:rFonts w:eastAsiaTheme="majorEastAsia"/>
          <w:color w:val="000000" w:themeColor="text1"/>
          <w:kern w:val="2"/>
        </w:rPr>
        <w:t>Schoar</w:t>
      </w:r>
      <w:proofErr w:type="spellEnd"/>
      <w:r w:rsidRPr="007C2B8F">
        <w:rPr>
          <w:rFonts w:eastAsiaTheme="majorEastAsia"/>
          <w:color w:val="000000" w:themeColor="text1"/>
          <w:kern w:val="2"/>
        </w:rPr>
        <w:t xml:space="preserve"> (2022) conducted one of the initial systematic longitudinal assessments, where they monitored arbitrage opportunities across 19 bitcoin exchanges from 2017 to 2021. </w:t>
      </w:r>
    </w:p>
    <w:p w14:paraId="08DB3DA4" w14:textId="73D99A7A" w:rsidR="00DA32D2" w:rsidRPr="007C2B8F" w:rsidRDefault="00DA32D2" w:rsidP="00B451D7">
      <w:pPr>
        <w:jc w:val="both"/>
        <w:rPr>
          <w:rFonts w:eastAsiaTheme="majorEastAsia"/>
          <w:color w:val="000000" w:themeColor="text1"/>
          <w:kern w:val="2"/>
        </w:rPr>
      </w:pPr>
      <w:r w:rsidRPr="007C2B8F">
        <w:rPr>
          <w:rFonts w:eastAsiaTheme="majorEastAsia"/>
          <w:color w:val="000000" w:themeColor="text1"/>
          <w:kern w:val="2"/>
        </w:rPr>
        <w:t xml:space="preserve">Their studies showed that arbitrage spreads were getting much smaller: in 2017-2018, there were chances that were more than 1% of the time, but by 2020-2021, there were only 8% of the time. After institutions became involved, this compression sped up, and the median arbitrage window went from 3.2 hours to 14 minutes. The authors indicated that this was because the market infrastructure got better and arbitrage bots got smarter. They also said that many early DeFi chances were only transient inefficiencies and not long-term income sources. </w:t>
      </w:r>
    </w:p>
    <w:p w14:paraId="5DD85FF1" w14:textId="77777777" w:rsidR="00DA32D2" w:rsidRPr="007C2B8F" w:rsidRDefault="00DA32D2" w:rsidP="00B451D7">
      <w:pPr>
        <w:jc w:val="both"/>
        <w:rPr>
          <w:rFonts w:eastAsiaTheme="majorEastAsia"/>
          <w:color w:val="000000" w:themeColor="text1"/>
          <w:kern w:val="2"/>
        </w:rPr>
      </w:pPr>
      <w:r w:rsidRPr="007C2B8F">
        <w:rPr>
          <w:rFonts w:eastAsiaTheme="majorEastAsia"/>
          <w:color w:val="000000" w:themeColor="text1"/>
          <w:kern w:val="2"/>
        </w:rPr>
        <w:lastRenderedPageBreak/>
        <w:t> </w:t>
      </w:r>
    </w:p>
    <w:p w14:paraId="12CDEF60" w14:textId="432A039E" w:rsidR="00DA32D2" w:rsidRPr="007C2B8F" w:rsidRDefault="00DA32D2" w:rsidP="00B451D7">
      <w:pPr>
        <w:jc w:val="both"/>
        <w:rPr>
          <w:rFonts w:eastAsiaTheme="majorEastAsia"/>
          <w:color w:val="000000" w:themeColor="text1"/>
          <w:kern w:val="2"/>
        </w:rPr>
      </w:pPr>
      <w:r w:rsidRPr="007C2B8F">
        <w:rPr>
          <w:rFonts w:eastAsiaTheme="majorEastAsia"/>
          <w:color w:val="000000" w:themeColor="text1"/>
          <w:kern w:val="2"/>
        </w:rPr>
        <w:t xml:space="preserve">Barbon and Ranaldo (2023) conducted a study on 847 liquidity providers across Uniswap v2 and v3 from June 2020 to December 2022. Their survival research showed that 67% of liquidity providers left within the first six months. The leave rates were higher for smaller positions (less than $10,000). They discovered that returns had substantial temporal variation: positions established in 2020-2021 yielded median returns of 18.3% per year, while those that were initiated in 2022 generated only 3.7%. This temporary instability indicates that static assessments may consistently overestimate sustainable returns by predominantly sampling from advantageous early periods. </w:t>
      </w:r>
    </w:p>
    <w:p w14:paraId="01650048" w14:textId="77777777" w:rsidR="00DA32D2" w:rsidRPr="007C2B8F" w:rsidRDefault="00DA32D2" w:rsidP="00B451D7">
      <w:pPr>
        <w:jc w:val="both"/>
        <w:rPr>
          <w:rFonts w:eastAsiaTheme="majorEastAsia"/>
          <w:color w:val="000000" w:themeColor="text1"/>
          <w:kern w:val="2"/>
        </w:rPr>
      </w:pPr>
      <w:r w:rsidRPr="007C2B8F">
        <w:rPr>
          <w:rFonts w:eastAsiaTheme="majorEastAsia"/>
          <w:color w:val="000000" w:themeColor="text1"/>
          <w:kern w:val="2"/>
        </w:rPr>
        <w:t> </w:t>
      </w:r>
    </w:p>
    <w:p w14:paraId="1AC88BCC" w14:textId="39BD284E" w:rsidR="00DA32D2" w:rsidRPr="007C2B8F" w:rsidRDefault="00DA32D2" w:rsidP="00B451D7">
      <w:pPr>
        <w:jc w:val="both"/>
        <w:rPr>
          <w:rFonts w:eastAsiaTheme="majorEastAsia"/>
          <w:color w:val="000000" w:themeColor="text1"/>
          <w:kern w:val="2"/>
        </w:rPr>
      </w:pPr>
      <w:r w:rsidRPr="007C2B8F">
        <w:rPr>
          <w:rFonts w:eastAsiaTheme="majorEastAsia"/>
          <w:color w:val="000000" w:themeColor="text1"/>
          <w:kern w:val="2"/>
        </w:rPr>
        <w:t>The yield farming phenomena offers a definitive illustration of tempor</w:t>
      </w:r>
      <w:r w:rsidR="00247CE2" w:rsidRPr="007C2B8F">
        <w:rPr>
          <w:rFonts w:eastAsiaTheme="majorEastAsia"/>
          <w:color w:val="000000" w:themeColor="text1"/>
          <w:kern w:val="2"/>
        </w:rPr>
        <w:t>ary</w:t>
      </w:r>
      <w:r w:rsidRPr="007C2B8F">
        <w:rPr>
          <w:rFonts w:eastAsiaTheme="majorEastAsia"/>
          <w:color w:val="000000" w:themeColor="text1"/>
          <w:kern w:val="2"/>
        </w:rPr>
        <w:t xml:space="preserve"> opportunity compression. Gudgeon et al. (2020) chronicled the "yield farming summer" of 2020, during which protocols such as Compound and Yearn provided annual percentage yields (APYs) above 1,000% to facilitate liquidity. Chen et al. (2023) monitored 234 yield farming initiatives from inception to maturity, revealing a uniform pattern: early APYs ranging from 100% to 10,000% diminished to 5% to 20% within six months</w:t>
      </w:r>
      <w:r w:rsidR="00A71EC2" w:rsidRPr="007C2B8F">
        <w:rPr>
          <w:rFonts w:eastAsiaTheme="majorEastAsia"/>
          <w:color w:val="000000" w:themeColor="text1"/>
          <w:kern w:val="2"/>
        </w:rPr>
        <w:t>. Out of this</w:t>
      </w:r>
      <w:r w:rsidRPr="007C2B8F">
        <w:rPr>
          <w:rFonts w:eastAsiaTheme="majorEastAsia"/>
          <w:color w:val="000000" w:themeColor="text1"/>
          <w:kern w:val="2"/>
        </w:rPr>
        <w:t xml:space="preserve"> 78% ultimately underperform</w:t>
      </w:r>
      <w:r w:rsidR="00A71EC2" w:rsidRPr="007C2B8F">
        <w:rPr>
          <w:rFonts w:eastAsiaTheme="majorEastAsia"/>
          <w:color w:val="000000" w:themeColor="text1"/>
          <w:kern w:val="2"/>
        </w:rPr>
        <w:t>ed when</w:t>
      </w:r>
      <w:r w:rsidRPr="007C2B8F">
        <w:rPr>
          <w:rFonts w:eastAsiaTheme="majorEastAsia"/>
          <w:color w:val="000000" w:themeColor="text1"/>
          <w:kern w:val="2"/>
        </w:rPr>
        <w:t xml:space="preserve"> compared to equivalent risk-adjusted returns in </w:t>
      </w:r>
      <w:r w:rsidR="00A71EC2" w:rsidRPr="007C2B8F">
        <w:rPr>
          <w:rFonts w:eastAsiaTheme="majorEastAsia"/>
          <w:color w:val="000000" w:themeColor="text1"/>
          <w:kern w:val="2"/>
        </w:rPr>
        <w:t xml:space="preserve">the </w:t>
      </w:r>
      <w:r w:rsidRPr="007C2B8F">
        <w:rPr>
          <w:rFonts w:eastAsiaTheme="majorEastAsia"/>
          <w:color w:val="000000" w:themeColor="text1"/>
          <w:kern w:val="2"/>
        </w:rPr>
        <w:t>traditional finance</w:t>
      </w:r>
      <w:r w:rsidR="00A71EC2" w:rsidRPr="007C2B8F">
        <w:rPr>
          <w:rFonts w:eastAsiaTheme="majorEastAsia"/>
          <w:color w:val="000000" w:themeColor="text1"/>
          <w:kern w:val="2"/>
        </w:rPr>
        <w:t xml:space="preserve"> sector</w:t>
      </w:r>
      <w:r w:rsidRPr="007C2B8F">
        <w:rPr>
          <w:rFonts w:eastAsiaTheme="majorEastAsia"/>
          <w:color w:val="000000" w:themeColor="text1"/>
          <w:kern w:val="2"/>
        </w:rPr>
        <w:t xml:space="preserve">. The authors created a "half-life model" that shows how quickly yield farming returns go down, </w:t>
      </w:r>
      <w:r w:rsidR="00A71EC2" w:rsidRPr="007C2B8F">
        <w:rPr>
          <w:rFonts w:eastAsiaTheme="majorEastAsia"/>
          <w:color w:val="000000" w:themeColor="text1"/>
          <w:kern w:val="2"/>
        </w:rPr>
        <w:t>showing a</w:t>
      </w:r>
      <w:r w:rsidRPr="007C2B8F">
        <w:rPr>
          <w:rFonts w:eastAsiaTheme="majorEastAsia"/>
          <w:color w:val="000000" w:themeColor="text1"/>
          <w:kern w:val="2"/>
        </w:rPr>
        <w:t xml:space="preserve"> typical half-life of 73 days. This means that these opportunities are more like temporary subsidies than long-term economic ideas</w:t>
      </w:r>
      <w:r w:rsidR="00531F18" w:rsidRPr="007C2B8F">
        <w:rPr>
          <w:rFonts w:eastAsiaTheme="majorEastAsia"/>
          <w:color w:val="000000" w:themeColor="text1"/>
        </w:rPr>
        <w:t>.</w:t>
      </w:r>
    </w:p>
    <w:p w14:paraId="6BDBDAD8" w14:textId="77777777" w:rsidR="00DA32D2" w:rsidRPr="007C2B8F" w:rsidRDefault="00DA32D2" w:rsidP="00B451D7">
      <w:pPr>
        <w:jc w:val="both"/>
        <w:rPr>
          <w:rFonts w:eastAsiaTheme="majorEastAsia"/>
          <w:color w:val="000000" w:themeColor="text1"/>
        </w:rPr>
      </w:pPr>
    </w:p>
    <w:p w14:paraId="373FFCF6" w14:textId="77777777" w:rsidR="00981A33" w:rsidRPr="007C2B8F" w:rsidRDefault="00981A33" w:rsidP="00B451D7">
      <w:pPr>
        <w:jc w:val="both"/>
        <w:rPr>
          <w:rFonts w:eastAsiaTheme="majorEastAsia"/>
          <w:color w:val="000000" w:themeColor="text1"/>
          <w:kern w:val="2"/>
        </w:rPr>
      </w:pPr>
      <w:r w:rsidRPr="007C2B8F">
        <w:rPr>
          <w:rFonts w:eastAsiaTheme="majorEastAsia"/>
          <w:color w:val="000000" w:themeColor="text1"/>
          <w:kern w:val="2"/>
        </w:rPr>
        <w:t xml:space="preserve">Protocol-level evolution introduces an additional time dimension that is usually not represented in static analysis. </w:t>
      </w:r>
      <w:proofErr w:type="spellStart"/>
      <w:r w:rsidRPr="007C2B8F">
        <w:rPr>
          <w:rFonts w:eastAsiaTheme="majorEastAsia"/>
          <w:color w:val="000000" w:themeColor="text1"/>
          <w:kern w:val="2"/>
        </w:rPr>
        <w:t>Aramonte</w:t>
      </w:r>
      <w:proofErr w:type="spellEnd"/>
      <w:r w:rsidRPr="007C2B8F">
        <w:rPr>
          <w:rFonts w:eastAsiaTheme="majorEastAsia"/>
          <w:color w:val="000000" w:themeColor="text1"/>
          <w:kern w:val="2"/>
        </w:rPr>
        <w:t xml:space="preserve">, Huang, and Schrimpf (2021) analyzed the evolution of DeFi protocols from 2020 to 2024, noting a rise in complexity together with a trend toward centralization. Their examination of governance token distributions showed that protocols started with equitable distributions (median Gini coefficient: 0.62); but their concentration increased with time (median 0.81 by 24 months post-launch). </w:t>
      </w:r>
      <w:proofErr w:type="spellStart"/>
      <w:r w:rsidRPr="007C2B8F">
        <w:rPr>
          <w:rFonts w:eastAsiaTheme="majorEastAsia"/>
          <w:color w:val="000000" w:themeColor="text1"/>
          <w:kern w:val="2"/>
        </w:rPr>
        <w:t>Thsi</w:t>
      </w:r>
      <w:proofErr w:type="spellEnd"/>
      <w:r w:rsidRPr="007C2B8F">
        <w:rPr>
          <w:rFonts w:eastAsiaTheme="majorEastAsia"/>
          <w:color w:val="000000" w:themeColor="text1"/>
          <w:kern w:val="2"/>
        </w:rPr>
        <w:t xml:space="preserve"> was caused by an increased number of advanced players and increased governance authority. This temporal concentration contradicts the narratives of continual democratization and </w:t>
      </w:r>
      <w:proofErr w:type="gramStart"/>
      <w:r w:rsidRPr="007C2B8F">
        <w:rPr>
          <w:rFonts w:eastAsiaTheme="majorEastAsia"/>
          <w:color w:val="000000" w:themeColor="text1"/>
          <w:kern w:val="2"/>
        </w:rPr>
        <w:t>is suggesting</w:t>
      </w:r>
      <w:proofErr w:type="gramEnd"/>
      <w:r w:rsidRPr="007C2B8F">
        <w:rPr>
          <w:rFonts w:eastAsiaTheme="majorEastAsia"/>
          <w:color w:val="000000" w:themeColor="text1"/>
          <w:kern w:val="2"/>
        </w:rPr>
        <w:t xml:space="preserve"> that instead that early accessibility and opportunity windows close as procedures mature and professionalize.</w:t>
      </w:r>
    </w:p>
    <w:p w14:paraId="2CD841A2" w14:textId="77777777" w:rsidR="00981A33" w:rsidRPr="007C2B8F" w:rsidRDefault="00981A33" w:rsidP="00B451D7">
      <w:pPr>
        <w:jc w:val="both"/>
        <w:rPr>
          <w:rFonts w:eastAsiaTheme="majorEastAsia"/>
          <w:color w:val="000000" w:themeColor="text1"/>
          <w:kern w:val="2"/>
        </w:rPr>
      </w:pPr>
      <w:r w:rsidRPr="007C2B8F">
        <w:rPr>
          <w:rFonts w:eastAsiaTheme="majorEastAsia"/>
          <w:color w:val="000000" w:themeColor="text1"/>
          <w:kern w:val="2"/>
        </w:rPr>
        <w:t> </w:t>
      </w:r>
    </w:p>
    <w:p w14:paraId="5703C2C8" w14:textId="4534DECF" w:rsidR="00981A33" w:rsidRPr="007C2B8F" w:rsidRDefault="00981A33" w:rsidP="00B451D7">
      <w:pPr>
        <w:jc w:val="both"/>
        <w:rPr>
          <w:rFonts w:eastAsiaTheme="majorEastAsia"/>
          <w:color w:val="000000" w:themeColor="text1"/>
          <w:kern w:val="2"/>
        </w:rPr>
      </w:pPr>
      <w:r w:rsidRPr="007C2B8F">
        <w:rPr>
          <w:rFonts w:eastAsiaTheme="majorEastAsia"/>
          <w:color w:val="000000" w:themeColor="text1"/>
          <w:kern w:val="2"/>
        </w:rPr>
        <w:t xml:space="preserve">The institutional entry warrants </w:t>
      </w:r>
      <w:proofErr w:type="gramStart"/>
      <w:r w:rsidRPr="007C2B8F">
        <w:rPr>
          <w:rFonts w:eastAsiaTheme="majorEastAsia"/>
          <w:color w:val="000000" w:themeColor="text1"/>
          <w:kern w:val="2"/>
        </w:rPr>
        <w:t>a focused</w:t>
      </w:r>
      <w:proofErr w:type="gramEnd"/>
      <w:r w:rsidRPr="007C2B8F">
        <w:rPr>
          <w:rFonts w:eastAsiaTheme="majorEastAsia"/>
          <w:color w:val="000000" w:themeColor="text1"/>
          <w:kern w:val="2"/>
        </w:rPr>
        <w:t xml:space="preserve"> scrutiny because of its impact </w:t>
      </w:r>
      <w:proofErr w:type="gramStart"/>
      <w:r w:rsidRPr="007C2B8F">
        <w:rPr>
          <w:rFonts w:eastAsiaTheme="majorEastAsia"/>
          <w:color w:val="000000" w:themeColor="text1"/>
          <w:kern w:val="2"/>
        </w:rPr>
        <w:t>for</w:t>
      </w:r>
      <w:proofErr w:type="gramEnd"/>
      <w:r w:rsidRPr="007C2B8F">
        <w:rPr>
          <w:rFonts w:eastAsiaTheme="majorEastAsia"/>
          <w:color w:val="000000" w:themeColor="text1"/>
          <w:kern w:val="2"/>
        </w:rPr>
        <w:t xml:space="preserve"> the feasibility of retail involvement. Auer and Tercero-Lucas (2022) monitored institutional DeFi participation from 2020 to 2024 and </w:t>
      </w:r>
      <w:proofErr w:type="gramStart"/>
      <w:r w:rsidRPr="007C2B8F">
        <w:rPr>
          <w:rFonts w:eastAsiaTheme="majorEastAsia"/>
          <w:color w:val="000000" w:themeColor="text1"/>
          <w:kern w:val="2"/>
        </w:rPr>
        <w:t>recording</w:t>
      </w:r>
      <w:proofErr w:type="gramEnd"/>
      <w:r w:rsidRPr="007C2B8F">
        <w:rPr>
          <w:rFonts w:eastAsiaTheme="majorEastAsia"/>
          <w:color w:val="000000" w:themeColor="text1"/>
          <w:kern w:val="2"/>
        </w:rPr>
        <w:t xml:space="preserve"> an increase in institutional capital share from 12% in Q4 2020 to 61% by Q2 2024. More importantly, they discovered that institutional entry lowered returns for all types of participants. For example, the median returns went from 14.7% (2020–2021) to 4.2% (2022–2024), while institutional returns fell from 31.4% to 18.9%. The asymmetric decline shows that institutional advantages (infrastructure, information, and capital size) resulted in continuing performance disparities. It showed that these expand rather than contract with time.</w:t>
      </w:r>
    </w:p>
    <w:p w14:paraId="46545F61" w14:textId="77777777" w:rsidR="00981A33" w:rsidRPr="007C2B8F" w:rsidRDefault="00981A33" w:rsidP="00B451D7">
      <w:pPr>
        <w:jc w:val="both"/>
        <w:rPr>
          <w:rFonts w:eastAsiaTheme="majorEastAsia"/>
          <w:color w:val="000000" w:themeColor="text1"/>
          <w:kern w:val="2"/>
        </w:rPr>
      </w:pPr>
      <w:r w:rsidRPr="007C2B8F">
        <w:rPr>
          <w:rFonts w:eastAsiaTheme="majorEastAsia"/>
          <w:color w:val="000000" w:themeColor="text1"/>
          <w:kern w:val="2"/>
        </w:rPr>
        <w:t> </w:t>
      </w:r>
    </w:p>
    <w:p w14:paraId="41B045FC" w14:textId="77777777" w:rsidR="00B436CE" w:rsidRPr="007C2B8F" w:rsidRDefault="00B436CE" w:rsidP="00B451D7">
      <w:pPr>
        <w:jc w:val="both"/>
        <w:rPr>
          <w:rFonts w:eastAsiaTheme="majorEastAsia"/>
          <w:color w:val="000000" w:themeColor="text1"/>
          <w:kern w:val="2"/>
        </w:rPr>
      </w:pPr>
      <w:r w:rsidRPr="007C2B8F">
        <w:rPr>
          <w:rFonts w:eastAsiaTheme="majorEastAsia"/>
          <w:color w:val="000000" w:themeColor="text1"/>
          <w:kern w:val="2"/>
        </w:rPr>
        <w:t xml:space="preserve">Improvements to market infrastructure can make things more efficient, but they can also hurt retail profits. Capponi et al. (2023) examined the impact of enhancements in DEX interfaces, gas optimization tools, and analytical dashboards on participant results from 2020 to 2023. They found that instead of making success easier to reach, more experienced participants learned new skills faster and used them better, which made the performance gap bigger instead of smaller. </w:t>
      </w:r>
    </w:p>
    <w:p w14:paraId="5F6D240C" w14:textId="2279AFBD" w:rsidR="00B436CE" w:rsidRPr="007C2B8F" w:rsidRDefault="00B436CE" w:rsidP="00B451D7">
      <w:pPr>
        <w:jc w:val="both"/>
        <w:rPr>
          <w:rFonts w:eastAsiaTheme="majorEastAsia"/>
          <w:color w:val="000000" w:themeColor="text1"/>
          <w:kern w:val="2"/>
        </w:rPr>
      </w:pPr>
      <w:r w:rsidRPr="007C2B8F">
        <w:rPr>
          <w:rFonts w:eastAsiaTheme="majorEastAsia"/>
          <w:color w:val="000000" w:themeColor="text1"/>
          <w:kern w:val="2"/>
        </w:rPr>
        <w:t xml:space="preserve">Participants with sophisticated tools saw their returns go up by 2.3 percentage points, whereas institutional participants saw returns go up by 8.7 percentage </w:t>
      </w:r>
      <w:proofErr w:type="spellStart"/>
      <w:proofErr w:type="gramStart"/>
      <w:r w:rsidRPr="007C2B8F">
        <w:rPr>
          <w:rFonts w:eastAsiaTheme="majorEastAsia"/>
          <w:color w:val="000000" w:themeColor="text1"/>
          <w:kern w:val="2"/>
        </w:rPr>
        <w:t>points.This</w:t>
      </w:r>
      <w:proofErr w:type="spellEnd"/>
      <w:proofErr w:type="gramEnd"/>
      <w:r w:rsidRPr="007C2B8F">
        <w:rPr>
          <w:rFonts w:eastAsiaTheme="majorEastAsia"/>
          <w:color w:val="000000" w:themeColor="text1"/>
          <w:kern w:val="2"/>
        </w:rPr>
        <w:t xml:space="preserve"> shows that just having tools available isn't enough to make up for differences in skill.</w:t>
      </w:r>
    </w:p>
    <w:p w14:paraId="2592DD12" w14:textId="77777777" w:rsidR="001C7B0F" w:rsidRPr="007C2B8F" w:rsidRDefault="001C7B0F" w:rsidP="00B451D7">
      <w:pPr>
        <w:jc w:val="both"/>
        <w:rPr>
          <w:rFonts w:eastAsiaTheme="majorEastAsia"/>
          <w:color w:val="000000" w:themeColor="text1"/>
          <w:kern w:val="2"/>
        </w:rPr>
      </w:pPr>
    </w:p>
    <w:p w14:paraId="1A83522E" w14:textId="77777777" w:rsidR="001C7B0F" w:rsidRPr="007C2B8F" w:rsidRDefault="001C7B0F" w:rsidP="00B451D7">
      <w:pPr>
        <w:jc w:val="both"/>
        <w:rPr>
          <w:rFonts w:eastAsiaTheme="majorEastAsia"/>
          <w:color w:val="000000" w:themeColor="text1"/>
        </w:rPr>
      </w:pPr>
      <w:r w:rsidRPr="007C2B8F">
        <w:rPr>
          <w:rFonts w:eastAsiaTheme="majorEastAsia"/>
          <w:color w:val="000000" w:themeColor="text1"/>
          <w:kern w:val="2"/>
        </w:rPr>
        <w:t>The regulatory evolution</w:t>
      </w:r>
      <w:r w:rsidRPr="007C2B8F">
        <w:rPr>
          <w:rFonts w:eastAsiaTheme="majorEastAsia"/>
          <w:color w:val="000000" w:themeColor="text1"/>
        </w:rPr>
        <w:t xml:space="preserve"> dimension adds more time complexity. </w:t>
      </w:r>
      <w:proofErr w:type="spellStart"/>
      <w:r w:rsidRPr="007C2B8F">
        <w:rPr>
          <w:rFonts w:eastAsiaTheme="majorEastAsia"/>
          <w:color w:val="000000" w:themeColor="text1"/>
        </w:rPr>
        <w:t>Zetzsche</w:t>
      </w:r>
      <w:proofErr w:type="spellEnd"/>
      <w:r w:rsidRPr="007C2B8F">
        <w:rPr>
          <w:rFonts w:eastAsiaTheme="majorEastAsia"/>
          <w:color w:val="000000" w:themeColor="text1"/>
        </w:rPr>
        <w:t xml:space="preserve"> et al. (2023) recorded the relationship between regulatory clarity—often promoted as essential for institutional entry—and diminished retail opportunities. They looked at six areas that put in place full crypto frameworks between 2020 and 2023 and discovered that once the rules were put in place, retail DeFi participation declined by 34% but institutional participation surged by 127%. The </w:t>
      </w:r>
      <w:proofErr w:type="gramStart"/>
      <w:r w:rsidRPr="007C2B8F">
        <w:rPr>
          <w:rFonts w:eastAsiaTheme="majorEastAsia"/>
          <w:color w:val="000000" w:themeColor="text1"/>
        </w:rPr>
        <w:t>authors</w:t>
      </w:r>
      <w:proofErr w:type="gramEnd"/>
      <w:r w:rsidRPr="007C2B8F">
        <w:rPr>
          <w:rFonts w:eastAsiaTheme="majorEastAsia"/>
          <w:color w:val="000000" w:themeColor="text1"/>
        </w:rPr>
        <w:t xml:space="preserve"> proposes that this illustrates that compliance costs and KYC obligations disproportionately impact smaller entities. This results in a "regulatory accessibility paradox" where it facilitates institutional access while obstructing retail access.</w:t>
      </w:r>
    </w:p>
    <w:p w14:paraId="02861483" w14:textId="77777777" w:rsidR="001C7B0F" w:rsidRPr="007C2B8F" w:rsidRDefault="001C7B0F" w:rsidP="00B451D7">
      <w:pPr>
        <w:jc w:val="both"/>
        <w:rPr>
          <w:rFonts w:eastAsiaTheme="majorEastAsia"/>
          <w:color w:val="000000" w:themeColor="text1"/>
        </w:rPr>
      </w:pPr>
      <w:r w:rsidRPr="007C2B8F">
        <w:rPr>
          <w:rFonts w:eastAsiaTheme="majorEastAsia"/>
          <w:color w:val="000000" w:themeColor="text1"/>
        </w:rPr>
        <w:t xml:space="preserve"> </w:t>
      </w:r>
    </w:p>
    <w:p w14:paraId="229DD793" w14:textId="4EE000A8" w:rsidR="00981A33" w:rsidRPr="007C2B8F" w:rsidRDefault="00981A33" w:rsidP="00B451D7">
      <w:pPr>
        <w:jc w:val="both"/>
        <w:rPr>
          <w:rFonts w:eastAsiaTheme="majorEastAsia"/>
          <w:color w:val="000000" w:themeColor="text1"/>
          <w:kern w:val="2"/>
        </w:rPr>
      </w:pPr>
      <w:r w:rsidRPr="007C2B8F">
        <w:rPr>
          <w:rFonts w:eastAsiaTheme="majorEastAsia"/>
          <w:color w:val="000000" w:themeColor="text1"/>
          <w:kern w:val="2"/>
        </w:rPr>
        <w:t xml:space="preserve">Combining </w:t>
      </w:r>
      <w:proofErr w:type="gramStart"/>
      <w:r w:rsidRPr="007C2B8F">
        <w:rPr>
          <w:rFonts w:eastAsiaTheme="majorEastAsia"/>
          <w:color w:val="000000" w:themeColor="text1"/>
          <w:kern w:val="2"/>
        </w:rPr>
        <w:t>these</w:t>
      </w:r>
      <w:proofErr w:type="gramEnd"/>
      <w:r w:rsidRPr="007C2B8F">
        <w:rPr>
          <w:rFonts w:eastAsiaTheme="majorEastAsia"/>
          <w:color w:val="000000" w:themeColor="text1"/>
          <w:kern w:val="2"/>
        </w:rPr>
        <w:t xml:space="preserve"> long-term research shows </w:t>
      </w:r>
      <w:proofErr w:type="gramStart"/>
      <w:r w:rsidRPr="007C2B8F">
        <w:rPr>
          <w:rFonts w:eastAsiaTheme="majorEastAsia"/>
          <w:color w:val="000000" w:themeColor="text1"/>
          <w:kern w:val="2"/>
        </w:rPr>
        <w:t>a number of</w:t>
      </w:r>
      <w:proofErr w:type="gramEnd"/>
      <w:r w:rsidRPr="007C2B8F">
        <w:rPr>
          <w:rFonts w:eastAsiaTheme="majorEastAsia"/>
          <w:color w:val="000000" w:themeColor="text1"/>
          <w:kern w:val="2"/>
        </w:rPr>
        <w:t xml:space="preserve"> regular trends that are hard to explain with static cross-sectional analyses. First, opportunities show a consistent decrease over time, with profits falling as markets mature and competition grows. Second, returns in the early stages are far higher than returns that can be sustained over the long run. This suggests that research that only </w:t>
      </w:r>
      <w:proofErr w:type="gramStart"/>
      <w:r w:rsidRPr="007C2B8F">
        <w:rPr>
          <w:rFonts w:eastAsiaTheme="majorEastAsia"/>
          <w:color w:val="000000" w:themeColor="text1"/>
          <w:kern w:val="2"/>
        </w:rPr>
        <w:t>look</w:t>
      </w:r>
      <w:proofErr w:type="gramEnd"/>
      <w:r w:rsidRPr="007C2B8F">
        <w:rPr>
          <w:rFonts w:eastAsiaTheme="majorEastAsia"/>
          <w:color w:val="000000" w:themeColor="text1"/>
          <w:kern w:val="2"/>
        </w:rPr>
        <w:t xml:space="preserve"> at DeFi's growth phase may be biased toward survivors. Third, when institutions enter the market, they generate long-lasting performance gaps that retail tool adoption can't entirely make up for because of their advantages in infrastructure and knowledge. Fourth, when regulations get better, they make some dangers smaller, but they also make it harder for people to shop because of compliance costs.</w:t>
      </w:r>
    </w:p>
    <w:p w14:paraId="1C63DD73" w14:textId="77777777" w:rsidR="00981A33" w:rsidRPr="007C2B8F" w:rsidRDefault="00981A33" w:rsidP="00B451D7">
      <w:pPr>
        <w:jc w:val="both"/>
        <w:rPr>
          <w:rFonts w:eastAsiaTheme="majorEastAsia"/>
          <w:color w:val="000000" w:themeColor="text1"/>
          <w:kern w:val="2"/>
        </w:rPr>
      </w:pPr>
      <w:r w:rsidRPr="007C2B8F">
        <w:rPr>
          <w:rFonts w:eastAsiaTheme="majorEastAsia"/>
          <w:color w:val="000000" w:themeColor="text1"/>
          <w:kern w:val="2"/>
        </w:rPr>
        <w:t xml:space="preserve"> </w:t>
      </w:r>
    </w:p>
    <w:p w14:paraId="3E333D59" w14:textId="5A123F1F" w:rsidR="00981A33" w:rsidRPr="007C2B8F" w:rsidRDefault="00981A33" w:rsidP="00B451D7">
      <w:pPr>
        <w:jc w:val="both"/>
        <w:rPr>
          <w:rFonts w:eastAsiaTheme="majorEastAsia"/>
          <w:color w:val="000000" w:themeColor="text1"/>
          <w:kern w:val="2"/>
        </w:rPr>
      </w:pPr>
      <w:r w:rsidRPr="007C2B8F">
        <w:rPr>
          <w:rFonts w:eastAsiaTheme="majorEastAsia"/>
          <w:color w:val="000000" w:themeColor="text1"/>
          <w:kern w:val="2"/>
        </w:rPr>
        <w:t xml:space="preserve">These time-based patterns have a big effect on how we view DeFi's potential to make things </w:t>
      </w:r>
      <w:proofErr w:type="gramStart"/>
      <w:r w:rsidRPr="007C2B8F">
        <w:rPr>
          <w:rFonts w:eastAsiaTheme="majorEastAsia"/>
          <w:color w:val="000000" w:themeColor="text1"/>
          <w:kern w:val="2"/>
        </w:rPr>
        <w:t>more fair</w:t>
      </w:r>
      <w:proofErr w:type="gramEnd"/>
      <w:r w:rsidRPr="007C2B8F">
        <w:rPr>
          <w:rFonts w:eastAsiaTheme="majorEastAsia"/>
          <w:color w:val="000000" w:themeColor="text1"/>
          <w:kern w:val="2"/>
        </w:rPr>
        <w:t xml:space="preserve">. Statical assessments that looked at DeFi's early experimental phase may exaggerate its long-term sustainability for retail participants by mistaking short-term inefficiencies for long-term potential. The </w:t>
      </w:r>
      <w:r w:rsidRPr="007C2B8F">
        <w:rPr>
          <w:rFonts w:eastAsiaTheme="majorEastAsia"/>
          <w:color w:val="000000" w:themeColor="text1"/>
        </w:rPr>
        <w:t>continuous</w:t>
      </w:r>
      <w:r w:rsidRPr="007C2B8F">
        <w:rPr>
          <w:rFonts w:eastAsiaTheme="majorEastAsia"/>
          <w:color w:val="000000" w:themeColor="text1"/>
          <w:kern w:val="2"/>
        </w:rPr>
        <w:t xml:space="preserve"> trend of opportunity </w:t>
      </w:r>
      <w:proofErr w:type="gramStart"/>
      <w:r w:rsidRPr="007C2B8F">
        <w:rPr>
          <w:rFonts w:eastAsiaTheme="majorEastAsia"/>
          <w:color w:val="000000" w:themeColor="text1"/>
          <w:kern w:val="2"/>
        </w:rPr>
        <w:t>decline</w:t>
      </w:r>
      <w:proofErr w:type="gramEnd"/>
      <w:r w:rsidRPr="007C2B8F">
        <w:rPr>
          <w:rFonts w:eastAsiaTheme="majorEastAsia"/>
          <w:color w:val="000000" w:themeColor="text1"/>
          <w:kern w:val="2"/>
        </w:rPr>
        <w:t xml:space="preserve"> in arbitrage, liquidity provision, and yield farming shows that accessible profits are exceptions rather than enduring characteristics of the ecosystem. This viewpoint </w:t>
      </w:r>
      <w:r w:rsidR="004F4B7C" w:rsidRPr="007C2B8F">
        <w:rPr>
          <w:rFonts w:eastAsiaTheme="majorEastAsia"/>
          <w:color w:val="000000" w:themeColor="text1"/>
          <w:kern w:val="2"/>
        </w:rPr>
        <w:t>is however</w:t>
      </w:r>
      <w:r w:rsidRPr="007C2B8F">
        <w:rPr>
          <w:rFonts w:eastAsiaTheme="majorEastAsia"/>
          <w:color w:val="000000" w:themeColor="text1"/>
          <w:kern w:val="2"/>
        </w:rPr>
        <w:t xml:space="preserve"> lacking in </w:t>
      </w:r>
      <w:proofErr w:type="gramStart"/>
      <w:r w:rsidRPr="007C2B8F">
        <w:rPr>
          <w:rFonts w:eastAsiaTheme="majorEastAsia"/>
          <w:color w:val="000000" w:themeColor="text1"/>
          <w:kern w:val="2"/>
        </w:rPr>
        <w:t>the current</w:t>
      </w:r>
      <w:proofErr w:type="gramEnd"/>
      <w:r w:rsidRPr="007C2B8F">
        <w:rPr>
          <w:rFonts w:eastAsiaTheme="majorEastAsia"/>
          <w:color w:val="000000" w:themeColor="text1"/>
          <w:kern w:val="2"/>
        </w:rPr>
        <w:t xml:space="preserve"> </w:t>
      </w:r>
      <w:r w:rsidRPr="007C2B8F">
        <w:rPr>
          <w:rFonts w:eastAsiaTheme="majorEastAsia"/>
          <w:color w:val="000000" w:themeColor="text1"/>
        </w:rPr>
        <w:t>literature. It</w:t>
      </w:r>
      <w:r w:rsidRPr="007C2B8F">
        <w:rPr>
          <w:rFonts w:eastAsiaTheme="majorEastAsia"/>
          <w:color w:val="000000" w:themeColor="text1"/>
          <w:kern w:val="2"/>
        </w:rPr>
        <w:t xml:space="preserve"> therefore results in a significant gap in understanding if DeFi opportunities are cyclical (repeat with each wave of innovation) or secular (permanently reducing as markets mature)</w:t>
      </w:r>
    </w:p>
    <w:p w14:paraId="09411F91" w14:textId="77777777" w:rsidR="00981A33" w:rsidRPr="00FA3E42" w:rsidRDefault="00981A33" w:rsidP="00B451D7">
      <w:pPr>
        <w:rPr>
          <w:rFonts w:eastAsiaTheme="majorEastAsia"/>
          <w:color w:val="0070C0"/>
        </w:rPr>
      </w:pPr>
    </w:p>
    <w:p w14:paraId="3F6A3030" w14:textId="2E79B9FD" w:rsidR="00F01F60" w:rsidRPr="003C66A0" w:rsidRDefault="00F01F60" w:rsidP="00B451D7">
      <w:pPr>
        <w:pStyle w:val="Heading2"/>
        <w:rPr>
          <w:rFonts w:eastAsiaTheme="majorEastAsia"/>
        </w:rPr>
      </w:pPr>
      <w:bookmarkStart w:id="27" w:name="_Toc214721833"/>
      <w:r w:rsidRPr="003C66A0">
        <w:rPr>
          <w:rFonts w:eastAsiaTheme="majorEastAsia"/>
        </w:rPr>
        <w:t>2.3 Empirical Evidence on DeFi Returns and Risks</w:t>
      </w:r>
      <w:bookmarkEnd w:id="27"/>
    </w:p>
    <w:p w14:paraId="72A7ECFC" w14:textId="58A7AD90" w:rsidR="00C775AE" w:rsidRPr="003C66A0" w:rsidRDefault="00C775AE" w:rsidP="00B451D7">
      <w:pPr>
        <w:jc w:val="both"/>
        <w:rPr>
          <w:rFonts w:eastAsiaTheme="majorEastAsia"/>
          <w:color w:val="000000" w:themeColor="text1"/>
        </w:rPr>
      </w:pPr>
      <w:r w:rsidRPr="003C66A0">
        <w:rPr>
          <w:rFonts w:eastAsiaTheme="majorEastAsia"/>
          <w:color w:val="000000" w:themeColor="text1"/>
        </w:rPr>
        <w:t xml:space="preserve">The discrepancy between projected and realized returns in DeFi has </w:t>
      </w:r>
      <w:r w:rsidR="00354301" w:rsidRPr="003C66A0">
        <w:rPr>
          <w:rFonts w:eastAsiaTheme="majorEastAsia"/>
          <w:color w:val="000000" w:themeColor="text1"/>
        </w:rPr>
        <w:t>initiated</w:t>
      </w:r>
      <w:r w:rsidRPr="003C66A0">
        <w:rPr>
          <w:rFonts w:eastAsiaTheme="majorEastAsia"/>
          <w:color w:val="000000" w:themeColor="text1"/>
        </w:rPr>
        <w:t xml:space="preserve"> significant academic scrutiny. Liu and </w:t>
      </w:r>
      <w:proofErr w:type="spellStart"/>
      <w:r w:rsidRPr="003C66A0">
        <w:rPr>
          <w:rFonts w:eastAsiaTheme="majorEastAsia"/>
          <w:color w:val="000000" w:themeColor="text1"/>
        </w:rPr>
        <w:t>Tsyvinski</w:t>
      </w:r>
      <w:proofErr w:type="spellEnd"/>
      <w:r w:rsidRPr="003C66A0">
        <w:rPr>
          <w:rFonts w:eastAsiaTheme="majorEastAsia"/>
          <w:color w:val="000000" w:themeColor="text1"/>
        </w:rPr>
        <w:t xml:space="preserve"> (2021) executed one of the initial empirical and very extensive investigations into cryptocurrency </w:t>
      </w:r>
      <w:proofErr w:type="gramStart"/>
      <w:r w:rsidRPr="003C66A0">
        <w:rPr>
          <w:rFonts w:eastAsiaTheme="majorEastAsia"/>
          <w:color w:val="000000" w:themeColor="text1"/>
        </w:rPr>
        <w:t>returns</w:t>
      </w:r>
      <w:proofErr w:type="gramEnd"/>
      <w:r w:rsidRPr="003C66A0">
        <w:rPr>
          <w:rFonts w:eastAsiaTheme="majorEastAsia"/>
          <w:color w:val="000000" w:themeColor="text1"/>
        </w:rPr>
        <w:t>, concentrating mainly on tokens rather than yield strategies. They recorded the extreme volatility and tail risks that are typical of crypto markets. This is important to know because it helps to explain why staking returns or liquidity provision yields can't be looked at separately from price risk.</w:t>
      </w:r>
    </w:p>
    <w:p w14:paraId="2F3B6646" w14:textId="77777777" w:rsidR="00C775AE" w:rsidRPr="003C66A0" w:rsidRDefault="00C775AE" w:rsidP="00B451D7">
      <w:pPr>
        <w:jc w:val="both"/>
        <w:rPr>
          <w:rFonts w:eastAsiaTheme="majorEastAsia"/>
          <w:color w:val="000000" w:themeColor="text1"/>
        </w:rPr>
      </w:pPr>
      <w:r w:rsidRPr="003C66A0">
        <w:rPr>
          <w:rFonts w:eastAsiaTheme="majorEastAsia"/>
          <w:color w:val="000000" w:themeColor="text1"/>
        </w:rPr>
        <w:t> </w:t>
      </w:r>
    </w:p>
    <w:p w14:paraId="14CF6678" w14:textId="77777777" w:rsidR="00C775AE" w:rsidRPr="003C66A0" w:rsidRDefault="00C775AE" w:rsidP="00B451D7">
      <w:pPr>
        <w:jc w:val="both"/>
        <w:rPr>
          <w:rFonts w:eastAsiaTheme="majorEastAsia"/>
          <w:color w:val="000000" w:themeColor="text1"/>
        </w:rPr>
      </w:pPr>
      <w:r w:rsidRPr="003C66A0">
        <w:rPr>
          <w:rFonts w:eastAsiaTheme="majorEastAsia"/>
          <w:color w:val="000000" w:themeColor="text1"/>
        </w:rPr>
        <w:t xml:space="preserve">Lehar and </w:t>
      </w:r>
      <w:proofErr w:type="spellStart"/>
      <w:r w:rsidRPr="003C66A0">
        <w:rPr>
          <w:rFonts w:eastAsiaTheme="majorEastAsia"/>
          <w:color w:val="000000" w:themeColor="text1"/>
        </w:rPr>
        <w:t>Parlour</w:t>
      </w:r>
      <w:proofErr w:type="spellEnd"/>
      <w:r w:rsidRPr="003C66A0">
        <w:rPr>
          <w:rFonts w:eastAsiaTheme="majorEastAsia"/>
          <w:color w:val="000000" w:themeColor="text1"/>
        </w:rPr>
        <w:t xml:space="preserve"> (2022) did research on the actual returns to Uniswap liquidity providers that is more directly related. They discovered that returns fluctuate significantly depending on pair selection, timing, and management strategy. They showed that most liquidity providers would have been better off just holding their tokens instead of providing liquidity. This goes against the idea that DeFi is a way to make passive income.</w:t>
      </w:r>
    </w:p>
    <w:p w14:paraId="739AD7AB" w14:textId="77777777" w:rsidR="00C775AE" w:rsidRPr="003C66A0" w:rsidRDefault="00C775AE" w:rsidP="00B451D7">
      <w:pPr>
        <w:jc w:val="both"/>
        <w:rPr>
          <w:rFonts w:eastAsiaTheme="majorEastAsia"/>
          <w:color w:val="000000" w:themeColor="text1"/>
        </w:rPr>
      </w:pPr>
    </w:p>
    <w:p w14:paraId="16509F4E" w14:textId="77777777" w:rsidR="00C775AE" w:rsidRPr="003C66A0" w:rsidRDefault="00C775AE" w:rsidP="00B451D7">
      <w:pPr>
        <w:jc w:val="both"/>
        <w:rPr>
          <w:rFonts w:eastAsiaTheme="majorEastAsia"/>
          <w:color w:val="000000" w:themeColor="text1"/>
        </w:rPr>
      </w:pPr>
      <w:r w:rsidRPr="003C66A0">
        <w:rPr>
          <w:rFonts w:eastAsiaTheme="majorEastAsia"/>
          <w:color w:val="000000" w:themeColor="text1"/>
        </w:rPr>
        <w:t xml:space="preserve">Xu et al. (2023) provided a systematic review of decentralized exchanges with AMM protocols, synthesizing findings from multiple studies. Their meta-analysis reveals several consistent patterns: gas costs consume a significant portion of returns for smaller positions, impermanent loss affects </w:t>
      </w:r>
      <w:proofErr w:type="gramStart"/>
      <w:r w:rsidRPr="003C66A0">
        <w:rPr>
          <w:rFonts w:eastAsiaTheme="majorEastAsia"/>
          <w:color w:val="000000" w:themeColor="text1"/>
        </w:rPr>
        <w:t>the majority of</w:t>
      </w:r>
      <w:proofErr w:type="gramEnd"/>
      <w:r w:rsidRPr="003C66A0">
        <w:rPr>
          <w:rFonts w:eastAsiaTheme="majorEastAsia"/>
          <w:color w:val="000000" w:themeColor="text1"/>
        </w:rPr>
        <w:t xml:space="preserve"> volatile pair positions, and sophisticated participants systematically </w:t>
      </w:r>
      <w:r w:rsidRPr="003C66A0">
        <w:rPr>
          <w:rFonts w:eastAsiaTheme="majorEastAsia"/>
          <w:color w:val="000000" w:themeColor="text1"/>
        </w:rPr>
        <w:lastRenderedPageBreak/>
        <w:t xml:space="preserve">outperform retail users. </w:t>
      </w:r>
      <w:proofErr w:type="gramStart"/>
      <w:r w:rsidRPr="003C66A0">
        <w:rPr>
          <w:rFonts w:eastAsiaTheme="majorEastAsia"/>
          <w:color w:val="000000" w:themeColor="text1"/>
        </w:rPr>
        <w:t>They conclude that while</w:t>
      </w:r>
      <w:proofErr w:type="gramEnd"/>
      <w:r w:rsidRPr="003C66A0">
        <w:rPr>
          <w:rFonts w:eastAsiaTheme="majorEastAsia"/>
          <w:color w:val="000000" w:themeColor="text1"/>
        </w:rPr>
        <w:t xml:space="preserve"> AMMs represent genuine innovation, the economic benefits accrue disproportionately to large, sophisticated participants.</w:t>
      </w:r>
    </w:p>
    <w:p w14:paraId="2DFC2145" w14:textId="77777777" w:rsidR="00C775AE" w:rsidRPr="003C66A0" w:rsidRDefault="00C775AE" w:rsidP="00B451D7">
      <w:pPr>
        <w:jc w:val="both"/>
        <w:rPr>
          <w:rFonts w:eastAsiaTheme="majorEastAsia"/>
          <w:color w:val="000000" w:themeColor="text1"/>
        </w:rPr>
      </w:pPr>
    </w:p>
    <w:p w14:paraId="3C9514CE" w14:textId="77777777" w:rsidR="00C775AE" w:rsidRPr="003C66A0" w:rsidRDefault="00C775AE" w:rsidP="00B451D7">
      <w:pPr>
        <w:jc w:val="both"/>
        <w:rPr>
          <w:rFonts w:eastAsiaTheme="majorEastAsia"/>
          <w:color w:val="000000" w:themeColor="text1"/>
        </w:rPr>
      </w:pPr>
      <w:r w:rsidRPr="003C66A0">
        <w:rPr>
          <w:rFonts w:eastAsiaTheme="majorEastAsia"/>
          <w:color w:val="000000" w:themeColor="text1"/>
        </w:rPr>
        <w:t>The risk dimension has not been systematically examined, although various studies yield significant insights. Daian et al. (2020) recorded the "Flash Boys 2.0" phenomenon, which shows how miner extractable value (MEV) lets advanced users take advantage of regular users. They demonstrate that sandwich attacks, frontrunning, and various forms of MEV extraction constitute a concealed tax on DeFi participation that may surpass explicit fees.</w:t>
      </w:r>
    </w:p>
    <w:p w14:paraId="3E4BFA47" w14:textId="77777777" w:rsidR="00C775AE" w:rsidRPr="003C66A0" w:rsidRDefault="00C775AE" w:rsidP="00B451D7">
      <w:pPr>
        <w:jc w:val="both"/>
        <w:rPr>
          <w:rFonts w:eastAsiaTheme="majorEastAsia"/>
          <w:color w:val="000000" w:themeColor="text1"/>
        </w:rPr>
      </w:pPr>
    </w:p>
    <w:p w14:paraId="03CD4EA9" w14:textId="77777777" w:rsidR="00C775AE" w:rsidRPr="003C66A0" w:rsidRDefault="00C775AE" w:rsidP="00B451D7">
      <w:pPr>
        <w:jc w:val="both"/>
        <w:rPr>
          <w:rFonts w:eastAsiaTheme="majorEastAsia"/>
          <w:color w:val="000000" w:themeColor="text1"/>
        </w:rPr>
      </w:pPr>
      <w:r w:rsidRPr="003C66A0">
        <w:rPr>
          <w:rFonts w:eastAsiaTheme="majorEastAsia"/>
          <w:color w:val="000000" w:themeColor="text1"/>
        </w:rPr>
        <w:t>Another area that hasn't been studied enough is smart contract risk. Even though many companies do smart contract audits, there isn't much academic research on how well they work. Wang et al. (2022) conducted a comprehensive analysis of blockchain-enabled smart contracts, highlighting the inadequacies of formal verification and the tendency for economic attacks to circumvent technically accurate code. This gap in the literature, situated between technical security and economic security, signifies a crucial domain necessitating further investigation.</w:t>
      </w:r>
    </w:p>
    <w:p w14:paraId="22684B72" w14:textId="77777777" w:rsidR="00F01F60" w:rsidRPr="003C66A0" w:rsidRDefault="00F01F60" w:rsidP="00B451D7">
      <w:pPr>
        <w:jc w:val="both"/>
        <w:rPr>
          <w:rFonts w:eastAsiaTheme="majorEastAsia"/>
          <w:color w:val="000000" w:themeColor="text1"/>
        </w:rPr>
      </w:pPr>
    </w:p>
    <w:p w14:paraId="6F9DA916" w14:textId="529FBE45" w:rsidR="00E212F6" w:rsidRDefault="00F01F60" w:rsidP="00B451D7">
      <w:pPr>
        <w:pStyle w:val="Heading2"/>
        <w:rPr>
          <w:rFonts w:eastAsiaTheme="majorEastAsia"/>
        </w:rPr>
      </w:pPr>
      <w:bookmarkStart w:id="28" w:name="_Toc214721834"/>
      <w:r w:rsidRPr="003C66A0">
        <w:rPr>
          <w:rFonts w:eastAsiaTheme="majorEastAsia"/>
        </w:rPr>
        <w:t>2.4 Behavioral Aspects of DeFi Participation</w:t>
      </w:r>
      <w:bookmarkEnd w:id="28"/>
    </w:p>
    <w:p w14:paraId="77B780DC" w14:textId="08C92B46" w:rsidR="00E212F6" w:rsidRPr="00E212F6" w:rsidRDefault="00E212F6" w:rsidP="00B451D7">
      <w:pPr>
        <w:jc w:val="both"/>
        <w:rPr>
          <w:color w:val="000000" w:themeColor="text1"/>
          <w:kern w:val="2"/>
        </w:rPr>
      </w:pPr>
      <w:r w:rsidRPr="00E212F6">
        <w:rPr>
          <w:color w:val="000000" w:themeColor="text1"/>
          <w:kern w:val="2"/>
        </w:rPr>
        <w:t>The behavioral changes of DeFi participation have surfaced as a critical study field. The years 2022-2025 are experiencing a proliferation of empirical studies, data indicating how cognitive biases systematically influence cryptocurrency and decentralized finance investment choices. This body of literature demonstrates that behavioral finance offers greater explanatory power for DeFi market dynamics than conventional actor models. This is supported by results that align across methodologies, nations, and temporal contexts and show that psychological factors—rather than fundamental analysis—predominate retail participation decisions.</w:t>
      </w:r>
    </w:p>
    <w:p w14:paraId="7BC79F8E" w14:textId="77777777" w:rsidR="00DE154D" w:rsidRDefault="00DE154D" w:rsidP="00B451D7">
      <w:pPr>
        <w:pStyle w:val="Heading3"/>
        <w:rPr>
          <w:rFonts w:ascii="Arial" w:hAnsi="Arial" w:cs="Arial"/>
          <w:color w:val="3B3A3B"/>
          <w:spacing w:val="5"/>
          <w:sz w:val="21"/>
          <w:szCs w:val="21"/>
          <w:bdr w:val="single" w:sz="2" w:space="0" w:color="E5E7EB" w:frame="1"/>
          <w:shd w:val="clear" w:color="auto" w:fill="FDEFD5"/>
        </w:rPr>
      </w:pPr>
    </w:p>
    <w:p w14:paraId="0546EF97" w14:textId="50E2F11C" w:rsidR="001C2B31" w:rsidRPr="00F61668" w:rsidRDefault="00ED7B54" w:rsidP="00B451D7">
      <w:pPr>
        <w:pStyle w:val="Heading3"/>
        <w:jc w:val="both"/>
        <w:rPr>
          <w:color w:val="000000" w:themeColor="text1"/>
        </w:rPr>
      </w:pPr>
      <w:bookmarkStart w:id="29" w:name="_Toc214721835"/>
      <w:r w:rsidRPr="00F61668">
        <w:rPr>
          <w:color w:val="000000" w:themeColor="text1"/>
        </w:rPr>
        <w:t>2.4.1 Prospect Theory and DeFi Asset Pricing</w:t>
      </w:r>
      <w:bookmarkEnd w:id="29"/>
    </w:p>
    <w:p w14:paraId="0D622323" w14:textId="77777777" w:rsidR="001C2B31" w:rsidRPr="00F61668" w:rsidRDefault="001C2B31" w:rsidP="00B451D7">
      <w:pPr>
        <w:jc w:val="both"/>
        <w:rPr>
          <w:b/>
          <w:color w:val="000000" w:themeColor="text1"/>
        </w:rPr>
      </w:pPr>
      <w:r w:rsidRPr="00F61668">
        <w:rPr>
          <w:color w:val="000000" w:themeColor="text1"/>
        </w:rPr>
        <w:t xml:space="preserve">Recent research demonstrates that prospect theory—which describes how people make decisions under risk with loss aversion and probability weighting (Kahneman &amp; Tversky, 1979), provides detailed explanations for cryptocurrency and DeFi returns compared to traditional asset pricing models. Yadav's (2024) examination of 1,629 cryptocurrencies, which is over 95% of the market, disclosed a negative correlation between prospect theory value (PTV) and cryptocurrency returns. The PTV framework demonstrated significant resilience in the context of smaller, more volatile cryptocurrencies. His was especially visible when loss aversion urged investors to consistently make illogical choices. </w:t>
      </w:r>
    </w:p>
    <w:p w14:paraId="5C3A9F98" w14:textId="77777777" w:rsidR="001C2B31" w:rsidRPr="00F61668" w:rsidRDefault="001C2B31" w:rsidP="00B451D7">
      <w:pPr>
        <w:jc w:val="both"/>
        <w:rPr>
          <w:color w:val="000000" w:themeColor="text1"/>
        </w:rPr>
      </w:pPr>
    </w:p>
    <w:p w14:paraId="08EAC0CC" w14:textId="77777777" w:rsidR="001C2B31" w:rsidRPr="00F61668" w:rsidRDefault="001C2B31" w:rsidP="00B451D7">
      <w:pPr>
        <w:jc w:val="both"/>
        <w:rPr>
          <w:color w:val="000000" w:themeColor="text1"/>
        </w:rPr>
      </w:pPr>
      <w:r w:rsidRPr="00F61668">
        <w:rPr>
          <w:color w:val="000000" w:themeColor="text1"/>
        </w:rPr>
        <w:t xml:space="preserve">Chen et al. (2022) reinforced these findings across 1,573 cryptocurrencies from 2014-2020. In his </w:t>
      </w:r>
      <w:proofErr w:type="spellStart"/>
      <w:r w:rsidRPr="00F61668">
        <w:rPr>
          <w:color w:val="000000" w:themeColor="text1"/>
        </w:rPr>
        <w:t>reserach</w:t>
      </w:r>
      <w:proofErr w:type="spellEnd"/>
      <w:r w:rsidRPr="00F61668">
        <w:rPr>
          <w:color w:val="000000" w:themeColor="text1"/>
        </w:rPr>
        <w:t xml:space="preserve"> he demonstrated that cryptocurrencies with higher prospect theory values earn 0.71% lower returns per week for each cross-sectional standard-deviation increase in PTV. This overpricing almost shows a lottery-like demand between cryptocurrency investors who overweight small probabilities of large gains while underweighting losses. This pattern is consistent with </w:t>
      </w:r>
      <w:proofErr w:type="spellStart"/>
      <w:r w:rsidRPr="00F61668">
        <w:rPr>
          <w:color w:val="000000" w:themeColor="text1"/>
        </w:rPr>
        <w:t>Thoma's</w:t>
      </w:r>
      <w:proofErr w:type="spellEnd"/>
      <w:r w:rsidRPr="00F61668">
        <w:rPr>
          <w:color w:val="000000" w:themeColor="text1"/>
        </w:rPr>
        <w:t xml:space="preserve"> (2020) finding, where he shows that trading strategies based on prospect theory assumptions generated strong outperformance.</w:t>
      </w:r>
    </w:p>
    <w:p w14:paraId="30F305BC" w14:textId="77777777" w:rsidR="001C2B31" w:rsidRPr="00F61668" w:rsidRDefault="001C2B31" w:rsidP="00B451D7">
      <w:pPr>
        <w:jc w:val="both"/>
        <w:rPr>
          <w:color w:val="000000" w:themeColor="text1"/>
        </w:rPr>
      </w:pPr>
    </w:p>
    <w:p w14:paraId="762FDCE7" w14:textId="77777777" w:rsidR="001C2B31" w:rsidRPr="00F61668" w:rsidRDefault="001C2B31" w:rsidP="00B451D7">
      <w:pPr>
        <w:jc w:val="both"/>
        <w:rPr>
          <w:b/>
          <w:color w:val="000000" w:themeColor="text1"/>
        </w:rPr>
      </w:pPr>
      <w:r w:rsidRPr="00F61668">
        <w:rPr>
          <w:color w:val="000000" w:themeColor="text1"/>
        </w:rPr>
        <w:t>Bennett's (2023) framework article "</w:t>
      </w:r>
      <w:proofErr w:type="spellStart"/>
      <w:r w:rsidRPr="00F61668">
        <w:rPr>
          <w:color w:val="000000" w:themeColor="text1"/>
        </w:rPr>
        <w:t>BeFi</w:t>
      </w:r>
      <w:proofErr w:type="spellEnd"/>
      <w:r w:rsidRPr="00F61668">
        <w:rPr>
          <w:color w:val="000000" w:themeColor="text1"/>
        </w:rPr>
        <w:t xml:space="preserve"> meets DeFi" summarized his research and demonstrated that behavioral finance </w:t>
      </w:r>
      <w:proofErr w:type="spellStart"/>
      <w:r w:rsidRPr="00F61668">
        <w:rPr>
          <w:color w:val="000000" w:themeColor="text1"/>
        </w:rPr>
        <w:t>prvides</w:t>
      </w:r>
      <w:proofErr w:type="spellEnd"/>
      <w:r w:rsidRPr="00F61668">
        <w:rPr>
          <w:color w:val="000000" w:themeColor="text1"/>
        </w:rPr>
        <w:t xml:space="preserve"> a better understanding of asset pricing in DeFi markets when compared to conventional finance theory. The study created a deterministic research framework that showed how investor attention, sentiment, heuristics, biases, and network effects all work together to create DeFi's unique volatility and market dynamics. This indicates a fundamental shift </w:t>
      </w:r>
      <w:r w:rsidRPr="00F61668">
        <w:rPr>
          <w:color w:val="000000" w:themeColor="text1"/>
        </w:rPr>
        <w:lastRenderedPageBreak/>
        <w:t xml:space="preserve">from the utilization of efficient market hypotheses to the endorsement of behavioral rationales for DeFi asset valuation. </w:t>
      </w:r>
    </w:p>
    <w:p w14:paraId="2FCBBE67" w14:textId="77777777" w:rsidR="001C2B31" w:rsidRPr="00F61668" w:rsidRDefault="001C2B31" w:rsidP="00B451D7">
      <w:pPr>
        <w:jc w:val="both"/>
        <w:rPr>
          <w:color w:val="000000" w:themeColor="text1"/>
        </w:rPr>
      </w:pPr>
    </w:p>
    <w:p w14:paraId="00F5D70F" w14:textId="2D488E26" w:rsidR="00D726AE" w:rsidRPr="00F61668" w:rsidRDefault="00ED7B54" w:rsidP="00B451D7">
      <w:pPr>
        <w:pStyle w:val="Heading3"/>
        <w:jc w:val="both"/>
        <w:rPr>
          <w:color w:val="000000" w:themeColor="text1"/>
        </w:rPr>
      </w:pPr>
      <w:bookmarkStart w:id="30" w:name="_Toc214721836"/>
      <w:r w:rsidRPr="00F61668">
        <w:rPr>
          <w:color w:val="000000" w:themeColor="text1"/>
        </w:rPr>
        <w:t>2.4.2 FOMO as Primary Psychological Driver</w:t>
      </w:r>
      <w:bookmarkEnd w:id="30"/>
    </w:p>
    <w:p w14:paraId="100A6EB6" w14:textId="37CFAA46" w:rsidR="00D726AE" w:rsidRPr="00F61668" w:rsidRDefault="00D726AE" w:rsidP="00B451D7">
      <w:pPr>
        <w:jc w:val="both"/>
        <w:rPr>
          <w:color w:val="000000" w:themeColor="text1"/>
        </w:rPr>
      </w:pPr>
      <w:r w:rsidRPr="00F61668">
        <w:rPr>
          <w:color w:val="000000" w:themeColor="text1"/>
        </w:rPr>
        <w:t xml:space="preserve">Fear of Missing Out (FOMO) emerges as the </w:t>
      </w:r>
      <w:r w:rsidR="00E5393A" w:rsidRPr="00F61668">
        <w:rPr>
          <w:color w:val="000000" w:themeColor="text1"/>
        </w:rPr>
        <w:t>strongest</w:t>
      </w:r>
      <w:r w:rsidRPr="00F61668">
        <w:rPr>
          <w:color w:val="000000" w:themeColor="text1"/>
        </w:rPr>
        <w:t xml:space="preserve"> behavioral bias which influences bitcoin and DeFi investment decisions across the board. </w:t>
      </w:r>
      <w:r w:rsidR="00E5393A" w:rsidRPr="00F61668">
        <w:rPr>
          <w:color w:val="000000" w:themeColor="text1"/>
        </w:rPr>
        <w:t>This</w:t>
      </w:r>
      <w:r w:rsidRPr="00F61668">
        <w:rPr>
          <w:color w:val="000000" w:themeColor="text1"/>
        </w:rPr>
        <w:t xml:space="preserve"> was shown in </w:t>
      </w:r>
      <w:r w:rsidR="00E5393A" w:rsidRPr="00F61668">
        <w:rPr>
          <w:color w:val="000000" w:themeColor="text1"/>
        </w:rPr>
        <w:t>various empirical</w:t>
      </w:r>
      <w:r w:rsidRPr="00F61668">
        <w:rPr>
          <w:color w:val="000000" w:themeColor="text1"/>
        </w:rPr>
        <w:t xml:space="preserve"> investigations </w:t>
      </w:r>
      <w:proofErr w:type="spellStart"/>
      <w:r w:rsidRPr="00F61668">
        <w:rPr>
          <w:color w:val="000000" w:themeColor="text1"/>
        </w:rPr>
        <w:t>ncluding</w:t>
      </w:r>
      <w:proofErr w:type="spellEnd"/>
      <w:r w:rsidRPr="00F61668">
        <w:rPr>
          <w:color w:val="000000" w:themeColor="text1"/>
        </w:rPr>
        <w:t xml:space="preserve"> Kaur et al.'s (2024). IH that study they performed a structural equation modeling investigation of 473 cryptocurrency retail participants </w:t>
      </w:r>
      <w:r w:rsidR="00E5393A" w:rsidRPr="00F61668">
        <w:rPr>
          <w:color w:val="000000" w:themeColor="text1"/>
        </w:rPr>
        <w:t>and revealed</w:t>
      </w:r>
      <w:r w:rsidRPr="00F61668">
        <w:rPr>
          <w:color w:val="000000" w:themeColor="text1"/>
        </w:rPr>
        <w:t xml:space="preserve"> that behavioral biases were evaluated in order of impact as follows: FOMO, herding, loss aversion, and overconfidence. FOMO created a crucial form of partial mediation between other biases and real investment choices, acting as a psychological link that turns other biases into action. </w:t>
      </w:r>
    </w:p>
    <w:p w14:paraId="7B4604F2" w14:textId="77777777" w:rsidR="00D726AE" w:rsidRPr="00F61668" w:rsidRDefault="00D726AE" w:rsidP="00B451D7">
      <w:pPr>
        <w:jc w:val="both"/>
        <w:rPr>
          <w:color w:val="000000" w:themeColor="text1"/>
        </w:rPr>
      </w:pPr>
    </w:p>
    <w:p w14:paraId="4838A708" w14:textId="778B68DE" w:rsidR="00D726AE" w:rsidRPr="00F61668" w:rsidRDefault="00D726AE" w:rsidP="00B451D7">
      <w:pPr>
        <w:jc w:val="both"/>
        <w:rPr>
          <w:color w:val="000000" w:themeColor="text1"/>
        </w:rPr>
      </w:pPr>
      <w:r w:rsidRPr="00F61668">
        <w:rPr>
          <w:color w:val="000000" w:themeColor="text1"/>
        </w:rPr>
        <w:t>Kumar et al. (</w:t>
      </w:r>
      <w:r w:rsidR="00E5393A" w:rsidRPr="00F61668">
        <w:rPr>
          <w:color w:val="000000" w:themeColor="text1"/>
        </w:rPr>
        <w:t>2024) also</w:t>
      </w:r>
      <w:r w:rsidRPr="00F61668">
        <w:rPr>
          <w:color w:val="000000" w:themeColor="text1"/>
        </w:rPr>
        <w:t xml:space="preserve"> established that FOMO and investment intention mediate the relationships between behavioral biases and investment decisions among both self-employed and salaried participants. Additionally, Maheshwari's (2025) study of Gen Z investors indicated that FOMO significantly influences investment decision-making as well. But the AI-driven adoption of digital advisory services may moderate this effect. </w:t>
      </w:r>
      <w:proofErr w:type="spellStart"/>
      <w:r w:rsidRPr="00F61668">
        <w:rPr>
          <w:color w:val="000000" w:themeColor="text1"/>
        </w:rPr>
        <w:t>Delfabbro</w:t>
      </w:r>
      <w:proofErr w:type="spellEnd"/>
      <w:r w:rsidRPr="00F61668">
        <w:rPr>
          <w:color w:val="000000" w:themeColor="text1"/>
        </w:rPr>
        <w:t xml:space="preserve"> et al. (2021) explained the psychological mechanisms behind the FOMO effects in cryptocurrency trading, demonstrating that continuous market accessibility and coupled with social media amplification, fosters enduring obsession and anticipated remorse, resulting in excessive participation.</w:t>
      </w:r>
    </w:p>
    <w:p w14:paraId="406CC622" w14:textId="77777777" w:rsidR="00D726AE" w:rsidRPr="00F61668" w:rsidRDefault="00D726AE" w:rsidP="00B451D7">
      <w:pPr>
        <w:jc w:val="both"/>
        <w:rPr>
          <w:color w:val="000000" w:themeColor="text1"/>
        </w:rPr>
      </w:pPr>
    </w:p>
    <w:p w14:paraId="533F3844" w14:textId="2DD30403" w:rsidR="00D726AE" w:rsidRPr="00F61668" w:rsidRDefault="00D726AE" w:rsidP="00B451D7">
      <w:pPr>
        <w:jc w:val="both"/>
        <w:rPr>
          <w:color w:val="000000" w:themeColor="text1"/>
        </w:rPr>
      </w:pPr>
      <w:proofErr w:type="spellStart"/>
      <w:r w:rsidRPr="00F61668">
        <w:rPr>
          <w:color w:val="000000" w:themeColor="text1"/>
        </w:rPr>
        <w:t>Mokni</w:t>
      </w:r>
      <w:proofErr w:type="spellEnd"/>
      <w:r w:rsidRPr="00F61668">
        <w:rPr>
          <w:color w:val="000000" w:themeColor="text1"/>
        </w:rPr>
        <w:t xml:space="preserve"> et al.'s (2024) study of Bitcoin and Ethereum showed that retail investors are very emotional, illogical, and afraid of missing out, and that this behavior got much worse during the COVID-19 epidemic, which made the market less efficient. A 2025 scoping review of 13 studies with 11,177 participants found that anxiety, addiction-like behaviors, and depression were the most common mental health issues linked to cryptocurrency trading. FOMO was the main psychological mechanism that connected market volatility to psychological distress.</w:t>
      </w:r>
    </w:p>
    <w:p w14:paraId="3266D898" w14:textId="77777777" w:rsidR="00D726AE" w:rsidRPr="00F61668" w:rsidRDefault="00D726AE" w:rsidP="00B451D7">
      <w:pPr>
        <w:pStyle w:val="Heading3"/>
        <w:jc w:val="both"/>
        <w:rPr>
          <w:color w:val="000000" w:themeColor="text1"/>
        </w:rPr>
      </w:pPr>
    </w:p>
    <w:p w14:paraId="5EE85F48" w14:textId="468C3573" w:rsidR="008044C2" w:rsidRPr="00F61668" w:rsidRDefault="00D53F2F" w:rsidP="00B451D7">
      <w:pPr>
        <w:pStyle w:val="Heading3"/>
        <w:jc w:val="both"/>
        <w:rPr>
          <w:color w:val="000000" w:themeColor="text1"/>
        </w:rPr>
      </w:pPr>
      <w:bookmarkStart w:id="31" w:name="_Toc214721837"/>
      <w:r w:rsidRPr="00F61668">
        <w:rPr>
          <w:color w:val="000000" w:themeColor="text1"/>
        </w:rPr>
        <w:t>2.4.3 Overconfidence and Financial Literacy Gaps</w:t>
      </w:r>
      <w:bookmarkEnd w:id="31"/>
    </w:p>
    <w:p w14:paraId="1C53A6A4" w14:textId="77777777" w:rsidR="001F2CC5" w:rsidRPr="00F61668" w:rsidRDefault="001F2CC5" w:rsidP="00B451D7">
      <w:pPr>
        <w:jc w:val="both"/>
        <w:rPr>
          <w:color w:val="000000" w:themeColor="text1"/>
          <w:kern w:val="2"/>
        </w:rPr>
      </w:pPr>
      <w:r w:rsidRPr="00F61668">
        <w:rPr>
          <w:color w:val="000000" w:themeColor="text1"/>
          <w:kern w:val="2"/>
        </w:rPr>
        <w:t xml:space="preserve">Overconfidence, shown by the gap between what people think they know and what they </w:t>
      </w:r>
      <w:proofErr w:type="gramStart"/>
      <w:r w:rsidRPr="00F61668">
        <w:rPr>
          <w:color w:val="000000" w:themeColor="text1"/>
          <w:kern w:val="2"/>
        </w:rPr>
        <w:t>actually know</w:t>
      </w:r>
      <w:proofErr w:type="gramEnd"/>
      <w:r w:rsidRPr="00F61668">
        <w:rPr>
          <w:color w:val="000000" w:themeColor="text1"/>
          <w:kern w:val="2"/>
        </w:rPr>
        <w:t xml:space="preserve"> about finance, strongly predicts Bitcoin investment in many countries and studies. </w:t>
      </w:r>
      <w:proofErr w:type="spellStart"/>
      <w:r w:rsidRPr="00F61668">
        <w:rPr>
          <w:color w:val="000000" w:themeColor="text1"/>
          <w:kern w:val="2"/>
        </w:rPr>
        <w:t>Chhatwani</w:t>
      </w:r>
      <w:proofErr w:type="spellEnd"/>
      <w:r w:rsidRPr="00F61668">
        <w:rPr>
          <w:color w:val="000000" w:themeColor="text1"/>
          <w:kern w:val="2"/>
        </w:rPr>
        <w:t xml:space="preserve"> and Parija (2023) found that financially overconfident Americans are four times more likely to invest in bitcoin than those with less confidence. Kim et al. (2023) analyzed the 2018 National Financial Capability Study where they discovered that objective investing literacy had a negative correlation with cryptocurrency holdings. Subjective literacy exhibited a positive correlation with holdings that reflects a trend of systematic overconfidence.</w:t>
      </w:r>
    </w:p>
    <w:p w14:paraId="502C9EF2" w14:textId="77777777" w:rsidR="001F2CC5" w:rsidRPr="00F61668" w:rsidRDefault="001F2CC5" w:rsidP="00B451D7">
      <w:pPr>
        <w:jc w:val="both"/>
        <w:rPr>
          <w:color w:val="000000" w:themeColor="text1"/>
          <w:kern w:val="2"/>
        </w:rPr>
      </w:pPr>
      <w:r w:rsidRPr="00F61668">
        <w:rPr>
          <w:color w:val="000000" w:themeColor="text1"/>
          <w:kern w:val="2"/>
        </w:rPr>
        <w:t> </w:t>
      </w:r>
    </w:p>
    <w:p w14:paraId="5ADA7AAF" w14:textId="77777777" w:rsidR="001F2CC5" w:rsidRPr="00F61668" w:rsidRDefault="001F2CC5" w:rsidP="00B451D7">
      <w:pPr>
        <w:jc w:val="both"/>
        <w:rPr>
          <w:color w:val="000000" w:themeColor="text1"/>
          <w:kern w:val="2"/>
        </w:rPr>
      </w:pPr>
      <w:r w:rsidRPr="00F61668">
        <w:rPr>
          <w:color w:val="000000" w:themeColor="text1"/>
          <w:kern w:val="2"/>
        </w:rPr>
        <w:t xml:space="preserve">A cross-cultural validation fortifies these results as examined by Iamin's (2025). The study surveyed 826 respondents from Brazil and Portugal and revealed that overconfidence significantly differentiates bitcoin investors from non-investors. Overconfidence and risk acceptance are closely related but can vary among people. Participants' experience was </w:t>
      </w:r>
      <w:proofErr w:type="gramStart"/>
      <w:r w:rsidRPr="00F61668">
        <w:rPr>
          <w:color w:val="000000" w:themeColor="text1"/>
          <w:kern w:val="2"/>
        </w:rPr>
        <w:t>shows</w:t>
      </w:r>
      <w:proofErr w:type="gramEnd"/>
      <w:r w:rsidRPr="00F61668">
        <w:rPr>
          <w:color w:val="000000" w:themeColor="text1"/>
          <w:kern w:val="2"/>
        </w:rPr>
        <w:t xml:space="preserve"> to be positively related to overconfidence but negatively related to risk acceptance.</w:t>
      </w:r>
    </w:p>
    <w:p w14:paraId="0AA18470" w14:textId="77777777" w:rsidR="001F2CC5" w:rsidRPr="00F61668" w:rsidRDefault="001F2CC5" w:rsidP="00B451D7">
      <w:pPr>
        <w:jc w:val="both"/>
        <w:rPr>
          <w:color w:val="000000" w:themeColor="text1"/>
          <w:kern w:val="2"/>
        </w:rPr>
      </w:pPr>
      <w:r w:rsidRPr="00F61668">
        <w:rPr>
          <w:color w:val="000000" w:themeColor="text1"/>
          <w:kern w:val="2"/>
        </w:rPr>
        <w:t> </w:t>
      </w:r>
    </w:p>
    <w:p w14:paraId="6FC78E90" w14:textId="090C628E" w:rsidR="001F2CC5" w:rsidRPr="00F61668" w:rsidRDefault="001F2CC5" w:rsidP="00B451D7">
      <w:pPr>
        <w:jc w:val="both"/>
        <w:rPr>
          <w:color w:val="000000" w:themeColor="text1"/>
        </w:rPr>
      </w:pPr>
      <w:r w:rsidRPr="00F61668">
        <w:rPr>
          <w:color w:val="000000" w:themeColor="text1"/>
          <w:kern w:val="2"/>
        </w:rPr>
        <w:t xml:space="preserve">Carbó-Valverde et al.'s (2025) machine learning study, which involved 2,121 Spanish participants identified a significant difference between actual and perceived financial literacy among various cryptocurrency holders. This indicates that individuals consistently overestimate their financial acumen in this space. Another area identified was also gender disparities in overconfidence. This influences cryptocurrency investment. Nyhus et al. (2024) studied 465,926 investors. They found </w:t>
      </w:r>
      <w:r w:rsidRPr="00F61668">
        <w:rPr>
          <w:color w:val="000000" w:themeColor="text1"/>
          <w:kern w:val="2"/>
        </w:rPr>
        <w:lastRenderedPageBreak/>
        <w:t>that financial overconfidence, agreeableness, and conscientiousness mediate the link between gender and intentions to invest in cryptocurrency. This showed that men exhibit significantly greater overconfidence and a higher propensity for cryptocurrency investment</w:t>
      </w:r>
      <w:r w:rsidRPr="00F61668">
        <w:rPr>
          <w:color w:val="000000" w:themeColor="text1"/>
        </w:rPr>
        <w:t>.</w:t>
      </w:r>
    </w:p>
    <w:p w14:paraId="525644F1" w14:textId="77777777" w:rsidR="00A96A86" w:rsidRDefault="00A96A86" w:rsidP="00B451D7">
      <w:pPr>
        <w:pStyle w:val="Heading3"/>
        <w:jc w:val="both"/>
        <w:rPr>
          <w:color w:val="000000" w:themeColor="text1"/>
        </w:rPr>
      </w:pPr>
    </w:p>
    <w:p w14:paraId="23D9E5AA" w14:textId="70B7B2E1" w:rsidR="004F4B7C" w:rsidRPr="00F61668" w:rsidRDefault="00A42895" w:rsidP="00B451D7">
      <w:pPr>
        <w:pStyle w:val="Heading3"/>
        <w:jc w:val="both"/>
        <w:rPr>
          <w:color w:val="000000" w:themeColor="text1"/>
        </w:rPr>
      </w:pPr>
      <w:bookmarkStart w:id="32" w:name="_Toc214721838"/>
      <w:r w:rsidRPr="00F61668">
        <w:rPr>
          <w:color w:val="000000" w:themeColor="text1"/>
        </w:rPr>
        <w:t>2.4.4 Herding Behavior in DeFi Markets</w:t>
      </w:r>
      <w:bookmarkEnd w:id="32"/>
    </w:p>
    <w:p w14:paraId="794C7635" w14:textId="3B2B7E00" w:rsidR="004F4B7C" w:rsidRPr="00F61668" w:rsidRDefault="009B7E59" w:rsidP="00B451D7">
      <w:pPr>
        <w:jc w:val="both"/>
        <w:rPr>
          <w:b/>
          <w:color w:val="000000" w:themeColor="text1"/>
        </w:rPr>
      </w:pPr>
      <w:r w:rsidRPr="00F61668">
        <w:rPr>
          <w:color w:val="000000" w:themeColor="text1"/>
        </w:rPr>
        <w:t xml:space="preserve">Yousaf and </w:t>
      </w:r>
      <w:proofErr w:type="spellStart"/>
      <w:r w:rsidRPr="00F61668">
        <w:rPr>
          <w:color w:val="000000" w:themeColor="text1"/>
        </w:rPr>
        <w:t>Yarovaya's</w:t>
      </w:r>
      <w:proofErr w:type="spellEnd"/>
      <w:r w:rsidRPr="00F61668">
        <w:rPr>
          <w:color w:val="000000" w:themeColor="text1"/>
        </w:rPr>
        <w:t xml:space="preserve"> (2022) r</w:t>
      </w:r>
      <w:r w:rsidR="004F4B7C" w:rsidRPr="00F61668">
        <w:rPr>
          <w:color w:val="000000" w:themeColor="text1"/>
        </w:rPr>
        <w:t xml:space="preserve">esearch </w:t>
      </w:r>
      <w:proofErr w:type="gramStart"/>
      <w:r w:rsidR="004F4B7C" w:rsidRPr="00F61668">
        <w:rPr>
          <w:color w:val="000000" w:themeColor="text1"/>
        </w:rPr>
        <w:t>indicates</w:t>
      </w:r>
      <w:proofErr w:type="gramEnd"/>
      <w:r w:rsidR="004F4B7C" w:rsidRPr="00F61668">
        <w:rPr>
          <w:color w:val="000000" w:themeColor="text1"/>
        </w:rPr>
        <w:t xml:space="preserve"> that herding patterns in DeFi markets are complex and time-varying, significantly diverging from static models. </w:t>
      </w:r>
      <w:r w:rsidRPr="00F61668">
        <w:rPr>
          <w:color w:val="000000" w:themeColor="text1"/>
        </w:rPr>
        <w:t>Their</w:t>
      </w:r>
      <w:r w:rsidR="004F4B7C" w:rsidRPr="00F61668">
        <w:rPr>
          <w:color w:val="000000" w:themeColor="text1"/>
        </w:rPr>
        <w:t xml:space="preserve"> analysis of conventional cryptocurrencies, NFTs, and DeFi assets during the 2021 bubble revealed no evidence of static herding; however, time-varying herding was observed in conventional cryptocurrencies and DeFi assets for short investment horizons. DeFi markets demonstrated herding behavior exclusively on low volatility days, with no evidence of herding during up/down markets or high/low trading days. This indicates that DeFi participants exhibit herding under distinct conditions compared to traditional crypto traders. </w:t>
      </w:r>
    </w:p>
    <w:p w14:paraId="055FCC17" w14:textId="77777777" w:rsidR="004F4B7C" w:rsidRPr="00F61668" w:rsidRDefault="004F4B7C" w:rsidP="00B451D7">
      <w:pPr>
        <w:jc w:val="both"/>
        <w:rPr>
          <w:b/>
          <w:color w:val="000000" w:themeColor="text1"/>
        </w:rPr>
      </w:pPr>
    </w:p>
    <w:p w14:paraId="472532FF" w14:textId="24C04CB3" w:rsidR="004F4B7C" w:rsidRPr="00F61668" w:rsidRDefault="004F4B7C" w:rsidP="00B451D7">
      <w:pPr>
        <w:jc w:val="both"/>
        <w:rPr>
          <w:b/>
          <w:color w:val="000000" w:themeColor="text1"/>
        </w:rPr>
      </w:pPr>
      <w:r w:rsidRPr="00F61668">
        <w:rPr>
          <w:color w:val="000000" w:themeColor="text1"/>
        </w:rPr>
        <w:t xml:space="preserve">The working paper "Choosing Solitude in Turmoil" </w:t>
      </w:r>
      <w:r w:rsidR="00EA39E6" w:rsidRPr="00F61668">
        <w:rPr>
          <w:color w:val="000000" w:themeColor="text1"/>
        </w:rPr>
        <w:t xml:space="preserve">(Ozcan, Rasim et al. 2022) </w:t>
      </w:r>
      <w:r w:rsidRPr="00F61668">
        <w:rPr>
          <w:color w:val="000000" w:themeColor="text1"/>
        </w:rPr>
        <w:t>analyzed 22 DeFi tokens from January 2017 to August 2021, revealing no herding behavior on bullish days, while adverse herding was observed on bearish days, attributed to the distinct investor composition within DeFi markets. This asymmetric pattern indicates that DeFi participants may exhibit greater sophistication or contrarian tendencies compared to traditional crypto investors.</w:t>
      </w:r>
    </w:p>
    <w:p w14:paraId="792233A7" w14:textId="77777777" w:rsidR="004F4B7C" w:rsidRPr="00F61668" w:rsidRDefault="004F4B7C" w:rsidP="00B451D7">
      <w:pPr>
        <w:jc w:val="both"/>
        <w:rPr>
          <w:b/>
          <w:color w:val="000000" w:themeColor="text1"/>
        </w:rPr>
      </w:pPr>
    </w:p>
    <w:p w14:paraId="302497C3" w14:textId="77777777" w:rsidR="004F4B7C" w:rsidRPr="00F61668" w:rsidRDefault="004F4B7C" w:rsidP="00B451D7">
      <w:pPr>
        <w:jc w:val="both"/>
        <w:rPr>
          <w:b/>
          <w:color w:val="000000" w:themeColor="text1"/>
        </w:rPr>
      </w:pPr>
      <w:r w:rsidRPr="00F61668">
        <w:rPr>
          <w:color w:val="000000" w:themeColor="text1"/>
        </w:rPr>
        <w:t xml:space="preserve">Event-driven herding demonstrates considerable significance. </w:t>
      </w:r>
      <w:proofErr w:type="spellStart"/>
      <w:r w:rsidRPr="00F61668">
        <w:rPr>
          <w:color w:val="000000" w:themeColor="text1"/>
        </w:rPr>
        <w:t>Papadamou</w:t>
      </w:r>
      <w:proofErr w:type="spellEnd"/>
      <w:r w:rsidRPr="00F61668">
        <w:rPr>
          <w:color w:val="000000" w:themeColor="text1"/>
        </w:rPr>
        <w:t xml:space="preserve"> et al. (2022) identified significant herding behavior exclusively during periods of high volatility in data from 2013 to 2020, noting that media coverage related to the coronavirus notably influenced herding during the COVID-19 crisis. Yousaf, </w:t>
      </w:r>
      <w:proofErr w:type="spellStart"/>
      <w:r w:rsidRPr="00F61668">
        <w:rPr>
          <w:color w:val="000000" w:themeColor="text1"/>
        </w:rPr>
        <w:t>Yarovaya</w:t>
      </w:r>
      <w:proofErr w:type="spellEnd"/>
      <w:r w:rsidRPr="00F61668">
        <w:rPr>
          <w:color w:val="000000" w:themeColor="text1"/>
        </w:rPr>
        <w:t xml:space="preserve"> et al. (2022-2023) conducted a transaction-level analysis that demonstrated herding behavior occurring </w:t>
      </w:r>
      <w:proofErr w:type="gramStart"/>
      <w:r w:rsidRPr="00F61668">
        <w:rPr>
          <w:color w:val="000000" w:themeColor="text1"/>
        </w:rPr>
        <w:t>in particular years</w:t>
      </w:r>
      <w:proofErr w:type="gramEnd"/>
      <w:r w:rsidRPr="00F61668">
        <w:rPr>
          <w:color w:val="000000" w:themeColor="text1"/>
        </w:rPr>
        <w:t xml:space="preserve"> and in reaction to major events, such as El Salvador's adoption of Bitcoin. The 2023 data </w:t>
      </w:r>
      <w:proofErr w:type="gramStart"/>
      <w:r w:rsidRPr="00F61668">
        <w:rPr>
          <w:color w:val="000000" w:themeColor="text1"/>
        </w:rPr>
        <w:t>indicates</w:t>
      </w:r>
      <w:proofErr w:type="gramEnd"/>
      <w:r w:rsidRPr="00F61668">
        <w:rPr>
          <w:color w:val="000000" w:themeColor="text1"/>
        </w:rPr>
        <w:t xml:space="preserve"> intentional herding behavior for both ESG and non-ESG cryptocurrencies.</w:t>
      </w:r>
    </w:p>
    <w:p w14:paraId="0C75C01E" w14:textId="77777777" w:rsidR="004F4B7C" w:rsidRPr="00F61668" w:rsidRDefault="004F4B7C" w:rsidP="00B451D7">
      <w:pPr>
        <w:jc w:val="both"/>
        <w:rPr>
          <w:color w:val="000000" w:themeColor="text1"/>
        </w:rPr>
      </w:pPr>
    </w:p>
    <w:p w14:paraId="786CDBCE" w14:textId="77777777" w:rsidR="00A42895" w:rsidRPr="00F61668" w:rsidRDefault="00A42895" w:rsidP="00B451D7">
      <w:pPr>
        <w:pStyle w:val="Heading3"/>
        <w:jc w:val="both"/>
        <w:rPr>
          <w:color w:val="000000" w:themeColor="text1"/>
        </w:rPr>
      </w:pPr>
      <w:bookmarkStart w:id="33" w:name="_Toc214721839"/>
      <w:r w:rsidRPr="00F61668">
        <w:rPr>
          <w:color w:val="000000" w:themeColor="text1"/>
        </w:rPr>
        <w:t>2.4.5 Risk Perception and Information Sources</w:t>
      </w:r>
      <w:bookmarkEnd w:id="33"/>
    </w:p>
    <w:p w14:paraId="47210564" w14:textId="6E58FDB1" w:rsidR="005D2803" w:rsidRPr="00F61668" w:rsidRDefault="005D2803" w:rsidP="00B451D7">
      <w:pPr>
        <w:jc w:val="both"/>
        <w:rPr>
          <w:b/>
          <w:color w:val="000000" w:themeColor="text1"/>
        </w:rPr>
      </w:pPr>
      <w:r w:rsidRPr="00F61668">
        <w:rPr>
          <w:color w:val="000000" w:themeColor="text1"/>
        </w:rPr>
        <w:t xml:space="preserve">Risk perception serves as a counterbalance to the psychological factors influencing crypto investment. It shows that information sources significantly affect perceived risks. Qi et al. (2025) performed an analysis of 1,772 U.S. investors, demonstrating a negative correlation between risk perception and cryptocurrency investment (coefficient = 0.328-0.529, p &lt; 0.001). Conversely, investor confidence was found to positively predict adoption (coefficient = 1.131-1.254, p &lt; 0.01). Financial advisors' guidance significantly mitigates cryptocurrency investments by highlighting volatility risks. On the other </w:t>
      </w:r>
      <w:proofErr w:type="gramStart"/>
      <w:r w:rsidRPr="00F61668">
        <w:rPr>
          <w:color w:val="000000" w:themeColor="text1"/>
        </w:rPr>
        <w:t>hand</w:t>
      </w:r>
      <w:proofErr w:type="gramEnd"/>
      <w:r w:rsidRPr="00F61668">
        <w:rPr>
          <w:color w:val="000000" w:themeColor="text1"/>
        </w:rPr>
        <w:t xml:space="preserve"> media and social networks promote investment by downplaying these risks. This shows that information asymmetry can lead to different risk perceptions among various investor segments. </w:t>
      </w:r>
    </w:p>
    <w:p w14:paraId="58D8952F" w14:textId="77777777" w:rsidR="005D2803" w:rsidRPr="00F61668" w:rsidRDefault="005D2803" w:rsidP="00B451D7">
      <w:pPr>
        <w:jc w:val="both"/>
        <w:rPr>
          <w:b/>
          <w:color w:val="000000" w:themeColor="text1"/>
        </w:rPr>
      </w:pPr>
    </w:p>
    <w:p w14:paraId="07E00D56" w14:textId="77777777" w:rsidR="005D2803" w:rsidRPr="00F61668" w:rsidRDefault="005D2803" w:rsidP="00B451D7">
      <w:pPr>
        <w:jc w:val="both"/>
        <w:rPr>
          <w:b/>
          <w:color w:val="000000" w:themeColor="text1"/>
        </w:rPr>
      </w:pPr>
      <w:r w:rsidRPr="00F61668">
        <w:rPr>
          <w:color w:val="000000" w:themeColor="text1"/>
        </w:rPr>
        <w:t>Personality traits significantly affect risk perception in cryptocurrency contexts. Kim et al. (2020) conducted a comparison involving 101 Bitcoin investors, 102 share investors, and 104 non-investors utilizing validated psychological instruments. The findings revealed that Bitcoin investors exhibited significantly higher novelty seeking and lower cooperativeness scores in comparison to share investors, suggesting a propensity for greater risk-taking personalities. Investors demonstrated higher Fear of Missing Out scores compared to non-investors; however, Bitcoin investors displayed gambling-like behaviors characterized by minimal investment amounts, a short-term focus, and frequent trading activities.</w:t>
      </w:r>
    </w:p>
    <w:p w14:paraId="396C46E1" w14:textId="77777777" w:rsidR="005D2803" w:rsidRPr="00F61668" w:rsidRDefault="005D2803" w:rsidP="00B451D7">
      <w:pPr>
        <w:jc w:val="both"/>
        <w:rPr>
          <w:b/>
          <w:color w:val="000000" w:themeColor="text1"/>
        </w:rPr>
      </w:pPr>
    </w:p>
    <w:p w14:paraId="2EEE416C" w14:textId="77777777" w:rsidR="005D2803" w:rsidRPr="00F61668" w:rsidRDefault="005D2803" w:rsidP="00B451D7">
      <w:pPr>
        <w:jc w:val="both"/>
        <w:rPr>
          <w:b/>
          <w:color w:val="000000" w:themeColor="text1"/>
        </w:rPr>
      </w:pPr>
      <w:r w:rsidRPr="00F61668">
        <w:rPr>
          <w:color w:val="000000" w:themeColor="text1"/>
        </w:rPr>
        <w:lastRenderedPageBreak/>
        <w:t>Littrell et al. (2024) conducted a study involving 2,001 American adults, of which 30% owned cryptocurrency. Their study identified interesting and dark traits such as narcissism, psychopathy, Machiavellianism, sadistic beliefs in conspiracy theories. It also showed the use of alternative social media as predictors of cryptocurrency ownership, which indicates that non-mainstream psychological characteristics may influence crypto adoption (especially in early stages).</w:t>
      </w:r>
    </w:p>
    <w:p w14:paraId="00E08583" w14:textId="77777777" w:rsidR="005D2803" w:rsidRPr="00F61668" w:rsidRDefault="005D2803" w:rsidP="00B451D7">
      <w:pPr>
        <w:pStyle w:val="Heading3"/>
        <w:jc w:val="both"/>
        <w:rPr>
          <w:b w:val="0"/>
          <w:color w:val="000000" w:themeColor="text1"/>
        </w:rPr>
      </w:pPr>
    </w:p>
    <w:p w14:paraId="6F9B437D" w14:textId="05509E96" w:rsidR="0074170F" w:rsidRPr="00F61668" w:rsidRDefault="0074170F" w:rsidP="00B451D7">
      <w:pPr>
        <w:pStyle w:val="Heading3"/>
        <w:jc w:val="both"/>
        <w:rPr>
          <w:color w:val="000000" w:themeColor="text1"/>
        </w:rPr>
      </w:pPr>
      <w:bookmarkStart w:id="34" w:name="_Toc214721840"/>
      <w:r w:rsidRPr="00F61668">
        <w:rPr>
          <w:color w:val="000000" w:themeColor="text1"/>
        </w:rPr>
        <w:t>2.4.6 Retail Versus Institutional Behavioral Patterns</w:t>
      </w:r>
      <w:bookmarkEnd w:id="34"/>
    </w:p>
    <w:p w14:paraId="5481FEF9" w14:textId="75962330" w:rsidR="006C2A56" w:rsidRPr="00F61668" w:rsidRDefault="006C2A56" w:rsidP="00B451D7">
      <w:pPr>
        <w:jc w:val="both"/>
        <w:rPr>
          <w:color w:val="000000" w:themeColor="text1"/>
        </w:rPr>
      </w:pPr>
      <w:r w:rsidRPr="00F61668">
        <w:rPr>
          <w:color w:val="000000" w:themeColor="text1"/>
        </w:rPr>
        <w:t xml:space="preserve">Research on DeFi participation indicates systematic behavioral differences between retail and institutional participants. </w:t>
      </w:r>
      <w:proofErr w:type="spellStart"/>
      <w:r w:rsidRPr="00F61668">
        <w:rPr>
          <w:color w:val="000000" w:themeColor="text1"/>
        </w:rPr>
        <w:t>Cornelli</w:t>
      </w:r>
      <w:proofErr w:type="spellEnd"/>
      <w:r w:rsidRPr="00F61668">
        <w:rPr>
          <w:color w:val="000000" w:themeColor="text1"/>
        </w:rPr>
        <w:t xml:space="preserve"> et al. In 2024, </w:t>
      </w:r>
      <w:proofErr w:type="spellStart"/>
      <w:r w:rsidRPr="00F61668">
        <w:rPr>
          <w:color w:val="000000" w:themeColor="text1"/>
        </w:rPr>
        <w:t>Aave</w:t>
      </w:r>
      <w:proofErr w:type="spellEnd"/>
      <w:r w:rsidRPr="00F61668">
        <w:rPr>
          <w:color w:val="000000" w:themeColor="text1"/>
        </w:rPr>
        <w:t xml:space="preserve"> V2, a key DeFi lending platform, was </w:t>
      </w:r>
      <w:r w:rsidR="007E395A" w:rsidRPr="00F61668">
        <w:rPr>
          <w:color w:val="000000" w:themeColor="text1"/>
        </w:rPr>
        <w:t>analyzed</w:t>
      </w:r>
      <w:r w:rsidRPr="00F61668">
        <w:rPr>
          <w:color w:val="000000" w:themeColor="text1"/>
        </w:rPr>
        <w:t xml:space="preserve">. It </w:t>
      </w:r>
      <w:proofErr w:type="gramStart"/>
      <w:r w:rsidRPr="00F61668">
        <w:rPr>
          <w:color w:val="000000" w:themeColor="text1"/>
        </w:rPr>
        <w:t>found</w:t>
      </w:r>
      <w:proofErr w:type="gramEnd"/>
      <w:r w:rsidRPr="00F61668">
        <w:rPr>
          <w:color w:val="000000" w:themeColor="text1"/>
        </w:rPr>
        <w:t xml:space="preserve"> that depositors often seek yield, mainly retail investors. On the other hand, borrowers are mostly driven by speculation and governance benefits. Institutional investors demonstrated reduced sensitivity to monetary policy rates in their deposit behaviors, whereas retail investors exhibited a greater responsiveness to fluctuations in interest rates. This indicates that DeFi intermediation reallocates funds from savers to speculators rather than to socially productive activities.</w:t>
      </w:r>
    </w:p>
    <w:p w14:paraId="0E598A93" w14:textId="77777777" w:rsidR="006C2A56" w:rsidRPr="00F61668" w:rsidRDefault="006C2A56" w:rsidP="00B451D7">
      <w:pPr>
        <w:jc w:val="both"/>
        <w:rPr>
          <w:color w:val="000000" w:themeColor="text1"/>
        </w:rPr>
      </w:pPr>
    </w:p>
    <w:p w14:paraId="1A1F8953" w14:textId="77777777" w:rsidR="006C2A56" w:rsidRPr="00F61668" w:rsidRDefault="006C2A56" w:rsidP="00B451D7">
      <w:pPr>
        <w:jc w:val="both"/>
        <w:rPr>
          <w:color w:val="000000" w:themeColor="text1"/>
        </w:rPr>
      </w:pPr>
      <w:r w:rsidRPr="00F61668">
        <w:rPr>
          <w:color w:val="000000" w:themeColor="text1"/>
        </w:rPr>
        <w:t xml:space="preserve">Trading behavior varies significantly among different asset classes. Kogan et al. (2024) analyzed data from the </w:t>
      </w:r>
      <w:proofErr w:type="spellStart"/>
      <w:r w:rsidRPr="00F61668">
        <w:rPr>
          <w:color w:val="000000" w:themeColor="text1"/>
        </w:rPr>
        <w:t>eToro</w:t>
      </w:r>
      <w:proofErr w:type="spellEnd"/>
      <w:r w:rsidRPr="00F61668">
        <w:rPr>
          <w:color w:val="000000" w:themeColor="text1"/>
        </w:rPr>
        <w:t xml:space="preserve"> platform and found that retail traders exhibit contrarian behavior in stocks and gold, while adopting momentum-like strategies in cryptocurrencies. The differences seen can’t be linked to personal traits, types of investors, lack of attention, fee differences, or lottery preferences. The authors suggest that retail investors create models. These models should show how changes in cryptocurrency prices can influence future adoption. This leads to updates in expectations that follow price trends instead of going back to the average.</w:t>
      </w:r>
    </w:p>
    <w:p w14:paraId="7685B3A7" w14:textId="77777777" w:rsidR="006C2A56" w:rsidRPr="00F61668" w:rsidRDefault="006C2A56" w:rsidP="00B451D7">
      <w:pPr>
        <w:jc w:val="both"/>
        <w:rPr>
          <w:color w:val="000000" w:themeColor="text1"/>
        </w:rPr>
      </w:pPr>
    </w:p>
    <w:p w14:paraId="46E3FA16" w14:textId="6B9CD354" w:rsidR="006C2A56" w:rsidRPr="00F61668" w:rsidRDefault="006C2A56" w:rsidP="00B451D7">
      <w:pPr>
        <w:jc w:val="both"/>
        <w:rPr>
          <w:color w:val="000000" w:themeColor="text1"/>
        </w:rPr>
      </w:pPr>
      <w:r w:rsidRPr="00F61668">
        <w:rPr>
          <w:color w:val="000000" w:themeColor="text1"/>
        </w:rPr>
        <w:t>Auer et al. (2022) in their BIS Working Paper utilized a novel database to analyze crypto exchange app usage across 95 countries. Their findings indicate that increases in Bitcoin prices were associated with the entry of new users, approximately 40% of whom were men under 35, identified as the most "risk-seeking" demographic. Research indicates that 73-81% of retail investors likely incurred losses on initial investments. Nonetheless, feedback trading promotes ongoing cryptocurrency adoption, a trend observed across 95 countries, implying the presence of universal behavioral mechanisms rather than cultural differences.</w:t>
      </w:r>
    </w:p>
    <w:p w14:paraId="6C1EEFD5" w14:textId="77777777" w:rsidR="006C2A56" w:rsidRPr="00F61668" w:rsidRDefault="006C2A56" w:rsidP="00B451D7">
      <w:pPr>
        <w:jc w:val="both"/>
        <w:rPr>
          <w:color w:val="000000" w:themeColor="text1"/>
        </w:rPr>
      </w:pPr>
    </w:p>
    <w:p w14:paraId="60B9E48F" w14:textId="77777777" w:rsidR="005B1E20" w:rsidRPr="00F61668" w:rsidRDefault="005B1E20" w:rsidP="00B451D7">
      <w:pPr>
        <w:pStyle w:val="Heading3"/>
        <w:jc w:val="both"/>
        <w:rPr>
          <w:color w:val="000000" w:themeColor="text1"/>
          <w:kern w:val="0"/>
          <w:sz w:val="27"/>
          <w:szCs w:val="27"/>
        </w:rPr>
      </w:pPr>
      <w:bookmarkStart w:id="35" w:name="_Toc214721841"/>
      <w:r w:rsidRPr="00F61668">
        <w:rPr>
          <w:color w:val="000000" w:themeColor="text1"/>
        </w:rPr>
        <w:t>2.4.7 Cognitive Biases and Market Inefficiency</w:t>
      </w:r>
      <w:bookmarkEnd w:id="35"/>
    </w:p>
    <w:p w14:paraId="36F42F54" w14:textId="77777777" w:rsidR="00C01370" w:rsidRDefault="00C01370" w:rsidP="00B451D7">
      <w:pPr>
        <w:jc w:val="both"/>
        <w:rPr>
          <w:rFonts w:eastAsiaTheme="majorEastAsia"/>
          <w:color w:val="000000" w:themeColor="text1"/>
          <w:kern w:val="2"/>
        </w:rPr>
      </w:pPr>
      <w:r w:rsidRPr="00F61668">
        <w:rPr>
          <w:rFonts w:eastAsiaTheme="majorEastAsia"/>
          <w:color w:val="000000" w:themeColor="text1"/>
          <w:kern w:val="2"/>
        </w:rPr>
        <w:t xml:space="preserve">The difference between how financially literate people think they are and how financially literate they really are </w:t>
      </w:r>
      <w:proofErr w:type="gramStart"/>
      <w:r w:rsidRPr="00F61668">
        <w:rPr>
          <w:rFonts w:eastAsiaTheme="majorEastAsia"/>
          <w:color w:val="000000" w:themeColor="text1"/>
          <w:kern w:val="2"/>
        </w:rPr>
        <w:t>creates</w:t>
      </w:r>
      <w:proofErr w:type="gramEnd"/>
      <w:r w:rsidRPr="00F61668">
        <w:rPr>
          <w:rFonts w:eastAsiaTheme="majorEastAsia"/>
          <w:color w:val="000000" w:themeColor="text1"/>
          <w:kern w:val="2"/>
        </w:rPr>
        <w:t xml:space="preserve"> patterns in the crypto markets. Angeles' (2024) moderated mediation analysis revealed a significant impact of cryptocurrency knowledge on investment decisions. However, it is crucial to note that behavioral biases exert a detrimental moderating effect on both knowledge and cryptocurrency investment. Specifically, elevated behavioral biases diminish the positive influence of knowledge on investment, indicating that education alone cannot mitigate cognitive biases without directly addressing the biases themselves. </w:t>
      </w:r>
    </w:p>
    <w:p w14:paraId="4078B368" w14:textId="77777777" w:rsidR="00A96A86" w:rsidRPr="00F61668" w:rsidRDefault="00A96A86" w:rsidP="00B451D7">
      <w:pPr>
        <w:jc w:val="both"/>
        <w:rPr>
          <w:rFonts w:eastAsiaTheme="majorEastAsia"/>
          <w:color w:val="000000" w:themeColor="text1"/>
          <w:kern w:val="2"/>
        </w:rPr>
      </w:pPr>
    </w:p>
    <w:p w14:paraId="50C88BBF" w14:textId="2E872974" w:rsidR="00C01370" w:rsidRPr="00F61668" w:rsidRDefault="00C01370" w:rsidP="00B451D7">
      <w:pPr>
        <w:jc w:val="both"/>
        <w:rPr>
          <w:rFonts w:eastAsiaTheme="majorEastAsia"/>
          <w:color w:val="000000" w:themeColor="text1"/>
        </w:rPr>
      </w:pPr>
      <w:proofErr w:type="spellStart"/>
      <w:r w:rsidRPr="00F61668">
        <w:rPr>
          <w:rFonts w:eastAsiaTheme="majorEastAsia"/>
          <w:color w:val="000000" w:themeColor="text1"/>
          <w:kern w:val="2"/>
        </w:rPr>
        <w:t>Mokni</w:t>
      </w:r>
      <w:proofErr w:type="spellEnd"/>
      <w:r w:rsidRPr="00F61668">
        <w:rPr>
          <w:rFonts w:eastAsiaTheme="majorEastAsia"/>
          <w:color w:val="000000" w:themeColor="text1"/>
          <w:kern w:val="2"/>
        </w:rPr>
        <w:t xml:space="preserve"> et al. (2024) examined Bitcoin and Ethereum from August 2016 to February 2023, showing significant fluctuations in market efficiency over time. The global financial stress </w:t>
      </w:r>
      <w:r w:rsidR="00CB78D0" w:rsidRPr="00F61668">
        <w:rPr>
          <w:rFonts w:eastAsiaTheme="majorEastAsia"/>
          <w:color w:val="000000" w:themeColor="text1"/>
        </w:rPr>
        <w:t>during</w:t>
      </w:r>
      <w:r w:rsidRPr="00F61668">
        <w:rPr>
          <w:rFonts w:eastAsiaTheme="majorEastAsia"/>
          <w:color w:val="000000" w:themeColor="text1"/>
          <w:kern w:val="2"/>
        </w:rPr>
        <w:t xml:space="preserve"> that </w:t>
      </w:r>
      <w:proofErr w:type="gramStart"/>
      <w:r w:rsidRPr="00F61668">
        <w:rPr>
          <w:rFonts w:eastAsiaTheme="majorEastAsia"/>
          <w:color w:val="000000" w:themeColor="text1"/>
          <w:kern w:val="2"/>
        </w:rPr>
        <w:t>time period</w:t>
      </w:r>
      <w:proofErr w:type="gramEnd"/>
      <w:r w:rsidRPr="00F61668">
        <w:rPr>
          <w:rFonts w:eastAsiaTheme="majorEastAsia"/>
          <w:color w:val="000000" w:themeColor="text1"/>
          <w:kern w:val="2"/>
        </w:rPr>
        <w:t xml:space="preserve">, adversely impacted market inefficiency across all quantiles. The COVID-19 pandemic then exacerbated market inefficiencies, </w:t>
      </w:r>
      <w:r w:rsidR="00CB78D0" w:rsidRPr="00F61668">
        <w:rPr>
          <w:rFonts w:eastAsiaTheme="majorEastAsia"/>
          <w:color w:val="000000" w:themeColor="text1"/>
        </w:rPr>
        <w:t>and</w:t>
      </w:r>
      <w:r w:rsidRPr="00F61668">
        <w:rPr>
          <w:rFonts w:eastAsiaTheme="majorEastAsia"/>
          <w:color w:val="000000" w:themeColor="text1"/>
          <w:kern w:val="2"/>
        </w:rPr>
        <w:t xml:space="preserve"> showing the interplay between environmental shocks and behavioral characteristics. These components </w:t>
      </w:r>
      <w:r w:rsidR="00CB78D0" w:rsidRPr="00F61668">
        <w:rPr>
          <w:rFonts w:eastAsiaTheme="majorEastAsia"/>
          <w:color w:val="000000" w:themeColor="text1"/>
        </w:rPr>
        <w:t>undermined</w:t>
      </w:r>
      <w:r w:rsidRPr="00F61668">
        <w:rPr>
          <w:rFonts w:eastAsiaTheme="majorEastAsia"/>
          <w:color w:val="000000" w:themeColor="text1"/>
          <w:kern w:val="2"/>
        </w:rPr>
        <w:t xml:space="preserve"> the market functionality.</w:t>
      </w:r>
    </w:p>
    <w:p w14:paraId="5B3CB720" w14:textId="77777777" w:rsidR="00C01370" w:rsidRPr="00F61668" w:rsidRDefault="00C01370" w:rsidP="00B451D7">
      <w:pPr>
        <w:jc w:val="both"/>
        <w:rPr>
          <w:rFonts w:eastAsiaTheme="majorEastAsia"/>
          <w:color w:val="000000" w:themeColor="text1"/>
          <w:kern w:val="2"/>
        </w:rPr>
      </w:pPr>
    </w:p>
    <w:p w14:paraId="38A5FD3F" w14:textId="63A06970" w:rsidR="00C01370" w:rsidRPr="00F61668" w:rsidRDefault="00C01370" w:rsidP="00B451D7">
      <w:pPr>
        <w:jc w:val="both"/>
        <w:rPr>
          <w:rFonts w:eastAsiaTheme="majorEastAsia"/>
          <w:color w:val="000000" w:themeColor="text1"/>
          <w:kern w:val="2"/>
        </w:rPr>
      </w:pPr>
      <w:r w:rsidRPr="00F61668">
        <w:rPr>
          <w:rFonts w:eastAsiaTheme="majorEastAsia"/>
          <w:color w:val="000000" w:themeColor="text1"/>
          <w:kern w:val="2"/>
        </w:rPr>
        <w:lastRenderedPageBreak/>
        <w:t>Koch and Dimpfl's (2022) study showed that retail investor attention affects the way bitcoin prices move together and how they are correlated, with retail investors following attention measurements. The difference between retail attention (measured by tweets) and institutional attention (measured by Bloomberg terminal story counts) showed that both affect returns, idiosyncratic risk, and market liquidity. However, retail attention has a bigger effect on idiosyncratic risk for cryptocurrencies with more capital and less liquidity</w:t>
      </w:r>
      <w:r w:rsidRPr="00F61668">
        <w:rPr>
          <w:rFonts w:eastAsiaTheme="majorEastAsia"/>
          <w:color w:val="000000" w:themeColor="text1"/>
        </w:rPr>
        <w:t>.</w:t>
      </w:r>
    </w:p>
    <w:p w14:paraId="192C2C6A" w14:textId="77777777" w:rsidR="00C01370" w:rsidRPr="00C01370" w:rsidRDefault="00C01370" w:rsidP="00B451D7">
      <w:pPr>
        <w:rPr>
          <w:rFonts w:ascii="Calibri" w:hAnsi="Calibri" w:cs="Calibri"/>
          <w:color w:val="3B3A3B"/>
          <w:sz w:val="22"/>
          <w:szCs w:val="22"/>
        </w:rPr>
      </w:pPr>
    </w:p>
    <w:p w14:paraId="2205BC05" w14:textId="77777777" w:rsidR="00F01F60" w:rsidRPr="003C66A0" w:rsidRDefault="00F01F60" w:rsidP="00B451D7">
      <w:pPr>
        <w:pStyle w:val="Heading2"/>
        <w:rPr>
          <w:rFonts w:eastAsiaTheme="majorEastAsia"/>
        </w:rPr>
      </w:pPr>
      <w:bookmarkStart w:id="36" w:name="_Toc214721842"/>
      <w:r w:rsidRPr="003C66A0">
        <w:rPr>
          <w:rFonts w:eastAsiaTheme="majorEastAsia"/>
        </w:rPr>
        <w:t>2.5 Regulatory and Institutional Dimensions</w:t>
      </w:r>
      <w:bookmarkEnd w:id="36"/>
    </w:p>
    <w:p w14:paraId="2F97A0BF" w14:textId="77777777" w:rsidR="00E5457B" w:rsidRPr="003C66A0" w:rsidRDefault="00E5457B" w:rsidP="00B451D7">
      <w:pPr>
        <w:jc w:val="both"/>
        <w:rPr>
          <w:rFonts w:eastAsiaTheme="majorEastAsia"/>
          <w:color w:val="000000" w:themeColor="text1"/>
        </w:rPr>
      </w:pPr>
      <w:r w:rsidRPr="003C66A0">
        <w:rPr>
          <w:rFonts w:eastAsiaTheme="majorEastAsia"/>
          <w:color w:val="000000" w:themeColor="text1"/>
        </w:rPr>
        <w:t xml:space="preserve">The regulatory treatment of DeFi remains in flux, creating what Harvey et al. (2021) </w:t>
      </w:r>
      <w:proofErr w:type="gramStart"/>
      <w:r w:rsidRPr="003C66A0">
        <w:rPr>
          <w:rFonts w:eastAsiaTheme="majorEastAsia"/>
          <w:color w:val="000000" w:themeColor="text1"/>
        </w:rPr>
        <w:t>describe</w:t>
      </w:r>
      <w:proofErr w:type="gramEnd"/>
      <w:r w:rsidRPr="003C66A0">
        <w:rPr>
          <w:rFonts w:eastAsiaTheme="majorEastAsia"/>
          <w:color w:val="000000" w:themeColor="text1"/>
        </w:rPr>
        <w:t xml:space="preserve"> as "regulatory uncertainty" which affects participation decisions. The SEC's enforcement action against Kraken's staking program in 2023 impacted the industry significantly. These actions implied that even seemingly decentralized activities could potentially be subject to regulatory scrutiny, yet academic analysis of how regulatory risk affects DeFi participation remains limited to this date.</w:t>
      </w:r>
    </w:p>
    <w:p w14:paraId="66FE885D" w14:textId="77777777" w:rsidR="00E5457B" w:rsidRPr="003C66A0" w:rsidRDefault="00E5457B" w:rsidP="00B451D7">
      <w:pPr>
        <w:jc w:val="both"/>
        <w:rPr>
          <w:rFonts w:eastAsiaTheme="majorEastAsia"/>
          <w:color w:val="000000" w:themeColor="text1"/>
        </w:rPr>
      </w:pPr>
      <w:r w:rsidRPr="003C66A0">
        <w:rPr>
          <w:rFonts w:eastAsiaTheme="majorEastAsia"/>
          <w:color w:val="000000" w:themeColor="text1"/>
        </w:rPr>
        <w:t> </w:t>
      </w:r>
    </w:p>
    <w:p w14:paraId="4DC254D7" w14:textId="77777777" w:rsidR="00E5457B" w:rsidRPr="003C66A0" w:rsidRDefault="00E5457B" w:rsidP="00B451D7">
      <w:pPr>
        <w:jc w:val="both"/>
        <w:rPr>
          <w:rFonts w:eastAsiaTheme="majorEastAsia"/>
          <w:color w:val="000000" w:themeColor="text1"/>
        </w:rPr>
      </w:pPr>
      <w:r w:rsidRPr="003C66A0">
        <w:rPr>
          <w:rFonts w:eastAsiaTheme="majorEastAsia"/>
          <w:color w:val="000000" w:themeColor="text1"/>
        </w:rPr>
        <w:t>The entry of institutional players into DeFi has received some attention. Capponi and Jia (2021) modeled how institutional adoption of decentralized exchanges might proceed, predicting that institutions would initially use DeFi for specific use cases (like after-hours trading) before broader adoption. However, their model does not account for the operational complexity institutions face when interfacing with DeFi protocols.</w:t>
      </w:r>
    </w:p>
    <w:p w14:paraId="333D9C04" w14:textId="77777777" w:rsidR="00E5457B" w:rsidRPr="003C66A0" w:rsidRDefault="00E5457B" w:rsidP="00B451D7">
      <w:pPr>
        <w:jc w:val="both"/>
        <w:rPr>
          <w:rFonts w:eastAsiaTheme="majorEastAsia"/>
          <w:color w:val="000000" w:themeColor="text1"/>
        </w:rPr>
      </w:pPr>
      <w:r w:rsidRPr="003C66A0">
        <w:rPr>
          <w:rFonts w:eastAsiaTheme="majorEastAsia"/>
          <w:color w:val="000000" w:themeColor="text1"/>
        </w:rPr>
        <w:t> </w:t>
      </w:r>
    </w:p>
    <w:p w14:paraId="5D970C1C" w14:textId="77777777" w:rsidR="00E5457B" w:rsidRPr="003C66A0" w:rsidRDefault="00E5457B" w:rsidP="00B451D7">
      <w:pPr>
        <w:jc w:val="both"/>
        <w:rPr>
          <w:rFonts w:eastAsiaTheme="majorEastAsia"/>
          <w:color w:val="000000" w:themeColor="text1"/>
        </w:rPr>
      </w:pPr>
      <w:proofErr w:type="spellStart"/>
      <w:r w:rsidRPr="003C66A0">
        <w:rPr>
          <w:rFonts w:eastAsiaTheme="majorEastAsia"/>
          <w:color w:val="000000" w:themeColor="text1"/>
        </w:rPr>
        <w:t>Aramonte</w:t>
      </w:r>
      <w:proofErr w:type="spellEnd"/>
      <w:r w:rsidRPr="003C66A0">
        <w:rPr>
          <w:rFonts w:eastAsiaTheme="majorEastAsia"/>
          <w:color w:val="000000" w:themeColor="text1"/>
        </w:rPr>
        <w:t xml:space="preserve"> et al. (2021) raised critical questions about systemic risk in DeFi, noting that the interconnected nature of protocols creates contagion channels that are poorly understood at this point by most users and even </w:t>
      </w:r>
      <w:proofErr w:type="gramStart"/>
      <w:r w:rsidRPr="003C66A0">
        <w:rPr>
          <w:rFonts w:eastAsiaTheme="majorEastAsia"/>
          <w:color w:val="000000" w:themeColor="text1"/>
        </w:rPr>
        <w:t>the technically</w:t>
      </w:r>
      <w:proofErr w:type="gramEnd"/>
      <w:r w:rsidRPr="003C66A0">
        <w:rPr>
          <w:rFonts w:eastAsiaTheme="majorEastAsia"/>
          <w:color w:val="000000" w:themeColor="text1"/>
        </w:rPr>
        <w:t xml:space="preserve"> savvy engineers. When Terra/Luna collapsed in May 2022, the contagion effects spread far beyond directly exposed protocols. The academic literature on DeFi contagion mechanisms at this point is very limited and should be expanded in the </w:t>
      </w:r>
      <w:proofErr w:type="spellStart"/>
      <w:r w:rsidRPr="003C66A0">
        <w:rPr>
          <w:rFonts w:eastAsiaTheme="majorEastAsia"/>
          <w:color w:val="000000" w:themeColor="text1"/>
        </w:rPr>
        <w:t>futre</w:t>
      </w:r>
      <w:proofErr w:type="spellEnd"/>
      <w:r w:rsidRPr="003C66A0">
        <w:rPr>
          <w:rFonts w:eastAsiaTheme="majorEastAsia"/>
          <w:color w:val="000000" w:themeColor="text1"/>
        </w:rPr>
        <w:t xml:space="preserve"> as this may have significant implications for understanding opportunities and risks </w:t>
      </w:r>
      <w:proofErr w:type="gramStart"/>
      <w:r w:rsidRPr="003C66A0">
        <w:rPr>
          <w:rFonts w:eastAsiaTheme="majorEastAsia"/>
          <w:color w:val="000000" w:themeColor="text1"/>
        </w:rPr>
        <w:t>as</w:t>
      </w:r>
      <w:proofErr w:type="gramEnd"/>
      <w:r w:rsidRPr="003C66A0">
        <w:rPr>
          <w:rFonts w:eastAsiaTheme="majorEastAsia"/>
          <w:color w:val="000000" w:themeColor="text1"/>
        </w:rPr>
        <w:t xml:space="preserve"> the same time.</w:t>
      </w:r>
    </w:p>
    <w:p w14:paraId="1A0FC9F8" w14:textId="77777777" w:rsidR="00F01F60" w:rsidRPr="003C66A0" w:rsidRDefault="00F01F60" w:rsidP="00B451D7">
      <w:pPr>
        <w:jc w:val="both"/>
        <w:rPr>
          <w:rFonts w:eastAsiaTheme="majorEastAsia"/>
          <w:color w:val="000000" w:themeColor="text1"/>
        </w:rPr>
      </w:pPr>
    </w:p>
    <w:p w14:paraId="77020F45" w14:textId="77777777" w:rsidR="00F01F60" w:rsidRPr="003C66A0" w:rsidRDefault="00F01F60" w:rsidP="00B451D7">
      <w:pPr>
        <w:pStyle w:val="Heading2"/>
        <w:rPr>
          <w:rFonts w:eastAsiaTheme="majorEastAsia"/>
        </w:rPr>
      </w:pPr>
      <w:bookmarkStart w:id="37" w:name="_Toc214721843"/>
      <w:r w:rsidRPr="003C66A0">
        <w:rPr>
          <w:rFonts w:eastAsiaTheme="majorEastAsia"/>
        </w:rPr>
        <w:t xml:space="preserve">2.6 Gaps in </w:t>
      </w:r>
      <w:proofErr w:type="gramStart"/>
      <w:r w:rsidRPr="003C66A0">
        <w:rPr>
          <w:rFonts w:eastAsiaTheme="majorEastAsia"/>
        </w:rPr>
        <w:t>the Literature</w:t>
      </w:r>
      <w:bookmarkEnd w:id="37"/>
      <w:proofErr w:type="gramEnd"/>
    </w:p>
    <w:p w14:paraId="5864EC98" w14:textId="77777777" w:rsidR="00096FBF" w:rsidRPr="003C66A0" w:rsidRDefault="00096FBF" w:rsidP="00B451D7">
      <w:pPr>
        <w:jc w:val="both"/>
        <w:rPr>
          <w:rFonts w:eastAsiaTheme="majorEastAsia"/>
          <w:color w:val="000000" w:themeColor="text1"/>
        </w:rPr>
      </w:pPr>
      <w:r w:rsidRPr="003C66A0">
        <w:rPr>
          <w:rFonts w:eastAsiaTheme="majorEastAsia"/>
          <w:color w:val="000000" w:themeColor="text1"/>
        </w:rPr>
        <w:t>The existing literature, while growing rapidly, leaves several critical gaps that limit our understanding of DeFi's actual accessibility and viability for retail participants.</w:t>
      </w:r>
    </w:p>
    <w:p w14:paraId="32D55C29" w14:textId="77777777" w:rsidR="00096FBF" w:rsidRPr="003C66A0" w:rsidRDefault="00096FBF" w:rsidP="00B451D7">
      <w:pPr>
        <w:jc w:val="both"/>
        <w:rPr>
          <w:rFonts w:eastAsiaTheme="majorEastAsia"/>
          <w:color w:val="000000" w:themeColor="text1"/>
        </w:rPr>
      </w:pPr>
      <w:r w:rsidRPr="003C66A0">
        <w:rPr>
          <w:rFonts w:eastAsiaTheme="majorEastAsia"/>
          <w:color w:val="000000" w:themeColor="text1"/>
        </w:rPr>
        <w:t> </w:t>
      </w:r>
    </w:p>
    <w:p w14:paraId="3E3D5BAC" w14:textId="77777777" w:rsidR="00096FBF" w:rsidRPr="003C66A0" w:rsidRDefault="00096FBF" w:rsidP="00B451D7">
      <w:pPr>
        <w:jc w:val="both"/>
        <w:rPr>
          <w:rFonts w:eastAsiaTheme="majorEastAsia"/>
          <w:color w:val="000000" w:themeColor="text1"/>
        </w:rPr>
      </w:pPr>
      <w:r w:rsidRPr="003C66A0">
        <w:rPr>
          <w:rFonts w:eastAsiaTheme="majorEastAsia"/>
          <w:color w:val="000000" w:themeColor="text1"/>
        </w:rPr>
        <w:t xml:space="preserve">First, there is a significant disparity between theoretical examinations of DeFi protocols and empirical investigations of actual participant outcomes and real-life scenarios. Papers like </w:t>
      </w:r>
      <w:proofErr w:type="spellStart"/>
      <w:r w:rsidRPr="003C66A0">
        <w:rPr>
          <w:rFonts w:eastAsiaTheme="majorEastAsia"/>
          <w:color w:val="000000" w:themeColor="text1"/>
        </w:rPr>
        <w:t>Angeris</w:t>
      </w:r>
      <w:proofErr w:type="spellEnd"/>
      <w:r w:rsidRPr="003C66A0">
        <w:rPr>
          <w:rFonts w:eastAsiaTheme="majorEastAsia"/>
          <w:color w:val="000000" w:themeColor="text1"/>
        </w:rPr>
        <w:t xml:space="preserve"> and Chitra (2020) do an impressive job of explaining how AMMs work mathematically, but they do not indicate if retail participants can successfully use liquidity provision strategies in the real world. The considerations around gas costs, technical complexity, and time requirements are all factors. </w:t>
      </w:r>
      <w:proofErr w:type="spellStart"/>
      <w:r w:rsidRPr="003C66A0">
        <w:rPr>
          <w:rFonts w:eastAsiaTheme="majorEastAsia"/>
          <w:color w:val="000000" w:themeColor="text1"/>
        </w:rPr>
        <w:t>Schär</w:t>
      </w:r>
      <w:proofErr w:type="spellEnd"/>
      <w:r w:rsidRPr="003C66A0">
        <w:rPr>
          <w:rFonts w:eastAsiaTheme="majorEastAsia"/>
          <w:color w:val="000000" w:themeColor="text1"/>
        </w:rPr>
        <w:t xml:space="preserve"> (2021) provides a thorough overview of DeFi's architecture, but it does not assess whether the technical accessibility correlates with economic viability.</w:t>
      </w:r>
    </w:p>
    <w:p w14:paraId="52F2B9F6" w14:textId="77777777" w:rsidR="00096FBF" w:rsidRPr="003C66A0" w:rsidRDefault="00096FBF" w:rsidP="00B451D7">
      <w:pPr>
        <w:jc w:val="both"/>
        <w:rPr>
          <w:rFonts w:eastAsiaTheme="majorEastAsia"/>
          <w:color w:val="000000" w:themeColor="text1"/>
        </w:rPr>
      </w:pPr>
    </w:p>
    <w:p w14:paraId="44D50276" w14:textId="77777777" w:rsidR="00096FBF" w:rsidRPr="003C66A0" w:rsidRDefault="00096FBF" w:rsidP="00B451D7">
      <w:pPr>
        <w:jc w:val="both"/>
        <w:rPr>
          <w:rFonts w:eastAsiaTheme="majorEastAsia"/>
          <w:color w:val="000000" w:themeColor="text1"/>
        </w:rPr>
      </w:pPr>
      <w:r w:rsidRPr="003C66A0">
        <w:rPr>
          <w:rFonts w:eastAsiaTheme="majorEastAsia"/>
          <w:color w:val="000000" w:themeColor="text1"/>
        </w:rPr>
        <w:t xml:space="preserve">Second, the concealed expenses associated with participation in DeFi are inadequately recorded in academic literature. A lot of people agree that Ethereum gas fees are a problem, but there hasn't been a systematic study of how gas costs, failed transactions, time spent, and learning curves affect net returns. Liu and </w:t>
      </w:r>
      <w:proofErr w:type="spellStart"/>
      <w:r w:rsidRPr="003C66A0">
        <w:rPr>
          <w:rFonts w:eastAsiaTheme="majorEastAsia"/>
          <w:color w:val="000000" w:themeColor="text1"/>
        </w:rPr>
        <w:t>Tsyvinski</w:t>
      </w:r>
      <w:proofErr w:type="spellEnd"/>
      <w:r w:rsidRPr="003C66A0">
        <w:rPr>
          <w:rFonts w:eastAsiaTheme="majorEastAsia"/>
          <w:color w:val="000000" w:themeColor="text1"/>
        </w:rPr>
        <w:t xml:space="preserve"> (2021) examine cryptocurrency </w:t>
      </w:r>
      <w:proofErr w:type="gramStart"/>
      <w:r w:rsidRPr="003C66A0">
        <w:rPr>
          <w:rFonts w:eastAsiaTheme="majorEastAsia"/>
          <w:color w:val="000000" w:themeColor="text1"/>
        </w:rPr>
        <w:t>returns</w:t>
      </w:r>
      <w:proofErr w:type="gramEnd"/>
      <w:r w:rsidRPr="003C66A0">
        <w:rPr>
          <w:rFonts w:eastAsiaTheme="majorEastAsia"/>
          <w:color w:val="000000" w:themeColor="text1"/>
        </w:rPr>
        <w:t>; however, they neglect to consider operational costs that could negate those returns for smaller participants.</w:t>
      </w:r>
    </w:p>
    <w:p w14:paraId="3ACC3884" w14:textId="77777777" w:rsidR="00096FBF" w:rsidRPr="003C66A0" w:rsidRDefault="00096FBF" w:rsidP="00B451D7">
      <w:pPr>
        <w:jc w:val="both"/>
        <w:rPr>
          <w:rFonts w:eastAsiaTheme="majorEastAsia"/>
          <w:color w:val="000000" w:themeColor="text1"/>
        </w:rPr>
      </w:pPr>
      <w:r w:rsidRPr="003C66A0">
        <w:rPr>
          <w:rFonts w:eastAsiaTheme="majorEastAsia"/>
          <w:color w:val="000000" w:themeColor="text1"/>
        </w:rPr>
        <w:t> </w:t>
      </w:r>
    </w:p>
    <w:p w14:paraId="47A0FD04" w14:textId="3BD77813" w:rsidR="00096FBF" w:rsidRPr="003C66A0" w:rsidRDefault="00096FBF" w:rsidP="00B451D7">
      <w:pPr>
        <w:jc w:val="both"/>
        <w:rPr>
          <w:rFonts w:eastAsiaTheme="majorEastAsia"/>
          <w:color w:val="000000" w:themeColor="text1"/>
        </w:rPr>
      </w:pPr>
      <w:r w:rsidRPr="003C66A0">
        <w:rPr>
          <w:rFonts w:eastAsiaTheme="majorEastAsia"/>
          <w:color w:val="000000" w:themeColor="text1"/>
        </w:rPr>
        <w:t xml:space="preserve">Third, the competitive dynamics between institutional and retail participants in DeFi require further scrutiny. Park's (2023) documentation of wealth concentration indicates that DeFi may not </w:t>
      </w:r>
      <w:r w:rsidRPr="003C66A0">
        <w:rPr>
          <w:rFonts w:eastAsiaTheme="majorEastAsia"/>
          <w:color w:val="000000" w:themeColor="text1"/>
        </w:rPr>
        <w:lastRenderedPageBreak/>
        <w:t xml:space="preserve">be as democratic as asserted; however, there is a deficiency in comprehensive analysis regarding the impact of institutional advantages (enhanced infrastructure, reduced relative costs, and superior information) on the capacity of retail participants to generate returns. </w:t>
      </w:r>
      <w:proofErr w:type="spellStart"/>
      <w:r w:rsidRPr="003C66A0">
        <w:rPr>
          <w:rFonts w:eastAsiaTheme="majorEastAsia"/>
          <w:color w:val="000000" w:themeColor="text1"/>
        </w:rPr>
        <w:t>Menkveld's</w:t>
      </w:r>
      <w:proofErr w:type="spellEnd"/>
      <w:r w:rsidRPr="003C66A0">
        <w:rPr>
          <w:rFonts w:eastAsiaTheme="majorEastAsia"/>
          <w:color w:val="000000" w:themeColor="text1"/>
        </w:rPr>
        <w:t xml:space="preserve"> (2013) examination of the ascendancy of high-frequency traders in traditional market making offers a possible </w:t>
      </w:r>
      <w:r w:rsidR="000B0D7F" w:rsidRPr="003C66A0">
        <w:rPr>
          <w:rFonts w:eastAsiaTheme="majorEastAsia"/>
          <w:color w:val="000000" w:themeColor="text1"/>
        </w:rPr>
        <w:t>framework yet</w:t>
      </w:r>
      <w:r w:rsidRPr="003C66A0">
        <w:rPr>
          <w:rFonts w:eastAsiaTheme="majorEastAsia"/>
          <w:color w:val="000000" w:themeColor="text1"/>
        </w:rPr>
        <w:t xml:space="preserve"> remains unutilized in the context of DeFi.</w:t>
      </w:r>
    </w:p>
    <w:p w14:paraId="06174CDC" w14:textId="77777777" w:rsidR="00096FBF" w:rsidRPr="003C66A0" w:rsidRDefault="00096FBF" w:rsidP="00B451D7">
      <w:pPr>
        <w:jc w:val="both"/>
        <w:rPr>
          <w:rFonts w:eastAsiaTheme="majorEastAsia"/>
          <w:color w:val="000000" w:themeColor="text1"/>
        </w:rPr>
      </w:pPr>
      <w:r w:rsidRPr="003C66A0">
        <w:rPr>
          <w:rFonts w:eastAsiaTheme="majorEastAsia"/>
          <w:color w:val="000000" w:themeColor="text1"/>
        </w:rPr>
        <w:t> </w:t>
      </w:r>
    </w:p>
    <w:p w14:paraId="46EC558F" w14:textId="77777777" w:rsidR="00096FBF" w:rsidRPr="003C66A0" w:rsidRDefault="00096FBF" w:rsidP="00B451D7">
      <w:pPr>
        <w:jc w:val="both"/>
        <w:rPr>
          <w:rFonts w:eastAsiaTheme="majorEastAsia"/>
          <w:color w:val="000000" w:themeColor="text1"/>
        </w:rPr>
      </w:pPr>
      <w:r w:rsidRPr="003C66A0">
        <w:rPr>
          <w:rFonts w:eastAsiaTheme="majorEastAsia"/>
          <w:color w:val="000000" w:themeColor="text1"/>
        </w:rPr>
        <w:t xml:space="preserve">Fourth, the behavioral aspects of DeFi participation remain almost entirely unexplored academically. How do cognitive limitations affect people's ability to manage complex DeFi positions? Do the behavioral biases </w:t>
      </w:r>
      <w:proofErr w:type="gramStart"/>
      <w:r w:rsidRPr="003C66A0">
        <w:rPr>
          <w:rFonts w:eastAsiaTheme="majorEastAsia"/>
          <w:color w:val="000000" w:themeColor="text1"/>
        </w:rPr>
        <w:t>documented</w:t>
      </w:r>
      <w:proofErr w:type="gramEnd"/>
      <w:r w:rsidRPr="003C66A0">
        <w:rPr>
          <w:rFonts w:eastAsiaTheme="majorEastAsia"/>
          <w:color w:val="000000" w:themeColor="text1"/>
        </w:rPr>
        <w:t xml:space="preserve"> by Kahneman and Tversky (1979) manifest differently in DeFi contexts? The overtrading documented by Barber and Odean (2000) seems likely to be even more problematic in 24/7 crypto markets, but this hasn't been studied.</w:t>
      </w:r>
    </w:p>
    <w:p w14:paraId="739B2D48" w14:textId="77777777" w:rsidR="00096FBF" w:rsidRPr="003C66A0" w:rsidRDefault="00096FBF" w:rsidP="00B451D7">
      <w:pPr>
        <w:jc w:val="both"/>
        <w:rPr>
          <w:rFonts w:eastAsiaTheme="majorEastAsia"/>
          <w:color w:val="000000" w:themeColor="text1"/>
        </w:rPr>
      </w:pPr>
      <w:r w:rsidRPr="003C66A0">
        <w:rPr>
          <w:rFonts w:eastAsiaTheme="majorEastAsia"/>
          <w:color w:val="000000" w:themeColor="text1"/>
        </w:rPr>
        <w:t> </w:t>
      </w:r>
    </w:p>
    <w:p w14:paraId="2325174C" w14:textId="77777777" w:rsidR="00096FBF" w:rsidRPr="003C66A0" w:rsidRDefault="00096FBF" w:rsidP="00B451D7">
      <w:pPr>
        <w:jc w:val="both"/>
        <w:rPr>
          <w:rFonts w:eastAsiaTheme="majorEastAsia"/>
          <w:color w:val="000000" w:themeColor="text1"/>
        </w:rPr>
      </w:pPr>
      <w:r w:rsidRPr="003C66A0">
        <w:rPr>
          <w:rFonts w:eastAsiaTheme="majorEastAsia"/>
          <w:color w:val="000000" w:themeColor="text1"/>
        </w:rPr>
        <w:t xml:space="preserve">Fifth, there aren't any complete frameworks for risk assessment in DeFi. Although smart contract audits are now common, there isn't much research on how well they work in academia. No systematic study has looked at how different types of risks—technical, economic, regulatory, and behavioral—affect one another. Traditional risk models like those from Markowitz (1952) or newer ones from </w:t>
      </w:r>
      <w:proofErr w:type="spellStart"/>
      <w:r w:rsidRPr="003C66A0">
        <w:rPr>
          <w:rFonts w:eastAsiaTheme="majorEastAsia"/>
          <w:color w:val="000000" w:themeColor="text1"/>
        </w:rPr>
        <w:t>Jorion</w:t>
      </w:r>
      <w:proofErr w:type="spellEnd"/>
      <w:r w:rsidRPr="003C66A0">
        <w:rPr>
          <w:rFonts w:eastAsiaTheme="majorEastAsia"/>
          <w:color w:val="000000" w:themeColor="text1"/>
        </w:rPr>
        <w:t xml:space="preserve"> (2006) might not fit assets that often face 50% drawdowns and total loss due to protocol failures.</w:t>
      </w:r>
    </w:p>
    <w:p w14:paraId="616E17B2" w14:textId="77777777" w:rsidR="00F01F60" w:rsidRPr="003C66A0" w:rsidRDefault="00F01F60" w:rsidP="00B451D7">
      <w:pPr>
        <w:jc w:val="both"/>
        <w:rPr>
          <w:rFonts w:eastAsiaTheme="majorEastAsia"/>
          <w:color w:val="000000" w:themeColor="text1"/>
        </w:rPr>
      </w:pPr>
    </w:p>
    <w:p w14:paraId="46B0D930" w14:textId="1FAFA0E0" w:rsidR="00F01F60" w:rsidRDefault="00D15BFF" w:rsidP="00B451D7">
      <w:pPr>
        <w:jc w:val="both"/>
        <w:rPr>
          <w:rFonts w:eastAsiaTheme="majorEastAsia"/>
          <w:color w:val="000000" w:themeColor="text1"/>
        </w:rPr>
      </w:pPr>
      <w:r w:rsidRPr="003C66A0">
        <w:rPr>
          <w:rFonts w:eastAsiaTheme="majorEastAsia"/>
          <w:color w:val="000000" w:themeColor="text1"/>
        </w:rPr>
        <w:t xml:space="preserve">Finally, there is insufficient attention to what "democratization" </w:t>
      </w:r>
      <w:proofErr w:type="gramStart"/>
      <w:r w:rsidRPr="003C66A0">
        <w:rPr>
          <w:rFonts w:eastAsiaTheme="majorEastAsia"/>
          <w:color w:val="000000" w:themeColor="text1"/>
        </w:rPr>
        <w:t>actually means</w:t>
      </w:r>
      <w:proofErr w:type="gramEnd"/>
      <w:r w:rsidRPr="003C66A0">
        <w:rPr>
          <w:rFonts w:eastAsiaTheme="majorEastAsia"/>
          <w:color w:val="000000" w:themeColor="text1"/>
        </w:rPr>
        <w:t xml:space="preserve"> in the DeFi context. Although various literature uses this term liberally but rarely </w:t>
      </w:r>
      <w:proofErr w:type="gramStart"/>
      <w:r w:rsidRPr="003C66A0">
        <w:rPr>
          <w:rFonts w:eastAsiaTheme="majorEastAsia"/>
          <w:color w:val="000000" w:themeColor="text1"/>
        </w:rPr>
        <w:t>defines</w:t>
      </w:r>
      <w:proofErr w:type="gramEnd"/>
      <w:r w:rsidRPr="003C66A0">
        <w:rPr>
          <w:rFonts w:eastAsiaTheme="majorEastAsia"/>
          <w:color w:val="000000" w:themeColor="text1"/>
        </w:rPr>
        <w:t xml:space="preserve"> it in detail to </w:t>
      </w:r>
      <w:r w:rsidR="00A80D43" w:rsidRPr="003C66A0">
        <w:rPr>
          <w:rFonts w:eastAsiaTheme="majorEastAsia"/>
          <w:color w:val="000000" w:themeColor="text1"/>
        </w:rPr>
        <w:t>clarify</w:t>
      </w:r>
      <w:r w:rsidRPr="003C66A0">
        <w:rPr>
          <w:rFonts w:eastAsiaTheme="majorEastAsia"/>
          <w:color w:val="000000" w:themeColor="text1"/>
        </w:rPr>
        <w:t xml:space="preserve"> if democratization means technical ability to participate or the economic viability for small participants. Or does that imply equitable distribution of returns? Without clear definitions and metrics, claims about DeFi's </w:t>
      </w:r>
      <w:proofErr w:type="gramStart"/>
      <w:r w:rsidRPr="003C66A0">
        <w:rPr>
          <w:rFonts w:eastAsiaTheme="majorEastAsia"/>
          <w:color w:val="000000" w:themeColor="text1"/>
        </w:rPr>
        <w:t>democratizing</w:t>
      </w:r>
      <w:proofErr w:type="gramEnd"/>
      <w:r w:rsidRPr="003C66A0">
        <w:rPr>
          <w:rFonts w:eastAsiaTheme="majorEastAsia"/>
          <w:color w:val="000000" w:themeColor="text1"/>
        </w:rPr>
        <w:t xml:space="preserve"> will probably remain untested and with assertions rather than empirically validated findings.</w:t>
      </w:r>
    </w:p>
    <w:p w14:paraId="1FE0B946" w14:textId="77777777" w:rsidR="0095526E" w:rsidRDefault="0095526E" w:rsidP="00B451D7">
      <w:pPr>
        <w:jc w:val="both"/>
        <w:rPr>
          <w:rFonts w:eastAsiaTheme="majorEastAsia"/>
          <w:color w:val="000000" w:themeColor="text1"/>
        </w:rPr>
      </w:pPr>
    </w:p>
    <w:p w14:paraId="5B0DEB59" w14:textId="49DB8381" w:rsidR="00DB38B9" w:rsidRPr="00956B88" w:rsidRDefault="0095526E" w:rsidP="00B451D7">
      <w:pPr>
        <w:pStyle w:val="Heading3"/>
        <w:jc w:val="both"/>
        <w:rPr>
          <w:color w:val="000000" w:themeColor="text1"/>
        </w:rPr>
      </w:pPr>
      <w:bookmarkStart w:id="38" w:name="_Toc214721844"/>
      <w:r w:rsidRPr="00956B88">
        <w:rPr>
          <w:color w:val="000000" w:themeColor="text1"/>
        </w:rPr>
        <w:t>2.6.1 Mapping Literature Gaps to Research Questions</w:t>
      </w:r>
      <w:bookmarkEnd w:id="38"/>
    </w:p>
    <w:p w14:paraId="5D8401C5" w14:textId="76EF72A4" w:rsidR="00CB78D0" w:rsidRPr="00956B88" w:rsidRDefault="0095526E" w:rsidP="00B451D7">
      <w:pPr>
        <w:jc w:val="both"/>
        <w:rPr>
          <w:b/>
          <w:color w:val="000000" w:themeColor="text1"/>
        </w:rPr>
      </w:pPr>
      <w:r w:rsidRPr="00956B88">
        <w:rPr>
          <w:color w:val="000000" w:themeColor="text1"/>
        </w:rPr>
        <w:t xml:space="preserve">The gaps identified </w:t>
      </w:r>
      <w:r w:rsidR="00CB78D0" w:rsidRPr="00956B88">
        <w:rPr>
          <w:color w:val="000000" w:themeColor="text1"/>
        </w:rPr>
        <w:t xml:space="preserve">in the sections above </w:t>
      </w:r>
      <w:r w:rsidRPr="00956B88">
        <w:rPr>
          <w:color w:val="000000" w:themeColor="text1"/>
        </w:rPr>
        <w:t xml:space="preserve">demonstrate systematic disconnects between existing DeFi research and the practical realities </w:t>
      </w:r>
      <w:r w:rsidR="00CB78D0" w:rsidRPr="00956B88">
        <w:rPr>
          <w:color w:val="000000" w:themeColor="text1"/>
        </w:rPr>
        <w:t xml:space="preserve">– especially the ones </w:t>
      </w:r>
      <w:r w:rsidRPr="00956B88">
        <w:rPr>
          <w:color w:val="000000" w:themeColor="text1"/>
        </w:rPr>
        <w:t xml:space="preserve">facing limited-capital participants. </w:t>
      </w:r>
    </w:p>
    <w:p w14:paraId="509A44C9" w14:textId="757723D6" w:rsidR="0095526E" w:rsidRPr="00956B88" w:rsidRDefault="0095526E" w:rsidP="00B451D7">
      <w:pPr>
        <w:pStyle w:val="whitespace-normal"/>
        <w:spacing w:before="0" w:beforeAutospacing="0" w:after="0" w:afterAutospacing="0"/>
        <w:jc w:val="both"/>
        <w:rPr>
          <w:color w:val="000000" w:themeColor="text1"/>
        </w:rPr>
      </w:pPr>
      <w:r w:rsidRPr="00956B88">
        <w:rPr>
          <w:color w:val="000000" w:themeColor="text1"/>
        </w:rPr>
        <w:t xml:space="preserve">Table 2.1 synthesizes these gaps and demonstrates how this dissertation's research questions directly address critical knowledge deficits in the </w:t>
      </w:r>
      <w:r w:rsidR="00CB78D0" w:rsidRPr="00956B88">
        <w:rPr>
          <w:color w:val="000000" w:themeColor="text1"/>
        </w:rPr>
        <w:t xml:space="preserve">current </w:t>
      </w:r>
      <w:r w:rsidRPr="00956B88">
        <w:rPr>
          <w:color w:val="000000" w:themeColor="text1"/>
        </w:rPr>
        <w:t>academic literature.</w:t>
      </w:r>
    </w:p>
    <w:p w14:paraId="7E0DCC46" w14:textId="77777777" w:rsidR="00C976C1" w:rsidRDefault="00C976C1" w:rsidP="00B451D7">
      <w:pPr>
        <w:pStyle w:val="Heading3"/>
      </w:pPr>
      <w:bookmarkStart w:id="39" w:name="_Toc214721845"/>
    </w:p>
    <w:p w14:paraId="025A57BA" w14:textId="21636B08" w:rsidR="0095526E" w:rsidRPr="00351644" w:rsidRDefault="0095526E" w:rsidP="00B451D7">
      <w:pPr>
        <w:pStyle w:val="Heading3"/>
      </w:pPr>
      <w:r w:rsidRPr="00351644">
        <w:t>Table 2.</w:t>
      </w:r>
      <w:r w:rsidR="00C5607F">
        <w:t>A</w:t>
      </w:r>
      <w:r w:rsidRPr="00351644">
        <w:t>: Literature Gap Analysis and Research Question Mapping</w:t>
      </w:r>
      <w:bookmarkEnd w:id="39"/>
    </w:p>
    <w:p w14:paraId="707F606E" w14:textId="77777777" w:rsidR="008D4508" w:rsidRPr="00B57B1A" w:rsidRDefault="008D4508" w:rsidP="00B451D7">
      <w:pPr>
        <w:rPr>
          <w:color w:val="0070C0"/>
        </w:rPr>
      </w:pPr>
    </w:p>
    <w:tbl>
      <w:tblPr>
        <w:tblW w:w="9350" w:type="dxa"/>
        <w:tblLayout w:type="fixed"/>
        <w:tblLook w:val="04A0" w:firstRow="1" w:lastRow="0" w:firstColumn="1" w:lastColumn="0" w:noHBand="0" w:noVBand="1"/>
      </w:tblPr>
      <w:tblGrid>
        <w:gridCol w:w="1923"/>
        <w:gridCol w:w="2567"/>
        <w:gridCol w:w="2340"/>
        <w:gridCol w:w="2520"/>
      </w:tblGrid>
      <w:tr w:rsidR="00351644" w:rsidRPr="00351644" w14:paraId="05DF92B4" w14:textId="77777777" w:rsidTr="00CC04D9">
        <w:trPr>
          <w:trHeight w:val="1040"/>
        </w:trPr>
        <w:tc>
          <w:tcPr>
            <w:tcW w:w="1923"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7EEE8DBD" w14:textId="77777777" w:rsidR="008D4508" w:rsidRPr="00351644" w:rsidRDefault="008D4508" w:rsidP="00B451D7">
            <w:pPr>
              <w:jc w:val="center"/>
              <w:rPr>
                <w:b/>
                <w:bCs/>
                <w:color w:val="000000" w:themeColor="text1"/>
                <w:sz w:val="20"/>
                <w:szCs w:val="20"/>
              </w:rPr>
            </w:pPr>
            <w:r w:rsidRPr="00351644">
              <w:rPr>
                <w:b/>
                <w:bCs/>
                <w:color w:val="000000" w:themeColor="text1"/>
                <w:sz w:val="20"/>
                <w:szCs w:val="20"/>
              </w:rPr>
              <w:t xml:space="preserve">Literature </w:t>
            </w:r>
          </w:p>
          <w:p w14:paraId="35F26A8B" w14:textId="4695E13C" w:rsidR="008D4508" w:rsidRPr="00351644" w:rsidRDefault="008D4508" w:rsidP="00B451D7">
            <w:pPr>
              <w:jc w:val="center"/>
              <w:rPr>
                <w:b/>
                <w:bCs/>
                <w:color w:val="000000" w:themeColor="text1"/>
                <w:sz w:val="20"/>
                <w:szCs w:val="20"/>
              </w:rPr>
            </w:pPr>
            <w:r w:rsidRPr="00351644">
              <w:rPr>
                <w:b/>
                <w:bCs/>
                <w:color w:val="000000" w:themeColor="text1"/>
                <w:sz w:val="20"/>
                <w:szCs w:val="20"/>
              </w:rPr>
              <w:t>Gap</w:t>
            </w:r>
          </w:p>
        </w:tc>
        <w:tc>
          <w:tcPr>
            <w:tcW w:w="2567" w:type="dxa"/>
            <w:tcBorders>
              <w:top w:val="single" w:sz="8" w:space="0" w:color="auto"/>
              <w:left w:val="nil"/>
              <w:bottom w:val="single" w:sz="8" w:space="0" w:color="auto"/>
              <w:right w:val="single" w:sz="4" w:space="0" w:color="auto"/>
            </w:tcBorders>
            <w:shd w:val="clear" w:color="auto" w:fill="BFBFBF" w:themeFill="background1" w:themeFillShade="BF"/>
            <w:vAlign w:val="center"/>
            <w:hideMark/>
          </w:tcPr>
          <w:p w14:paraId="2FEE209A" w14:textId="77777777" w:rsidR="008D4508" w:rsidRPr="00351644" w:rsidRDefault="008D4508" w:rsidP="00B451D7">
            <w:pPr>
              <w:jc w:val="center"/>
              <w:rPr>
                <w:b/>
                <w:bCs/>
                <w:color w:val="000000" w:themeColor="text1"/>
                <w:sz w:val="20"/>
                <w:szCs w:val="20"/>
              </w:rPr>
            </w:pPr>
            <w:r w:rsidRPr="00351644">
              <w:rPr>
                <w:b/>
                <w:bCs/>
                <w:color w:val="000000" w:themeColor="text1"/>
                <w:sz w:val="20"/>
                <w:szCs w:val="20"/>
              </w:rPr>
              <w:t>Current State of Knowledge</w:t>
            </w:r>
          </w:p>
        </w:tc>
        <w:tc>
          <w:tcPr>
            <w:tcW w:w="2340" w:type="dxa"/>
            <w:tcBorders>
              <w:top w:val="single" w:sz="8" w:space="0" w:color="auto"/>
              <w:left w:val="nil"/>
              <w:bottom w:val="single" w:sz="8" w:space="0" w:color="auto"/>
              <w:right w:val="single" w:sz="4" w:space="0" w:color="auto"/>
            </w:tcBorders>
            <w:shd w:val="clear" w:color="auto" w:fill="BFBFBF" w:themeFill="background1" w:themeFillShade="BF"/>
            <w:vAlign w:val="center"/>
            <w:hideMark/>
          </w:tcPr>
          <w:p w14:paraId="5D658012" w14:textId="77777777" w:rsidR="008D4508" w:rsidRPr="00351644" w:rsidRDefault="008D4508" w:rsidP="00B451D7">
            <w:pPr>
              <w:jc w:val="center"/>
              <w:rPr>
                <w:b/>
                <w:bCs/>
                <w:color w:val="000000" w:themeColor="text1"/>
                <w:sz w:val="20"/>
                <w:szCs w:val="20"/>
              </w:rPr>
            </w:pPr>
            <w:r w:rsidRPr="00351644">
              <w:rPr>
                <w:b/>
                <w:bCs/>
                <w:color w:val="000000" w:themeColor="text1"/>
                <w:sz w:val="20"/>
                <w:szCs w:val="20"/>
              </w:rPr>
              <w:t>Research Question Addressed</w:t>
            </w:r>
          </w:p>
        </w:tc>
        <w:tc>
          <w:tcPr>
            <w:tcW w:w="2520" w:type="dxa"/>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19EF215C" w14:textId="77777777" w:rsidR="008D4508" w:rsidRPr="00351644" w:rsidRDefault="008D4508" w:rsidP="00B451D7">
            <w:pPr>
              <w:jc w:val="center"/>
              <w:rPr>
                <w:b/>
                <w:bCs/>
                <w:color w:val="000000" w:themeColor="text1"/>
                <w:sz w:val="20"/>
                <w:szCs w:val="20"/>
              </w:rPr>
            </w:pPr>
            <w:r w:rsidRPr="00351644">
              <w:rPr>
                <w:b/>
                <w:bCs/>
                <w:color w:val="000000" w:themeColor="text1"/>
                <w:sz w:val="20"/>
                <w:szCs w:val="20"/>
              </w:rPr>
              <w:t>Methodological Approach</w:t>
            </w:r>
          </w:p>
        </w:tc>
      </w:tr>
      <w:tr w:rsidR="00351644" w:rsidRPr="00351644" w14:paraId="475418D6" w14:textId="77777777" w:rsidTr="00CC04D9">
        <w:trPr>
          <w:trHeight w:val="151"/>
        </w:trPr>
        <w:tc>
          <w:tcPr>
            <w:tcW w:w="1923"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6D0BB36B" w14:textId="77777777" w:rsidR="008D4508" w:rsidRPr="00351644" w:rsidRDefault="008D4508" w:rsidP="00B451D7">
            <w:pPr>
              <w:rPr>
                <w:b/>
                <w:bCs/>
                <w:color w:val="000000" w:themeColor="text1"/>
                <w:sz w:val="20"/>
                <w:szCs w:val="20"/>
              </w:rPr>
            </w:pPr>
            <w:r w:rsidRPr="00351644">
              <w:rPr>
                <w:b/>
                <w:bCs/>
                <w:color w:val="000000" w:themeColor="text1"/>
                <w:sz w:val="20"/>
                <w:szCs w:val="20"/>
              </w:rPr>
              <w:t>Capital Threshold Documentation</w:t>
            </w:r>
          </w:p>
        </w:tc>
        <w:tc>
          <w:tcPr>
            <w:tcW w:w="2567" w:type="dxa"/>
            <w:tcBorders>
              <w:top w:val="nil"/>
              <w:left w:val="nil"/>
              <w:bottom w:val="single" w:sz="4" w:space="0" w:color="auto"/>
              <w:right w:val="single" w:sz="4" w:space="0" w:color="auto"/>
            </w:tcBorders>
            <w:vAlign w:val="center"/>
            <w:hideMark/>
          </w:tcPr>
          <w:p w14:paraId="74EEFA44" w14:textId="77777777" w:rsidR="008D4508" w:rsidRPr="00351644" w:rsidRDefault="008D4508" w:rsidP="00B451D7">
            <w:pPr>
              <w:rPr>
                <w:color w:val="000000" w:themeColor="text1"/>
                <w:sz w:val="20"/>
                <w:szCs w:val="20"/>
              </w:rPr>
            </w:pPr>
            <w:r w:rsidRPr="00351644">
              <w:rPr>
                <w:color w:val="000000" w:themeColor="text1"/>
                <w:sz w:val="20"/>
                <w:szCs w:val="20"/>
              </w:rPr>
              <w:t>Protocols document minimum deposits (often $10-100</w:t>
            </w:r>
            <w:proofErr w:type="gramStart"/>
            <w:r w:rsidRPr="00351644">
              <w:rPr>
                <w:color w:val="000000" w:themeColor="text1"/>
                <w:sz w:val="20"/>
                <w:szCs w:val="20"/>
              </w:rPr>
              <w:t>)</w:t>
            </w:r>
            <w:proofErr w:type="gramEnd"/>
            <w:r w:rsidRPr="00351644">
              <w:rPr>
                <w:color w:val="000000" w:themeColor="text1"/>
                <w:sz w:val="20"/>
                <w:szCs w:val="20"/>
              </w:rPr>
              <w:t xml:space="preserve"> but literature lacks empirical analysis of economically viable minimums accounting for operational costs</w:t>
            </w:r>
          </w:p>
        </w:tc>
        <w:tc>
          <w:tcPr>
            <w:tcW w:w="2340" w:type="dxa"/>
            <w:tcBorders>
              <w:top w:val="nil"/>
              <w:left w:val="nil"/>
              <w:bottom w:val="single" w:sz="4" w:space="0" w:color="auto"/>
              <w:right w:val="single" w:sz="4" w:space="0" w:color="auto"/>
            </w:tcBorders>
            <w:vAlign w:val="center"/>
            <w:hideMark/>
          </w:tcPr>
          <w:p w14:paraId="0F040036" w14:textId="77777777" w:rsidR="008D4508" w:rsidRPr="00351644" w:rsidRDefault="008D4508" w:rsidP="00B451D7">
            <w:pPr>
              <w:rPr>
                <w:color w:val="000000" w:themeColor="text1"/>
                <w:sz w:val="20"/>
                <w:szCs w:val="20"/>
              </w:rPr>
            </w:pPr>
            <w:r w:rsidRPr="00351644">
              <w:rPr>
                <w:color w:val="000000" w:themeColor="text1"/>
                <w:sz w:val="20"/>
                <w:szCs w:val="20"/>
              </w:rPr>
              <w:t>RQ1: What are the actual minimum capital requirements for different DeFi strategies to generate positive returns after all costs?</w:t>
            </w:r>
          </w:p>
        </w:tc>
        <w:tc>
          <w:tcPr>
            <w:tcW w:w="2520" w:type="dxa"/>
            <w:tcBorders>
              <w:top w:val="nil"/>
              <w:left w:val="nil"/>
              <w:bottom w:val="single" w:sz="4" w:space="0" w:color="auto"/>
              <w:right w:val="single" w:sz="8" w:space="0" w:color="auto"/>
            </w:tcBorders>
            <w:vAlign w:val="center"/>
            <w:hideMark/>
          </w:tcPr>
          <w:p w14:paraId="2788D4B0" w14:textId="77777777" w:rsidR="008D4508" w:rsidRPr="00351644" w:rsidRDefault="008D4508" w:rsidP="00B451D7">
            <w:pPr>
              <w:rPr>
                <w:color w:val="000000" w:themeColor="text1"/>
                <w:sz w:val="20"/>
                <w:szCs w:val="20"/>
              </w:rPr>
            </w:pPr>
            <w:r w:rsidRPr="00351644">
              <w:rPr>
                <w:color w:val="000000" w:themeColor="text1"/>
                <w:sz w:val="20"/>
                <w:szCs w:val="20"/>
              </w:rPr>
              <w:t>Position tracking (n=156) across capital ranges; break-even analysis by network; gas cost empirical measurement</w:t>
            </w:r>
          </w:p>
        </w:tc>
      </w:tr>
      <w:tr w:rsidR="00351644" w:rsidRPr="00351644" w14:paraId="5D325887" w14:textId="77777777" w:rsidTr="009659F0">
        <w:trPr>
          <w:trHeight w:val="692"/>
        </w:trPr>
        <w:tc>
          <w:tcPr>
            <w:tcW w:w="1923"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0049ACBA" w14:textId="77777777" w:rsidR="008D4508" w:rsidRPr="00351644" w:rsidRDefault="008D4508" w:rsidP="00B451D7">
            <w:pPr>
              <w:rPr>
                <w:b/>
                <w:bCs/>
                <w:color w:val="000000" w:themeColor="text1"/>
                <w:sz w:val="20"/>
                <w:szCs w:val="20"/>
              </w:rPr>
            </w:pPr>
            <w:r w:rsidRPr="00351644">
              <w:rPr>
                <w:b/>
                <w:bCs/>
                <w:color w:val="000000" w:themeColor="text1"/>
                <w:sz w:val="20"/>
                <w:szCs w:val="20"/>
              </w:rPr>
              <w:t>Operational Cost Quantification</w:t>
            </w:r>
          </w:p>
        </w:tc>
        <w:tc>
          <w:tcPr>
            <w:tcW w:w="2567" w:type="dxa"/>
            <w:tcBorders>
              <w:top w:val="nil"/>
              <w:left w:val="nil"/>
              <w:bottom w:val="single" w:sz="4" w:space="0" w:color="auto"/>
              <w:right w:val="single" w:sz="4" w:space="0" w:color="auto"/>
            </w:tcBorders>
            <w:vAlign w:val="center"/>
            <w:hideMark/>
          </w:tcPr>
          <w:p w14:paraId="25740D06" w14:textId="77777777" w:rsidR="008D4508" w:rsidRPr="00351644" w:rsidRDefault="008D4508" w:rsidP="00B451D7">
            <w:pPr>
              <w:rPr>
                <w:color w:val="000000" w:themeColor="text1"/>
                <w:sz w:val="20"/>
                <w:szCs w:val="20"/>
              </w:rPr>
            </w:pPr>
            <w:r w:rsidRPr="00351644">
              <w:rPr>
                <w:color w:val="000000" w:themeColor="text1"/>
                <w:sz w:val="20"/>
                <w:szCs w:val="20"/>
              </w:rPr>
              <w:t xml:space="preserve">Academic studies measure trading fees and impermanent loss but systematically exclude gas costs, failed transactions, </w:t>
            </w:r>
            <w:r w:rsidRPr="00351644">
              <w:rPr>
                <w:color w:val="000000" w:themeColor="text1"/>
                <w:sz w:val="20"/>
                <w:szCs w:val="20"/>
              </w:rPr>
              <w:lastRenderedPageBreak/>
              <w:t>time investment, and learning curves</w:t>
            </w:r>
          </w:p>
        </w:tc>
        <w:tc>
          <w:tcPr>
            <w:tcW w:w="2340" w:type="dxa"/>
            <w:tcBorders>
              <w:top w:val="nil"/>
              <w:left w:val="nil"/>
              <w:bottom w:val="single" w:sz="4" w:space="0" w:color="auto"/>
              <w:right w:val="single" w:sz="4" w:space="0" w:color="auto"/>
            </w:tcBorders>
            <w:vAlign w:val="center"/>
            <w:hideMark/>
          </w:tcPr>
          <w:p w14:paraId="70247486" w14:textId="77777777" w:rsidR="008D4508" w:rsidRPr="00351644" w:rsidRDefault="008D4508" w:rsidP="00B451D7">
            <w:pPr>
              <w:rPr>
                <w:color w:val="000000" w:themeColor="text1"/>
                <w:sz w:val="20"/>
                <w:szCs w:val="20"/>
              </w:rPr>
            </w:pPr>
            <w:r w:rsidRPr="00351644">
              <w:rPr>
                <w:color w:val="000000" w:themeColor="text1"/>
                <w:sz w:val="20"/>
                <w:szCs w:val="20"/>
              </w:rPr>
              <w:lastRenderedPageBreak/>
              <w:t xml:space="preserve">RQ2: How do operational </w:t>
            </w:r>
            <w:proofErr w:type="gramStart"/>
            <w:r w:rsidRPr="00351644">
              <w:rPr>
                <w:color w:val="000000" w:themeColor="text1"/>
                <w:sz w:val="20"/>
                <w:szCs w:val="20"/>
              </w:rPr>
              <w:t>factors—</w:t>
            </w:r>
            <w:proofErr w:type="gramEnd"/>
            <w:r w:rsidRPr="00351644">
              <w:rPr>
                <w:color w:val="000000" w:themeColor="text1"/>
                <w:sz w:val="20"/>
                <w:szCs w:val="20"/>
              </w:rPr>
              <w:t xml:space="preserve">including technical complexity, time requirements, and hidden </w:t>
            </w:r>
            <w:proofErr w:type="gramStart"/>
            <w:r w:rsidRPr="00351644">
              <w:rPr>
                <w:color w:val="000000" w:themeColor="text1"/>
                <w:sz w:val="20"/>
                <w:szCs w:val="20"/>
              </w:rPr>
              <w:t>costs—</w:t>
            </w:r>
            <w:proofErr w:type="gramEnd"/>
            <w:r w:rsidRPr="00351644">
              <w:rPr>
                <w:color w:val="000000" w:themeColor="text1"/>
                <w:sz w:val="20"/>
                <w:szCs w:val="20"/>
              </w:rPr>
              <w:t xml:space="preserve">affect </w:t>
            </w:r>
            <w:r w:rsidRPr="00351644">
              <w:rPr>
                <w:color w:val="000000" w:themeColor="text1"/>
                <w:sz w:val="20"/>
                <w:szCs w:val="20"/>
              </w:rPr>
              <w:lastRenderedPageBreak/>
              <w:t>actual returns for minimal-capital participants?</w:t>
            </w:r>
          </w:p>
        </w:tc>
        <w:tc>
          <w:tcPr>
            <w:tcW w:w="2520" w:type="dxa"/>
            <w:tcBorders>
              <w:top w:val="nil"/>
              <w:left w:val="nil"/>
              <w:bottom w:val="single" w:sz="4" w:space="0" w:color="auto"/>
              <w:right w:val="single" w:sz="8" w:space="0" w:color="auto"/>
            </w:tcBorders>
            <w:vAlign w:val="center"/>
            <w:hideMark/>
          </w:tcPr>
          <w:p w14:paraId="41971CA2" w14:textId="77777777" w:rsidR="008D4508" w:rsidRPr="00351644" w:rsidRDefault="008D4508" w:rsidP="00B451D7">
            <w:pPr>
              <w:rPr>
                <w:color w:val="000000" w:themeColor="text1"/>
                <w:sz w:val="20"/>
                <w:szCs w:val="20"/>
              </w:rPr>
            </w:pPr>
            <w:r w:rsidRPr="00351644">
              <w:rPr>
                <w:color w:val="000000" w:themeColor="text1"/>
                <w:sz w:val="20"/>
                <w:szCs w:val="20"/>
              </w:rPr>
              <w:lastRenderedPageBreak/>
              <w:t xml:space="preserve">Time diary analysis from interviews (n=27); comprehensive cost tracking including gas, failed </w:t>
            </w:r>
            <w:proofErr w:type="spellStart"/>
            <w:r w:rsidRPr="00351644">
              <w:rPr>
                <w:color w:val="000000" w:themeColor="text1"/>
                <w:sz w:val="20"/>
                <w:szCs w:val="20"/>
              </w:rPr>
              <w:t>txs</w:t>
            </w:r>
            <w:proofErr w:type="spellEnd"/>
            <w:r w:rsidRPr="00351644">
              <w:rPr>
                <w:color w:val="000000" w:themeColor="text1"/>
                <w:sz w:val="20"/>
                <w:szCs w:val="20"/>
              </w:rPr>
              <w:t xml:space="preserve">, opportunity costs; </w:t>
            </w:r>
            <w:r w:rsidRPr="00351644">
              <w:rPr>
                <w:color w:val="000000" w:themeColor="text1"/>
                <w:sz w:val="20"/>
                <w:szCs w:val="20"/>
              </w:rPr>
              <w:lastRenderedPageBreak/>
              <w:t>qualitative analysis of hidden barriers</w:t>
            </w:r>
          </w:p>
        </w:tc>
      </w:tr>
      <w:tr w:rsidR="00351644" w:rsidRPr="00351644" w14:paraId="43F0A5FA" w14:textId="77777777" w:rsidTr="009659F0">
        <w:trPr>
          <w:trHeight w:val="206"/>
        </w:trPr>
        <w:tc>
          <w:tcPr>
            <w:tcW w:w="1923"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6F7B1F89" w14:textId="77777777" w:rsidR="008D4508" w:rsidRPr="00351644" w:rsidRDefault="008D4508" w:rsidP="00B451D7">
            <w:pPr>
              <w:rPr>
                <w:b/>
                <w:bCs/>
                <w:color w:val="000000" w:themeColor="text1"/>
                <w:sz w:val="20"/>
                <w:szCs w:val="20"/>
              </w:rPr>
            </w:pPr>
            <w:r w:rsidRPr="00351644">
              <w:rPr>
                <w:b/>
                <w:bCs/>
                <w:color w:val="000000" w:themeColor="text1"/>
                <w:sz w:val="20"/>
                <w:szCs w:val="20"/>
              </w:rPr>
              <w:lastRenderedPageBreak/>
              <w:t>Risk-Return Profiles by Capital Level</w:t>
            </w:r>
          </w:p>
        </w:tc>
        <w:tc>
          <w:tcPr>
            <w:tcW w:w="2567" w:type="dxa"/>
            <w:tcBorders>
              <w:top w:val="nil"/>
              <w:left w:val="nil"/>
              <w:bottom w:val="single" w:sz="4" w:space="0" w:color="auto"/>
              <w:right w:val="single" w:sz="4" w:space="0" w:color="auto"/>
            </w:tcBorders>
            <w:vAlign w:val="center"/>
            <w:hideMark/>
          </w:tcPr>
          <w:p w14:paraId="6175CB92" w14:textId="77777777" w:rsidR="008D4508" w:rsidRPr="00351644" w:rsidRDefault="008D4508" w:rsidP="00B451D7">
            <w:pPr>
              <w:rPr>
                <w:color w:val="000000" w:themeColor="text1"/>
                <w:sz w:val="20"/>
                <w:szCs w:val="20"/>
              </w:rPr>
            </w:pPr>
            <w:r w:rsidRPr="00351644">
              <w:rPr>
                <w:color w:val="000000" w:themeColor="text1"/>
                <w:sz w:val="20"/>
                <w:szCs w:val="20"/>
              </w:rPr>
              <w:t xml:space="preserve">Literature documents aggregate DeFi risks but </w:t>
            </w:r>
            <w:proofErr w:type="gramStart"/>
            <w:r w:rsidRPr="00351644">
              <w:rPr>
                <w:color w:val="000000" w:themeColor="text1"/>
                <w:sz w:val="20"/>
                <w:szCs w:val="20"/>
              </w:rPr>
              <w:t>doesn't</w:t>
            </w:r>
            <w:proofErr w:type="gramEnd"/>
            <w:r w:rsidRPr="00351644">
              <w:rPr>
                <w:color w:val="000000" w:themeColor="text1"/>
                <w:sz w:val="20"/>
                <w:szCs w:val="20"/>
              </w:rPr>
              <w:t xml:space="preserve"> stratify by participant capital level; assumes risk exposure is capital-neutral</w:t>
            </w:r>
          </w:p>
        </w:tc>
        <w:tc>
          <w:tcPr>
            <w:tcW w:w="2340" w:type="dxa"/>
            <w:tcBorders>
              <w:top w:val="nil"/>
              <w:left w:val="nil"/>
              <w:bottom w:val="single" w:sz="4" w:space="0" w:color="auto"/>
              <w:right w:val="single" w:sz="4" w:space="0" w:color="auto"/>
            </w:tcBorders>
            <w:vAlign w:val="center"/>
            <w:hideMark/>
          </w:tcPr>
          <w:p w14:paraId="7F0F832A" w14:textId="77777777" w:rsidR="008D4508" w:rsidRPr="00351644" w:rsidRDefault="008D4508" w:rsidP="00B451D7">
            <w:pPr>
              <w:rPr>
                <w:color w:val="000000" w:themeColor="text1"/>
                <w:sz w:val="20"/>
                <w:szCs w:val="20"/>
              </w:rPr>
            </w:pPr>
            <w:r w:rsidRPr="00351644">
              <w:rPr>
                <w:color w:val="000000" w:themeColor="text1"/>
                <w:sz w:val="20"/>
                <w:szCs w:val="20"/>
              </w:rPr>
              <w:t>RQ1, RQ2, RQ3: Capital stratification across all research questions</w:t>
            </w:r>
          </w:p>
        </w:tc>
        <w:tc>
          <w:tcPr>
            <w:tcW w:w="2520" w:type="dxa"/>
            <w:tcBorders>
              <w:top w:val="nil"/>
              <w:left w:val="nil"/>
              <w:bottom w:val="single" w:sz="4" w:space="0" w:color="auto"/>
              <w:right w:val="single" w:sz="8" w:space="0" w:color="auto"/>
            </w:tcBorders>
            <w:vAlign w:val="center"/>
            <w:hideMark/>
          </w:tcPr>
          <w:p w14:paraId="1127EE60" w14:textId="77777777" w:rsidR="008D4508" w:rsidRPr="00351644" w:rsidRDefault="008D4508" w:rsidP="00B451D7">
            <w:pPr>
              <w:rPr>
                <w:color w:val="000000" w:themeColor="text1"/>
                <w:sz w:val="20"/>
                <w:szCs w:val="20"/>
              </w:rPr>
            </w:pPr>
            <w:r w:rsidRPr="00351644">
              <w:rPr>
                <w:color w:val="000000" w:themeColor="text1"/>
                <w:sz w:val="20"/>
                <w:szCs w:val="20"/>
              </w:rPr>
              <w:t>Stratified sampling design: micro ($500-$5K), small ($5-25K), modest ($25-100K) capital ranges</w:t>
            </w:r>
          </w:p>
        </w:tc>
      </w:tr>
      <w:tr w:rsidR="00351644" w:rsidRPr="00351644" w14:paraId="655BD69F" w14:textId="77777777" w:rsidTr="00CC04D9">
        <w:trPr>
          <w:trHeight w:val="719"/>
        </w:trPr>
        <w:tc>
          <w:tcPr>
            <w:tcW w:w="1923"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021C3E24" w14:textId="77777777" w:rsidR="008D4508" w:rsidRPr="00351644" w:rsidRDefault="008D4508" w:rsidP="00B451D7">
            <w:pPr>
              <w:rPr>
                <w:b/>
                <w:bCs/>
                <w:color w:val="000000" w:themeColor="text1"/>
                <w:sz w:val="20"/>
                <w:szCs w:val="20"/>
              </w:rPr>
            </w:pPr>
            <w:r w:rsidRPr="00351644">
              <w:rPr>
                <w:b/>
                <w:bCs/>
                <w:color w:val="000000" w:themeColor="text1"/>
                <w:sz w:val="20"/>
                <w:szCs w:val="20"/>
              </w:rPr>
              <w:t>Behavioral Bias Consequences</w:t>
            </w:r>
          </w:p>
        </w:tc>
        <w:tc>
          <w:tcPr>
            <w:tcW w:w="2567" w:type="dxa"/>
            <w:tcBorders>
              <w:top w:val="nil"/>
              <w:left w:val="nil"/>
              <w:bottom w:val="single" w:sz="4" w:space="0" w:color="auto"/>
              <w:right w:val="single" w:sz="4" w:space="0" w:color="auto"/>
            </w:tcBorders>
            <w:vAlign w:val="center"/>
            <w:hideMark/>
          </w:tcPr>
          <w:p w14:paraId="1088A826" w14:textId="77777777" w:rsidR="008D4508" w:rsidRPr="00351644" w:rsidRDefault="008D4508" w:rsidP="00B451D7">
            <w:pPr>
              <w:rPr>
                <w:color w:val="000000" w:themeColor="text1"/>
                <w:sz w:val="20"/>
                <w:szCs w:val="20"/>
              </w:rPr>
            </w:pPr>
            <w:r w:rsidRPr="00351644">
              <w:rPr>
                <w:color w:val="000000" w:themeColor="text1"/>
                <w:sz w:val="20"/>
                <w:szCs w:val="20"/>
              </w:rPr>
              <w:t>Extensive documentation of biases (FOMO, overconfidence, herding) but limited evidence on how these translate to actual financial outcomes in DeFi specifically</w:t>
            </w:r>
          </w:p>
        </w:tc>
        <w:tc>
          <w:tcPr>
            <w:tcW w:w="2340" w:type="dxa"/>
            <w:tcBorders>
              <w:top w:val="nil"/>
              <w:left w:val="nil"/>
              <w:bottom w:val="single" w:sz="4" w:space="0" w:color="auto"/>
              <w:right w:val="single" w:sz="4" w:space="0" w:color="auto"/>
            </w:tcBorders>
            <w:vAlign w:val="center"/>
            <w:hideMark/>
          </w:tcPr>
          <w:p w14:paraId="65A76EB4" w14:textId="77777777" w:rsidR="008D4508" w:rsidRPr="00351644" w:rsidRDefault="008D4508" w:rsidP="00B451D7">
            <w:pPr>
              <w:rPr>
                <w:color w:val="000000" w:themeColor="text1"/>
                <w:sz w:val="20"/>
                <w:szCs w:val="20"/>
              </w:rPr>
            </w:pPr>
            <w:r w:rsidRPr="00351644">
              <w:rPr>
                <w:color w:val="000000" w:themeColor="text1"/>
                <w:sz w:val="20"/>
                <w:szCs w:val="20"/>
              </w:rPr>
              <w:t>RQ2, RQ4: Links between decision-making processes and outcomes</w:t>
            </w:r>
          </w:p>
        </w:tc>
        <w:tc>
          <w:tcPr>
            <w:tcW w:w="2520" w:type="dxa"/>
            <w:tcBorders>
              <w:top w:val="nil"/>
              <w:left w:val="nil"/>
              <w:bottom w:val="single" w:sz="4" w:space="0" w:color="auto"/>
              <w:right w:val="single" w:sz="8" w:space="0" w:color="auto"/>
            </w:tcBorders>
            <w:vAlign w:val="center"/>
            <w:hideMark/>
          </w:tcPr>
          <w:p w14:paraId="634EE95F" w14:textId="77777777" w:rsidR="008D4508" w:rsidRPr="00351644" w:rsidRDefault="008D4508" w:rsidP="00B451D7">
            <w:pPr>
              <w:rPr>
                <w:color w:val="000000" w:themeColor="text1"/>
                <w:sz w:val="20"/>
                <w:szCs w:val="20"/>
              </w:rPr>
            </w:pPr>
            <w:r w:rsidRPr="00351644">
              <w:rPr>
                <w:color w:val="000000" w:themeColor="text1"/>
                <w:sz w:val="20"/>
                <w:szCs w:val="20"/>
              </w:rPr>
              <w:t>Interview protocol explicitly addressing strategy selection rationale; correlation analysis between reported biases and position outcomes</w:t>
            </w:r>
          </w:p>
        </w:tc>
      </w:tr>
      <w:tr w:rsidR="00351644" w:rsidRPr="00351644" w14:paraId="3371A145" w14:textId="77777777" w:rsidTr="00CC04D9">
        <w:trPr>
          <w:trHeight w:val="1241"/>
        </w:trPr>
        <w:tc>
          <w:tcPr>
            <w:tcW w:w="1923"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0F458E4C" w14:textId="77777777" w:rsidR="008D4508" w:rsidRPr="00351644" w:rsidRDefault="008D4508" w:rsidP="00B451D7">
            <w:pPr>
              <w:rPr>
                <w:b/>
                <w:bCs/>
                <w:color w:val="000000" w:themeColor="text1"/>
                <w:sz w:val="20"/>
                <w:szCs w:val="20"/>
              </w:rPr>
            </w:pPr>
            <w:r w:rsidRPr="00351644">
              <w:rPr>
                <w:b/>
                <w:bCs/>
                <w:color w:val="000000" w:themeColor="text1"/>
                <w:sz w:val="20"/>
                <w:szCs w:val="20"/>
              </w:rPr>
              <w:t>Time Investment Reality</w:t>
            </w:r>
          </w:p>
        </w:tc>
        <w:tc>
          <w:tcPr>
            <w:tcW w:w="2567" w:type="dxa"/>
            <w:tcBorders>
              <w:top w:val="nil"/>
              <w:left w:val="nil"/>
              <w:bottom w:val="single" w:sz="4" w:space="0" w:color="auto"/>
              <w:right w:val="single" w:sz="4" w:space="0" w:color="auto"/>
            </w:tcBorders>
            <w:vAlign w:val="center"/>
            <w:hideMark/>
          </w:tcPr>
          <w:p w14:paraId="7A70A8BC" w14:textId="77777777" w:rsidR="008D4508" w:rsidRPr="00351644" w:rsidRDefault="008D4508" w:rsidP="00B451D7">
            <w:pPr>
              <w:rPr>
                <w:color w:val="000000" w:themeColor="text1"/>
                <w:sz w:val="20"/>
                <w:szCs w:val="20"/>
              </w:rPr>
            </w:pPr>
            <w:r w:rsidRPr="00351644">
              <w:rPr>
                <w:color w:val="000000" w:themeColor="text1"/>
                <w:sz w:val="20"/>
                <w:szCs w:val="20"/>
              </w:rPr>
              <w:t>"Passive income" claims ubiquitous in marketing; academic literature silent on actual time requirements for successful participation</w:t>
            </w:r>
          </w:p>
        </w:tc>
        <w:tc>
          <w:tcPr>
            <w:tcW w:w="2340" w:type="dxa"/>
            <w:tcBorders>
              <w:top w:val="nil"/>
              <w:left w:val="nil"/>
              <w:bottom w:val="single" w:sz="4" w:space="0" w:color="auto"/>
              <w:right w:val="single" w:sz="4" w:space="0" w:color="auto"/>
            </w:tcBorders>
            <w:vAlign w:val="center"/>
            <w:hideMark/>
          </w:tcPr>
          <w:p w14:paraId="4F063E2A" w14:textId="77777777" w:rsidR="008D4508" w:rsidRPr="00351644" w:rsidRDefault="008D4508" w:rsidP="00B451D7">
            <w:pPr>
              <w:rPr>
                <w:color w:val="000000" w:themeColor="text1"/>
                <w:sz w:val="20"/>
                <w:szCs w:val="20"/>
              </w:rPr>
            </w:pPr>
            <w:r w:rsidRPr="00351644">
              <w:rPr>
                <w:color w:val="000000" w:themeColor="text1"/>
                <w:sz w:val="20"/>
                <w:szCs w:val="20"/>
              </w:rPr>
              <w:t>RQ2: Operational factors including time requirements</w:t>
            </w:r>
          </w:p>
        </w:tc>
        <w:tc>
          <w:tcPr>
            <w:tcW w:w="2520" w:type="dxa"/>
            <w:tcBorders>
              <w:top w:val="nil"/>
              <w:left w:val="nil"/>
              <w:bottom w:val="single" w:sz="4" w:space="0" w:color="auto"/>
              <w:right w:val="single" w:sz="8" w:space="0" w:color="auto"/>
            </w:tcBorders>
            <w:vAlign w:val="center"/>
            <w:hideMark/>
          </w:tcPr>
          <w:p w14:paraId="3D8BB37D" w14:textId="77777777" w:rsidR="008D4508" w:rsidRPr="00351644" w:rsidRDefault="008D4508" w:rsidP="00B451D7">
            <w:pPr>
              <w:rPr>
                <w:color w:val="000000" w:themeColor="text1"/>
                <w:sz w:val="20"/>
                <w:szCs w:val="20"/>
              </w:rPr>
            </w:pPr>
            <w:r w:rsidRPr="00351644">
              <w:rPr>
                <w:color w:val="000000" w:themeColor="text1"/>
                <w:sz w:val="20"/>
                <w:szCs w:val="20"/>
              </w:rPr>
              <w:t xml:space="preserve">Structured time tracking with 27 interviewees; median 17.5 </w:t>
            </w:r>
            <w:proofErr w:type="spellStart"/>
            <w:r w:rsidRPr="00351644">
              <w:rPr>
                <w:color w:val="000000" w:themeColor="text1"/>
                <w:sz w:val="20"/>
                <w:szCs w:val="20"/>
              </w:rPr>
              <w:t>hrs</w:t>
            </w:r>
            <w:proofErr w:type="spellEnd"/>
            <w:r w:rsidRPr="00351644">
              <w:rPr>
                <w:color w:val="000000" w:themeColor="text1"/>
                <w:sz w:val="20"/>
                <w:szCs w:val="20"/>
              </w:rPr>
              <w:t>/week finding challenges "passive" narrative</w:t>
            </w:r>
          </w:p>
        </w:tc>
      </w:tr>
      <w:tr w:rsidR="00351644" w:rsidRPr="00351644" w14:paraId="528C1EFC" w14:textId="77777777" w:rsidTr="00CC04D9">
        <w:trPr>
          <w:trHeight w:val="1070"/>
        </w:trPr>
        <w:tc>
          <w:tcPr>
            <w:tcW w:w="1923"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2944AC42" w14:textId="77777777" w:rsidR="008D4508" w:rsidRPr="00351644" w:rsidRDefault="008D4508" w:rsidP="00B451D7">
            <w:pPr>
              <w:rPr>
                <w:b/>
                <w:bCs/>
                <w:color w:val="000000" w:themeColor="text1"/>
                <w:sz w:val="20"/>
                <w:szCs w:val="20"/>
              </w:rPr>
            </w:pPr>
            <w:r w:rsidRPr="00351644">
              <w:rPr>
                <w:b/>
                <w:bCs/>
                <w:color w:val="000000" w:themeColor="text1"/>
                <w:sz w:val="20"/>
                <w:szCs w:val="20"/>
              </w:rPr>
              <w:t>Strategy Viability by Resource Constraints</w:t>
            </w:r>
          </w:p>
        </w:tc>
        <w:tc>
          <w:tcPr>
            <w:tcW w:w="2567" w:type="dxa"/>
            <w:tcBorders>
              <w:top w:val="nil"/>
              <w:left w:val="nil"/>
              <w:bottom w:val="single" w:sz="4" w:space="0" w:color="auto"/>
              <w:right w:val="single" w:sz="4" w:space="0" w:color="auto"/>
            </w:tcBorders>
            <w:vAlign w:val="center"/>
            <w:hideMark/>
          </w:tcPr>
          <w:p w14:paraId="4A9131CC" w14:textId="77777777" w:rsidR="008D4508" w:rsidRPr="00351644" w:rsidRDefault="008D4508" w:rsidP="00B451D7">
            <w:pPr>
              <w:rPr>
                <w:color w:val="000000" w:themeColor="text1"/>
                <w:sz w:val="20"/>
                <w:szCs w:val="20"/>
              </w:rPr>
            </w:pPr>
            <w:r w:rsidRPr="00351644">
              <w:rPr>
                <w:color w:val="000000" w:themeColor="text1"/>
                <w:sz w:val="20"/>
                <w:szCs w:val="20"/>
              </w:rPr>
              <w:t>Literature evaluates strategies in isolation (staking, LP, yield farming) but doesn't match strategies to participant resource constraints</w:t>
            </w:r>
          </w:p>
        </w:tc>
        <w:tc>
          <w:tcPr>
            <w:tcW w:w="2340" w:type="dxa"/>
            <w:tcBorders>
              <w:top w:val="nil"/>
              <w:left w:val="nil"/>
              <w:bottom w:val="single" w:sz="4" w:space="0" w:color="auto"/>
              <w:right w:val="single" w:sz="4" w:space="0" w:color="auto"/>
            </w:tcBorders>
            <w:vAlign w:val="center"/>
            <w:hideMark/>
          </w:tcPr>
          <w:p w14:paraId="3F304670" w14:textId="77777777" w:rsidR="008D4508" w:rsidRPr="00351644" w:rsidRDefault="008D4508" w:rsidP="00B451D7">
            <w:pPr>
              <w:rPr>
                <w:color w:val="000000" w:themeColor="text1"/>
                <w:sz w:val="20"/>
                <w:szCs w:val="20"/>
              </w:rPr>
            </w:pPr>
            <w:r w:rsidRPr="00351644">
              <w:rPr>
                <w:color w:val="000000" w:themeColor="text1"/>
                <w:sz w:val="20"/>
                <w:szCs w:val="20"/>
              </w:rPr>
              <w:t xml:space="preserve">RQ3: Which strategies </w:t>
            </w:r>
            <w:proofErr w:type="gramStart"/>
            <w:r w:rsidRPr="00351644">
              <w:rPr>
                <w:color w:val="000000" w:themeColor="text1"/>
                <w:sz w:val="20"/>
                <w:szCs w:val="20"/>
              </w:rPr>
              <w:t>actually work</w:t>
            </w:r>
            <w:proofErr w:type="gramEnd"/>
            <w:r w:rsidRPr="00351644">
              <w:rPr>
                <w:color w:val="000000" w:themeColor="text1"/>
                <w:sz w:val="20"/>
                <w:szCs w:val="20"/>
              </w:rPr>
              <w:t xml:space="preserve"> for people without institutional resources?</w:t>
            </w:r>
          </w:p>
        </w:tc>
        <w:tc>
          <w:tcPr>
            <w:tcW w:w="2520" w:type="dxa"/>
            <w:tcBorders>
              <w:top w:val="nil"/>
              <w:left w:val="nil"/>
              <w:bottom w:val="single" w:sz="4" w:space="0" w:color="auto"/>
              <w:right w:val="single" w:sz="8" w:space="0" w:color="auto"/>
            </w:tcBorders>
            <w:vAlign w:val="center"/>
            <w:hideMark/>
          </w:tcPr>
          <w:p w14:paraId="3A0AFCAC" w14:textId="77777777" w:rsidR="008D4508" w:rsidRPr="00351644" w:rsidRDefault="008D4508" w:rsidP="00B451D7">
            <w:pPr>
              <w:rPr>
                <w:color w:val="000000" w:themeColor="text1"/>
                <w:sz w:val="20"/>
                <w:szCs w:val="20"/>
              </w:rPr>
            </w:pPr>
            <w:r w:rsidRPr="00351644">
              <w:rPr>
                <w:color w:val="000000" w:themeColor="text1"/>
                <w:sz w:val="20"/>
                <w:szCs w:val="20"/>
              </w:rPr>
              <w:t>Framework development matching capital/time/expertise to viable strategies; success rate analysis by strategy type</w:t>
            </w:r>
          </w:p>
        </w:tc>
      </w:tr>
      <w:tr w:rsidR="00351644" w:rsidRPr="00351644" w14:paraId="15FD6C80" w14:textId="77777777" w:rsidTr="009659F0">
        <w:trPr>
          <w:trHeight w:val="809"/>
        </w:trPr>
        <w:tc>
          <w:tcPr>
            <w:tcW w:w="1923"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648D94D8" w14:textId="77777777" w:rsidR="008D4508" w:rsidRPr="00351644" w:rsidRDefault="008D4508" w:rsidP="00B451D7">
            <w:pPr>
              <w:rPr>
                <w:b/>
                <w:bCs/>
                <w:color w:val="000000" w:themeColor="text1"/>
                <w:sz w:val="20"/>
                <w:szCs w:val="20"/>
              </w:rPr>
            </w:pPr>
            <w:r w:rsidRPr="00351644">
              <w:rPr>
                <w:b/>
                <w:bCs/>
                <w:color w:val="000000" w:themeColor="text1"/>
                <w:sz w:val="20"/>
                <w:szCs w:val="20"/>
              </w:rPr>
              <w:t>Democratization Outcomes</w:t>
            </w:r>
          </w:p>
        </w:tc>
        <w:tc>
          <w:tcPr>
            <w:tcW w:w="2567" w:type="dxa"/>
            <w:tcBorders>
              <w:top w:val="nil"/>
              <w:left w:val="nil"/>
              <w:bottom w:val="single" w:sz="4" w:space="0" w:color="auto"/>
              <w:right w:val="single" w:sz="4" w:space="0" w:color="auto"/>
            </w:tcBorders>
            <w:vAlign w:val="center"/>
            <w:hideMark/>
          </w:tcPr>
          <w:p w14:paraId="26940081" w14:textId="77777777" w:rsidR="008D4508" w:rsidRPr="00351644" w:rsidRDefault="008D4508" w:rsidP="00B451D7">
            <w:pPr>
              <w:rPr>
                <w:color w:val="000000" w:themeColor="text1"/>
                <w:sz w:val="20"/>
                <w:szCs w:val="20"/>
              </w:rPr>
            </w:pPr>
            <w:r w:rsidRPr="00351644">
              <w:rPr>
                <w:color w:val="000000" w:themeColor="text1"/>
                <w:sz w:val="20"/>
                <w:szCs w:val="20"/>
              </w:rPr>
              <w:t xml:space="preserve">Theoretical claims about DeFi democratization abundant; empirical assessment of who </w:t>
            </w:r>
            <w:proofErr w:type="gramStart"/>
            <w:r w:rsidRPr="00351644">
              <w:rPr>
                <w:color w:val="000000" w:themeColor="text1"/>
                <w:sz w:val="20"/>
                <w:szCs w:val="20"/>
              </w:rPr>
              <w:t>actually profits</w:t>
            </w:r>
            <w:proofErr w:type="gramEnd"/>
            <w:r w:rsidRPr="00351644">
              <w:rPr>
                <w:color w:val="000000" w:themeColor="text1"/>
                <w:sz w:val="20"/>
                <w:szCs w:val="20"/>
              </w:rPr>
              <w:t xml:space="preserve"> scarce</w:t>
            </w:r>
          </w:p>
        </w:tc>
        <w:tc>
          <w:tcPr>
            <w:tcW w:w="2340" w:type="dxa"/>
            <w:tcBorders>
              <w:top w:val="nil"/>
              <w:left w:val="nil"/>
              <w:bottom w:val="single" w:sz="4" w:space="0" w:color="auto"/>
              <w:right w:val="single" w:sz="4" w:space="0" w:color="auto"/>
            </w:tcBorders>
            <w:vAlign w:val="center"/>
            <w:hideMark/>
          </w:tcPr>
          <w:p w14:paraId="16E42D22" w14:textId="77777777" w:rsidR="008D4508" w:rsidRPr="00351644" w:rsidRDefault="008D4508" w:rsidP="00B451D7">
            <w:pPr>
              <w:rPr>
                <w:color w:val="000000" w:themeColor="text1"/>
                <w:sz w:val="20"/>
                <w:szCs w:val="20"/>
              </w:rPr>
            </w:pPr>
            <w:r w:rsidRPr="00351644">
              <w:rPr>
                <w:color w:val="000000" w:themeColor="text1"/>
                <w:sz w:val="20"/>
                <w:szCs w:val="20"/>
              </w:rPr>
              <w:t>Addressed throughout dissertation via "conditional democratization" framework (Section 1.3.5); synthesized in Chapter 11</w:t>
            </w:r>
          </w:p>
        </w:tc>
        <w:tc>
          <w:tcPr>
            <w:tcW w:w="2520" w:type="dxa"/>
            <w:tcBorders>
              <w:top w:val="nil"/>
              <w:left w:val="nil"/>
              <w:bottom w:val="single" w:sz="4" w:space="0" w:color="auto"/>
              <w:right w:val="single" w:sz="8" w:space="0" w:color="auto"/>
            </w:tcBorders>
            <w:vAlign w:val="center"/>
            <w:hideMark/>
          </w:tcPr>
          <w:p w14:paraId="4AA423C7" w14:textId="77777777" w:rsidR="008D4508" w:rsidRPr="00351644" w:rsidRDefault="008D4508" w:rsidP="00B451D7">
            <w:pPr>
              <w:rPr>
                <w:color w:val="000000" w:themeColor="text1"/>
                <w:sz w:val="20"/>
                <w:szCs w:val="20"/>
              </w:rPr>
            </w:pPr>
            <w:r w:rsidRPr="00351644">
              <w:rPr>
                <w:color w:val="000000" w:themeColor="text1"/>
                <w:sz w:val="20"/>
                <w:szCs w:val="20"/>
              </w:rPr>
              <w:t>Operational definition distinguishing formal access (technical ability) from substantive access (economic viability); 73% failure rate as key democratization metric</w:t>
            </w:r>
          </w:p>
        </w:tc>
      </w:tr>
      <w:tr w:rsidR="00351644" w:rsidRPr="00351644" w14:paraId="2AC85ECA" w14:textId="77777777" w:rsidTr="00300B31">
        <w:trPr>
          <w:trHeight w:val="368"/>
        </w:trPr>
        <w:tc>
          <w:tcPr>
            <w:tcW w:w="1923"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363830DC" w14:textId="77777777" w:rsidR="008D4508" w:rsidRPr="00351644" w:rsidRDefault="008D4508" w:rsidP="00B451D7">
            <w:pPr>
              <w:rPr>
                <w:b/>
                <w:bCs/>
                <w:color w:val="000000" w:themeColor="text1"/>
                <w:sz w:val="20"/>
                <w:szCs w:val="20"/>
              </w:rPr>
            </w:pPr>
            <w:r w:rsidRPr="00351644">
              <w:rPr>
                <w:b/>
                <w:bCs/>
                <w:color w:val="000000" w:themeColor="text1"/>
                <w:sz w:val="20"/>
                <w:szCs w:val="20"/>
              </w:rPr>
              <w:t>Longitudinal Sustainability Analysis</w:t>
            </w:r>
          </w:p>
        </w:tc>
        <w:tc>
          <w:tcPr>
            <w:tcW w:w="2567" w:type="dxa"/>
            <w:tcBorders>
              <w:top w:val="nil"/>
              <w:left w:val="nil"/>
              <w:bottom w:val="single" w:sz="4" w:space="0" w:color="auto"/>
              <w:right w:val="single" w:sz="4" w:space="0" w:color="auto"/>
            </w:tcBorders>
            <w:vAlign w:val="center"/>
            <w:hideMark/>
          </w:tcPr>
          <w:p w14:paraId="24B730E7" w14:textId="77777777" w:rsidR="008D4508" w:rsidRPr="00351644" w:rsidRDefault="008D4508" w:rsidP="00B451D7">
            <w:pPr>
              <w:rPr>
                <w:color w:val="000000" w:themeColor="text1"/>
                <w:sz w:val="20"/>
                <w:szCs w:val="20"/>
              </w:rPr>
            </w:pPr>
            <w:r w:rsidRPr="00351644">
              <w:rPr>
                <w:color w:val="000000" w:themeColor="text1"/>
                <w:sz w:val="20"/>
                <w:szCs w:val="20"/>
              </w:rPr>
              <w:t>Cross-sectional studies dominate; few track same participants/positions over extended periods to assess sustainability</w:t>
            </w:r>
          </w:p>
        </w:tc>
        <w:tc>
          <w:tcPr>
            <w:tcW w:w="2340" w:type="dxa"/>
            <w:tcBorders>
              <w:top w:val="nil"/>
              <w:left w:val="nil"/>
              <w:bottom w:val="single" w:sz="4" w:space="0" w:color="auto"/>
              <w:right w:val="single" w:sz="4" w:space="0" w:color="auto"/>
            </w:tcBorders>
            <w:vAlign w:val="center"/>
            <w:hideMark/>
          </w:tcPr>
          <w:p w14:paraId="22DBE49D" w14:textId="77777777" w:rsidR="008D4508" w:rsidRPr="00351644" w:rsidRDefault="008D4508" w:rsidP="00B451D7">
            <w:pPr>
              <w:rPr>
                <w:color w:val="000000" w:themeColor="text1"/>
                <w:sz w:val="20"/>
                <w:szCs w:val="20"/>
              </w:rPr>
            </w:pPr>
            <w:r w:rsidRPr="00351644">
              <w:rPr>
                <w:color w:val="000000" w:themeColor="text1"/>
                <w:sz w:val="20"/>
                <w:szCs w:val="20"/>
              </w:rPr>
              <w:t>RQ4: How do regulatory developments and market maturation affect long-term viability?</w:t>
            </w:r>
          </w:p>
        </w:tc>
        <w:tc>
          <w:tcPr>
            <w:tcW w:w="2520" w:type="dxa"/>
            <w:tcBorders>
              <w:top w:val="nil"/>
              <w:left w:val="nil"/>
              <w:bottom w:val="single" w:sz="4" w:space="0" w:color="auto"/>
              <w:right w:val="single" w:sz="8" w:space="0" w:color="auto"/>
            </w:tcBorders>
            <w:vAlign w:val="center"/>
            <w:hideMark/>
          </w:tcPr>
          <w:p w14:paraId="68DE1494" w14:textId="77777777" w:rsidR="008D4508" w:rsidRPr="00351644" w:rsidRDefault="008D4508" w:rsidP="00B451D7">
            <w:pPr>
              <w:rPr>
                <w:color w:val="000000" w:themeColor="text1"/>
                <w:sz w:val="20"/>
                <w:szCs w:val="20"/>
              </w:rPr>
            </w:pPr>
            <w:r w:rsidRPr="00351644">
              <w:rPr>
                <w:color w:val="000000" w:themeColor="text1"/>
                <w:sz w:val="20"/>
                <w:szCs w:val="20"/>
              </w:rPr>
              <w:t>90+ day minimum tracking period; 18 positions tracked &gt;365 days; temporal analysis of opportunity compression (2020-2024)</w:t>
            </w:r>
          </w:p>
        </w:tc>
      </w:tr>
      <w:tr w:rsidR="00351644" w:rsidRPr="00351644" w14:paraId="34ECC68B" w14:textId="77777777" w:rsidTr="00300B31">
        <w:trPr>
          <w:trHeight w:val="647"/>
        </w:trPr>
        <w:tc>
          <w:tcPr>
            <w:tcW w:w="1923"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63E929DF" w14:textId="77777777" w:rsidR="008D4508" w:rsidRPr="00351644" w:rsidRDefault="008D4508" w:rsidP="00B451D7">
            <w:pPr>
              <w:rPr>
                <w:b/>
                <w:bCs/>
                <w:color w:val="000000" w:themeColor="text1"/>
                <w:sz w:val="20"/>
                <w:szCs w:val="20"/>
              </w:rPr>
            </w:pPr>
            <w:r w:rsidRPr="00351644">
              <w:rPr>
                <w:b/>
                <w:bCs/>
                <w:color w:val="000000" w:themeColor="text1"/>
                <w:sz w:val="20"/>
                <w:szCs w:val="20"/>
              </w:rPr>
              <w:t>Network-Specific Economics</w:t>
            </w:r>
          </w:p>
        </w:tc>
        <w:tc>
          <w:tcPr>
            <w:tcW w:w="2567" w:type="dxa"/>
            <w:tcBorders>
              <w:top w:val="nil"/>
              <w:left w:val="nil"/>
              <w:bottom w:val="single" w:sz="4" w:space="0" w:color="auto"/>
              <w:right w:val="single" w:sz="4" w:space="0" w:color="auto"/>
            </w:tcBorders>
            <w:vAlign w:val="center"/>
            <w:hideMark/>
          </w:tcPr>
          <w:p w14:paraId="02F83C96" w14:textId="77777777" w:rsidR="008D4508" w:rsidRPr="00351644" w:rsidRDefault="008D4508" w:rsidP="00B451D7">
            <w:pPr>
              <w:rPr>
                <w:color w:val="000000" w:themeColor="text1"/>
                <w:sz w:val="20"/>
                <w:szCs w:val="20"/>
              </w:rPr>
            </w:pPr>
            <w:r w:rsidRPr="00351644">
              <w:rPr>
                <w:color w:val="000000" w:themeColor="text1"/>
                <w:sz w:val="20"/>
                <w:szCs w:val="20"/>
              </w:rPr>
              <w:t xml:space="preserve">Research typically focuses on Ethereum </w:t>
            </w:r>
            <w:proofErr w:type="spellStart"/>
            <w:r w:rsidRPr="00351644">
              <w:rPr>
                <w:color w:val="000000" w:themeColor="text1"/>
                <w:sz w:val="20"/>
                <w:szCs w:val="20"/>
              </w:rPr>
              <w:t>mainnet</w:t>
            </w:r>
            <w:proofErr w:type="spellEnd"/>
            <w:r w:rsidRPr="00351644">
              <w:rPr>
                <w:color w:val="000000" w:themeColor="text1"/>
                <w:sz w:val="20"/>
                <w:szCs w:val="20"/>
              </w:rPr>
              <w:t>; limited comparative analysis across L1/L2/alternative chains</w:t>
            </w:r>
          </w:p>
        </w:tc>
        <w:tc>
          <w:tcPr>
            <w:tcW w:w="2340" w:type="dxa"/>
            <w:tcBorders>
              <w:top w:val="nil"/>
              <w:left w:val="nil"/>
              <w:bottom w:val="single" w:sz="4" w:space="0" w:color="auto"/>
              <w:right w:val="single" w:sz="4" w:space="0" w:color="auto"/>
            </w:tcBorders>
            <w:vAlign w:val="center"/>
            <w:hideMark/>
          </w:tcPr>
          <w:p w14:paraId="0839018A" w14:textId="77777777" w:rsidR="008D4508" w:rsidRPr="00351644" w:rsidRDefault="008D4508" w:rsidP="00B451D7">
            <w:pPr>
              <w:rPr>
                <w:color w:val="000000" w:themeColor="text1"/>
                <w:sz w:val="20"/>
                <w:szCs w:val="20"/>
              </w:rPr>
            </w:pPr>
            <w:r w:rsidRPr="00351644">
              <w:rPr>
                <w:color w:val="000000" w:themeColor="text1"/>
                <w:sz w:val="20"/>
                <w:szCs w:val="20"/>
              </w:rPr>
              <w:t>RQ1, RQ3: Network-specific capital requirements and strategy viability</w:t>
            </w:r>
          </w:p>
        </w:tc>
        <w:tc>
          <w:tcPr>
            <w:tcW w:w="2520" w:type="dxa"/>
            <w:tcBorders>
              <w:top w:val="nil"/>
              <w:left w:val="nil"/>
              <w:bottom w:val="single" w:sz="4" w:space="0" w:color="auto"/>
              <w:right w:val="single" w:sz="8" w:space="0" w:color="auto"/>
            </w:tcBorders>
            <w:vAlign w:val="center"/>
            <w:hideMark/>
          </w:tcPr>
          <w:p w14:paraId="0DFCC3B6" w14:textId="77777777" w:rsidR="008D4508" w:rsidRPr="00351644" w:rsidRDefault="008D4508" w:rsidP="00B451D7">
            <w:pPr>
              <w:rPr>
                <w:color w:val="000000" w:themeColor="text1"/>
                <w:sz w:val="20"/>
                <w:szCs w:val="20"/>
              </w:rPr>
            </w:pPr>
            <w:r w:rsidRPr="00351644">
              <w:rPr>
                <w:color w:val="000000" w:themeColor="text1"/>
                <w:sz w:val="20"/>
                <w:szCs w:val="20"/>
              </w:rPr>
              <w:t xml:space="preserve">Multi-chain sampling: Ethereum, </w:t>
            </w:r>
            <w:proofErr w:type="spellStart"/>
            <w:r w:rsidRPr="00351644">
              <w:rPr>
                <w:color w:val="000000" w:themeColor="text1"/>
                <w:sz w:val="20"/>
                <w:szCs w:val="20"/>
              </w:rPr>
              <w:t>Arbitrum</w:t>
            </w:r>
            <w:proofErr w:type="spellEnd"/>
            <w:r w:rsidRPr="00351644">
              <w:rPr>
                <w:color w:val="000000" w:themeColor="text1"/>
                <w:sz w:val="20"/>
                <w:szCs w:val="20"/>
              </w:rPr>
              <w:t>, Optimism, Polygon, BSC, Solana; network viability thresholds: $25K (ETH), $3.5K (L2), $750 (Polygon)</w:t>
            </w:r>
          </w:p>
        </w:tc>
      </w:tr>
      <w:tr w:rsidR="00351644" w:rsidRPr="00351644" w14:paraId="2E7C33C4" w14:textId="77777777" w:rsidTr="00300B31">
        <w:trPr>
          <w:trHeight w:val="74"/>
        </w:trPr>
        <w:tc>
          <w:tcPr>
            <w:tcW w:w="1923"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7A899E3E" w14:textId="77777777" w:rsidR="008D4508" w:rsidRPr="00351644" w:rsidRDefault="008D4508" w:rsidP="00B451D7">
            <w:pPr>
              <w:rPr>
                <w:b/>
                <w:bCs/>
                <w:color w:val="000000" w:themeColor="text1"/>
                <w:sz w:val="20"/>
                <w:szCs w:val="20"/>
              </w:rPr>
            </w:pPr>
            <w:r w:rsidRPr="00351644">
              <w:rPr>
                <w:b/>
                <w:bCs/>
                <w:color w:val="000000" w:themeColor="text1"/>
                <w:sz w:val="20"/>
                <w:szCs w:val="20"/>
              </w:rPr>
              <w:t>Failure Documentation</w:t>
            </w:r>
          </w:p>
        </w:tc>
        <w:tc>
          <w:tcPr>
            <w:tcW w:w="2567" w:type="dxa"/>
            <w:tcBorders>
              <w:top w:val="nil"/>
              <w:left w:val="nil"/>
              <w:bottom w:val="single" w:sz="4" w:space="0" w:color="auto"/>
              <w:right w:val="single" w:sz="4" w:space="0" w:color="auto"/>
            </w:tcBorders>
            <w:vAlign w:val="center"/>
            <w:hideMark/>
          </w:tcPr>
          <w:p w14:paraId="0C88AD9F" w14:textId="3EAAB22E" w:rsidR="008D4508" w:rsidRPr="00351644" w:rsidRDefault="008D4508" w:rsidP="00B451D7">
            <w:pPr>
              <w:rPr>
                <w:color w:val="000000" w:themeColor="text1"/>
                <w:sz w:val="20"/>
                <w:szCs w:val="20"/>
              </w:rPr>
            </w:pPr>
            <w:r w:rsidRPr="00351644">
              <w:rPr>
                <w:color w:val="000000" w:themeColor="text1"/>
                <w:sz w:val="20"/>
                <w:szCs w:val="20"/>
              </w:rPr>
              <w:t>Survivorship bias pervades literature; successful protocols/strategies overrepresented; failure mechanisms under analyzed</w:t>
            </w:r>
          </w:p>
        </w:tc>
        <w:tc>
          <w:tcPr>
            <w:tcW w:w="2340" w:type="dxa"/>
            <w:tcBorders>
              <w:top w:val="nil"/>
              <w:left w:val="nil"/>
              <w:bottom w:val="single" w:sz="4" w:space="0" w:color="auto"/>
              <w:right w:val="single" w:sz="4" w:space="0" w:color="auto"/>
            </w:tcBorders>
            <w:vAlign w:val="center"/>
            <w:hideMark/>
          </w:tcPr>
          <w:p w14:paraId="727956A5" w14:textId="77777777" w:rsidR="008D4508" w:rsidRPr="00351644" w:rsidRDefault="008D4508" w:rsidP="00B451D7">
            <w:pPr>
              <w:rPr>
                <w:color w:val="000000" w:themeColor="text1"/>
                <w:sz w:val="20"/>
                <w:szCs w:val="20"/>
              </w:rPr>
            </w:pPr>
            <w:r w:rsidRPr="00351644">
              <w:rPr>
                <w:color w:val="000000" w:themeColor="text1"/>
                <w:sz w:val="20"/>
                <w:szCs w:val="20"/>
              </w:rPr>
              <w:t>All RQs; dissertation-wide focus on failures</w:t>
            </w:r>
          </w:p>
        </w:tc>
        <w:tc>
          <w:tcPr>
            <w:tcW w:w="2520" w:type="dxa"/>
            <w:tcBorders>
              <w:top w:val="nil"/>
              <w:left w:val="nil"/>
              <w:bottom w:val="single" w:sz="4" w:space="0" w:color="auto"/>
              <w:right w:val="single" w:sz="8" w:space="0" w:color="auto"/>
            </w:tcBorders>
            <w:vAlign w:val="center"/>
            <w:hideMark/>
          </w:tcPr>
          <w:p w14:paraId="33FDE663" w14:textId="77777777" w:rsidR="008D4508" w:rsidRPr="00351644" w:rsidRDefault="008D4508" w:rsidP="00B451D7">
            <w:pPr>
              <w:rPr>
                <w:color w:val="000000" w:themeColor="text1"/>
                <w:sz w:val="20"/>
                <w:szCs w:val="20"/>
              </w:rPr>
            </w:pPr>
            <w:r w:rsidRPr="00351644">
              <w:rPr>
                <w:color w:val="000000" w:themeColor="text1"/>
                <w:sz w:val="20"/>
                <w:szCs w:val="20"/>
              </w:rPr>
              <w:t>Purposive sampling including failed positions; 73% (95% CI: 65%-80%; accounting for survivorship bias: likely 73-90%) unprofitability rate; failure mechanism taxonomy in Chapter 7</w:t>
            </w:r>
          </w:p>
        </w:tc>
      </w:tr>
      <w:tr w:rsidR="00351644" w:rsidRPr="00351644" w14:paraId="7C8AB903" w14:textId="77777777" w:rsidTr="00300B31">
        <w:trPr>
          <w:trHeight w:val="980"/>
        </w:trPr>
        <w:tc>
          <w:tcPr>
            <w:tcW w:w="1923"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6DDAAAD6" w14:textId="77777777" w:rsidR="008D4508" w:rsidRPr="00351644" w:rsidRDefault="008D4508" w:rsidP="00B451D7">
            <w:pPr>
              <w:rPr>
                <w:b/>
                <w:bCs/>
                <w:color w:val="000000" w:themeColor="text1"/>
                <w:sz w:val="20"/>
                <w:szCs w:val="20"/>
              </w:rPr>
            </w:pPr>
            <w:r w:rsidRPr="00351644">
              <w:rPr>
                <w:b/>
                <w:bCs/>
                <w:color w:val="000000" w:themeColor="text1"/>
                <w:sz w:val="20"/>
                <w:szCs w:val="20"/>
              </w:rPr>
              <w:t>Risk Interaction Effects</w:t>
            </w:r>
          </w:p>
        </w:tc>
        <w:tc>
          <w:tcPr>
            <w:tcW w:w="2567" w:type="dxa"/>
            <w:tcBorders>
              <w:top w:val="nil"/>
              <w:left w:val="nil"/>
              <w:bottom w:val="single" w:sz="4" w:space="0" w:color="auto"/>
              <w:right w:val="single" w:sz="4" w:space="0" w:color="auto"/>
            </w:tcBorders>
            <w:vAlign w:val="center"/>
            <w:hideMark/>
          </w:tcPr>
          <w:p w14:paraId="78D8BC44" w14:textId="77777777" w:rsidR="008D4508" w:rsidRPr="00351644" w:rsidRDefault="008D4508" w:rsidP="00B451D7">
            <w:pPr>
              <w:rPr>
                <w:color w:val="000000" w:themeColor="text1"/>
                <w:sz w:val="20"/>
                <w:szCs w:val="20"/>
              </w:rPr>
            </w:pPr>
            <w:r w:rsidRPr="00351644">
              <w:rPr>
                <w:color w:val="000000" w:themeColor="text1"/>
                <w:sz w:val="20"/>
                <w:szCs w:val="20"/>
              </w:rPr>
              <w:t>Risks treated independently (technical, market, regulatory); interaction and correlation effects during stress underexplored</w:t>
            </w:r>
          </w:p>
        </w:tc>
        <w:tc>
          <w:tcPr>
            <w:tcW w:w="2340" w:type="dxa"/>
            <w:tcBorders>
              <w:top w:val="nil"/>
              <w:left w:val="nil"/>
              <w:bottom w:val="single" w:sz="4" w:space="0" w:color="auto"/>
              <w:right w:val="single" w:sz="4" w:space="0" w:color="auto"/>
            </w:tcBorders>
            <w:vAlign w:val="center"/>
            <w:hideMark/>
          </w:tcPr>
          <w:p w14:paraId="2DBB6587" w14:textId="77777777" w:rsidR="008D4508" w:rsidRPr="00351644" w:rsidRDefault="008D4508" w:rsidP="00B451D7">
            <w:pPr>
              <w:rPr>
                <w:color w:val="000000" w:themeColor="text1"/>
                <w:sz w:val="20"/>
                <w:szCs w:val="20"/>
              </w:rPr>
            </w:pPr>
            <w:r w:rsidRPr="00351644">
              <w:rPr>
                <w:color w:val="000000" w:themeColor="text1"/>
                <w:sz w:val="20"/>
                <w:szCs w:val="20"/>
              </w:rPr>
              <w:t>RQ3: What risks pose existential threats versus manageable risks, and how do these risks interact?</w:t>
            </w:r>
          </w:p>
        </w:tc>
        <w:tc>
          <w:tcPr>
            <w:tcW w:w="2520" w:type="dxa"/>
            <w:tcBorders>
              <w:top w:val="nil"/>
              <w:left w:val="nil"/>
              <w:bottom w:val="single" w:sz="4" w:space="0" w:color="auto"/>
              <w:right w:val="single" w:sz="8" w:space="0" w:color="auto"/>
            </w:tcBorders>
            <w:vAlign w:val="center"/>
            <w:hideMark/>
          </w:tcPr>
          <w:p w14:paraId="0932CA62" w14:textId="77777777" w:rsidR="008D4508" w:rsidRPr="00351644" w:rsidRDefault="008D4508" w:rsidP="00B451D7">
            <w:pPr>
              <w:rPr>
                <w:color w:val="000000" w:themeColor="text1"/>
                <w:sz w:val="20"/>
                <w:szCs w:val="20"/>
              </w:rPr>
            </w:pPr>
            <w:r w:rsidRPr="00351644">
              <w:rPr>
                <w:color w:val="000000" w:themeColor="text1"/>
                <w:sz w:val="20"/>
                <w:szCs w:val="20"/>
              </w:rPr>
              <w:t xml:space="preserve">Survival analysis with temporal clustering; Terra/Luna case study documenting contagion; 35-45% annual loss probability </w:t>
            </w:r>
            <w:r w:rsidRPr="00351644">
              <w:rPr>
                <w:color w:val="000000" w:themeColor="text1"/>
                <w:sz w:val="20"/>
                <w:szCs w:val="20"/>
              </w:rPr>
              <w:lastRenderedPageBreak/>
              <w:t>from 12.2% quarterly incident rate</w:t>
            </w:r>
          </w:p>
        </w:tc>
      </w:tr>
      <w:tr w:rsidR="00351644" w:rsidRPr="00351644" w14:paraId="0369BEAE" w14:textId="77777777" w:rsidTr="00300B31">
        <w:trPr>
          <w:trHeight w:val="74"/>
        </w:trPr>
        <w:tc>
          <w:tcPr>
            <w:tcW w:w="1923"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70E896C2" w14:textId="77777777" w:rsidR="008D4508" w:rsidRPr="00351644" w:rsidRDefault="008D4508" w:rsidP="00B451D7">
            <w:pPr>
              <w:rPr>
                <w:b/>
                <w:bCs/>
                <w:color w:val="000000" w:themeColor="text1"/>
                <w:sz w:val="20"/>
                <w:szCs w:val="20"/>
              </w:rPr>
            </w:pPr>
            <w:proofErr w:type="gramStart"/>
            <w:r w:rsidRPr="00351644">
              <w:rPr>
                <w:b/>
                <w:bCs/>
                <w:color w:val="000000" w:themeColor="text1"/>
                <w:sz w:val="20"/>
                <w:szCs w:val="20"/>
              </w:rPr>
              <w:lastRenderedPageBreak/>
              <w:t>Implementation</w:t>
            </w:r>
            <w:proofErr w:type="gramEnd"/>
            <w:r w:rsidRPr="00351644">
              <w:rPr>
                <w:b/>
                <w:bCs/>
                <w:color w:val="000000" w:themeColor="text1"/>
                <w:sz w:val="20"/>
                <w:szCs w:val="20"/>
              </w:rPr>
              <w:t xml:space="preserve"> Guidance Gap</w:t>
            </w:r>
          </w:p>
        </w:tc>
        <w:tc>
          <w:tcPr>
            <w:tcW w:w="2567" w:type="dxa"/>
            <w:tcBorders>
              <w:top w:val="nil"/>
              <w:left w:val="nil"/>
              <w:bottom w:val="single" w:sz="8" w:space="0" w:color="auto"/>
              <w:right w:val="single" w:sz="4" w:space="0" w:color="auto"/>
            </w:tcBorders>
            <w:vAlign w:val="center"/>
            <w:hideMark/>
          </w:tcPr>
          <w:p w14:paraId="25EC7542" w14:textId="77777777" w:rsidR="008D4508" w:rsidRPr="00351644" w:rsidRDefault="008D4508" w:rsidP="00B451D7">
            <w:pPr>
              <w:rPr>
                <w:color w:val="000000" w:themeColor="text1"/>
                <w:sz w:val="20"/>
                <w:szCs w:val="20"/>
              </w:rPr>
            </w:pPr>
            <w:r w:rsidRPr="00351644">
              <w:rPr>
                <w:color w:val="000000" w:themeColor="text1"/>
                <w:sz w:val="20"/>
                <w:szCs w:val="20"/>
              </w:rPr>
              <w:t>Theoretical frameworks abundant; practical implementation guidance for actual participants absent</w:t>
            </w:r>
          </w:p>
        </w:tc>
        <w:tc>
          <w:tcPr>
            <w:tcW w:w="2340" w:type="dxa"/>
            <w:tcBorders>
              <w:top w:val="nil"/>
              <w:left w:val="nil"/>
              <w:bottom w:val="single" w:sz="8" w:space="0" w:color="auto"/>
              <w:right w:val="single" w:sz="4" w:space="0" w:color="auto"/>
            </w:tcBorders>
            <w:vAlign w:val="center"/>
            <w:hideMark/>
          </w:tcPr>
          <w:p w14:paraId="7B5B244A" w14:textId="77777777" w:rsidR="008D4508" w:rsidRPr="00351644" w:rsidRDefault="008D4508" w:rsidP="00B451D7">
            <w:pPr>
              <w:rPr>
                <w:color w:val="000000" w:themeColor="text1"/>
                <w:sz w:val="20"/>
                <w:szCs w:val="20"/>
              </w:rPr>
            </w:pPr>
            <w:r w:rsidRPr="00351644">
              <w:rPr>
                <w:color w:val="000000" w:themeColor="text1"/>
                <w:sz w:val="20"/>
                <w:szCs w:val="20"/>
              </w:rPr>
              <w:t>RQ1-RQ4 synthesis into actionable guidance</w:t>
            </w:r>
          </w:p>
        </w:tc>
        <w:tc>
          <w:tcPr>
            <w:tcW w:w="2520" w:type="dxa"/>
            <w:tcBorders>
              <w:top w:val="nil"/>
              <w:left w:val="nil"/>
              <w:bottom w:val="single" w:sz="8" w:space="0" w:color="auto"/>
              <w:right w:val="single" w:sz="8" w:space="0" w:color="auto"/>
            </w:tcBorders>
            <w:vAlign w:val="center"/>
            <w:hideMark/>
          </w:tcPr>
          <w:p w14:paraId="728C1760" w14:textId="77777777" w:rsidR="008D4508" w:rsidRPr="00351644" w:rsidRDefault="008D4508" w:rsidP="00B451D7">
            <w:pPr>
              <w:rPr>
                <w:color w:val="000000" w:themeColor="text1"/>
                <w:sz w:val="20"/>
                <w:szCs w:val="20"/>
              </w:rPr>
            </w:pPr>
            <w:r w:rsidRPr="00351644">
              <w:rPr>
                <w:color w:val="000000" w:themeColor="text1"/>
                <w:sz w:val="20"/>
                <w:szCs w:val="20"/>
              </w:rPr>
              <w:t>Chapter 10 implementation frameworks; decision trees by capital level; strategy-resource matching matrices; explicit viability thresholds</w:t>
            </w:r>
          </w:p>
        </w:tc>
      </w:tr>
    </w:tbl>
    <w:p w14:paraId="00E0F63D" w14:textId="77777777" w:rsidR="00F5115B" w:rsidRDefault="00F5115B" w:rsidP="00B451D7">
      <w:pPr>
        <w:jc w:val="both"/>
        <w:rPr>
          <w:rFonts w:eastAsiaTheme="majorEastAsia"/>
          <w:b/>
          <w:bCs/>
          <w:i/>
          <w:iCs/>
          <w:color w:val="000000" w:themeColor="text1"/>
        </w:rPr>
      </w:pPr>
    </w:p>
    <w:p w14:paraId="46C11B4E" w14:textId="37883EE0" w:rsidR="0095526E" w:rsidRPr="00956B88" w:rsidRDefault="00957364" w:rsidP="00B451D7">
      <w:pPr>
        <w:jc w:val="both"/>
        <w:rPr>
          <w:rFonts w:eastAsiaTheme="majorEastAsia"/>
          <w:i/>
          <w:iCs/>
          <w:color w:val="000000" w:themeColor="text1"/>
        </w:rPr>
      </w:pPr>
      <w:r w:rsidRPr="00F5115B">
        <w:rPr>
          <w:rFonts w:eastAsiaTheme="majorEastAsia"/>
          <w:color w:val="000000" w:themeColor="text1"/>
        </w:rPr>
        <w:t xml:space="preserve">This mapping shows a systematic pattern in </w:t>
      </w:r>
      <w:r w:rsidR="009B159C" w:rsidRPr="00F5115B">
        <w:rPr>
          <w:rFonts w:eastAsiaTheme="majorEastAsia"/>
          <w:color w:val="000000" w:themeColor="text1"/>
        </w:rPr>
        <w:t>the</w:t>
      </w:r>
      <w:r w:rsidRPr="00F5115B">
        <w:rPr>
          <w:rFonts w:eastAsiaTheme="majorEastAsia"/>
          <w:color w:val="000000" w:themeColor="text1"/>
        </w:rPr>
        <w:t xml:space="preserve"> DeFi literature. This is especially visible as focus is primarily on protocol architecture, aggregate market metrics, and theoretical democratization. Existing claims are prioritized over micro-level economics, which determines whether individual participants profit. Existing studies also show that protocols accept $10 deposits and that 73-81% of retail investors lose money, but no research identified explains why low minimums translate to large effective barriers around profitability. The existing literature frequently discusses behavioral biases that influence participation decisions, but rarely does it link them to financial outcomes or failure mechanisms. The academic studies do not evaluate the time commitment required, even if marketing and academic conversations use "passive income" terminology. This dissertation fills these gaps by tracking costs at different investment levels, monitoring results over time during market ups and downs and combining behavioral factors with their economic effects</w:t>
      </w:r>
      <w:r w:rsidR="00A179DB" w:rsidRPr="00F5115B">
        <w:rPr>
          <w:rFonts w:eastAsiaTheme="majorEastAsia"/>
          <w:color w:val="000000" w:themeColor="text1"/>
        </w:rPr>
        <w:t>.</w:t>
      </w:r>
    </w:p>
    <w:p w14:paraId="12536EB0" w14:textId="77777777" w:rsidR="00D15BFF" w:rsidRPr="003C66A0" w:rsidRDefault="00D15BFF" w:rsidP="00B451D7">
      <w:pPr>
        <w:jc w:val="both"/>
        <w:rPr>
          <w:rFonts w:eastAsiaTheme="majorEastAsia"/>
          <w:color w:val="000000" w:themeColor="text1"/>
        </w:rPr>
      </w:pPr>
    </w:p>
    <w:p w14:paraId="657F6D4B" w14:textId="77777777" w:rsidR="00F01F60" w:rsidRPr="003C66A0" w:rsidRDefault="00F01F60" w:rsidP="00B451D7">
      <w:pPr>
        <w:pStyle w:val="Heading2"/>
        <w:rPr>
          <w:rFonts w:eastAsiaTheme="majorEastAsia"/>
        </w:rPr>
      </w:pPr>
      <w:bookmarkStart w:id="40" w:name="_Toc214721846"/>
      <w:r w:rsidRPr="003C66A0">
        <w:rPr>
          <w:rFonts w:eastAsiaTheme="majorEastAsia"/>
        </w:rPr>
        <w:t>2.7 Theoretical Frameworks for Understanding DeFi Participation</w:t>
      </w:r>
      <w:bookmarkEnd w:id="40"/>
    </w:p>
    <w:p w14:paraId="0E98BD64" w14:textId="4E235374" w:rsidR="00894416" w:rsidRPr="00956B88" w:rsidRDefault="00894416" w:rsidP="00B451D7">
      <w:pPr>
        <w:jc w:val="both"/>
        <w:rPr>
          <w:rFonts w:eastAsiaTheme="majorEastAsia"/>
          <w:color w:val="000000" w:themeColor="text1"/>
        </w:rPr>
      </w:pPr>
      <w:r w:rsidRPr="00956B88">
        <w:rPr>
          <w:rFonts w:eastAsiaTheme="majorEastAsia"/>
          <w:color w:val="000000" w:themeColor="text1"/>
        </w:rPr>
        <w:t>Anti-inductive market theory, originating from algorithmic trading research (Farmer &amp; Skouras, 2013), posits that profitable trading strategies contain the seeds of their own destruction: as more participants identify and exploit market inefficiencies, those very inefficiencies disappear through competitive pressure. The framework derives its name from the logical impossibility of publicly known profitable strategies persisting—if a strategy's profitability were common knowledge, rational actors would deploy it until arbitrage eliminated the opportunity. This theoretical lens proves particularly relevant to DeFi because information transparency (via blockchain observability) and strategy composability (via fork-able smart contracts) dramatically accelerate the anti-inductive cycle compared to traditional markets. Although not formally articulated in academic literature concerning DeFi, this framework may elucidate the rapid compression of yield farming returns documented by Chen et al. (2023)—where APYs declined from 1000%+ to 5-20% within six months—and the failure of initially successful strategies as they gain popularity and become widely replicated.</w:t>
      </w:r>
    </w:p>
    <w:p w14:paraId="7C07B55A" w14:textId="77777777" w:rsidR="00894416" w:rsidRDefault="00894416" w:rsidP="00B451D7">
      <w:pPr>
        <w:jc w:val="both"/>
        <w:rPr>
          <w:rFonts w:eastAsiaTheme="majorEastAsia"/>
          <w:color w:val="000000" w:themeColor="text1"/>
        </w:rPr>
      </w:pPr>
    </w:p>
    <w:p w14:paraId="7BDCA6F9" w14:textId="4C706327" w:rsidR="00FB59FA" w:rsidRPr="003C66A0" w:rsidRDefault="00FB59FA" w:rsidP="00B451D7">
      <w:pPr>
        <w:jc w:val="both"/>
        <w:rPr>
          <w:rFonts w:eastAsiaTheme="majorEastAsia"/>
          <w:color w:val="000000" w:themeColor="text1"/>
        </w:rPr>
      </w:pPr>
      <w:r w:rsidRPr="003C66A0">
        <w:rPr>
          <w:rFonts w:eastAsiaTheme="majorEastAsia"/>
          <w:color w:val="000000" w:themeColor="text1"/>
        </w:rPr>
        <w:t xml:space="preserve">Rogers' </w:t>
      </w:r>
      <w:r w:rsidR="00EA6176">
        <w:rPr>
          <w:rFonts w:eastAsiaTheme="majorEastAsia"/>
          <w:color w:val="000000" w:themeColor="text1"/>
        </w:rPr>
        <w:t xml:space="preserve">(2023) </w:t>
      </w:r>
      <w:r w:rsidRPr="003C66A0">
        <w:rPr>
          <w:rFonts w:eastAsiaTheme="majorEastAsia"/>
          <w:color w:val="000000" w:themeColor="text1"/>
        </w:rPr>
        <w:t xml:space="preserve">diffusion theory's innovation adoption lifecycle could also help us understand how DeFi opportunities change as </w:t>
      </w:r>
      <w:proofErr w:type="gramStart"/>
      <w:r w:rsidRPr="003C66A0">
        <w:rPr>
          <w:rFonts w:eastAsiaTheme="majorEastAsia"/>
          <w:color w:val="000000" w:themeColor="text1"/>
        </w:rPr>
        <w:t>more and more</w:t>
      </w:r>
      <w:proofErr w:type="gramEnd"/>
      <w:r w:rsidRPr="003C66A0">
        <w:rPr>
          <w:rFonts w:eastAsiaTheme="majorEastAsia"/>
          <w:color w:val="000000" w:themeColor="text1"/>
        </w:rPr>
        <w:t xml:space="preserve"> people use them, starting with innovators and going to early adopters and then to regular users.</w:t>
      </w:r>
    </w:p>
    <w:p w14:paraId="7192F3BF" w14:textId="77777777" w:rsidR="00FB59FA" w:rsidRPr="003C66A0" w:rsidRDefault="00FB59FA" w:rsidP="00B451D7">
      <w:pPr>
        <w:jc w:val="both"/>
        <w:rPr>
          <w:rFonts w:eastAsiaTheme="majorEastAsia"/>
          <w:color w:val="000000" w:themeColor="text1"/>
        </w:rPr>
      </w:pPr>
    </w:p>
    <w:p w14:paraId="2D9DE2C5" w14:textId="5A02B74D" w:rsidR="00FB59FA" w:rsidRPr="003C66A0" w:rsidRDefault="00FB59FA" w:rsidP="00B451D7">
      <w:pPr>
        <w:jc w:val="both"/>
        <w:rPr>
          <w:rFonts w:eastAsiaTheme="majorEastAsia"/>
          <w:color w:val="000000" w:themeColor="text1"/>
        </w:rPr>
      </w:pPr>
      <w:r w:rsidRPr="003C66A0">
        <w:rPr>
          <w:rFonts w:eastAsiaTheme="majorEastAsia"/>
          <w:color w:val="000000" w:themeColor="text1"/>
        </w:rPr>
        <w:t xml:space="preserve">Transaction cost economics, developed by Williamson </w:t>
      </w:r>
      <w:r w:rsidR="004D4951">
        <w:rPr>
          <w:rFonts w:eastAsiaTheme="majorEastAsia"/>
          <w:color w:val="000000" w:themeColor="text1"/>
        </w:rPr>
        <w:t>(1985)</w:t>
      </w:r>
      <w:r w:rsidRPr="003C66A0">
        <w:rPr>
          <w:rFonts w:eastAsiaTheme="majorEastAsia"/>
          <w:color w:val="000000" w:themeColor="text1"/>
        </w:rPr>
        <w:t xml:space="preserve">, provides another underutilized lens. DeFi supposedly reduces transaction costs by eliminating intermediaries, but it might simply transform them into different types of costs - gas fees, impermanent loss, time investment, technical complexity. A systematic application of transaction cost analysis could reveal whether DeFi </w:t>
      </w:r>
      <w:proofErr w:type="gramStart"/>
      <w:r w:rsidRPr="003C66A0">
        <w:rPr>
          <w:rFonts w:eastAsiaTheme="majorEastAsia"/>
          <w:color w:val="000000" w:themeColor="text1"/>
        </w:rPr>
        <w:t>actually reduces</w:t>
      </w:r>
      <w:proofErr w:type="gramEnd"/>
      <w:r w:rsidRPr="003C66A0">
        <w:rPr>
          <w:rFonts w:eastAsiaTheme="majorEastAsia"/>
          <w:color w:val="000000" w:themeColor="text1"/>
        </w:rPr>
        <w:t xml:space="preserve"> total costs or just reshuffles them.</w:t>
      </w:r>
    </w:p>
    <w:p w14:paraId="1D116720" w14:textId="77777777" w:rsidR="00FB59FA" w:rsidRPr="003C66A0" w:rsidRDefault="00FB59FA" w:rsidP="00B451D7">
      <w:pPr>
        <w:jc w:val="both"/>
        <w:rPr>
          <w:rFonts w:eastAsiaTheme="majorEastAsia"/>
          <w:color w:val="000000" w:themeColor="text1"/>
        </w:rPr>
      </w:pPr>
      <w:r w:rsidRPr="003C66A0">
        <w:rPr>
          <w:rFonts w:eastAsiaTheme="majorEastAsia"/>
          <w:color w:val="000000" w:themeColor="text1"/>
        </w:rPr>
        <w:t> </w:t>
      </w:r>
    </w:p>
    <w:p w14:paraId="3FADFC02" w14:textId="77777777" w:rsidR="00FB59FA" w:rsidRPr="003C66A0" w:rsidRDefault="00FB59FA" w:rsidP="00B451D7">
      <w:pPr>
        <w:jc w:val="both"/>
        <w:rPr>
          <w:rFonts w:eastAsiaTheme="majorEastAsia"/>
          <w:color w:val="000000" w:themeColor="text1"/>
        </w:rPr>
      </w:pPr>
      <w:r w:rsidRPr="003C66A0">
        <w:rPr>
          <w:rFonts w:eastAsiaTheme="majorEastAsia"/>
          <w:color w:val="000000" w:themeColor="text1"/>
        </w:rPr>
        <w:t xml:space="preserve">There is a lot of research on financial literacy and inclusion, but it hasn't been linked to DeFi in a meaningful way. If people still don't know much about basic financial concepts, what does that </w:t>
      </w:r>
      <w:r w:rsidRPr="003C66A0">
        <w:rPr>
          <w:rFonts w:eastAsiaTheme="majorEastAsia"/>
          <w:color w:val="000000" w:themeColor="text1"/>
        </w:rPr>
        <w:lastRenderedPageBreak/>
        <w:t>mean for products that need to know about liquidity pools, impermanent loss, and smart contract risk? Research on cognitive load and bounded rationality indicates potential inherent constraints on the complexity of financial products that can remain accessible to wide demographics.</w:t>
      </w:r>
    </w:p>
    <w:p w14:paraId="1C3EEEB3" w14:textId="77777777" w:rsidR="00F01F60" w:rsidRPr="003C66A0" w:rsidRDefault="00F01F60" w:rsidP="00B451D7">
      <w:pPr>
        <w:jc w:val="both"/>
        <w:rPr>
          <w:rFonts w:eastAsiaTheme="majorEastAsia"/>
          <w:color w:val="000000" w:themeColor="text1"/>
        </w:rPr>
      </w:pPr>
    </w:p>
    <w:p w14:paraId="785CBEDA" w14:textId="77777777" w:rsidR="00F01F60" w:rsidRPr="003C66A0" w:rsidRDefault="00F01F60" w:rsidP="00B451D7">
      <w:pPr>
        <w:pStyle w:val="Heading2"/>
        <w:rPr>
          <w:rFonts w:eastAsiaTheme="majorEastAsia"/>
        </w:rPr>
      </w:pPr>
      <w:bookmarkStart w:id="41" w:name="_Toc214721847"/>
      <w:r w:rsidRPr="003C66A0">
        <w:rPr>
          <w:rFonts w:eastAsiaTheme="majorEastAsia"/>
        </w:rPr>
        <w:t>2.8 Synthesis and Research Directions</w:t>
      </w:r>
      <w:bookmarkEnd w:id="41"/>
    </w:p>
    <w:p w14:paraId="0327F868" w14:textId="4E5100A4" w:rsidR="007C7784" w:rsidRPr="009060BF" w:rsidRDefault="007C7784" w:rsidP="00B451D7">
      <w:pPr>
        <w:jc w:val="both"/>
        <w:rPr>
          <w:rFonts w:eastAsiaTheme="majorEastAsia"/>
          <w:color w:val="000000" w:themeColor="text1"/>
        </w:rPr>
      </w:pPr>
      <w:r w:rsidRPr="00A8150C">
        <w:rPr>
          <w:rFonts w:eastAsiaTheme="majorEastAsia"/>
          <w:color w:val="000000" w:themeColor="text1"/>
        </w:rPr>
        <w:t xml:space="preserve">This literature review reveals a field characterized by rapid growth but </w:t>
      </w:r>
      <w:r w:rsidR="00A8150C" w:rsidRPr="00A8150C">
        <w:rPr>
          <w:rFonts w:eastAsiaTheme="majorEastAsia"/>
          <w:color w:val="000000" w:themeColor="text1"/>
        </w:rPr>
        <w:t xml:space="preserve">there are </w:t>
      </w:r>
      <w:r w:rsidRPr="00A8150C">
        <w:rPr>
          <w:rFonts w:eastAsiaTheme="majorEastAsia"/>
          <w:color w:val="000000" w:themeColor="text1"/>
        </w:rPr>
        <w:t>systematic gaps between what research documents and what potential participants need to know. The theoretical literature extensively analyzes protocol design and market microstructure (</w:t>
      </w:r>
      <w:proofErr w:type="spellStart"/>
      <w:r w:rsidRPr="00A8150C">
        <w:rPr>
          <w:rFonts w:eastAsiaTheme="majorEastAsia"/>
          <w:color w:val="000000" w:themeColor="text1"/>
        </w:rPr>
        <w:t>Schär</w:t>
      </w:r>
      <w:proofErr w:type="spellEnd"/>
      <w:r w:rsidRPr="00A8150C">
        <w:rPr>
          <w:rFonts w:eastAsiaTheme="majorEastAsia"/>
          <w:color w:val="000000" w:themeColor="text1"/>
        </w:rPr>
        <w:t xml:space="preserve">, 2021; Harvey et al., 2021), </w:t>
      </w:r>
      <w:r w:rsidR="00A8150C" w:rsidRPr="00A8150C">
        <w:rPr>
          <w:rFonts w:eastAsiaTheme="majorEastAsia"/>
          <w:color w:val="000000" w:themeColor="text1"/>
        </w:rPr>
        <w:t>however it</w:t>
      </w:r>
      <w:r w:rsidRPr="00A8150C">
        <w:rPr>
          <w:rFonts w:eastAsiaTheme="majorEastAsia"/>
          <w:color w:val="000000" w:themeColor="text1"/>
        </w:rPr>
        <w:t xml:space="preserve"> rarely addresses </w:t>
      </w:r>
      <w:r w:rsidR="00A8150C" w:rsidRPr="00A8150C">
        <w:rPr>
          <w:rFonts w:eastAsiaTheme="majorEastAsia"/>
          <w:color w:val="000000" w:themeColor="text1"/>
        </w:rPr>
        <w:t>if</w:t>
      </w:r>
      <w:r w:rsidRPr="00A8150C">
        <w:rPr>
          <w:rFonts w:eastAsiaTheme="majorEastAsia"/>
          <w:color w:val="000000" w:themeColor="text1"/>
        </w:rPr>
        <w:t xml:space="preserve"> these innovations translate into viable opportunities for capital-constrained individuals. </w:t>
      </w:r>
      <w:r w:rsidR="00A8150C" w:rsidRPr="00A8150C">
        <w:rPr>
          <w:rFonts w:eastAsiaTheme="majorEastAsia"/>
          <w:color w:val="000000" w:themeColor="text1"/>
        </w:rPr>
        <w:t>A good set of e</w:t>
      </w:r>
      <w:r w:rsidRPr="00A8150C">
        <w:rPr>
          <w:rFonts w:eastAsiaTheme="majorEastAsia"/>
          <w:color w:val="000000" w:themeColor="text1"/>
        </w:rPr>
        <w:t xml:space="preserve">mpirical studies track protocol-level metrics </w:t>
      </w:r>
      <w:r w:rsidR="00A8150C" w:rsidRPr="00A8150C">
        <w:rPr>
          <w:rFonts w:eastAsiaTheme="majorEastAsia"/>
          <w:color w:val="000000" w:themeColor="text1"/>
        </w:rPr>
        <w:t>such as</w:t>
      </w:r>
      <w:r w:rsidRPr="00A8150C">
        <w:rPr>
          <w:rFonts w:eastAsiaTheme="majorEastAsia"/>
          <w:color w:val="000000" w:themeColor="text1"/>
        </w:rPr>
        <w:t xml:space="preserve"> TVL and transaction volumes (Qin et al., 2021) but </w:t>
      </w:r>
      <w:r w:rsidR="00A8150C" w:rsidRPr="00A8150C">
        <w:rPr>
          <w:rFonts w:eastAsiaTheme="majorEastAsia"/>
          <w:color w:val="000000" w:themeColor="text1"/>
        </w:rPr>
        <w:t>in general they</w:t>
      </w:r>
      <w:r w:rsidRPr="00A8150C">
        <w:rPr>
          <w:rFonts w:eastAsiaTheme="majorEastAsia"/>
          <w:color w:val="000000" w:themeColor="text1"/>
        </w:rPr>
        <w:t xml:space="preserve"> neglect participant-level outcomes. </w:t>
      </w:r>
      <w:r w:rsidR="00A8150C" w:rsidRPr="00A8150C">
        <w:rPr>
          <w:rFonts w:eastAsiaTheme="majorEastAsia"/>
          <w:color w:val="000000" w:themeColor="text1"/>
        </w:rPr>
        <w:t>Meanwhile b</w:t>
      </w:r>
      <w:r w:rsidRPr="00A8150C">
        <w:rPr>
          <w:rFonts w:eastAsiaTheme="majorEastAsia"/>
          <w:color w:val="000000" w:themeColor="text1"/>
        </w:rPr>
        <w:t xml:space="preserve">ehavioral finance research documents </w:t>
      </w:r>
      <w:r w:rsidR="00A8150C" w:rsidRPr="00A8150C">
        <w:rPr>
          <w:rFonts w:eastAsiaTheme="majorEastAsia"/>
          <w:color w:val="000000" w:themeColor="text1"/>
        </w:rPr>
        <w:t xml:space="preserve">the different </w:t>
      </w:r>
      <w:r w:rsidRPr="00A8150C">
        <w:rPr>
          <w:rFonts w:eastAsiaTheme="majorEastAsia"/>
          <w:color w:val="000000" w:themeColor="text1"/>
        </w:rPr>
        <w:t>cognitive biases affecting cryptocurrency trading (Kahneman &amp; Tversky, 1979; Barber &amp; Odean, 2000)</w:t>
      </w:r>
      <w:r w:rsidR="00A8150C" w:rsidRPr="00A8150C">
        <w:rPr>
          <w:rFonts w:eastAsiaTheme="majorEastAsia"/>
          <w:color w:val="000000" w:themeColor="text1"/>
        </w:rPr>
        <w:t xml:space="preserve">. </w:t>
      </w:r>
      <w:proofErr w:type="gramStart"/>
      <w:r w:rsidR="00A8150C" w:rsidRPr="00A8150C">
        <w:rPr>
          <w:rFonts w:eastAsiaTheme="majorEastAsia"/>
          <w:color w:val="000000" w:themeColor="text1"/>
        </w:rPr>
        <w:t xml:space="preserve">These </w:t>
      </w:r>
      <w:r w:rsidR="00A8150C" w:rsidRPr="009060BF">
        <w:rPr>
          <w:rFonts w:eastAsiaTheme="majorEastAsia"/>
          <w:color w:val="000000" w:themeColor="text1"/>
        </w:rPr>
        <w:t>however</w:t>
      </w:r>
      <w:proofErr w:type="gramEnd"/>
      <w:r w:rsidR="00A8150C" w:rsidRPr="009060BF">
        <w:rPr>
          <w:rFonts w:eastAsiaTheme="majorEastAsia"/>
          <w:color w:val="000000" w:themeColor="text1"/>
        </w:rPr>
        <w:t xml:space="preserve"> fail to </w:t>
      </w:r>
      <w:r w:rsidRPr="009060BF">
        <w:rPr>
          <w:rFonts w:eastAsiaTheme="majorEastAsia"/>
          <w:color w:val="000000" w:themeColor="text1"/>
        </w:rPr>
        <w:t>integrate</w:t>
      </w:r>
      <w:r w:rsidR="00A8150C" w:rsidRPr="009060BF">
        <w:rPr>
          <w:rFonts w:eastAsiaTheme="majorEastAsia"/>
          <w:color w:val="000000" w:themeColor="text1"/>
        </w:rPr>
        <w:t xml:space="preserve"> </w:t>
      </w:r>
      <w:r w:rsidRPr="009060BF">
        <w:rPr>
          <w:rFonts w:eastAsiaTheme="majorEastAsia"/>
          <w:color w:val="000000" w:themeColor="text1"/>
        </w:rPr>
        <w:t>these insights with DeFi-specific operational complexity.</w:t>
      </w:r>
    </w:p>
    <w:p w14:paraId="2F716C59" w14:textId="77777777" w:rsidR="007C7784" w:rsidRPr="009060BF" w:rsidRDefault="007C7784" w:rsidP="00B451D7">
      <w:pPr>
        <w:jc w:val="both"/>
        <w:rPr>
          <w:rFonts w:eastAsiaTheme="majorEastAsia"/>
          <w:color w:val="000000" w:themeColor="text1"/>
        </w:rPr>
      </w:pPr>
    </w:p>
    <w:p w14:paraId="659AF283" w14:textId="42191723" w:rsidR="007C7784" w:rsidRPr="009060BF" w:rsidRDefault="00363F38" w:rsidP="00B451D7">
      <w:pPr>
        <w:pStyle w:val="Heading3"/>
        <w:jc w:val="both"/>
        <w:rPr>
          <w:rFonts w:eastAsiaTheme="majorEastAsia"/>
          <w:color w:val="000000" w:themeColor="text1"/>
        </w:rPr>
      </w:pPr>
      <w:bookmarkStart w:id="42" w:name="_Toc214721848"/>
      <w:r w:rsidRPr="009060BF">
        <w:rPr>
          <w:rFonts w:eastAsiaTheme="majorEastAsia"/>
          <w:color w:val="000000" w:themeColor="text1"/>
        </w:rPr>
        <w:t xml:space="preserve">2.8.1 </w:t>
      </w:r>
      <w:r w:rsidR="007C7784" w:rsidRPr="009060BF">
        <w:rPr>
          <w:rFonts w:eastAsiaTheme="majorEastAsia"/>
          <w:color w:val="000000" w:themeColor="text1"/>
        </w:rPr>
        <w:t>Synthesizing Theoretical Perspectives</w:t>
      </w:r>
      <w:bookmarkEnd w:id="42"/>
    </w:p>
    <w:p w14:paraId="07CD329D" w14:textId="4861EE37" w:rsidR="004D15E3" w:rsidRPr="009060BF" w:rsidRDefault="004D15E3" w:rsidP="00B451D7">
      <w:pPr>
        <w:jc w:val="both"/>
        <w:rPr>
          <w:rFonts w:eastAsiaTheme="majorEastAsia"/>
          <w:color w:val="000000" w:themeColor="text1"/>
        </w:rPr>
      </w:pPr>
      <w:r w:rsidRPr="009060BF">
        <w:rPr>
          <w:rFonts w:eastAsiaTheme="majorEastAsia"/>
          <w:color w:val="000000" w:themeColor="text1"/>
        </w:rPr>
        <w:t xml:space="preserve">The theoretical landscape </w:t>
      </w:r>
      <w:r w:rsidR="0004531E" w:rsidRPr="009060BF">
        <w:rPr>
          <w:rFonts w:eastAsiaTheme="majorEastAsia"/>
          <w:color w:val="000000" w:themeColor="text1"/>
        </w:rPr>
        <w:t>seems to offer</w:t>
      </w:r>
      <w:r w:rsidRPr="009060BF">
        <w:rPr>
          <w:rFonts w:eastAsiaTheme="majorEastAsia"/>
          <w:color w:val="000000" w:themeColor="text1"/>
        </w:rPr>
        <w:t xml:space="preserve"> contradictory viewpoints regarding the possibilities of DeFi. Optimistic accounts (Buterin, 2014; Harvey et al., 2021) focus on what smart contracts can do</w:t>
      </w:r>
      <w:r w:rsidR="0004531E" w:rsidRPr="009060BF">
        <w:rPr>
          <w:rFonts w:eastAsiaTheme="majorEastAsia"/>
          <w:color w:val="000000" w:themeColor="text1"/>
        </w:rPr>
        <w:t xml:space="preserve"> which is focused on</w:t>
      </w:r>
      <w:r w:rsidRPr="009060BF">
        <w:rPr>
          <w:rFonts w:eastAsiaTheme="majorEastAsia"/>
          <w:color w:val="000000" w:themeColor="text1"/>
        </w:rPr>
        <w:t xml:space="preserve"> automating complicated financial tasks. </w:t>
      </w:r>
    </w:p>
    <w:p w14:paraId="661B6E1A" w14:textId="77777777" w:rsidR="004D15E3" w:rsidRPr="009060BF" w:rsidRDefault="004D15E3" w:rsidP="00B451D7">
      <w:pPr>
        <w:jc w:val="both"/>
        <w:rPr>
          <w:rFonts w:eastAsiaTheme="majorEastAsia"/>
          <w:color w:val="000000" w:themeColor="text1"/>
        </w:rPr>
      </w:pPr>
    </w:p>
    <w:p w14:paraId="5D5DA41D" w14:textId="42AD2AC8" w:rsidR="004D15E3" w:rsidRPr="009060BF" w:rsidRDefault="004D15E3" w:rsidP="00B451D7">
      <w:pPr>
        <w:jc w:val="both"/>
        <w:rPr>
          <w:rFonts w:eastAsiaTheme="majorEastAsia"/>
          <w:color w:val="000000" w:themeColor="text1"/>
        </w:rPr>
      </w:pPr>
      <w:r w:rsidRPr="009060BF">
        <w:rPr>
          <w:rFonts w:eastAsiaTheme="majorEastAsia"/>
          <w:color w:val="000000" w:themeColor="text1"/>
        </w:rPr>
        <w:t>Automated market makers allow anybody to provide liquidity without needing authorization</w:t>
      </w:r>
      <w:r w:rsidR="0004531E" w:rsidRPr="009060BF">
        <w:rPr>
          <w:rFonts w:eastAsiaTheme="majorEastAsia"/>
          <w:color w:val="000000" w:themeColor="text1"/>
        </w:rPr>
        <w:t xml:space="preserve">. And the openness of blockchain </w:t>
      </w:r>
      <w:r w:rsidRPr="009060BF">
        <w:rPr>
          <w:rFonts w:eastAsiaTheme="majorEastAsia"/>
          <w:color w:val="000000" w:themeColor="text1"/>
        </w:rPr>
        <w:t xml:space="preserve">makes information equal. </w:t>
      </w:r>
      <w:r w:rsidR="0004531E" w:rsidRPr="009060BF">
        <w:rPr>
          <w:rFonts w:eastAsiaTheme="majorEastAsia"/>
          <w:color w:val="000000" w:themeColor="text1"/>
        </w:rPr>
        <w:t>However s</w:t>
      </w:r>
      <w:r w:rsidRPr="009060BF">
        <w:rPr>
          <w:rFonts w:eastAsiaTheme="majorEastAsia"/>
          <w:color w:val="000000" w:themeColor="text1"/>
        </w:rPr>
        <w:t>keptical assessments (</w:t>
      </w:r>
      <w:proofErr w:type="spellStart"/>
      <w:r w:rsidRPr="009060BF">
        <w:rPr>
          <w:rFonts w:eastAsiaTheme="majorEastAsia"/>
          <w:color w:val="000000" w:themeColor="text1"/>
        </w:rPr>
        <w:t>Aramonte</w:t>
      </w:r>
      <w:proofErr w:type="spellEnd"/>
      <w:r w:rsidRPr="009060BF">
        <w:rPr>
          <w:rFonts w:eastAsiaTheme="majorEastAsia"/>
          <w:color w:val="000000" w:themeColor="text1"/>
        </w:rPr>
        <w:t xml:space="preserve"> et al., 2021; Allen et al., 2022) point out that money and governance power are still concentrated</w:t>
      </w:r>
      <w:r w:rsidR="0004531E" w:rsidRPr="009060BF">
        <w:rPr>
          <w:rFonts w:eastAsiaTheme="majorEastAsia"/>
          <w:color w:val="000000" w:themeColor="text1"/>
        </w:rPr>
        <w:t xml:space="preserve"> where</w:t>
      </w:r>
      <w:r w:rsidRPr="009060BF">
        <w:rPr>
          <w:rFonts w:eastAsiaTheme="majorEastAsia"/>
          <w:color w:val="000000" w:themeColor="text1"/>
        </w:rPr>
        <w:t xml:space="preserve"> institutions have advantages in infrastructure and knowledge</w:t>
      </w:r>
      <w:r w:rsidR="0004531E" w:rsidRPr="009060BF">
        <w:rPr>
          <w:rFonts w:eastAsiaTheme="majorEastAsia"/>
          <w:color w:val="000000" w:themeColor="text1"/>
        </w:rPr>
        <w:t>. T</w:t>
      </w:r>
      <w:r w:rsidRPr="009060BF">
        <w:rPr>
          <w:rFonts w:eastAsiaTheme="majorEastAsia"/>
          <w:color w:val="000000" w:themeColor="text1"/>
        </w:rPr>
        <w:t xml:space="preserve">here </w:t>
      </w:r>
      <w:proofErr w:type="gramStart"/>
      <w:r w:rsidRPr="009060BF">
        <w:rPr>
          <w:rFonts w:eastAsiaTheme="majorEastAsia"/>
          <w:color w:val="000000" w:themeColor="text1"/>
        </w:rPr>
        <w:t>is a</w:t>
      </w:r>
      <w:proofErr w:type="gramEnd"/>
      <w:r w:rsidRPr="009060BF">
        <w:rPr>
          <w:rFonts w:eastAsiaTheme="majorEastAsia"/>
          <w:color w:val="000000" w:themeColor="text1"/>
        </w:rPr>
        <w:t xml:space="preserve"> </w:t>
      </w:r>
      <w:proofErr w:type="spellStart"/>
      <w:r w:rsidR="0004531E" w:rsidRPr="009060BF">
        <w:rPr>
          <w:rFonts w:eastAsiaTheme="majorEastAsia"/>
          <w:color w:val="000000" w:themeColor="text1"/>
        </w:rPr>
        <w:t>a</w:t>
      </w:r>
      <w:proofErr w:type="spellEnd"/>
      <w:r w:rsidR="0004531E" w:rsidRPr="009060BF">
        <w:rPr>
          <w:rFonts w:eastAsiaTheme="majorEastAsia"/>
          <w:color w:val="000000" w:themeColor="text1"/>
        </w:rPr>
        <w:t xml:space="preserve"> </w:t>
      </w:r>
      <w:proofErr w:type="gramStart"/>
      <w:r w:rsidR="0004531E" w:rsidRPr="009060BF">
        <w:rPr>
          <w:rFonts w:eastAsiaTheme="majorEastAsia"/>
          <w:color w:val="000000" w:themeColor="text1"/>
        </w:rPr>
        <w:t xml:space="preserve">lot of </w:t>
      </w:r>
      <w:r w:rsidRPr="009060BF">
        <w:rPr>
          <w:rFonts w:eastAsiaTheme="majorEastAsia"/>
          <w:color w:val="000000" w:themeColor="text1"/>
        </w:rPr>
        <w:t>lot</w:t>
      </w:r>
      <w:proofErr w:type="gramEnd"/>
      <w:r w:rsidRPr="009060BF">
        <w:rPr>
          <w:rFonts w:eastAsiaTheme="majorEastAsia"/>
          <w:color w:val="000000" w:themeColor="text1"/>
        </w:rPr>
        <w:t xml:space="preserve"> of uncertainty about regulations</w:t>
      </w:r>
      <w:r w:rsidR="0004531E" w:rsidRPr="009060BF">
        <w:rPr>
          <w:rFonts w:eastAsiaTheme="majorEastAsia"/>
          <w:color w:val="000000" w:themeColor="text1"/>
        </w:rPr>
        <w:t>, making all these</w:t>
      </w:r>
      <w:r w:rsidRPr="009060BF">
        <w:rPr>
          <w:rFonts w:eastAsiaTheme="majorEastAsia"/>
          <w:color w:val="000000" w:themeColor="text1"/>
        </w:rPr>
        <w:t xml:space="preserve"> </w:t>
      </w:r>
      <w:proofErr w:type="gramStart"/>
      <w:r w:rsidRPr="009060BF">
        <w:rPr>
          <w:rFonts w:eastAsiaTheme="majorEastAsia"/>
          <w:color w:val="000000" w:themeColor="text1"/>
        </w:rPr>
        <w:t>limitations are</w:t>
      </w:r>
      <w:proofErr w:type="gramEnd"/>
      <w:r w:rsidRPr="009060BF">
        <w:rPr>
          <w:rFonts w:eastAsiaTheme="majorEastAsia"/>
          <w:color w:val="000000" w:themeColor="text1"/>
        </w:rPr>
        <w:t xml:space="preserve"> well-documented. </w:t>
      </w:r>
    </w:p>
    <w:p w14:paraId="6C6DC1E0" w14:textId="77777777" w:rsidR="004D15E3" w:rsidRPr="009060BF" w:rsidRDefault="004D15E3" w:rsidP="00B451D7">
      <w:pPr>
        <w:jc w:val="both"/>
        <w:rPr>
          <w:rFonts w:eastAsiaTheme="majorEastAsia"/>
          <w:color w:val="000000" w:themeColor="text1"/>
        </w:rPr>
      </w:pPr>
    </w:p>
    <w:p w14:paraId="7DA8900F" w14:textId="4ABC014F" w:rsidR="007C7784" w:rsidRPr="009060BF" w:rsidRDefault="004D15E3" w:rsidP="00B451D7">
      <w:pPr>
        <w:jc w:val="both"/>
        <w:rPr>
          <w:rFonts w:eastAsiaTheme="majorEastAsia"/>
          <w:color w:val="000000" w:themeColor="text1"/>
        </w:rPr>
      </w:pPr>
      <w:r w:rsidRPr="009060BF">
        <w:rPr>
          <w:rFonts w:eastAsiaTheme="majorEastAsia"/>
          <w:color w:val="000000" w:themeColor="text1"/>
        </w:rPr>
        <w:t xml:space="preserve">To bring </w:t>
      </w:r>
      <w:r w:rsidR="00034964" w:rsidRPr="009060BF">
        <w:rPr>
          <w:rFonts w:eastAsiaTheme="majorEastAsia"/>
          <w:color w:val="000000" w:themeColor="text1"/>
        </w:rPr>
        <w:t xml:space="preserve">these </w:t>
      </w:r>
      <w:r w:rsidR="00300B31" w:rsidRPr="009060BF">
        <w:rPr>
          <w:rFonts w:eastAsiaTheme="majorEastAsia"/>
          <w:color w:val="000000" w:themeColor="text1"/>
        </w:rPr>
        <w:t>viewpoints</w:t>
      </w:r>
      <w:r w:rsidRPr="009060BF">
        <w:rPr>
          <w:rFonts w:eastAsiaTheme="majorEastAsia"/>
          <w:color w:val="000000" w:themeColor="text1"/>
        </w:rPr>
        <w:t xml:space="preserve"> together, </w:t>
      </w:r>
      <w:r w:rsidR="00034964" w:rsidRPr="009060BF">
        <w:rPr>
          <w:rFonts w:eastAsiaTheme="majorEastAsia"/>
          <w:color w:val="000000" w:themeColor="text1"/>
        </w:rPr>
        <w:t xml:space="preserve">it </w:t>
      </w:r>
      <w:r w:rsidR="00300B31" w:rsidRPr="009060BF">
        <w:rPr>
          <w:rFonts w:eastAsiaTheme="majorEastAsia"/>
          <w:color w:val="000000" w:themeColor="text1"/>
        </w:rPr>
        <w:t>must</w:t>
      </w:r>
      <w:r w:rsidR="00034964" w:rsidRPr="009060BF">
        <w:rPr>
          <w:rFonts w:eastAsiaTheme="majorEastAsia"/>
          <w:color w:val="000000" w:themeColor="text1"/>
        </w:rPr>
        <w:t xml:space="preserve"> be noted</w:t>
      </w:r>
      <w:r w:rsidRPr="009060BF">
        <w:rPr>
          <w:rFonts w:eastAsiaTheme="majorEastAsia"/>
          <w:color w:val="000000" w:themeColor="text1"/>
        </w:rPr>
        <w:t xml:space="preserve"> that </w:t>
      </w:r>
      <w:proofErr w:type="gramStart"/>
      <w:r w:rsidRPr="009060BF">
        <w:rPr>
          <w:rFonts w:eastAsiaTheme="majorEastAsia"/>
          <w:color w:val="000000" w:themeColor="text1"/>
        </w:rPr>
        <w:t>both of them</w:t>
      </w:r>
      <w:proofErr w:type="gramEnd"/>
      <w:r w:rsidRPr="009060BF">
        <w:rPr>
          <w:rFonts w:eastAsiaTheme="majorEastAsia"/>
          <w:color w:val="000000" w:themeColor="text1"/>
        </w:rPr>
        <w:t xml:space="preserve"> show only part of the truth.  DeFi does make it easier for anyone to get involved by lowering the technical hurdles. For example, protocols will accept deposits from $10 to $10 million without </w:t>
      </w:r>
      <w:r w:rsidR="00034964" w:rsidRPr="009060BF">
        <w:rPr>
          <w:rFonts w:eastAsiaTheme="majorEastAsia"/>
          <w:color w:val="000000" w:themeColor="text1"/>
        </w:rPr>
        <w:t xml:space="preserve">any </w:t>
      </w:r>
      <w:r w:rsidRPr="009060BF">
        <w:rPr>
          <w:rFonts w:eastAsiaTheme="majorEastAsia"/>
          <w:color w:val="000000" w:themeColor="text1"/>
        </w:rPr>
        <w:t>prejudice</w:t>
      </w:r>
      <w:r w:rsidR="00034964" w:rsidRPr="009060BF">
        <w:rPr>
          <w:rFonts w:eastAsiaTheme="majorEastAsia"/>
          <w:color w:val="000000" w:themeColor="text1"/>
        </w:rPr>
        <w:t xml:space="preserve"> or too many </w:t>
      </w:r>
      <w:r w:rsidR="000E6012" w:rsidRPr="009060BF">
        <w:rPr>
          <w:rFonts w:eastAsiaTheme="majorEastAsia"/>
          <w:color w:val="000000" w:themeColor="text1"/>
        </w:rPr>
        <w:t>roadblocks</w:t>
      </w:r>
      <w:r w:rsidRPr="009060BF">
        <w:rPr>
          <w:rFonts w:eastAsiaTheme="majorEastAsia"/>
          <w:color w:val="000000" w:themeColor="text1"/>
        </w:rPr>
        <w:t xml:space="preserve"> (Harvey et al., 2021). </w:t>
      </w:r>
      <w:r w:rsidR="000E6012" w:rsidRPr="009060BF">
        <w:rPr>
          <w:rFonts w:eastAsiaTheme="majorEastAsia"/>
          <w:color w:val="000000" w:themeColor="text1"/>
        </w:rPr>
        <w:t>However, a</w:t>
      </w:r>
      <w:r w:rsidRPr="009060BF">
        <w:rPr>
          <w:rFonts w:eastAsiaTheme="majorEastAsia"/>
          <w:color w:val="000000" w:themeColor="text1"/>
        </w:rPr>
        <w:t>t the same time, DeFi makes it harder to do business by adding fixed expenses, making things more complicated, and requiring more knowledge (Williamson, 1985). The</w:t>
      </w:r>
      <w:r w:rsidR="000E6012" w:rsidRPr="009060BF">
        <w:rPr>
          <w:rFonts w:eastAsiaTheme="majorEastAsia"/>
          <w:color w:val="000000" w:themeColor="text1"/>
        </w:rPr>
        <w:t xml:space="preserve"> research here is </w:t>
      </w:r>
      <w:proofErr w:type="gramStart"/>
      <w:r w:rsidR="000E6012" w:rsidRPr="009060BF">
        <w:rPr>
          <w:rFonts w:eastAsiaTheme="majorEastAsia"/>
          <w:color w:val="000000" w:themeColor="text1"/>
        </w:rPr>
        <w:t>really not</w:t>
      </w:r>
      <w:proofErr w:type="gramEnd"/>
      <w:r w:rsidRPr="009060BF">
        <w:rPr>
          <w:rFonts w:eastAsiaTheme="majorEastAsia"/>
          <w:color w:val="000000" w:themeColor="text1"/>
        </w:rPr>
        <w:t xml:space="preserve"> </w:t>
      </w:r>
      <w:proofErr w:type="spellStart"/>
      <w:r w:rsidRPr="009060BF">
        <w:rPr>
          <w:rFonts w:eastAsiaTheme="majorEastAsia"/>
          <w:color w:val="000000" w:themeColor="text1"/>
        </w:rPr>
        <w:t>not</w:t>
      </w:r>
      <w:proofErr w:type="spellEnd"/>
      <w:r w:rsidRPr="009060BF">
        <w:rPr>
          <w:rFonts w:eastAsiaTheme="majorEastAsia"/>
          <w:color w:val="000000" w:themeColor="text1"/>
        </w:rPr>
        <w:t xml:space="preserve"> about whether DeFi democratizes (binary assessment) but rather for whom, under what circumstances, and with what limitations (conditioned assessment).</w:t>
      </w:r>
    </w:p>
    <w:p w14:paraId="19F36D92" w14:textId="77777777" w:rsidR="004D15E3" w:rsidRPr="009060BF" w:rsidRDefault="004D15E3" w:rsidP="00B451D7">
      <w:pPr>
        <w:jc w:val="both"/>
        <w:rPr>
          <w:rFonts w:eastAsiaTheme="majorEastAsia"/>
          <w:color w:val="000000" w:themeColor="text1"/>
        </w:rPr>
      </w:pPr>
    </w:p>
    <w:p w14:paraId="3FA72059" w14:textId="37D6BC47" w:rsidR="007C7784" w:rsidRPr="009060BF" w:rsidRDefault="00363F38" w:rsidP="00B451D7">
      <w:pPr>
        <w:pStyle w:val="Heading3"/>
        <w:jc w:val="both"/>
        <w:rPr>
          <w:rFonts w:eastAsiaTheme="majorEastAsia"/>
          <w:color w:val="000000" w:themeColor="text1"/>
        </w:rPr>
      </w:pPr>
      <w:bookmarkStart w:id="43" w:name="_Toc214721849"/>
      <w:r w:rsidRPr="009060BF">
        <w:rPr>
          <w:rFonts w:eastAsiaTheme="majorEastAsia"/>
          <w:color w:val="000000" w:themeColor="text1"/>
        </w:rPr>
        <w:t xml:space="preserve">2.8.2 </w:t>
      </w:r>
      <w:r w:rsidR="007C7784" w:rsidRPr="009060BF">
        <w:rPr>
          <w:rFonts w:eastAsiaTheme="majorEastAsia"/>
          <w:color w:val="000000" w:themeColor="text1"/>
        </w:rPr>
        <w:t>Empirical Evidence Patterns</w:t>
      </w:r>
      <w:bookmarkEnd w:id="43"/>
    </w:p>
    <w:p w14:paraId="6347297B" w14:textId="176A9454" w:rsidR="00876551" w:rsidRPr="009060BF" w:rsidRDefault="00876551" w:rsidP="00B451D7">
      <w:pPr>
        <w:jc w:val="both"/>
        <w:rPr>
          <w:rFonts w:eastAsiaTheme="majorEastAsia"/>
          <w:color w:val="000000" w:themeColor="text1"/>
        </w:rPr>
      </w:pPr>
      <w:r w:rsidRPr="009060BF">
        <w:rPr>
          <w:rFonts w:eastAsiaTheme="majorEastAsia"/>
          <w:color w:val="000000" w:themeColor="text1"/>
        </w:rPr>
        <w:t xml:space="preserve">Across the empirical literature examined, some persistent patterns emerge that </w:t>
      </w:r>
      <w:r w:rsidR="00145E50" w:rsidRPr="009060BF">
        <w:rPr>
          <w:rFonts w:eastAsiaTheme="majorEastAsia"/>
          <w:color w:val="000000" w:themeColor="text1"/>
        </w:rPr>
        <w:t>can be observed in several</w:t>
      </w:r>
      <w:r w:rsidRPr="009060BF">
        <w:rPr>
          <w:rFonts w:eastAsiaTheme="majorEastAsia"/>
          <w:color w:val="000000" w:themeColor="text1"/>
        </w:rPr>
        <w:t xml:space="preserve"> studies. </w:t>
      </w:r>
      <w:r w:rsidR="00145E50" w:rsidRPr="009060BF">
        <w:rPr>
          <w:rFonts w:eastAsiaTheme="majorEastAsia"/>
          <w:color w:val="000000" w:themeColor="text1"/>
        </w:rPr>
        <w:t>The f</w:t>
      </w:r>
      <w:r w:rsidRPr="009060BF">
        <w:rPr>
          <w:rFonts w:eastAsiaTheme="majorEastAsia"/>
          <w:color w:val="000000" w:themeColor="text1"/>
        </w:rPr>
        <w:t>irst</w:t>
      </w:r>
      <w:r w:rsidR="00145E50" w:rsidRPr="009060BF">
        <w:rPr>
          <w:rFonts w:eastAsiaTheme="majorEastAsia"/>
          <w:color w:val="000000" w:themeColor="text1"/>
        </w:rPr>
        <w:t xml:space="preserve"> one pertains to</w:t>
      </w:r>
      <w:r w:rsidRPr="009060BF">
        <w:rPr>
          <w:rFonts w:eastAsiaTheme="majorEastAsia"/>
          <w:color w:val="000000" w:themeColor="text1"/>
        </w:rPr>
        <w:t xml:space="preserve"> returns </w:t>
      </w:r>
      <w:r w:rsidR="00300B31" w:rsidRPr="009060BF">
        <w:rPr>
          <w:rFonts w:eastAsiaTheme="majorEastAsia"/>
          <w:color w:val="000000" w:themeColor="text1"/>
        </w:rPr>
        <w:t>that show</w:t>
      </w:r>
      <w:r w:rsidRPr="009060BF">
        <w:rPr>
          <w:rFonts w:eastAsiaTheme="majorEastAsia"/>
          <w:color w:val="000000" w:themeColor="text1"/>
        </w:rPr>
        <w:t xml:space="preserve"> a lot of differences between participants and across time. Liu and </w:t>
      </w:r>
      <w:proofErr w:type="spellStart"/>
      <w:r w:rsidRPr="009060BF">
        <w:rPr>
          <w:rFonts w:eastAsiaTheme="majorEastAsia"/>
          <w:color w:val="000000" w:themeColor="text1"/>
        </w:rPr>
        <w:t>Tsyvinski's</w:t>
      </w:r>
      <w:proofErr w:type="spellEnd"/>
      <w:r w:rsidRPr="009060BF">
        <w:rPr>
          <w:rFonts w:eastAsiaTheme="majorEastAsia"/>
          <w:color w:val="000000" w:themeColor="text1"/>
        </w:rPr>
        <w:t xml:space="preserve"> (2021) analysis of bitcoin return volatility </w:t>
      </w:r>
      <w:r w:rsidR="00145E50" w:rsidRPr="009060BF">
        <w:rPr>
          <w:rFonts w:eastAsiaTheme="majorEastAsia"/>
          <w:color w:val="000000" w:themeColor="text1"/>
        </w:rPr>
        <w:t>includes</w:t>
      </w:r>
      <w:r w:rsidRPr="009060BF">
        <w:rPr>
          <w:rFonts w:eastAsiaTheme="majorEastAsia"/>
          <w:color w:val="000000" w:themeColor="text1"/>
        </w:rPr>
        <w:t xml:space="preserve"> DeFi schemes</w:t>
      </w:r>
      <w:r w:rsidR="00145E50" w:rsidRPr="009060BF">
        <w:rPr>
          <w:rFonts w:eastAsiaTheme="majorEastAsia"/>
          <w:color w:val="000000" w:themeColor="text1"/>
        </w:rPr>
        <w:t xml:space="preserve"> where</w:t>
      </w:r>
      <w:r w:rsidRPr="009060BF">
        <w:rPr>
          <w:rFonts w:eastAsiaTheme="majorEastAsia"/>
          <w:color w:val="000000" w:themeColor="text1"/>
        </w:rPr>
        <w:t xml:space="preserve"> returns fluctuate from complete loss to annual yields</w:t>
      </w:r>
      <w:r w:rsidR="00145E50" w:rsidRPr="009060BF">
        <w:rPr>
          <w:rFonts w:eastAsiaTheme="majorEastAsia"/>
          <w:color w:val="000000" w:themeColor="text1"/>
        </w:rPr>
        <w:t xml:space="preserve"> and</w:t>
      </w:r>
      <w:r w:rsidRPr="009060BF">
        <w:rPr>
          <w:rFonts w:eastAsiaTheme="majorEastAsia"/>
          <w:color w:val="000000" w:themeColor="text1"/>
        </w:rPr>
        <w:t xml:space="preserve"> </w:t>
      </w:r>
      <w:r w:rsidR="00145E50" w:rsidRPr="009060BF">
        <w:rPr>
          <w:rFonts w:eastAsiaTheme="majorEastAsia"/>
          <w:color w:val="000000" w:themeColor="text1"/>
        </w:rPr>
        <w:t xml:space="preserve">are </w:t>
      </w:r>
      <w:r w:rsidRPr="009060BF">
        <w:rPr>
          <w:rFonts w:eastAsiaTheme="majorEastAsia"/>
          <w:color w:val="000000" w:themeColor="text1"/>
        </w:rPr>
        <w:t>exceeding 1000%</w:t>
      </w:r>
      <w:r w:rsidR="00145E50" w:rsidRPr="009060BF">
        <w:rPr>
          <w:rFonts w:eastAsiaTheme="majorEastAsia"/>
          <w:color w:val="000000" w:themeColor="text1"/>
        </w:rPr>
        <w:t xml:space="preserve">. These results were </w:t>
      </w:r>
      <w:r w:rsidRPr="009060BF">
        <w:rPr>
          <w:rFonts w:eastAsiaTheme="majorEastAsia"/>
          <w:color w:val="000000" w:themeColor="text1"/>
        </w:rPr>
        <w:t>contingent upon timing, strategy, and capital allocation. This diversity makes it hard to say what "typical" DeFi returns are</w:t>
      </w:r>
      <w:r w:rsidR="00145E50" w:rsidRPr="009060BF">
        <w:rPr>
          <w:rFonts w:eastAsiaTheme="majorEastAsia"/>
          <w:color w:val="000000" w:themeColor="text1"/>
        </w:rPr>
        <w:t xml:space="preserve">. It may not be easy to </w:t>
      </w:r>
      <w:r w:rsidR="0084288B" w:rsidRPr="009060BF">
        <w:rPr>
          <w:rFonts w:eastAsiaTheme="majorEastAsia"/>
          <w:color w:val="000000" w:themeColor="text1"/>
        </w:rPr>
        <w:t>define a</w:t>
      </w:r>
      <w:r w:rsidRPr="009060BF">
        <w:rPr>
          <w:rFonts w:eastAsiaTheme="majorEastAsia"/>
          <w:color w:val="000000" w:themeColor="text1"/>
        </w:rPr>
        <w:t xml:space="preserve"> typical example</w:t>
      </w:r>
      <w:r w:rsidR="00145E50" w:rsidRPr="009060BF">
        <w:rPr>
          <w:rFonts w:eastAsiaTheme="majorEastAsia"/>
          <w:color w:val="000000" w:themeColor="text1"/>
        </w:rPr>
        <w:t xml:space="preserve"> as the research shows</w:t>
      </w:r>
      <w:r w:rsidRPr="009060BF">
        <w:rPr>
          <w:rFonts w:eastAsiaTheme="majorEastAsia"/>
          <w:color w:val="000000" w:themeColor="text1"/>
        </w:rPr>
        <w:t xml:space="preserve"> a wide range of results that depend on the situation. </w:t>
      </w:r>
    </w:p>
    <w:p w14:paraId="3C0F3697" w14:textId="77777777" w:rsidR="00876551" w:rsidRPr="009060BF" w:rsidRDefault="00876551" w:rsidP="00B451D7">
      <w:pPr>
        <w:jc w:val="both"/>
        <w:rPr>
          <w:rFonts w:eastAsiaTheme="majorEastAsia"/>
          <w:color w:val="000000" w:themeColor="text1"/>
        </w:rPr>
      </w:pPr>
    </w:p>
    <w:p w14:paraId="3A8DB7C1" w14:textId="2AB2D69B" w:rsidR="00876551" w:rsidRPr="009060BF" w:rsidRDefault="00876551" w:rsidP="00B451D7">
      <w:pPr>
        <w:jc w:val="both"/>
        <w:rPr>
          <w:rFonts w:eastAsiaTheme="majorEastAsia"/>
          <w:color w:val="000000" w:themeColor="text1"/>
        </w:rPr>
      </w:pPr>
      <w:r w:rsidRPr="009060BF">
        <w:rPr>
          <w:rFonts w:eastAsiaTheme="majorEastAsia"/>
          <w:color w:val="000000" w:themeColor="text1"/>
        </w:rPr>
        <w:t xml:space="preserve">Second, </w:t>
      </w:r>
      <w:r w:rsidR="00145E50" w:rsidRPr="009060BF">
        <w:rPr>
          <w:rFonts w:eastAsiaTheme="majorEastAsia"/>
          <w:color w:val="000000" w:themeColor="text1"/>
        </w:rPr>
        <w:t>small investment</w:t>
      </w:r>
      <w:r w:rsidRPr="009060BF">
        <w:rPr>
          <w:rFonts w:eastAsiaTheme="majorEastAsia"/>
          <w:color w:val="000000" w:themeColor="text1"/>
        </w:rPr>
        <w:t xml:space="preserve"> participants consistently find that costs are more than they expected. </w:t>
      </w:r>
      <w:r w:rsidR="0047637D" w:rsidRPr="009060BF">
        <w:rPr>
          <w:rFonts w:eastAsiaTheme="majorEastAsia"/>
          <w:color w:val="000000" w:themeColor="text1"/>
        </w:rPr>
        <w:t>Even though p</w:t>
      </w:r>
      <w:r w:rsidRPr="009060BF">
        <w:rPr>
          <w:rFonts w:eastAsiaTheme="majorEastAsia"/>
          <w:color w:val="000000" w:themeColor="text1"/>
        </w:rPr>
        <w:t xml:space="preserve">rotocols say that they offer 5–20% APYs, but after paying for gas, losing money, and running costs, the returns are generally lower than risk-free options (Lehar &amp; </w:t>
      </w:r>
      <w:proofErr w:type="spellStart"/>
      <w:r w:rsidRPr="009060BF">
        <w:rPr>
          <w:rFonts w:eastAsiaTheme="majorEastAsia"/>
          <w:color w:val="000000" w:themeColor="text1"/>
        </w:rPr>
        <w:t>Parlour</w:t>
      </w:r>
      <w:proofErr w:type="spellEnd"/>
      <w:r w:rsidRPr="009060BF">
        <w:rPr>
          <w:rFonts w:eastAsiaTheme="majorEastAsia"/>
          <w:color w:val="000000" w:themeColor="text1"/>
        </w:rPr>
        <w:t xml:space="preserve">, 2022). </w:t>
      </w:r>
      <w:r w:rsidR="0047637D" w:rsidRPr="009060BF">
        <w:rPr>
          <w:rFonts w:eastAsiaTheme="majorEastAsia"/>
          <w:color w:val="000000" w:themeColor="text1"/>
        </w:rPr>
        <w:lastRenderedPageBreak/>
        <w:t>This</w:t>
      </w:r>
      <w:r w:rsidRPr="009060BF">
        <w:rPr>
          <w:rFonts w:eastAsiaTheme="majorEastAsia"/>
          <w:color w:val="000000" w:themeColor="text1"/>
        </w:rPr>
        <w:t xml:space="preserve"> comes from the fixed-cost paradigm of blockchain architecture, where transaction costs stay the same no matter how big the transaction is. </w:t>
      </w:r>
    </w:p>
    <w:p w14:paraId="69CF2EBE" w14:textId="77777777" w:rsidR="00876551" w:rsidRPr="009060BF" w:rsidRDefault="00876551" w:rsidP="00B451D7">
      <w:pPr>
        <w:jc w:val="both"/>
        <w:rPr>
          <w:rFonts w:eastAsiaTheme="majorEastAsia"/>
          <w:color w:val="000000" w:themeColor="text1"/>
        </w:rPr>
      </w:pPr>
    </w:p>
    <w:p w14:paraId="364E76E3" w14:textId="56BFDA23" w:rsidR="007C7784" w:rsidRPr="009060BF" w:rsidRDefault="00876551" w:rsidP="00B451D7">
      <w:pPr>
        <w:jc w:val="both"/>
        <w:rPr>
          <w:rFonts w:eastAsiaTheme="majorEastAsia"/>
          <w:color w:val="000000" w:themeColor="text1"/>
        </w:rPr>
      </w:pPr>
      <w:r w:rsidRPr="009060BF">
        <w:rPr>
          <w:rFonts w:eastAsiaTheme="majorEastAsia"/>
          <w:color w:val="000000" w:themeColor="text1"/>
        </w:rPr>
        <w:t xml:space="preserve">Third, the differences in complexity between institutional and retail participants seem to be getting bigger over time (Park, 2023; Makarov &amp; Schoar, 2022). Technical advancements that should make access more </w:t>
      </w:r>
      <w:proofErr w:type="gramStart"/>
      <w:r w:rsidRPr="009060BF">
        <w:rPr>
          <w:rFonts w:eastAsiaTheme="majorEastAsia"/>
          <w:color w:val="000000" w:themeColor="text1"/>
        </w:rPr>
        <w:t>equal—</w:t>
      </w:r>
      <w:proofErr w:type="gramEnd"/>
      <w:r w:rsidRPr="009060BF">
        <w:rPr>
          <w:rFonts w:eastAsiaTheme="majorEastAsia"/>
          <w:color w:val="000000" w:themeColor="text1"/>
        </w:rPr>
        <w:t xml:space="preserve">like better interfaces, analytical tools, and educational resources—are </w:t>
      </w:r>
      <w:r w:rsidR="00947DDA" w:rsidRPr="009060BF">
        <w:rPr>
          <w:rFonts w:eastAsiaTheme="majorEastAsia"/>
          <w:color w:val="000000" w:themeColor="text1"/>
        </w:rPr>
        <w:t>implemented</w:t>
      </w:r>
      <w:r w:rsidRPr="009060BF">
        <w:rPr>
          <w:rFonts w:eastAsiaTheme="majorEastAsia"/>
          <w:color w:val="000000" w:themeColor="text1"/>
        </w:rPr>
        <w:t xml:space="preserve"> faster </w:t>
      </w:r>
      <w:proofErr w:type="gramStart"/>
      <w:r w:rsidRPr="009060BF">
        <w:rPr>
          <w:rFonts w:eastAsiaTheme="majorEastAsia"/>
          <w:color w:val="000000" w:themeColor="text1"/>
        </w:rPr>
        <w:t>and used</w:t>
      </w:r>
      <w:proofErr w:type="gramEnd"/>
      <w:r w:rsidRPr="009060BF">
        <w:rPr>
          <w:rFonts w:eastAsiaTheme="majorEastAsia"/>
          <w:color w:val="000000" w:themeColor="text1"/>
        </w:rPr>
        <w:t xml:space="preserve"> more efficiently by more experienced users</w:t>
      </w:r>
      <w:r w:rsidR="005D18E7" w:rsidRPr="009060BF">
        <w:rPr>
          <w:rFonts w:eastAsiaTheme="majorEastAsia"/>
          <w:color w:val="000000" w:themeColor="text1"/>
        </w:rPr>
        <w:t xml:space="preserve">. Although that is an advantage for some, it </w:t>
      </w:r>
      <w:r w:rsidRPr="009060BF">
        <w:rPr>
          <w:rFonts w:eastAsiaTheme="majorEastAsia"/>
          <w:color w:val="000000" w:themeColor="text1"/>
        </w:rPr>
        <w:t xml:space="preserve">could make inequality worse </w:t>
      </w:r>
      <w:r w:rsidR="005D18E7" w:rsidRPr="009060BF">
        <w:rPr>
          <w:rFonts w:eastAsiaTheme="majorEastAsia"/>
          <w:color w:val="000000" w:themeColor="text1"/>
        </w:rPr>
        <w:t>for others.</w:t>
      </w:r>
      <w:r w:rsidRPr="009060BF">
        <w:rPr>
          <w:rFonts w:eastAsiaTheme="majorEastAsia"/>
          <w:color w:val="000000" w:themeColor="text1"/>
        </w:rPr>
        <w:t xml:space="preserve"> This corresponds with skill-biased technical change theory in labor economics (Acemoglu &amp; Autor, 2011), indicating that technology enhances pre-existing capacity disparities rather than eradicating them.</w:t>
      </w:r>
    </w:p>
    <w:p w14:paraId="3E98CF85" w14:textId="77777777" w:rsidR="00876551" w:rsidRPr="009060BF" w:rsidRDefault="00876551" w:rsidP="00B451D7">
      <w:pPr>
        <w:jc w:val="both"/>
        <w:rPr>
          <w:rFonts w:eastAsiaTheme="majorEastAsia"/>
          <w:color w:val="000000" w:themeColor="text1"/>
        </w:rPr>
      </w:pPr>
    </w:p>
    <w:p w14:paraId="73854EE5" w14:textId="1D3961FF" w:rsidR="007C7784" w:rsidRPr="009060BF" w:rsidRDefault="0081205E" w:rsidP="00B451D7">
      <w:pPr>
        <w:jc w:val="both"/>
        <w:rPr>
          <w:rFonts w:eastAsiaTheme="majorEastAsia"/>
          <w:color w:val="000000" w:themeColor="text1"/>
        </w:rPr>
      </w:pPr>
      <w:r w:rsidRPr="009060BF">
        <w:rPr>
          <w:rFonts w:eastAsiaTheme="majorEastAsia"/>
          <w:color w:val="000000" w:themeColor="text1"/>
        </w:rPr>
        <w:t xml:space="preserve">Fourth, behavioral issues interact with technical complexity to create systemic failures. Overconfidence (Barber &amp; Odean, 2000), FOMO (Kahneman &amp; Tversky, 1979), and herding behavior (Shiller, 2015) documented in traditional investing </w:t>
      </w:r>
      <w:r w:rsidR="003636F9" w:rsidRPr="009060BF">
        <w:rPr>
          <w:rFonts w:eastAsiaTheme="majorEastAsia"/>
          <w:color w:val="000000" w:themeColor="text1"/>
        </w:rPr>
        <w:t>show</w:t>
      </w:r>
      <w:r w:rsidRPr="009060BF">
        <w:rPr>
          <w:rFonts w:eastAsiaTheme="majorEastAsia"/>
          <w:color w:val="000000" w:themeColor="text1"/>
        </w:rPr>
        <w:t xml:space="preserve"> more serious effects in DeFi's 24/7, high-volatility setting. The combination of technical accessibility (everyone can join) and operational complexity (</w:t>
      </w:r>
      <w:r w:rsidR="003636F9" w:rsidRPr="009060BF">
        <w:rPr>
          <w:rFonts w:eastAsiaTheme="majorEastAsia"/>
          <w:color w:val="000000" w:themeColor="text1"/>
        </w:rPr>
        <w:t xml:space="preserve">only a </w:t>
      </w:r>
      <w:r w:rsidRPr="009060BF">
        <w:rPr>
          <w:rFonts w:eastAsiaTheme="majorEastAsia"/>
          <w:color w:val="000000" w:themeColor="text1"/>
        </w:rPr>
        <w:t>few can succeed) makes it easier for behavioral biases to turn into losses</w:t>
      </w:r>
      <w:r w:rsidR="003636F9" w:rsidRPr="009060BF">
        <w:rPr>
          <w:rFonts w:eastAsiaTheme="majorEastAsia"/>
          <w:color w:val="000000" w:themeColor="text1"/>
        </w:rPr>
        <w:t xml:space="preserve">. </w:t>
      </w:r>
    </w:p>
    <w:p w14:paraId="56459C4C" w14:textId="77777777" w:rsidR="00300B31" w:rsidRPr="009060BF" w:rsidRDefault="00300B31" w:rsidP="00B451D7">
      <w:pPr>
        <w:jc w:val="both"/>
        <w:rPr>
          <w:rFonts w:eastAsiaTheme="majorEastAsia"/>
          <w:b/>
          <w:color w:val="000000" w:themeColor="text1"/>
          <w:kern w:val="2"/>
          <w:sz w:val="32"/>
        </w:rPr>
      </w:pPr>
      <w:r w:rsidRPr="009060BF">
        <w:rPr>
          <w:rFonts w:eastAsiaTheme="majorEastAsia"/>
          <w:color w:val="000000" w:themeColor="text1"/>
        </w:rPr>
        <w:br w:type="page"/>
      </w:r>
    </w:p>
    <w:p w14:paraId="41456A4D" w14:textId="298B0B84" w:rsidR="000F3578" w:rsidRDefault="005E6E62" w:rsidP="00B451D7">
      <w:pPr>
        <w:pStyle w:val="Heading1"/>
        <w:jc w:val="center"/>
        <w:rPr>
          <w:rFonts w:eastAsiaTheme="majorEastAsia"/>
        </w:rPr>
      </w:pPr>
      <w:bookmarkStart w:id="44" w:name="_Toc214721850"/>
      <w:r>
        <w:rPr>
          <w:rFonts w:eastAsiaTheme="majorEastAsia"/>
        </w:rPr>
        <w:lastRenderedPageBreak/>
        <w:t xml:space="preserve">Chapter </w:t>
      </w:r>
      <w:r w:rsidR="00D71B3F" w:rsidRPr="00A04269">
        <w:rPr>
          <w:rFonts w:eastAsiaTheme="majorEastAsia"/>
        </w:rPr>
        <w:t>3</w:t>
      </w:r>
      <w:r>
        <w:rPr>
          <w:rFonts w:eastAsiaTheme="majorEastAsia"/>
        </w:rPr>
        <w:t>:</w:t>
      </w:r>
      <w:r w:rsidR="000F3578" w:rsidRPr="00A04269">
        <w:rPr>
          <w:rFonts w:eastAsiaTheme="majorEastAsia"/>
        </w:rPr>
        <w:t xml:space="preserve"> </w:t>
      </w:r>
      <w:r w:rsidR="00E24892" w:rsidRPr="00A04269">
        <w:rPr>
          <w:rFonts w:eastAsiaTheme="majorEastAsia"/>
        </w:rPr>
        <w:t>Empirical Evidence on</w:t>
      </w:r>
      <w:r w:rsidR="000F3578" w:rsidRPr="00A04269">
        <w:rPr>
          <w:rFonts w:eastAsiaTheme="majorEastAsia"/>
        </w:rPr>
        <w:t xml:space="preserve"> Cryptocurrency </w:t>
      </w:r>
      <w:r w:rsidR="00E24892" w:rsidRPr="00A04269">
        <w:rPr>
          <w:rFonts w:eastAsiaTheme="majorEastAsia"/>
        </w:rPr>
        <w:t>Income Mechanisms</w:t>
      </w:r>
      <w:bookmarkEnd w:id="44"/>
    </w:p>
    <w:p w14:paraId="467A09F1" w14:textId="77777777" w:rsidR="00A80D43" w:rsidRDefault="00A80D43" w:rsidP="00B451D7">
      <w:pPr>
        <w:rPr>
          <w:rFonts w:eastAsiaTheme="majorEastAsia"/>
        </w:rPr>
      </w:pPr>
    </w:p>
    <w:p w14:paraId="6408D0E4" w14:textId="77777777" w:rsidR="00A80D43" w:rsidRPr="00A80D43" w:rsidRDefault="00A80D43" w:rsidP="00B451D7">
      <w:pPr>
        <w:rPr>
          <w:rFonts w:eastAsiaTheme="majorEastAsia"/>
        </w:rPr>
      </w:pPr>
    </w:p>
    <w:p w14:paraId="03D03FB5" w14:textId="6AD430B1" w:rsidR="00DE7B66" w:rsidRPr="003C66A0" w:rsidRDefault="000D6531" w:rsidP="00B451D7">
      <w:pPr>
        <w:jc w:val="both"/>
        <w:rPr>
          <w:rFonts w:eastAsiaTheme="majorEastAsia"/>
          <w:bCs/>
          <w:color w:val="000000" w:themeColor="text1"/>
        </w:rPr>
      </w:pPr>
      <w:r w:rsidRPr="003C66A0">
        <w:rPr>
          <w:rFonts w:eastAsiaTheme="majorEastAsia"/>
          <w:bCs/>
          <w:color w:val="000000" w:themeColor="text1"/>
        </w:rPr>
        <w:t xml:space="preserve">The gap between advertised and actual returns in cryptocurrency passive income strategies is substantial enough to border on deceptive. For better understanding what the gap is, this part of the research examines empirical evidence from academic studies and my own tracked positions. Focusing on what </w:t>
      </w:r>
      <w:proofErr w:type="gramStart"/>
      <w:r w:rsidRPr="003C66A0">
        <w:rPr>
          <w:rFonts w:eastAsiaTheme="majorEastAsia"/>
          <w:bCs/>
          <w:color w:val="000000" w:themeColor="text1"/>
        </w:rPr>
        <w:t>actually happens</w:t>
      </w:r>
      <w:proofErr w:type="gramEnd"/>
      <w:r w:rsidRPr="003C66A0">
        <w:rPr>
          <w:rFonts w:eastAsiaTheme="majorEastAsia"/>
          <w:bCs/>
          <w:color w:val="000000" w:themeColor="text1"/>
        </w:rPr>
        <w:t xml:space="preserve"> rather than on what is promised.</w:t>
      </w:r>
    </w:p>
    <w:p w14:paraId="3E5CA05F" w14:textId="77777777" w:rsidR="000D6531" w:rsidRPr="003C66A0" w:rsidRDefault="000D6531" w:rsidP="00B451D7">
      <w:pPr>
        <w:jc w:val="both"/>
        <w:rPr>
          <w:rFonts w:eastAsiaTheme="majorEastAsia"/>
          <w:bCs/>
          <w:color w:val="000000" w:themeColor="text1"/>
        </w:rPr>
      </w:pPr>
    </w:p>
    <w:p w14:paraId="5334956C" w14:textId="77777777" w:rsidR="003F5EA7" w:rsidRPr="00D22D1B" w:rsidRDefault="003F5EA7" w:rsidP="00B451D7">
      <w:pPr>
        <w:pStyle w:val="Heading2"/>
        <w:jc w:val="both"/>
        <w:rPr>
          <w:color w:val="000000" w:themeColor="text1"/>
          <w:kern w:val="0"/>
          <w:sz w:val="36"/>
          <w:szCs w:val="36"/>
        </w:rPr>
      </w:pPr>
      <w:bookmarkStart w:id="45" w:name="_Toc214721851"/>
      <w:r w:rsidRPr="00D22D1B">
        <w:rPr>
          <w:color w:val="000000" w:themeColor="text1"/>
        </w:rPr>
        <w:t>3.1 The DeFi Income Mechanism Landscape: Comparative Overview</w:t>
      </w:r>
      <w:bookmarkEnd w:id="45"/>
    </w:p>
    <w:p w14:paraId="2355353D" w14:textId="2416E5BE" w:rsidR="003F5EA7" w:rsidRPr="00D22D1B" w:rsidRDefault="003F5EA7" w:rsidP="00B451D7">
      <w:pPr>
        <w:pStyle w:val="whitespace-normal"/>
        <w:spacing w:before="0" w:beforeAutospacing="0" w:after="0" w:afterAutospacing="0"/>
        <w:jc w:val="both"/>
        <w:rPr>
          <w:color w:val="000000" w:themeColor="text1"/>
        </w:rPr>
      </w:pPr>
      <w:r w:rsidRPr="00D22D1B">
        <w:rPr>
          <w:color w:val="000000" w:themeColor="text1"/>
        </w:rPr>
        <w:t xml:space="preserve">Before examining each mechanism in detail, Table 3.1 provides a </w:t>
      </w:r>
      <w:r w:rsidR="00A179DB" w:rsidRPr="00D22D1B">
        <w:rPr>
          <w:color w:val="000000" w:themeColor="text1"/>
        </w:rPr>
        <w:t xml:space="preserve">detailed </w:t>
      </w:r>
      <w:r w:rsidRPr="00D22D1B">
        <w:rPr>
          <w:color w:val="000000" w:themeColor="text1"/>
        </w:rPr>
        <w:t xml:space="preserve">overview of the cryptocurrency passive income landscape as documented through my empirical research. This framework </w:t>
      </w:r>
      <w:r w:rsidR="00A179DB" w:rsidRPr="00D22D1B">
        <w:rPr>
          <w:color w:val="000000" w:themeColor="text1"/>
        </w:rPr>
        <w:t xml:space="preserve">summarizes </w:t>
      </w:r>
      <w:r w:rsidRPr="00D22D1B">
        <w:rPr>
          <w:color w:val="000000" w:themeColor="text1"/>
        </w:rPr>
        <w:t>findings from 156 tracked positions, 27 practitioner interviews, and 3.27 million transaction analyses to map the actual—rather than advertised—characteristics of each income generation approach.</w:t>
      </w:r>
    </w:p>
    <w:p w14:paraId="4BF35113" w14:textId="77777777" w:rsidR="00B23F43" w:rsidRDefault="00B23F43" w:rsidP="00B451D7">
      <w:pPr>
        <w:pStyle w:val="Heading3"/>
        <w:jc w:val="both"/>
        <w:rPr>
          <w:color w:val="000000" w:themeColor="text1"/>
        </w:rPr>
      </w:pPr>
    </w:p>
    <w:p w14:paraId="56871991" w14:textId="3BDC1173" w:rsidR="003F5EA7" w:rsidRPr="00D22D1B" w:rsidRDefault="003F5EA7" w:rsidP="00B451D7">
      <w:pPr>
        <w:pStyle w:val="Heading3"/>
        <w:jc w:val="both"/>
        <w:rPr>
          <w:color w:val="000000" w:themeColor="text1"/>
        </w:rPr>
      </w:pPr>
      <w:bookmarkStart w:id="46" w:name="_Toc214721852"/>
      <w:r w:rsidRPr="00D22D1B">
        <w:rPr>
          <w:color w:val="000000" w:themeColor="text1"/>
        </w:rPr>
        <w:t>Table 3.</w:t>
      </w:r>
      <w:r w:rsidR="0082049B">
        <w:rPr>
          <w:color w:val="000000" w:themeColor="text1"/>
        </w:rPr>
        <w:t>A</w:t>
      </w:r>
      <w:r w:rsidRPr="00D22D1B">
        <w:rPr>
          <w:color w:val="000000" w:themeColor="text1"/>
        </w:rPr>
        <w:t>: Empirical Comparison of Cryptocurrency Income Mechanisms</w:t>
      </w:r>
      <w:bookmarkEnd w:id="46"/>
    </w:p>
    <w:p w14:paraId="4A3DF792" w14:textId="77777777" w:rsidR="002E5639" w:rsidRPr="00D22D1B" w:rsidRDefault="002E5639" w:rsidP="00B451D7">
      <w:pPr>
        <w:jc w:val="both"/>
        <w:rPr>
          <w:color w:val="000000" w:themeColor="text1"/>
        </w:rPr>
      </w:pPr>
    </w:p>
    <w:tbl>
      <w:tblPr>
        <w:tblW w:w="9350" w:type="dxa"/>
        <w:tblLayout w:type="fixed"/>
        <w:tblLook w:val="04A0" w:firstRow="1" w:lastRow="0" w:firstColumn="1" w:lastColumn="0" w:noHBand="0" w:noVBand="1"/>
      </w:tblPr>
      <w:tblGrid>
        <w:gridCol w:w="1068"/>
        <w:gridCol w:w="1082"/>
        <w:gridCol w:w="931"/>
        <w:gridCol w:w="1710"/>
        <w:gridCol w:w="1620"/>
        <w:gridCol w:w="1080"/>
        <w:gridCol w:w="1859"/>
      </w:tblGrid>
      <w:tr w:rsidR="00D22D1B" w:rsidRPr="00D22D1B" w14:paraId="2774A6D3" w14:textId="77777777" w:rsidTr="00E42EE1">
        <w:trPr>
          <w:trHeight w:val="1040"/>
        </w:trPr>
        <w:tc>
          <w:tcPr>
            <w:tcW w:w="1068"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05E190E6"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Mechanism</w:t>
            </w:r>
          </w:p>
        </w:tc>
        <w:tc>
          <w:tcPr>
            <w:tcW w:w="1082" w:type="dxa"/>
            <w:tcBorders>
              <w:top w:val="single" w:sz="8" w:space="0" w:color="auto"/>
              <w:left w:val="nil"/>
              <w:bottom w:val="single" w:sz="8" w:space="0" w:color="auto"/>
              <w:right w:val="single" w:sz="4" w:space="0" w:color="auto"/>
            </w:tcBorders>
            <w:shd w:val="clear" w:color="auto" w:fill="D9D9D9" w:themeFill="background1" w:themeFillShade="D9"/>
            <w:hideMark/>
          </w:tcPr>
          <w:p w14:paraId="39806CB8"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Minimum Viable Capital</w:t>
            </w:r>
          </w:p>
        </w:tc>
        <w:tc>
          <w:tcPr>
            <w:tcW w:w="931" w:type="dxa"/>
            <w:tcBorders>
              <w:top w:val="single" w:sz="8" w:space="0" w:color="auto"/>
              <w:left w:val="nil"/>
              <w:bottom w:val="single" w:sz="8" w:space="0" w:color="auto"/>
              <w:right w:val="single" w:sz="4" w:space="0" w:color="auto"/>
            </w:tcBorders>
            <w:shd w:val="clear" w:color="auto" w:fill="D9D9D9" w:themeFill="background1" w:themeFillShade="D9"/>
            <w:hideMark/>
          </w:tcPr>
          <w:p w14:paraId="0ED7AC48"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Advertised Returns</w:t>
            </w:r>
          </w:p>
        </w:tc>
        <w:tc>
          <w:tcPr>
            <w:tcW w:w="1710" w:type="dxa"/>
            <w:tcBorders>
              <w:top w:val="single" w:sz="8" w:space="0" w:color="auto"/>
              <w:left w:val="nil"/>
              <w:bottom w:val="single" w:sz="8" w:space="0" w:color="auto"/>
              <w:right w:val="single" w:sz="4" w:space="0" w:color="auto"/>
            </w:tcBorders>
            <w:shd w:val="clear" w:color="auto" w:fill="D9D9D9" w:themeFill="background1" w:themeFillShade="D9"/>
            <w:hideMark/>
          </w:tcPr>
          <w:p w14:paraId="02F90D0B"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Actual Returns (Observed)</w:t>
            </w:r>
          </w:p>
        </w:tc>
        <w:tc>
          <w:tcPr>
            <w:tcW w:w="1620" w:type="dxa"/>
            <w:tcBorders>
              <w:top w:val="single" w:sz="8" w:space="0" w:color="auto"/>
              <w:left w:val="nil"/>
              <w:bottom w:val="single" w:sz="8" w:space="0" w:color="auto"/>
              <w:right w:val="single" w:sz="4" w:space="0" w:color="auto"/>
            </w:tcBorders>
            <w:shd w:val="clear" w:color="auto" w:fill="D9D9D9" w:themeFill="background1" w:themeFillShade="D9"/>
            <w:hideMark/>
          </w:tcPr>
          <w:p w14:paraId="27760C08"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Primary Risks</w:t>
            </w:r>
          </w:p>
        </w:tc>
        <w:tc>
          <w:tcPr>
            <w:tcW w:w="1080" w:type="dxa"/>
            <w:tcBorders>
              <w:top w:val="single" w:sz="8" w:space="0" w:color="auto"/>
              <w:left w:val="nil"/>
              <w:bottom w:val="single" w:sz="8" w:space="0" w:color="auto"/>
              <w:right w:val="single" w:sz="4" w:space="0" w:color="auto"/>
            </w:tcBorders>
            <w:shd w:val="clear" w:color="auto" w:fill="D9D9D9" w:themeFill="background1" w:themeFillShade="D9"/>
            <w:hideMark/>
          </w:tcPr>
          <w:p w14:paraId="76B848C0"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Time Requirement</w:t>
            </w:r>
          </w:p>
        </w:tc>
        <w:tc>
          <w:tcPr>
            <w:tcW w:w="1859" w:type="dxa"/>
            <w:tcBorders>
              <w:top w:val="single" w:sz="8" w:space="0" w:color="auto"/>
              <w:left w:val="nil"/>
              <w:bottom w:val="single" w:sz="8" w:space="0" w:color="auto"/>
              <w:right w:val="single" w:sz="8" w:space="0" w:color="auto"/>
            </w:tcBorders>
            <w:shd w:val="clear" w:color="auto" w:fill="D9D9D9" w:themeFill="background1" w:themeFillShade="D9"/>
            <w:hideMark/>
          </w:tcPr>
          <w:p w14:paraId="16CBE749"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Viability Assessment</w:t>
            </w:r>
          </w:p>
        </w:tc>
      </w:tr>
      <w:tr w:rsidR="00D22D1B" w:rsidRPr="00D22D1B" w14:paraId="720C4E81" w14:textId="77777777" w:rsidTr="00E42EE1">
        <w:trPr>
          <w:trHeight w:val="3256"/>
        </w:trPr>
        <w:tc>
          <w:tcPr>
            <w:tcW w:w="1068" w:type="dxa"/>
            <w:tcBorders>
              <w:top w:val="nil"/>
              <w:left w:val="single" w:sz="8" w:space="0" w:color="auto"/>
              <w:bottom w:val="single" w:sz="4" w:space="0" w:color="auto"/>
              <w:right w:val="single" w:sz="8" w:space="0" w:color="auto"/>
            </w:tcBorders>
            <w:shd w:val="clear" w:color="auto" w:fill="D9D9D9" w:themeFill="background1" w:themeFillShade="D9"/>
            <w:hideMark/>
          </w:tcPr>
          <w:p w14:paraId="4130B52F"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Staking - Direct</w:t>
            </w:r>
          </w:p>
        </w:tc>
        <w:tc>
          <w:tcPr>
            <w:tcW w:w="1082" w:type="dxa"/>
            <w:tcBorders>
              <w:top w:val="nil"/>
              <w:left w:val="nil"/>
              <w:bottom w:val="single" w:sz="4" w:space="0" w:color="auto"/>
              <w:right w:val="single" w:sz="4" w:space="0" w:color="auto"/>
            </w:tcBorders>
            <w:hideMark/>
          </w:tcPr>
          <w:p w14:paraId="04A39F53" w14:textId="710B2761" w:rsidR="002E5639" w:rsidRPr="00D22D1B" w:rsidRDefault="002E5639" w:rsidP="00B451D7">
            <w:pPr>
              <w:jc w:val="both"/>
              <w:rPr>
                <w:color w:val="000000" w:themeColor="text1"/>
                <w:sz w:val="18"/>
                <w:szCs w:val="18"/>
              </w:rPr>
            </w:pPr>
            <w:r w:rsidRPr="00D22D1B">
              <w:rPr>
                <w:color w:val="000000" w:themeColor="text1"/>
                <w:sz w:val="18"/>
                <w:szCs w:val="18"/>
              </w:rPr>
              <w:t>ETH: $96,000 (32 ETH)</w:t>
            </w:r>
            <w:r w:rsidR="00EB36E1">
              <w:rPr>
                <w:color w:val="000000" w:themeColor="text1"/>
                <w:sz w:val="18"/>
                <w:szCs w:val="18"/>
              </w:rPr>
              <w:t xml:space="preserve"> </w:t>
            </w:r>
            <w:r w:rsidRPr="00D22D1B">
              <w:rPr>
                <w:color w:val="000000" w:themeColor="text1"/>
                <w:sz w:val="18"/>
                <w:szCs w:val="18"/>
              </w:rPr>
              <w:t>Cardano: Minimum for nomination ~$10,000</w:t>
            </w:r>
            <w:r w:rsidR="00EB36E1">
              <w:rPr>
                <w:color w:val="000000" w:themeColor="text1"/>
                <w:sz w:val="18"/>
                <w:szCs w:val="18"/>
              </w:rPr>
              <w:t xml:space="preserve"> </w:t>
            </w:r>
            <w:proofErr w:type="spellStart"/>
            <w:r w:rsidRPr="00D22D1B">
              <w:rPr>
                <w:color w:val="000000" w:themeColor="text1"/>
                <w:sz w:val="18"/>
                <w:szCs w:val="18"/>
              </w:rPr>
              <w:t>Polkadot</w:t>
            </w:r>
            <w:proofErr w:type="spellEnd"/>
            <w:r w:rsidRPr="00D22D1B">
              <w:rPr>
                <w:color w:val="000000" w:themeColor="text1"/>
                <w:sz w:val="18"/>
                <w:szCs w:val="18"/>
              </w:rPr>
              <w:t>: 120 DOT minimum ($1,200), but &lt;1,000 DOT frequently un-nominated</w:t>
            </w:r>
          </w:p>
        </w:tc>
        <w:tc>
          <w:tcPr>
            <w:tcW w:w="931" w:type="dxa"/>
            <w:tcBorders>
              <w:top w:val="nil"/>
              <w:left w:val="nil"/>
              <w:bottom w:val="single" w:sz="4" w:space="0" w:color="auto"/>
              <w:right w:val="single" w:sz="4" w:space="0" w:color="auto"/>
            </w:tcBorders>
            <w:hideMark/>
          </w:tcPr>
          <w:p w14:paraId="1423DF10" w14:textId="77777777" w:rsidR="002E5639" w:rsidRPr="00D22D1B" w:rsidRDefault="002E5639" w:rsidP="00B451D7">
            <w:pPr>
              <w:jc w:val="both"/>
              <w:rPr>
                <w:color w:val="000000" w:themeColor="text1"/>
                <w:sz w:val="18"/>
                <w:szCs w:val="18"/>
              </w:rPr>
            </w:pPr>
            <w:r w:rsidRPr="00D22D1B">
              <w:rPr>
                <w:color w:val="000000" w:themeColor="text1"/>
                <w:sz w:val="18"/>
                <w:szCs w:val="18"/>
              </w:rPr>
              <w:t>4-14% APY in native tokens</w:t>
            </w:r>
          </w:p>
        </w:tc>
        <w:tc>
          <w:tcPr>
            <w:tcW w:w="1710" w:type="dxa"/>
            <w:tcBorders>
              <w:top w:val="nil"/>
              <w:left w:val="nil"/>
              <w:bottom w:val="single" w:sz="4" w:space="0" w:color="auto"/>
              <w:right w:val="single" w:sz="4" w:space="0" w:color="auto"/>
            </w:tcBorders>
            <w:hideMark/>
          </w:tcPr>
          <w:p w14:paraId="3F312D39" w14:textId="5803E55D" w:rsidR="002E5639" w:rsidRPr="00D22D1B" w:rsidRDefault="002E5639" w:rsidP="00B451D7">
            <w:pPr>
              <w:jc w:val="both"/>
              <w:rPr>
                <w:b/>
                <w:bCs/>
                <w:color w:val="000000" w:themeColor="text1"/>
                <w:sz w:val="18"/>
                <w:szCs w:val="18"/>
              </w:rPr>
            </w:pPr>
            <w:r w:rsidRPr="00D22D1B">
              <w:rPr>
                <w:b/>
                <w:bCs/>
                <w:color w:val="000000" w:themeColor="text1"/>
                <w:sz w:val="18"/>
                <w:szCs w:val="18"/>
              </w:rPr>
              <w:t>Nominal:</w:t>
            </w:r>
            <w:r w:rsidRPr="00D22D1B">
              <w:rPr>
                <w:color w:val="000000" w:themeColor="text1"/>
                <w:sz w:val="18"/>
                <w:szCs w:val="18"/>
              </w:rPr>
              <w:t xml:space="preserve"> 4.8% (ETH), 4.2% (ADA), 14.1% (DOT)</w:t>
            </w:r>
            <w:r w:rsidR="00EB36E1">
              <w:rPr>
                <w:color w:val="000000" w:themeColor="text1"/>
                <w:sz w:val="18"/>
                <w:szCs w:val="18"/>
              </w:rPr>
              <w:t xml:space="preserve"> </w:t>
            </w:r>
            <w:r w:rsidRPr="00D22D1B">
              <w:rPr>
                <w:b/>
                <w:bCs/>
                <w:color w:val="000000" w:themeColor="text1"/>
                <w:sz w:val="18"/>
                <w:szCs w:val="18"/>
              </w:rPr>
              <w:t>Real USD 2022:</w:t>
            </w:r>
            <w:r w:rsidRPr="00D22D1B">
              <w:rPr>
                <w:color w:val="000000" w:themeColor="text1"/>
                <w:sz w:val="18"/>
                <w:szCs w:val="18"/>
              </w:rPr>
              <w:t xml:space="preserve"> -12.3%</w:t>
            </w:r>
            <w:r w:rsidR="00EB36E1">
              <w:rPr>
                <w:color w:val="000000" w:themeColor="text1"/>
                <w:sz w:val="18"/>
                <w:szCs w:val="18"/>
              </w:rPr>
              <w:t xml:space="preserve"> </w:t>
            </w:r>
            <w:r w:rsidRPr="00D22D1B">
              <w:rPr>
                <w:b/>
                <w:bCs/>
                <w:color w:val="000000" w:themeColor="text1"/>
                <w:sz w:val="18"/>
                <w:szCs w:val="18"/>
              </w:rPr>
              <w:t>Real USD 2023:</w:t>
            </w:r>
            <w:r w:rsidRPr="00D22D1B">
              <w:rPr>
                <w:color w:val="000000" w:themeColor="text1"/>
                <w:sz w:val="18"/>
                <w:szCs w:val="18"/>
              </w:rPr>
              <w:t xml:space="preserve"> +47.2% (91% from price, not yield)</w:t>
            </w:r>
          </w:p>
        </w:tc>
        <w:tc>
          <w:tcPr>
            <w:tcW w:w="1620" w:type="dxa"/>
            <w:tcBorders>
              <w:top w:val="nil"/>
              <w:left w:val="nil"/>
              <w:bottom w:val="single" w:sz="4" w:space="0" w:color="auto"/>
              <w:right w:val="single" w:sz="4" w:space="0" w:color="auto"/>
            </w:tcBorders>
            <w:hideMark/>
          </w:tcPr>
          <w:p w14:paraId="5CA0B753" w14:textId="77777777" w:rsidR="002E5639" w:rsidRPr="00D22D1B" w:rsidRDefault="002E5639" w:rsidP="00B451D7">
            <w:pPr>
              <w:jc w:val="both"/>
              <w:rPr>
                <w:color w:val="000000" w:themeColor="text1"/>
                <w:sz w:val="18"/>
                <w:szCs w:val="18"/>
              </w:rPr>
            </w:pPr>
            <w:r w:rsidRPr="00D22D1B">
              <w:rPr>
                <w:color w:val="000000" w:themeColor="text1"/>
                <w:sz w:val="18"/>
                <w:szCs w:val="18"/>
              </w:rPr>
              <w:t>Token price volatility dominates returns; slashing risk; validator downtime; lock-up periods</w:t>
            </w:r>
          </w:p>
        </w:tc>
        <w:tc>
          <w:tcPr>
            <w:tcW w:w="1080" w:type="dxa"/>
            <w:tcBorders>
              <w:top w:val="nil"/>
              <w:left w:val="nil"/>
              <w:bottom w:val="single" w:sz="4" w:space="0" w:color="auto"/>
              <w:right w:val="single" w:sz="4" w:space="0" w:color="auto"/>
            </w:tcBorders>
            <w:hideMark/>
          </w:tcPr>
          <w:p w14:paraId="1CA5E045" w14:textId="77777777" w:rsidR="002E5639" w:rsidRPr="00D22D1B" w:rsidRDefault="002E5639" w:rsidP="00B451D7">
            <w:pPr>
              <w:jc w:val="both"/>
              <w:rPr>
                <w:color w:val="000000" w:themeColor="text1"/>
                <w:sz w:val="18"/>
                <w:szCs w:val="18"/>
              </w:rPr>
            </w:pPr>
            <w:r w:rsidRPr="00D22D1B">
              <w:rPr>
                <w:color w:val="000000" w:themeColor="text1"/>
                <w:sz w:val="18"/>
                <w:szCs w:val="18"/>
              </w:rPr>
              <w:t xml:space="preserve">Low (2-3 </w:t>
            </w:r>
            <w:proofErr w:type="spellStart"/>
            <w:r w:rsidRPr="00D22D1B">
              <w:rPr>
                <w:color w:val="000000" w:themeColor="text1"/>
                <w:sz w:val="18"/>
                <w:szCs w:val="18"/>
              </w:rPr>
              <w:t>hrs</w:t>
            </w:r>
            <w:proofErr w:type="spellEnd"/>
            <w:r w:rsidRPr="00D22D1B">
              <w:rPr>
                <w:color w:val="000000" w:themeColor="text1"/>
                <w:sz w:val="18"/>
                <w:szCs w:val="18"/>
              </w:rPr>
              <w:t>/week once operational)</w:t>
            </w:r>
          </w:p>
        </w:tc>
        <w:tc>
          <w:tcPr>
            <w:tcW w:w="1859" w:type="dxa"/>
            <w:tcBorders>
              <w:top w:val="nil"/>
              <w:left w:val="nil"/>
              <w:bottom w:val="single" w:sz="4" w:space="0" w:color="auto"/>
              <w:right w:val="single" w:sz="8" w:space="0" w:color="auto"/>
            </w:tcBorders>
            <w:hideMark/>
          </w:tcPr>
          <w:p w14:paraId="229966DF"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Not viable</w:t>
            </w:r>
            <w:r w:rsidRPr="00D22D1B">
              <w:rPr>
                <w:color w:val="000000" w:themeColor="text1"/>
                <w:sz w:val="18"/>
                <w:szCs w:val="18"/>
              </w:rPr>
              <w:t xml:space="preserve"> as income strategy; only viable for long-term holders earning yield on assets planned to hold regardless</w:t>
            </w:r>
          </w:p>
        </w:tc>
      </w:tr>
      <w:tr w:rsidR="00D22D1B" w:rsidRPr="00D22D1B" w14:paraId="3FBD0F74" w14:textId="77777777" w:rsidTr="00E42EE1">
        <w:trPr>
          <w:trHeight w:val="71"/>
        </w:trPr>
        <w:tc>
          <w:tcPr>
            <w:tcW w:w="1068" w:type="dxa"/>
            <w:tcBorders>
              <w:top w:val="nil"/>
              <w:left w:val="single" w:sz="8" w:space="0" w:color="auto"/>
              <w:bottom w:val="single" w:sz="4" w:space="0" w:color="auto"/>
              <w:right w:val="single" w:sz="8" w:space="0" w:color="auto"/>
            </w:tcBorders>
            <w:shd w:val="clear" w:color="auto" w:fill="D9D9D9" w:themeFill="background1" w:themeFillShade="D9"/>
            <w:hideMark/>
          </w:tcPr>
          <w:p w14:paraId="5D2C8E5E"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Staking - Liquid (Lido)</w:t>
            </w:r>
          </w:p>
        </w:tc>
        <w:tc>
          <w:tcPr>
            <w:tcW w:w="1082" w:type="dxa"/>
            <w:tcBorders>
              <w:top w:val="nil"/>
              <w:left w:val="nil"/>
              <w:bottom w:val="single" w:sz="4" w:space="0" w:color="auto"/>
              <w:right w:val="single" w:sz="4" w:space="0" w:color="auto"/>
            </w:tcBorders>
            <w:hideMark/>
          </w:tcPr>
          <w:p w14:paraId="115E8E62" w14:textId="77777777" w:rsidR="002E5639" w:rsidRPr="00D22D1B" w:rsidRDefault="002E5639" w:rsidP="00B451D7">
            <w:pPr>
              <w:jc w:val="both"/>
              <w:rPr>
                <w:color w:val="000000" w:themeColor="text1"/>
                <w:sz w:val="18"/>
                <w:szCs w:val="18"/>
              </w:rPr>
            </w:pPr>
            <w:r w:rsidRPr="00D22D1B">
              <w:rPr>
                <w:color w:val="000000" w:themeColor="text1"/>
                <w:sz w:val="18"/>
                <w:szCs w:val="18"/>
              </w:rPr>
              <w:t>0.1 ETH minimum (~$300)</w:t>
            </w:r>
          </w:p>
        </w:tc>
        <w:tc>
          <w:tcPr>
            <w:tcW w:w="931" w:type="dxa"/>
            <w:tcBorders>
              <w:top w:val="nil"/>
              <w:left w:val="nil"/>
              <w:bottom w:val="single" w:sz="4" w:space="0" w:color="auto"/>
              <w:right w:val="single" w:sz="4" w:space="0" w:color="auto"/>
            </w:tcBorders>
            <w:hideMark/>
          </w:tcPr>
          <w:p w14:paraId="7388FE18" w14:textId="77777777" w:rsidR="002E5639" w:rsidRPr="00D22D1B" w:rsidRDefault="002E5639" w:rsidP="00B451D7">
            <w:pPr>
              <w:jc w:val="both"/>
              <w:rPr>
                <w:color w:val="000000" w:themeColor="text1"/>
                <w:sz w:val="18"/>
                <w:szCs w:val="18"/>
              </w:rPr>
            </w:pPr>
            <w:r w:rsidRPr="00D22D1B">
              <w:rPr>
                <w:color w:val="000000" w:themeColor="text1"/>
                <w:sz w:val="18"/>
                <w:szCs w:val="18"/>
              </w:rPr>
              <w:t>4-5% APY</w:t>
            </w:r>
          </w:p>
        </w:tc>
        <w:tc>
          <w:tcPr>
            <w:tcW w:w="1710" w:type="dxa"/>
            <w:tcBorders>
              <w:top w:val="nil"/>
              <w:left w:val="nil"/>
              <w:bottom w:val="single" w:sz="4" w:space="0" w:color="auto"/>
              <w:right w:val="single" w:sz="4" w:space="0" w:color="auto"/>
            </w:tcBorders>
            <w:hideMark/>
          </w:tcPr>
          <w:p w14:paraId="6988DD45" w14:textId="7CB429FA" w:rsidR="002E5639" w:rsidRPr="00D22D1B" w:rsidRDefault="002E5639" w:rsidP="00B451D7">
            <w:pPr>
              <w:jc w:val="both"/>
              <w:rPr>
                <w:b/>
                <w:bCs/>
                <w:color w:val="000000" w:themeColor="text1"/>
                <w:sz w:val="18"/>
                <w:szCs w:val="18"/>
              </w:rPr>
            </w:pPr>
            <w:r w:rsidRPr="00D22D1B">
              <w:rPr>
                <w:b/>
                <w:bCs/>
                <w:color w:val="000000" w:themeColor="text1"/>
                <w:sz w:val="18"/>
                <w:szCs w:val="18"/>
              </w:rPr>
              <w:t>After 10% protocol fee:</w:t>
            </w:r>
            <w:r w:rsidRPr="00D22D1B">
              <w:rPr>
                <w:color w:val="000000" w:themeColor="text1"/>
                <w:sz w:val="18"/>
                <w:szCs w:val="18"/>
              </w:rPr>
              <w:t xml:space="preserve"> ~4.3% ETH</w:t>
            </w:r>
            <w:r w:rsidR="00EB36E1">
              <w:rPr>
                <w:color w:val="000000" w:themeColor="text1"/>
                <w:sz w:val="18"/>
                <w:szCs w:val="18"/>
              </w:rPr>
              <w:t xml:space="preserve"> </w:t>
            </w:r>
            <w:r w:rsidRPr="00D22D1B">
              <w:rPr>
                <w:b/>
                <w:bCs/>
                <w:color w:val="000000" w:themeColor="text1"/>
                <w:sz w:val="18"/>
                <w:szCs w:val="18"/>
              </w:rPr>
              <w:t xml:space="preserve">Small </w:t>
            </w:r>
            <w:proofErr w:type="spellStart"/>
            <w:r w:rsidRPr="00D22D1B">
              <w:rPr>
                <w:b/>
                <w:bCs/>
                <w:color w:val="000000" w:themeColor="text1"/>
                <w:sz w:val="18"/>
                <w:szCs w:val="18"/>
              </w:rPr>
              <w:t>stakers</w:t>
            </w:r>
            <w:proofErr w:type="spellEnd"/>
            <w:r w:rsidRPr="00D22D1B">
              <w:rPr>
                <w:b/>
                <w:bCs/>
                <w:color w:val="000000" w:themeColor="text1"/>
                <w:sz w:val="18"/>
                <w:szCs w:val="18"/>
              </w:rPr>
              <w:t>:</w:t>
            </w:r>
            <w:r w:rsidRPr="00D22D1B">
              <w:rPr>
                <w:color w:val="000000" w:themeColor="text1"/>
                <w:sz w:val="18"/>
                <w:szCs w:val="18"/>
              </w:rPr>
              <w:t xml:space="preserve"> ~3.6% ETH</w:t>
            </w:r>
            <w:r w:rsidR="00EB36E1">
              <w:rPr>
                <w:color w:val="000000" w:themeColor="text1"/>
                <w:sz w:val="18"/>
                <w:szCs w:val="18"/>
              </w:rPr>
              <w:t xml:space="preserve"> </w:t>
            </w:r>
            <w:r w:rsidRPr="00D22D1B">
              <w:rPr>
                <w:b/>
                <w:bCs/>
                <w:color w:val="000000" w:themeColor="text1"/>
                <w:sz w:val="18"/>
                <w:szCs w:val="18"/>
              </w:rPr>
              <w:t>vs US Treasuries:</w:t>
            </w:r>
            <w:r w:rsidRPr="00D22D1B">
              <w:rPr>
                <w:color w:val="000000" w:themeColor="text1"/>
                <w:sz w:val="18"/>
                <w:szCs w:val="18"/>
              </w:rPr>
              <w:t xml:space="preserve"> 4.5% during study period</w:t>
            </w:r>
            <w:r w:rsidR="00EB36E1">
              <w:rPr>
                <w:color w:val="000000" w:themeColor="text1"/>
                <w:sz w:val="18"/>
                <w:szCs w:val="18"/>
              </w:rPr>
              <w:t xml:space="preserve"> </w:t>
            </w:r>
            <w:r w:rsidRPr="00D22D1B">
              <w:rPr>
                <w:b/>
                <w:bCs/>
                <w:color w:val="000000" w:themeColor="text1"/>
                <w:sz w:val="18"/>
                <w:szCs w:val="18"/>
              </w:rPr>
              <w:t>Real terms success:</w:t>
            </w:r>
            <w:r w:rsidRPr="00D22D1B">
              <w:rPr>
                <w:color w:val="000000" w:themeColor="text1"/>
                <w:sz w:val="18"/>
                <w:szCs w:val="18"/>
              </w:rPr>
              <w:t xml:space="preserve"> Highly variable with ETH price</w:t>
            </w:r>
          </w:p>
        </w:tc>
        <w:tc>
          <w:tcPr>
            <w:tcW w:w="1620" w:type="dxa"/>
            <w:tcBorders>
              <w:top w:val="nil"/>
              <w:left w:val="nil"/>
              <w:bottom w:val="single" w:sz="4" w:space="0" w:color="auto"/>
              <w:right w:val="single" w:sz="4" w:space="0" w:color="auto"/>
            </w:tcBorders>
            <w:hideMark/>
          </w:tcPr>
          <w:p w14:paraId="429D9854" w14:textId="77777777" w:rsidR="002E5639" w:rsidRPr="00D22D1B" w:rsidRDefault="002E5639" w:rsidP="00B451D7">
            <w:pPr>
              <w:jc w:val="both"/>
              <w:rPr>
                <w:color w:val="000000" w:themeColor="text1"/>
                <w:sz w:val="18"/>
                <w:szCs w:val="18"/>
              </w:rPr>
            </w:pPr>
            <w:r w:rsidRPr="00D22D1B">
              <w:rPr>
                <w:color w:val="000000" w:themeColor="text1"/>
                <w:sz w:val="18"/>
                <w:szCs w:val="18"/>
              </w:rPr>
              <w:t>Token price risk; smart contract risk; platform risk; regulatory uncertainty</w:t>
            </w:r>
          </w:p>
        </w:tc>
        <w:tc>
          <w:tcPr>
            <w:tcW w:w="1080" w:type="dxa"/>
            <w:tcBorders>
              <w:top w:val="nil"/>
              <w:left w:val="nil"/>
              <w:bottom w:val="single" w:sz="4" w:space="0" w:color="auto"/>
              <w:right w:val="single" w:sz="4" w:space="0" w:color="auto"/>
            </w:tcBorders>
            <w:hideMark/>
          </w:tcPr>
          <w:p w14:paraId="32E99673" w14:textId="77777777" w:rsidR="002E5639" w:rsidRPr="00D22D1B" w:rsidRDefault="002E5639" w:rsidP="00B451D7">
            <w:pPr>
              <w:jc w:val="both"/>
              <w:rPr>
                <w:color w:val="000000" w:themeColor="text1"/>
                <w:sz w:val="18"/>
                <w:szCs w:val="18"/>
              </w:rPr>
            </w:pPr>
            <w:r w:rsidRPr="00D22D1B">
              <w:rPr>
                <w:color w:val="000000" w:themeColor="text1"/>
                <w:sz w:val="18"/>
                <w:szCs w:val="18"/>
              </w:rPr>
              <w:t xml:space="preserve">Very low (1-2 </w:t>
            </w:r>
            <w:proofErr w:type="spellStart"/>
            <w:r w:rsidRPr="00D22D1B">
              <w:rPr>
                <w:color w:val="000000" w:themeColor="text1"/>
                <w:sz w:val="18"/>
                <w:szCs w:val="18"/>
              </w:rPr>
              <w:t>hrs</w:t>
            </w:r>
            <w:proofErr w:type="spellEnd"/>
            <w:r w:rsidRPr="00D22D1B">
              <w:rPr>
                <w:color w:val="000000" w:themeColor="text1"/>
                <w:sz w:val="18"/>
                <w:szCs w:val="18"/>
              </w:rPr>
              <w:t>/week)</w:t>
            </w:r>
          </w:p>
        </w:tc>
        <w:tc>
          <w:tcPr>
            <w:tcW w:w="1859" w:type="dxa"/>
            <w:tcBorders>
              <w:top w:val="nil"/>
              <w:left w:val="nil"/>
              <w:bottom w:val="single" w:sz="4" w:space="0" w:color="auto"/>
              <w:right w:val="single" w:sz="8" w:space="0" w:color="auto"/>
            </w:tcBorders>
            <w:hideMark/>
          </w:tcPr>
          <w:p w14:paraId="463D7BA4"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Not viable</w:t>
            </w:r>
            <w:r w:rsidRPr="00D22D1B">
              <w:rPr>
                <w:color w:val="000000" w:themeColor="text1"/>
                <w:sz w:val="18"/>
                <w:szCs w:val="18"/>
              </w:rPr>
              <w:t xml:space="preserve"> - accepts cryptocurrency volatility for returns below risk-free Treasuries, violating fundamental investment principles</w:t>
            </w:r>
          </w:p>
        </w:tc>
      </w:tr>
      <w:tr w:rsidR="00D22D1B" w:rsidRPr="00D22D1B" w14:paraId="735FA0B1" w14:textId="77777777" w:rsidTr="00E42EE1">
        <w:trPr>
          <w:trHeight w:val="2501"/>
        </w:trPr>
        <w:tc>
          <w:tcPr>
            <w:tcW w:w="1068" w:type="dxa"/>
            <w:tcBorders>
              <w:top w:val="nil"/>
              <w:left w:val="single" w:sz="8" w:space="0" w:color="auto"/>
              <w:bottom w:val="single" w:sz="4" w:space="0" w:color="auto"/>
              <w:right w:val="single" w:sz="8" w:space="0" w:color="auto"/>
            </w:tcBorders>
            <w:shd w:val="clear" w:color="auto" w:fill="D9D9D9" w:themeFill="background1" w:themeFillShade="D9"/>
            <w:hideMark/>
          </w:tcPr>
          <w:p w14:paraId="5306BCEA"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lastRenderedPageBreak/>
              <w:t>Yield Farming</w:t>
            </w:r>
          </w:p>
        </w:tc>
        <w:tc>
          <w:tcPr>
            <w:tcW w:w="1082" w:type="dxa"/>
            <w:tcBorders>
              <w:top w:val="nil"/>
              <w:left w:val="nil"/>
              <w:bottom w:val="single" w:sz="4" w:space="0" w:color="auto"/>
              <w:right w:val="single" w:sz="4" w:space="0" w:color="auto"/>
            </w:tcBorders>
            <w:hideMark/>
          </w:tcPr>
          <w:p w14:paraId="448A4CCD" w14:textId="7DDFD740" w:rsidR="002E5639" w:rsidRPr="00D22D1B" w:rsidRDefault="002E5639" w:rsidP="00B451D7">
            <w:pPr>
              <w:jc w:val="both"/>
              <w:rPr>
                <w:color w:val="000000" w:themeColor="text1"/>
                <w:sz w:val="18"/>
                <w:szCs w:val="18"/>
              </w:rPr>
            </w:pPr>
            <w:r w:rsidRPr="00D22D1B">
              <w:rPr>
                <w:color w:val="000000" w:themeColor="text1"/>
                <w:sz w:val="18"/>
                <w:szCs w:val="18"/>
              </w:rPr>
              <w:t>Technically $100+</w:t>
            </w:r>
            <w:r w:rsidR="00EB36E1">
              <w:rPr>
                <w:color w:val="000000" w:themeColor="text1"/>
                <w:sz w:val="18"/>
                <w:szCs w:val="18"/>
              </w:rPr>
              <w:t xml:space="preserve"> </w:t>
            </w:r>
            <w:r w:rsidRPr="00D22D1B">
              <w:rPr>
                <w:b/>
                <w:bCs/>
                <w:color w:val="000000" w:themeColor="text1"/>
                <w:sz w:val="18"/>
                <w:szCs w:val="18"/>
              </w:rPr>
              <w:t>Economically:</w:t>
            </w:r>
            <w:r w:rsidRPr="00D22D1B">
              <w:rPr>
                <w:color w:val="000000" w:themeColor="text1"/>
                <w:sz w:val="18"/>
                <w:szCs w:val="18"/>
              </w:rPr>
              <w:t xml:space="preserve"> $5,000+ due to gas costs</w:t>
            </w:r>
          </w:p>
        </w:tc>
        <w:tc>
          <w:tcPr>
            <w:tcW w:w="931" w:type="dxa"/>
            <w:tcBorders>
              <w:top w:val="nil"/>
              <w:left w:val="nil"/>
              <w:bottom w:val="single" w:sz="4" w:space="0" w:color="auto"/>
              <w:right w:val="single" w:sz="4" w:space="0" w:color="auto"/>
            </w:tcBorders>
            <w:hideMark/>
          </w:tcPr>
          <w:p w14:paraId="08B12E9D" w14:textId="4A29D57B" w:rsidR="002E5639" w:rsidRPr="00D22D1B" w:rsidRDefault="002E5639" w:rsidP="00B451D7">
            <w:pPr>
              <w:jc w:val="both"/>
              <w:rPr>
                <w:color w:val="000000" w:themeColor="text1"/>
                <w:sz w:val="18"/>
                <w:szCs w:val="18"/>
              </w:rPr>
            </w:pPr>
            <w:r w:rsidRPr="00D22D1B">
              <w:rPr>
                <w:color w:val="000000" w:themeColor="text1"/>
                <w:sz w:val="18"/>
                <w:szCs w:val="18"/>
              </w:rPr>
              <w:t>Launch: 100-10,000% APY</w:t>
            </w:r>
            <w:r w:rsidR="00EB36E1">
              <w:rPr>
                <w:color w:val="000000" w:themeColor="text1"/>
                <w:sz w:val="18"/>
                <w:szCs w:val="18"/>
              </w:rPr>
              <w:t xml:space="preserve"> </w:t>
            </w:r>
            <w:r w:rsidRPr="00D22D1B">
              <w:rPr>
                <w:color w:val="000000" w:themeColor="text1"/>
                <w:sz w:val="18"/>
                <w:szCs w:val="18"/>
              </w:rPr>
              <w:t>Marketed: 20-200% APY</w:t>
            </w:r>
          </w:p>
        </w:tc>
        <w:tc>
          <w:tcPr>
            <w:tcW w:w="1710" w:type="dxa"/>
            <w:tcBorders>
              <w:top w:val="nil"/>
              <w:left w:val="nil"/>
              <w:bottom w:val="single" w:sz="4" w:space="0" w:color="auto"/>
              <w:right w:val="single" w:sz="4" w:space="0" w:color="auto"/>
            </w:tcBorders>
            <w:hideMark/>
          </w:tcPr>
          <w:p w14:paraId="10560438" w14:textId="5ED42C51" w:rsidR="002E5639" w:rsidRPr="00D22D1B" w:rsidRDefault="002E5639" w:rsidP="00B451D7">
            <w:pPr>
              <w:jc w:val="both"/>
              <w:rPr>
                <w:b/>
                <w:bCs/>
                <w:color w:val="000000" w:themeColor="text1"/>
                <w:sz w:val="18"/>
                <w:szCs w:val="18"/>
              </w:rPr>
            </w:pPr>
            <w:r w:rsidRPr="00D22D1B">
              <w:rPr>
                <w:b/>
                <w:bCs/>
                <w:color w:val="000000" w:themeColor="text1"/>
                <w:sz w:val="18"/>
                <w:szCs w:val="18"/>
              </w:rPr>
              <w:t>Weeks 1-4:</w:t>
            </w:r>
            <w:r w:rsidRPr="00D22D1B">
              <w:rPr>
                <w:color w:val="000000" w:themeColor="text1"/>
                <w:sz w:val="18"/>
                <w:szCs w:val="18"/>
              </w:rPr>
              <w:t xml:space="preserve"> 100-10,000%</w:t>
            </w:r>
            <w:r w:rsidR="00EB36E1">
              <w:rPr>
                <w:color w:val="000000" w:themeColor="text1"/>
                <w:sz w:val="18"/>
                <w:szCs w:val="18"/>
              </w:rPr>
              <w:t xml:space="preserve"> </w:t>
            </w:r>
            <w:r w:rsidRPr="00D22D1B">
              <w:rPr>
                <w:b/>
                <w:bCs/>
                <w:color w:val="000000" w:themeColor="text1"/>
                <w:sz w:val="18"/>
                <w:szCs w:val="18"/>
              </w:rPr>
              <w:t>Month 3:</w:t>
            </w:r>
            <w:r w:rsidRPr="00D22D1B">
              <w:rPr>
                <w:color w:val="000000" w:themeColor="text1"/>
                <w:sz w:val="18"/>
                <w:szCs w:val="18"/>
              </w:rPr>
              <w:t xml:space="preserve"> Decline to 10-50%</w:t>
            </w:r>
            <w:r w:rsidR="00EB36E1">
              <w:rPr>
                <w:color w:val="000000" w:themeColor="text1"/>
                <w:sz w:val="18"/>
                <w:szCs w:val="18"/>
              </w:rPr>
              <w:t xml:space="preserve"> </w:t>
            </w:r>
            <w:r w:rsidRPr="00D22D1B">
              <w:rPr>
                <w:b/>
                <w:bCs/>
                <w:color w:val="000000" w:themeColor="text1"/>
                <w:sz w:val="18"/>
                <w:szCs w:val="18"/>
              </w:rPr>
              <w:t>Month 6:</w:t>
            </w:r>
            <w:r w:rsidRPr="00D22D1B">
              <w:rPr>
                <w:color w:val="000000" w:themeColor="text1"/>
                <w:sz w:val="18"/>
                <w:szCs w:val="18"/>
              </w:rPr>
              <w:t xml:space="preserve"> 5-20%</w:t>
            </w:r>
            <w:r w:rsidR="00EB36E1">
              <w:rPr>
                <w:color w:val="000000" w:themeColor="text1"/>
                <w:sz w:val="18"/>
                <w:szCs w:val="18"/>
              </w:rPr>
              <w:t xml:space="preserve"> </w:t>
            </w:r>
            <w:r w:rsidRPr="00D22D1B">
              <w:rPr>
                <w:b/>
                <w:bCs/>
                <w:color w:val="000000" w:themeColor="text1"/>
                <w:sz w:val="18"/>
                <w:szCs w:val="18"/>
              </w:rPr>
              <w:t>Year 1+:</w:t>
            </w:r>
            <w:r w:rsidRPr="00D22D1B">
              <w:rPr>
                <w:color w:val="000000" w:themeColor="text1"/>
                <w:sz w:val="18"/>
                <w:szCs w:val="18"/>
              </w:rPr>
              <w:t xml:space="preserve"> Below traditional alternatives or shutdown</w:t>
            </w:r>
            <w:r w:rsidR="00EB36E1">
              <w:rPr>
                <w:color w:val="000000" w:themeColor="text1"/>
                <w:sz w:val="18"/>
                <w:szCs w:val="18"/>
              </w:rPr>
              <w:t xml:space="preserve"> </w:t>
            </w:r>
            <w:r w:rsidRPr="00D22D1B">
              <w:rPr>
                <w:b/>
                <w:bCs/>
                <w:color w:val="000000" w:themeColor="text1"/>
                <w:sz w:val="18"/>
                <w:szCs w:val="18"/>
              </w:rPr>
              <w:t>Net after costs:</w:t>
            </w:r>
            <w:r w:rsidRPr="00D22D1B">
              <w:rPr>
                <w:color w:val="000000" w:themeColor="text1"/>
                <w:sz w:val="18"/>
                <w:szCs w:val="18"/>
              </w:rPr>
              <w:t xml:space="preserve"> Over 50% resulted in net losses per Liu &amp; </w:t>
            </w:r>
            <w:proofErr w:type="spellStart"/>
            <w:r w:rsidRPr="00D22D1B">
              <w:rPr>
                <w:color w:val="000000" w:themeColor="text1"/>
                <w:sz w:val="18"/>
                <w:szCs w:val="18"/>
              </w:rPr>
              <w:t>Tsyvinski</w:t>
            </w:r>
            <w:proofErr w:type="spellEnd"/>
            <w:r w:rsidRPr="00D22D1B">
              <w:rPr>
                <w:color w:val="000000" w:themeColor="text1"/>
                <w:sz w:val="18"/>
                <w:szCs w:val="18"/>
              </w:rPr>
              <w:t xml:space="preserve"> (2021)</w:t>
            </w:r>
          </w:p>
        </w:tc>
        <w:tc>
          <w:tcPr>
            <w:tcW w:w="1620" w:type="dxa"/>
            <w:tcBorders>
              <w:top w:val="nil"/>
              <w:left w:val="nil"/>
              <w:bottom w:val="single" w:sz="4" w:space="0" w:color="auto"/>
              <w:right w:val="single" w:sz="4" w:space="0" w:color="auto"/>
            </w:tcBorders>
            <w:hideMark/>
          </w:tcPr>
          <w:p w14:paraId="4EECA140" w14:textId="77777777" w:rsidR="002E5639" w:rsidRPr="00D22D1B" w:rsidRDefault="002E5639" w:rsidP="00B451D7">
            <w:pPr>
              <w:jc w:val="both"/>
              <w:rPr>
                <w:color w:val="000000" w:themeColor="text1"/>
                <w:sz w:val="18"/>
                <w:szCs w:val="18"/>
              </w:rPr>
            </w:pPr>
            <w:r w:rsidRPr="00D22D1B">
              <w:rPr>
                <w:color w:val="000000" w:themeColor="text1"/>
                <w:sz w:val="18"/>
                <w:szCs w:val="18"/>
              </w:rPr>
              <w:t xml:space="preserve">Impermanent loss (67% of volatile pairs IL &gt; fees in sample); smart contract exploits (12.2% quarterly incident rate); gas costs ($847/quarter ETH </w:t>
            </w:r>
            <w:proofErr w:type="spellStart"/>
            <w:r w:rsidRPr="00D22D1B">
              <w:rPr>
                <w:color w:val="000000" w:themeColor="text1"/>
                <w:sz w:val="18"/>
                <w:szCs w:val="18"/>
              </w:rPr>
              <w:t>mainnet</w:t>
            </w:r>
            <w:proofErr w:type="spellEnd"/>
            <w:r w:rsidRPr="00D22D1B">
              <w:rPr>
                <w:color w:val="000000" w:themeColor="text1"/>
                <w:sz w:val="18"/>
                <w:szCs w:val="18"/>
              </w:rPr>
              <w:t>); rapid yield compression</w:t>
            </w:r>
          </w:p>
        </w:tc>
        <w:tc>
          <w:tcPr>
            <w:tcW w:w="1080" w:type="dxa"/>
            <w:tcBorders>
              <w:top w:val="nil"/>
              <w:left w:val="nil"/>
              <w:bottom w:val="single" w:sz="4" w:space="0" w:color="auto"/>
              <w:right w:val="single" w:sz="4" w:space="0" w:color="auto"/>
            </w:tcBorders>
            <w:hideMark/>
          </w:tcPr>
          <w:p w14:paraId="66F2E3F9" w14:textId="77777777" w:rsidR="002E5639" w:rsidRPr="00D22D1B" w:rsidRDefault="002E5639" w:rsidP="00B451D7">
            <w:pPr>
              <w:jc w:val="both"/>
              <w:rPr>
                <w:color w:val="000000" w:themeColor="text1"/>
                <w:sz w:val="18"/>
                <w:szCs w:val="18"/>
              </w:rPr>
            </w:pPr>
            <w:r w:rsidRPr="00D22D1B">
              <w:rPr>
                <w:color w:val="000000" w:themeColor="text1"/>
                <w:sz w:val="18"/>
                <w:szCs w:val="18"/>
              </w:rPr>
              <w:t xml:space="preserve">Very high (20-30 </w:t>
            </w:r>
            <w:proofErr w:type="spellStart"/>
            <w:r w:rsidRPr="00D22D1B">
              <w:rPr>
                <w:color w:val="000000" w:themeColor="text1"/>
                <w:sz w:val="18"/>
                <w:szCs w:val="18"/>
              </w:rPr>
              <w:t>hrs</w:t>
            </w:r>
            <w:proofErr w:type="spellEnd"/>
            <w:r w:rsidRPr="00D22D1B">
              <w:rPr>
                <w:color w:val="000000" w:themeColor="text1"/>
                <w:sz w:val="18"/>
                <w:szCs w:val="18"/>
              </w:rPr>
              <w:t>/week for those attempting profitability)</w:t>
            </w:r>
          </w:p>
        </w:tc>
        <w:tc>
          <w:tcPr>
            <w:tcW w:w="1859" w:type="dxa"/>
            <w:tcBorders>
              <w:top w:val="nil"/>
              <w:left w:val="nil"/>
              <w:bottom w:val="single" w:sz="4" w:space="0" w:color="auto"/>
              <w:right w:val="single" w:sz="8" w:space="0" w:color="auto"/>
            </w:tcBorders>
            <w:hideMark/>
          </w:tcPr>
          <w:p w14:paraId="0F20AB7D"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Not viable</w:t>
            </w:r>
            <w:r w:rsidRPr="00D22D1B">
              <w:rPr>
                <w:color w:val="000000" w:themeColor="text1"/>
                <w:sz w:val="18"/>
                <w:szCs w:val="18"/>
              </w:rPr>
              <w:t xml:space="preserve"> for limited capital - requires constant attention, sophisticated timing, high risk tolerance; 73% overall failure rate suggests even worse for yield farming specifically</w:t>
            </w:r>
          </w:p>
        </w:tc>
      </w:tr>
      <w:tr w:rsidR="00D22D1B" w:rsidRPr="00D22D1B" w14:paraId="4BF27777" w14:textId="77777777" w:rsidTr="00E42EE1">
        <w:trPr>
          <w:trHeight w:val="2114"/>
        </w:trPr>
        <w:tc>
          <w:tcPr>
            <w:tcW w:w="1068" w:type="dxa"/>
            <w:tcBorders>
              <w:top w:val="nil"/>
              <w:left w:val="single" w:sz="8" w:space="0" w:color="auto"/>
              <w:bottom w:val="single" w:sz="4" w:space="0" w:color="auto"/>
              <w:right w:val="single" w:sz="8" w:space="0" w:color="auto"/>
            </w:tcBorders>
            <w:shd w:val="clear" w:color="auto" w:fill="D9D9D9" w:themeFill="background1" w:themeFillShade="D9"/>
            <w:hideMark/>
          </w:tcPr>
          <w:p w14:paraId="36A48EAD"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Liquidity Provision - Stablecoin</w:t>
            </w:r>
          </w:p>
        </w:tc>
        <w:tc>
          <w:tcPr>
            <w:tcW w:w="1082" w:type="dxa"/>
            <w:tcBorders>
              <w:top w:val="nil"/>
              <w:left w:val="nil"/>
              <w:bottom w:val="single" w:sz="4" w:space="0" w:color="auto"/>
              <w:right w:val="single" w:sz="4" w:space="0" w:color="auto"/>
            </w:tcBorders>
            <w:hideMark/>
          </w:tcPr>
          <w:p w14:paraId="62025DBC" w14:textId="709F274A" w:rsidR="002E5639" w:rsidRPr="00D22D1B" w:rsidRDefault="002E5639" w:rsidP="00B451D7">
            <w:pPr>
              <w:jc w:val="both"/>
              <w:rPr>
                <w:color w:val="000000" w:themeColor="text1"/>
                <w:sz w:val="18"/>
                <w:szCs w:val="18"/>
              </w:rPr>
            </w:pPr>
            <w:r w:rsidRPr="00D22D1B">
              <w:rPr>
                <w:color w:val="000000" w:themeColor="text1"/>
                <w:sz w:val="18"/>
                <w:szCs w:val="18"/>
              </w:rPr>
              <w:t>Ethereum: $25,000</w:t>
            </w:r>
            <w:r w:rsidR="00EB36E1">
              <w:rPr>
                <w:color w:val="000000" w:themeColor="text1"/>
                <w:sz w:val="18"/>
                <w:szCs w:val="18"/>
              </w:rPr>
              <w:t xml:space="preserve"> </w:t>
            </w:r>
            <w:r w:rsidRPr="00D22D1B">
              <w:rPr>
                <w:color w:val="000000" w:themeColor="text1"/>
                <w:sz w:val="18"/>
                <w:szCs w:val="18"/>
              </w:rPr>
              <w:t>L2: $3,500</w:t>
            </w:r>
            <w:r w:rsidR="00EB36E1">
              <w:rPr>
                <w:color w:val="000000" w:themeColor="text1"/>
                <w:sz w:val="18"/>
                <w:szCs w:val="18"/>
              </w:rPr>
              <w:t xml:space="preserve"> </w:t>
            </w:r>
            <w:r w:rsidRPr="00D22D1B">
              <w:rPr>
                <w:color w:val="000000" w:themeColor="text1"/>
                <w:sz w:val="18"/>
                <w:szCs w:val="18"/>
              </w:rPr>
              <w:t>Polygon: $750</w:t>
            </w:r>
          </w:p>
        </w:tc>
        <w:tc>
          <w:tcPr>
            <w:tcW w:w="931" w:type="dxa"/>
            <w:tcBorders>
              <w:top w:val="nil"/>
              <w:left w:val="nil"/>
              <w:bottom w:val="single" w:sz="4" w:space="0" w:color="auto"/>
              <w:right w:val="single" w:sz="4" w:space="0" w:color="auto"/>
            </w:tcBorders>
            <w:hideMark/>
          </w:tcPr>
          <w:p w14:paraId="0FD2DBCD" w14:textId="77777777" w:rsidR="002E5639" w:rsidRPr="00D22D1B" w:rsidRDefault="002E5639" w:rsidP="00B451D7">
            <w:pPr>
              <w:jc w:val="both"/>
              <w:rPr>
                <w:color w:val="000000" w:themeColor="text1"/>
                <w:sz w:val="18"/>
                <w:szCs w:val="18"/>
              </w:rPr>
            </w:pPr>
            <w:r w:rsidRPr="00D22D1B">
              <w:rPr>
                <w:color w:val="000000" w:themeColor="text1"/>
                <w:sz w:val="18"/>
                <w:szCs w:val="18"/>
              </w:rPr>
              <w:t>5-15% APY</w:t>
            </w:r>
          </w:p>
        </w:tc>
        <w:tc>
          <w:tcPr>
            <w:tcW w:w="1710" w:type="dxa"/>
            <w:tcBorders>
              <w:top w:val="nil"/>
              <w:left w:val="nil"/>
              <w:bottom w:val="single" w:sz="4" w:space="0" w:color="auto"/>
              <w:right w:val="single" w:sz="4" w:space="0" w:color="auto"/>
            </w:tcBorders>
            <w:hideMark/>
          </w:tcPr>
          <w:p w14:paraId="27470D88" w14:textId="73E8D3FB" w:rsidR="002E5639" w:rsidRPr="00D22D1B" w:rsidRDefault="002E5639" w:rsidP="00B451D7">
            <w:pPr>
              <w:jc w:val="both"/>
              <w:rPr>
                <w:b/>
                <w:bCs/>
                <w:color w:val="000000" w:themeColor="text1"/>
                <w:sz w:val="18"/>
                <w:szCs w:val="18"/>
              </w:rPr>
            </w:pPr>
            <w:r w:rsidRPr="00D22D1B">
              <w:rPr>
                <w:b/>
                <w:bCs/>
                <w:color w:val="000000" w:themeColor="text1"/>
                <w:sz w:val="18"/>
                <w:szCs w:val="18"/>
              </w:rPr>
              <w:t>Observed range:</w:t>
            </w:r>
            <w:r w:rsidRPr="00D22D1B">
              <w:rPr>
                <w:color w:val="000000" w:themeColor="text1"/>
                <w:sz w:val="18"/>
                <w:szCs w:val="18"/>
              </w:rPr>
              <w:t xml:space="preserve"> 4-8% annually</w:t>
            </w:r>
            <w:r w:rsidR="00EB36E1">
              <w:rPr>
                <w:color w:val="000000" w:themeColor="text1"/>
                <w:sz w:val="18"/>
                <w:szCs w:val="18"/>
              </w:rPr>
              <w:t xml:space="preserve"> </w:t>
            </w:r>
            <w:r w:rsidRPr="00D22D1B">
              <w:rPr>
                <w:b/>
                <w:bCs/>
                <w:color w:val="000000" w:themeColor="text1"/>
                <w:sz w:val="18"/>
                <w:szCs w:val="18"/>
              </w:rPr>
              <w:t>Sharpe ratio:</w:t>
            </w:r>
            <w:r w:rsidRPr="00D22D1B">
              <w:rPr>
                <w:color w:val="000000" w:themeColor="text1"/>
                <w:sz w:val="18"/>
                <w:szCs w:val="18"/>
              </w:rPr>
              <w:t xml:space="preserve"> 0.8-1.4 (best in sample)</w:t>
            </w:r>
            <w:r w:rsidR="00EB36E1">
              <w:rPr>
                <w:color w:val="000000" w:themeColor="text1"/>
                <w:sz w:val="18"/>
                <w:szCs w:val="18"/>
              </w:rPr>
              <w:t xml:space="preserve"> </w:t>
            </w:r>
            <w:r w:rsidRPr="00D22D1B">
              <w:rPr>
                <w:b/>
                <w:bCs/>
                <w:color w:val="000000" w:themeColor="text1"/>
                <w:sz w:val="18"/>
                <w:szCs w:val="18"/>
              </w:rPr>
              <w:t>Consistency:</w:t>
            </w:r>
            <w:r w:rsidRPr="00D22D1B">
              <w:rPr>
                <w:color w:val="000000" w:themeColor="text1"/>
                <w:sz w:val="18"/>
                <w:szCs w:val="18"/>
              </w:rPr>
              <w:t xml:space="preserve"> High across study period</w:t>
            </w:r>
          </w:p>
        </w:tc>
        <w:tc>
          <w:tcPr>
            <w:tcW w:w="1620" w:type="dxa"/>
            <w:tcBorders>
              <w:top w:val="nil"/>
              <w:left w:val="nil"/>
              <w:bottom w:val="single" w:sz="4" w:space="0" w:color="auto"/>
              <w:right w:val="single" w:sz="4" w:space="0" w:color="auto"/>
            </w:tcBorders>
            <w:hideMark/>
          </w:tcPr>
          <w:p w14:paraId="6BDEEDE0" w14:textId="2A855A4B" w:rsidR="002E5639" w:rsidRPr="00D22D1B" w:rsidRDefault="002E5639" w:rsidP="00B451D7">
            <w:pPr>
              <w:jc w:val="both"/>
              <w:rPr>
                <w:color w:val="000000" w:themeColor="text1"/>
                <w:sz w:val="18"/>
                <w:szCs w:val="18"/>
              </w:rPr>
            </w:pPr>
            <w:r w:rsidRPr="00D22D1B">
              <w:rPr>
                <w:color w:val="000000" w:themeColor="text1"/>
                <w:sz w:val="18"/>
                <w:szCs w:val="18"/>
              </w:rPr>
              <w:t xml:space="preserve">Smart contract risk (12.2% quarterly incident rate); protocol abandonment; </w:t>
            </w:r>
            <w:r w:rsidR="00EB36E1">
              <w:rPr>
                <w:color w:val="000000" w:themeColor="text1"/>
                <w:sz w:val="18"/>
                <w:szCs w:val="18"/>
              </w:rPr>
              <w:t>de-pegging</w:t>
            </w:r>
            <w:r w:rsidRPr="00D22D1B">
              <w:rPr>
                <w:color w:val="000000" w:themeColor="text1"/>
                <w:sz w:val="18"/>
                <w:szCs w:val="18"/>
              </w:rPr>
              <w:t xml:space="preserve"> events (observed in Terra/Luna); opportunity cost</w:t>
            </w:r>
          </w:p>
        </w:tc>
        <w:tc>
          <w:tcPr>
            <w:tcW w:w="1080" w:type="dxa"/>
            <w:tcBorders>
              <w:top w:val="nil"/>
              <w:left w:val="nil"/>
              <w:bottom w:val="single" w:sz="4" w:space="0" w:color="auto"/>
              <w:right w:val="single" w:sz="4" w:space="0" w:color="auto"/>
            </w:tcBorders>
            <w:hideMark/>
          </w:tcPr>
          <w:p w14:paraId="6258918D" w14:textId="77777777" w:rsidR="002E5639" w:rsidRPr="00D22D1B" w:rsidRDefault="002E5639" w:rsidP="00B451D7">
            <w:pPr>
              <w:jc w:val="both"/>
              <w:rPr>
                <w:color w:val="000000" w:themeColor="text1"/>
                <w:sz w:val="18"/>
                <w:szCs w:val="18"/>
              </w:rPr>
            </w:pPr>
            <w:r w:rsidRPr="00D22D1B">
              <w:rPr>
                <w:color w:val="000000" w:themeColor="text1"/>
                <w:sz w:val="18"/>
                <w:szCs w:val="18"/>
              </w:rPr>
              <w:t xml:space="preserve">Moderate (10-15 </w:t>
            </w:r>
            <w:proofErr w:type="spellStart"/>
            <w:r w:rsidRPr="00D22D1B">
              <w:rPr>
                <w:color w:val="000000" w:themeColor="text1"/>
                <w:sz w:val="18"/>
                <w:szCs w:val="18"/>
              </w:rPr>
              <w:t>hrs</w:t>
            </w:r>
            <w:proofErr w:type="spellEnd"/>
            <w:r w:rsidRPr="00D22D1B">
              <w:rPr>
                <w:color w:val="000000" w:themeColor="text1"/>
                <w:sz w:val="18"/>
                <w:szCs w:val="18"/>
              </w:rPr>
              <w:t xml:space="preserve">/week based on interview median 17.5 </w:t>
            </w:r>
            <w:proofErr w:type="spellStart"/>
            <w:r w:rsidRPr="00D22D1B">
              <w:rPr>
                <w:color w:val="000000" w:themeColor="text1"/>
                <w:sz w:val="18"/>
                <w:szCs w:val="18"/>
              </w:rPr>
              <w:t>hrs</w:t>
            </w:r>
            <w:proofErr w:type="spellEnd"/>
            <w:r w:rsidRPr="00D22D1B">
              <w:rPr>
                <w:color w:val="000000" w:themeColor="text1"/>
                <w:sz w:val="18"/>
                <w:szCs w:val="18"/>
              </w:rPr>
              <w:t xml:space="preserve"> for successful participants)</w:t>
            </w:r>
          </w:p>
        </w:tc>
        <w:tc>
          <w:tcPr>
            <w:tcW w:w="1859" w:type="dxa"/>
            <w:tcBorders>
              <w:top w:val="nil"/>
              <w:left w:val="nil"/>
              <w:bottom w:val="single" w:sz="4" w:space="0" w:color="auto"/>
              <w:right w:val="single" w:sz="8" w:space="0" w:color="auto"/>
            </w:tcBorders>
            <w:hideMark/>
          </w:tcPr>
          <w:p w14:paraId="7AD4ACB4"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VIABLE</w:t>
            </w:r>
            <w:r w:rsidRPr="00D22D1B">
              <w:rPr>
                <w:color w:val="000000" w:themeColor="text1"/>
                <w:sz w:val="18"/>
                <w:szCs w:val="18"/>
              </w:rPr>
              <w:t xml:space="preserve"> - only mechanism generating consistent income from genuine economic activity (trading fees); boring but functional</w:t>
            </w:r>
          </w:p>
        </w:tc>
      </w:tr>
      <w:tr w:rsidR="00D22D1B" w:rsidRPr="00D22D1B" w14:paraId="764A4154" w14:textId="77777777" w:rsidTr="00E42EE1">
        <w:trPr>
          <w:trHeight w:val="1295"/>
        </w:trPr>
        <w:tc>
          <w:tcPr>
            <w:tcW w:w="1068" w:type="dxa"/>
            <w:tcBorders>
              <w:top w:val="nil"/>
              <w:left w:val="single" w:sz="8" w:space="0" w:color="auto"/>
              <w:bottom w:val="single" w:sz="4" w:space="0" w:color="auto"/>
              <w:right w:val="single" w:sz="8" w:space="0" w:color="auto"/>
            </w:tcBorders>
            <w:shd w:val="clear" w:color="auto" w:fill="D9D9D9" w:themeFill="background1" w:themeFillShade="D9"/>
            <w:hideMark/>
          </w:tcPr>
          <w:p w14:paraId="2FDDF6A9"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Liquidity Provision - Correlated Assets</w:t>
            </w:r>
          </w:p>
        </w:tc>
        <w:tc>
          <w:tcPr>
            <w:tcW w:w="1082" w:type="dxa"/>
            <w:tcBorders>
              <w:top w:val="nil"/>
              <w:left w:val="nil"/>
              <w:bottom w:val="single" w:sz="4" w:space="0" w:color="auto"/>
              <w:right w:val="single" w:sz="4" w:space="0" w:color="auto"/>
            </w:tcBorders>
            <w:hideMark/>
          </w:tcPr>
          <w:p w14:paraId="714C707B" w14:textId="513F08B3" w:rsidR="002E5639" w:rsidRPr="00D22D1B" w:rsidRDefault="002E5639" w:rsidP="00B451D7">
            <w:pPr>
              <w:jc w:val="both"/>
              <w:rPr>
                <w:color w:val="000000" w:themeColor="text1"/>
                <w:sz w:val="18"/>
                <w:szCs w:val="18"/>
              </w:rPr>
            </w:pPr>
            <w:r w:rsidRPr="00D22D1B">
              <w:rPr>
                <w:color w:val="000000" w:themeColor="text1"/>
                <w:sz w:val="18"/>
                <w:szCs w:val="18"/>
              </w:rPr>
              <w:t>Ethereum: $25,000</w:t>
            </w:r>
            <w:r w:rsidR="00EB36E1">
              <w:rPr>
                <w:color w:val="000000" w:themeColor="text1"/>
                <w:sz w:val="18"/>
                <w:szCs w:val="18"/>
              </w:rPr>
              <w:t xml:space="preserve"> </w:t>
            </w:r>
            <w:r w:rsidRPr="00D22D1B">
              <w:rPr>
                <w:color w:val="000000" w:themeColor="text1"/>
                <w:sz w:val="18"/>
                <w:szCs w:val="18"/>
              </w:rPr>
              <w:t>L2: $3,500</w:t>
            </w:r>
          </w:p>
        </w:tc>
        <w:tc>
          <w:tcPr>
            <w:tcW w:w="931" w:type="dxa"/>
            <w:tcBorders>
              <w:top w:val="nil"/>
              <w:left w:val="nil"/>
              <w:bottom w:val="single" w:sz="4" w:space="0" w:color="auto"/>
              <w:right w:val="single" w:sz="4" w:space="0" w:color="auto"/>
            </w:tcBorders>
            <w:hideMark/>
          </w:tcPr>
          <w:p w14:paraId="1C841CA4" w14:textId="77777777" w:rsidR="002E5639" w:rsidRPr="00D22D1B" w:rsidRDefault="002E5639" w:rsidP="00B451D7">
            <w:pPr>
              <w:jc w:val="both"/>
              <w:rPr>
                <w:color w:val="000000" w:themeColor="text1"/>
                <w:sz w:val="18"/>
                <w:szCs w:val="18"/>
              </w:rPr>
            </w:pPr>
            <w:r w:rsidRPr="00D22D1B">
              <w:rPr>
                <w:color w:val="000000" w:themeColor="text1"/>
                <w:sz w:val="18"/>
                <w:szCs w:val="18"/>
              </w:rPr>
              <w:t>10-20% APY</w:t>
            </w:r>
          </w:p>
        </w:tc>
        <w:tc>
          <w:tcPr>
            <w:tcW w:w="1710" w:type="dxa"/>
            <w:tcBorders>
              <w:top w:val="nil"/>
              <w:left w:val="nil"/>
              <w:bottom w:val="single" w:sz="4" w:space="0" w:color="auto"/>
              <w:right w:val="single" w:sz="4" w:space="0" w:color="auto"/>
            </w:tcBorders>
            <w:hideMark/>
          </w:tcPr>
          <w:p w14:paraId="134B8018" w14:textId="5EED72FA" w:rsidR="002E5639" w:rsidRPr="00D22D1B" w:rsidRDefault="002E5639" w:rsidP="00B451D7">
            <w:pPr>
              <w:jc w:val="both"/>
              <w:rPr>
                <w:b/>
                <w:bCs/>
                <w:color w:val="000000" w:themeColor="text1"/>
                <w:sz w:val="18"/>
                <w:szCs w:val="18"/>
              </w:rPr>
            </w:pPr>
            <w:r w:rsidRPr="00D22D1B">
              <w:rPr>
                <w:b/>
                <w:bCs/>
                <w:color w:val="000000" w:themeColor="text1"/>
                <w:sz w:val="18"/>
                <w:szCs w:val="18"/>
              </w:rPr>
              <w:t>Observed range:</w:t>
            </w:r>
            <w:r w:rsidRPr="00D22D1B">
              <w:rPr>
                <w:color w:val="000000" w:themeColor="text1"/>
                <w:sz w:val="18"/>
                <w:szCs w:val="18"/>
              </w:rPr>
              <w:t xml:space="preserve"> 6-12% </w:t>
            </w:r>
            <w:proofErr w:type="gramStart"/>
            <w:r w:rsidRPr="00D22D1B">
              <w:rPr>
                <w:color w:val="000000" w:themeColor="text1"/>
                <w:sz w:val="18"/>
                <w:szCs w:val="18"/>
              </w:rPr>
              <w:t>annually</w:t>
            </w:r>
            <w:proofErr w:type="gramEnd"/>
            <w:r w:rsidR="00EB36E1">
              <w:rPr>
                <w:color w:val="000000" w:themeColor="text1"/>
                <w:sz w:val="18"/>
                <w:szCs w:val="18"/>
              </w:rPr>
              <w:t xml:space="preserve"> </w:t>
            </w:r>
            <w:r w:rsidRPr="00D22D1B">
              <w:rPr>
                <w:b/>
                <w:bCs/>
                <w:color w:val="000000" w:themeColor="text1"/>
                <w:sz w:val="18"/>
                <w:szCs w:val="18"/>
              </w:rPr>
              <w:t>IL during stress:</w:t>
            </w:r>
            <w:r w:rsidRPr="00D22D1B">
              <w:rPr>
                <w:color w:val="000000" w:themeColor="text1"/>
                <w:sz w:val="18"/>
                <w:szCs w:val="18"/>
              </w:rPr>
              <w:t xml:space="preserve"> Up to 8% divergence (ETH/</w:t>
            </w:r>
            <w:proofErr w:type="spellStart"/>
            <w:r w:rsidRPr="00D22D1B">
              <w:rPr>
                <w:color w:val="000000" w:themeColor="text1"/>
                <w:sz w:val="18"/>
                <w:szCs w:val="18"/>
              </w:rPr>
              <w:t>stETH</w:t>
            </w:r>
            <w:proofErr w:type="spellEnd"/>
            <w:r w:rsidRPr="00D22D1B">
              <w:rPr>
                <w:color w:val="000000" w:themeColor="text1"/>
                <w:sz w:val="18"/>
                <w:szCs w:val="18"/>
              </w:rPr>
              <w:t>)</w:t>
            </w:r>
            <w:r w:rsidR="00EB36E1">
              <w:rPr>
                <w:color w:val="000000" w:themeColor="text1"/>
                <w:sz w:val="18"/>
                <w:szCs w:val="18"/>
              </w:rPr>
              <w:t xml:space="preserve"> </w:t>
            </w:r>
            <w:r w:rsidRPr="00D22D1B">
              <w:rPr>
                <w:b/>
                <w:bCs/>
                <w:color w:val="000000" w:themeColor="text1"/>
                <w:sz w:val="18"/>
                <w:szCs w:val="18"/>
              </w:rPr>
              <w:t>Sharpe ratio:</w:t>
            </w:r>
            <w:r w:rsidRPr="00D22D1B">
              <w:rPr>
                <w:color w:val="000000" w:themeColor="text1"/>
                <w:sz w:val="18"/>
                <w:szCs w:val="18"/>
              </w:rPr>
              <w:t xml:space="preserve"> 0.5-0.7</w:t>
            </w:r>
          </w:p>
        </w:tc>
        <w:tc>
          <w:tcPr>
            <w:tcW w:w="1620" w:type="dxa"/>
            <w:tcBorders>
              <w:top w:val="nil"/>
              <w:left w:val="nil"/>
              <w:bottom w:val="single" w:sz="4" w:space="0" w:color="auto"/>
              <w:right w:val="single" w:sz="4" w:space="0" w:color="auto"/>
            </w:tcBorders>
            <w:hideMark/>
          </w:tcPr>
          <w:p w14:paraId="527DDB41" w14:textId="77777777" w:rsidR="002E5639" w:rsidRPr="00D22D1B" w:rsidRDefault="002E5639" w:rsidP="00B451D7">
            <w:pPr>
              <w:jc w:val="both"/>
              <w:rPr>
                <w:color w:val="000000" w:themeColor="text1"/>
                <w:sz w:val="18"/>
                <w:szCs w:val="18"/>
              </w:rPr>
            </w:pPr>
            <w:r w:rsidRPr="00D22D1B">
              <w:rPr>
                <w:color w:val="000000" w:themeColor="text1"/>
                <w:sz w:val="18"/>
                <w:szCs w:val="18"/>
              </w:rPr>
              <w:t>Moderate IL during stress events; smart contract risk; requires active monitoring and monthly rebalancing</w:t>
            </w:r>
          </w:p>
        </w:tc>
        <w:tc>
          <w:tcPr>
            <w:tcW w:w="1080" w:type="dxa"/>
            <w:tcBorders>
              <w:top w:val="nil"/>
              <w:left w:val="nil"/>
              <w:bottom w:val="single" w:sz="4" w:space="0" w:color="auto"/>
              <w:right w:val="single" w:sz="4" w:space="0" w:color="auto"/>
            </w:tcBorders>
            <w:hideMark/>
          </w:tcPr>
          <w:p w14:paraId="415131D7" w14:textId="77777777" w:rsidR="002E5639" w:rsidRPr="00D22D1B" w:rsidRDefault="002E5639" w:rsidP="00B451D7">
            <w:pPr>
              <w:jc w:val="both"/>
              <w:rPr>
                <w:color w:val="000000" w:themeColor="text1"/>
                <w:sz w:val="18"/>
                <w:szCs w:val="18"/>
              </w:rPr>
            </w:pPr>
            <w:r w:rsidRPr="00D22D1B">
              <w:rPr>
                <w:color w:val="000000" w:themeColor="text1"/>
                <w:sz w:val="18"/>
                <w:szCs w:val="18"/>
              </w:rPr>
              <w:t xml:space="preserve">High (15-20 </w:t>
            </w:r>
            <w:proofErr w:type="spellStart"/>
            <w:r w:rsidRPr="00D22D1B">
              <w:rPr>
                <w:color w:val="000000" w:themeColor="text1"/>
                <w:sz w:val="18"/>
                <w:szCs w:val="18"/>
              </w:rPr>
              <w:t>hrs</w:t>
            </w:r>
            <w:proofErr w:type="spellEnd"/>
            <w:r w:rsidRPr="00D22D1B">
              <w:rPr>
                <w:color w:val="000000" w:themeColor="text1"/>
                <w:sz w:val="18"/>
                <w:szCs w:val="18"/>
              </w:rPr>
              <w:t xml:space="preserve">/week, approaching upper bound of 17.5 </w:t>
            </w:r>
            <w:proofErr w:type="spellStart"/>
            <w:r w:rsidRPr="00D22D1B">
              <w:rPr>
                <w:color w:val="000000" w:themeColor="text1"/>
                <w:sz w:val="18"/>
                <w:szCs w:val="18"/>
              </w:rPr>
              <w:t>hr</w:t>
            </w:r>
            <w:proofErr w:type="spellEnd"/>
            <w:r w:rsidRPr="00D22D1B">
              <w:rPr>
                <w:color w:val="000000" w:themeColor="text1"/>
                <w:sz w:val="18"/>
                <w:szCs w:val="18"/>
              </w:rPr>
              <w:t xml:space="preserve"> median for successful participants)</w:t>
            </w:r>
          </w:p>
        </w:tc>
        <w:tc>
          <w:tcPr>
            <w:tcW w:w="1859" w:type="dxa"/>
            <w:tcBorders>
              <w:top w:val="nil"/>
              <w:left w:val="nil"/>
              <w:bottom w:val="single" w:sz="4" w:space="0" w:color="auto"/>
              <w:right w:val="single" w:sz="8" w:space="0" w:color="auto"/>
            </w:tcBorders>
            <w:hideMark/>
          </w:tcPr>
          <w:p w14:paraId="62F1EE27"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Conditionally viable</w:t>
            </w:r>
            <w:r w:rsidRPr="00D22D1B">
              <w:rPr>
                <w:color w:val="000000" w:themeColor="text1"/>
                <w:sz w:val="18"/>
                <w:szCs w:val="18"/>
              </w:rPr>
              <w:t xml:space="preserve"> - requires active management and stress tolerance; not truly passive</w:t>
            </w:r>
          </w:p>
        </w:tc>
      </w:tr>
      <w:tr w:rsidR="00D22D1B" w:rsidRPr="00D22D1B" w14:paraId="0C24B884" w14:textId="77777777" w:rsidTr="00AE5BEC">
        <w:trPr>
          <w:trHeight w:val="2231"/>
        </w:trPr>
        <w:tc>
          <w:tcPr>
            <w:tcW w:w="1068" w:type="dxa"/>
            <w:tcBorders>
              <w:top w:val="nil"/>
              <w:left w:val="single" w:sz="8" w:space="0" w:color="auto"/>
              <w:bottom w:val="single" w:sz="4" w:space="0" w:color="auto"/>
              <w:right w:val="single" w:sz="8" w:space="0" w:color="auto"/>
            </w:tcBorders>
            <w:shd w:val="clear" w:color="auto" w:fill="D9D9D9" w:themeFill="background1" w:themeFillShade="D9"/>
            <w:hideMark/>
          </w:tcPr>
          <w:p w14:paraId="19B93AB0"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Liquidity Provision - Volatile Pairs</w:t>
            </w:r>
          </w:p>
        </w:tc>
        <w:tc>
          <w:tcPr>
            <w:tcW w:w="1082" w:type="dxa"/>
            <w:tcBorders>
              <w:top w:val="nil"/>
              <w:left w:val="nil"/>
              <w:bottom w:val="single" w:sz="4" w:space="0" w:color="auto"/>
              <w:right w:val="single" w:sz="4" w:space="0" w:color="auto"/>
            </w:tcBorders>
            <w:hideMark/>
          </w:tcPr>
          <w:p w14:paraId="720D3F7C" w14:textId="58BA6D7F" w:rsidR="002E5639" w:rsidRPr="00D22D1B" w:rsidRDefault="002E5639" w:rsidP="00B451D7">
            <w:pPr>
              <w:jc w:val="both"/>
              <w:rPr>
                <w:color w:val="000000" w:themeColor="text1"/>
                <w:sz w:val="18"/>
                <w:szCs w:val="18"/>
              </w:rPr>
            </w:pPr>
            <w:r w:rsidRPr="00D22D1B">
              <w:rPr>
                <w:color w:val="000000" w:themeColor="text1"/>
                <w:sz w:val="18"/>
                <w:szCs w:val="18"/>
              </w:rPr>
              <w:t>Ethereum: $25,000</w:t>
            </w:r>
            <w:r w:rsidR="00EB36E1">
              <w:rPr>
                <w:color w:val="000000" w:themeColor="text1"/>
                <w:sz w:val="18"/>
                <w:szCs w:val="18"/>
              </w:rPr>
              <w:t xml:space="preserve"> </w:t>
            </w:r>
            <w:r w:rsidRPr="00D22D1B">
              <w:rPr>
                <w:color w:val="000000" w:themeColor="text1"/>
                <w:sz w:val="18"/>
                <w:szCs w:val="18"/>
              </w:rPr>
              <w:t>L2: $3,500</w:t>
            </w:r>
          </w:p>
        </w:tc>
        <w:tc>
          <w:tcPr>
            <w:tcW w:w="931" w:type="dxa"/>
            <w:tcBorders>
              <w:top w:val="nil"/>
              <w:left w:val="nil"/>
              <w:bottom w:val="single" w:sz="4" w:space="0" w:color="auto"/>
              <w:right w:val="single" w:sz="4" w:space="0" w:color="auto"/>
            </w:tcBorders>
            <w:hideMark/>
          </w:tcPr>
          <w:p w14:paraId="0149782E" w14:textId="77777777" w:rsidR="002E5639" w:rsidRPr="00D22D1B" w:rsidRDefault="002E5639" w:rsidP="00B451D7">
            <w:pPr>
              <w:jc w:val="both"/>
              <w:rPr>
                <w:color w:val="000000" w:themeColor="text1"/>
                <w:sz w:val="18"/>
                <w:szCs w:val="18"/>
              </w:rPr>
            </w:pPr>
            <w:r w:rsidRPr="00D22D1B">
              <w:rPr>
                <w:color w:val="000000" w:themeColor="text1"/>
                <w:sz w:val="18"/>
                <w:szCs w:val="18"/>
              </w:rPr>
              <w:t>20-50% APY</w:t>
            </w:r>
          </w:p>
        </w:tc>
        <w:tc>
          <w:tcPr>
            <w:tcW w:w="1710" w:type="dxa"/>
            <w:tcBorders>
              <w:top w:val="nil"/>
              <w:left w:val="nil"/>
              <w:bottom w:val="single" w:sz="4" w:space="0" w:color="auto"/>
              <w:right w:val="single" w:sz="4" w:space="0" w:color="auto"/>
            </w:tcBorders>
            <w:hideMark/>
          </w:tcPr>
          <w:p w14:paraId="7A94210C" w14:textId="1FF57CE3" w:rsidR="002E5639" w:rsidRPr="00D22D1B" w:rsidRDefault="002E5639" w:rsidP="00B451D7">
            <w:pPr>
              <w:jc w:val="both"/>
              <w:rPr>
                <w:b/>
                <w:bCs/>
                <w:color w:val="000000" w:themeColor="text1"/>
                <w:sz w:val="18"/>
                <w:szCs w:val="18"/>
              </w:rPr>
            </w:pPr>
            <w:r w:rsidRPr="00D22D1B">
              <w:rPr>
                <w:b/>
                <w:bCs/>
                <w:color w:val="000000" w:themeColor="text1"/>
                <w:sz w:val="18"/>
                <w:szCs w:val="18"/>
              </w:rPr>
              <w:t>Observed range:</w:t>
            </w:r>
            <w:r w:rsidRPr="00D22D1B">
              <w:rPr>
                <w:color w:val="000000" w:themeColor="text1"/>
                <w:sz w:val="18"/>
                <w:szCs w:val="18"/>
              </w:rPr>
              <w:t xml:space="preserve"> -50% to +100%</w:t>
            </w:r>
            <w:r w:rsidR="00EB36E1">
              <w:rPr>
                <w:color w:val="000000" w:themeColor="text1"/>
                <w:sz w:val="18"/>
                <w:szCs w:val="18"/>
              </w:rPr>
              <w:t xml:space="preserve"> </w:t>
            </w:r>
            <w:r w:rsidRPr="00D22D1B">
              <w:rPr>
                <w:b/>
                <w:bCs/>
                <w:color w:val="000000" w:themeColor="text1"/>
                <w:sz w:val="18"/>
                <w:szCs w:val="18"/>
              </w:rPr>
              <w:t>Median:</w:t>
            </w:r>
            <w:r w:rsidRPr="00D22D1B">
              <w:rPr>
                <w:color w:val="000000" w:themeColor="text1"/>
                <w:sz w:val="18"/>
                <w:szCs w:val="18"/>
              </w:rPr>
              <w:t xml:space="preserve"> Unprofitable</w:t>
            </w:r>
            <w:r w:rsidR="00EB36E1">
              <w:rPr>
                <w:color w:val="000000" w:themeColor="text1"/>
                <w:sz w:val="18"/>
                <w:szCs w:val="18"/>
              </w:rPr>
              <w:t xml:space="preserve"> </w:t>
            </w:r>
            <w:r w:rsidRPr="00D22D1B">
              <w:rPr>
                <w:b/>
                <w:bCs/>
                <w:color w:val="000000" w:themeColor="text1"/>
                <w:sz w:val="18"/>
                <w:szCs w:val="18"/>
              </w:rPr>
              <w:t>Top quartile:</w:t>
            </w:r>
            <w:r w:rsidRPr="00D22D1B">
              <w:rPr>
                <w:color w:val="000000" w:themeColor="text1"/>
                <w:sz w:val="18"/>
                <w:szCs w:val="18"/>
              </w:rPr>
              <w:t xml:space="preserve"> Generated spectacular returns</w:t>
            </w:r>
            <w:r w:rsidR="00EB36E1">
              <w:rPr>
                <w:color w:val="000000" w:themeColor="text1"/>
                <w:sz w:val="18"/>
                <w:szCs w:val="18"/>
              </w:rPr>
              <w:t xml:space="preserve"> </w:t>
            </w:r>
            <w:r w:rsidRPr="00D22D1B">
              <w:rPr>
                <w:b/>
                <w:bCs/>
                <w:color w:val="000000" w:themeColor="text1"/>
                <w:sz w:val="18"/>
                <w:szCs w:val="18"/>
              </w:rPr>
              <w:t>Sharpe ratio:</w:t>
            </w:r>
            <w:r w:rsidRPr="00D22D1B">
              <w:rPr>
                <w:color w:val="000000" w:themeColor="text1"/>
                <w:sz w:val="18"/>
                <w:szCs w:val="18"/>
              </w:rPr>
              <w:t xml:space="preserve"> 0.3-0.5 (worst in sample)</w:t>
            </w:r>
          </w:p>
        </w:tc>
        <w:tc>
          <w:tcPr>
            <w:tcW w:w="1620" w:type="dxa"/>
            <w:tcBorders>
              <w:top w:val="nil"/>
              <w:left w:val="nil"/>
              <w:bottom w:val="single" w:sz="4" w:space="0" w:color="auto"/>
              <w:right w:val="single" w:sz="4" w:space="0" w:color="auto"/>
            </w:tcBorders>
            <w:hideMark/>
          </w:tcPr>
          <w:p w14:paraId="1FC4CD3D" w14:textId="77777777" w:rsidR="002E5639" w:rsidRPr="00D22D1B" w:rsidRDefault="002E5639" w:rsidP="00B451D7">
            <w:pPr>
              <w:jc w:val="both"/>
              <w:rPr>
                <w:color w:val="000000" w:themeColor="text1"/>
                <w:sz w:val="18"/>
                <w:szCs w:val="18"/>
              </w:rPr>
            </w:pPr>
            <w:r w:rsidRPr="00D22D1B">
              <w:rPr>
                <w:color w:val="000000" w:themeColor="text1"/>
                <w:sz w:val="18"/>
                <w:szCs w:val="18"/>
              </w:rPr>
              <w:t>Severe IL (67% of volatile pair positions experienced IL &gt; fee income); 89% of participants who didn't understand IL mechanics lost money</w:t>
            </w:r>
          </w:p>
        </w:tc>
        <w:tc>
          <w:tcPr>
            <w:tcW w:w="1080" w:type="dxa"/>
            <w:tcBorders>
              <w:top w:val="nil"/>
              <w:left w:val="nil"/>
              <w:bottom w:val="single" w:sz="4" w:space="0" w:color="auto"/>
              <w:right w:val="single" w:sz="4" w:space="0" w:color="auto"/>
            </w:tcBorders>
            <w:hideMark/>
          </w:tcPr>
          <w:p w14:paraId="5C02502F" w14:textId="77777777" w:rsidR="002E5639" w:rsidRPr="00D22D1B" w:rsidRDefault="002E5639" w:rsidP="00B451D7">
            <w:pPr>
              <w:jc w:val="both"/>
              <w:rPr>
                <w:color w:val="000000" w:themeColor="text1"/>
                <w:sz w:val="18"/>
                <w:szCs w:val="18"/>
              </w:rPr>
            </w:pPr>
            <w:r w:rsidRPr="00D22D1B">
              <w:rPr>
                <w:color w:val="000000" w:themeColor="text1"/>
                <w:sz w:val="18"/>
                <w:szCs w:val="18"/>
              </w:rPr>
              <w:t xml:space="preserve">Very high (20-30 </w:t>
            </w:r>
            <w:proofErr w:type="spellStart"/>
            <w:r w:rsidRPr="00D22D1B">
              <w:rPr>
                <w:color w:val="000000" w:themeColor="text1"/>
                <w:sz w:val="18"/>
                <w:szCs w:val="18"/>
              </w:rPr>
              <w:t>hrs</w:t>
            </w:r>
            <w:proofErr w:type="spellEnd"/>
            <w:r w:rsidRPr="00D22D1B">
              <w:rPr>
                <w:color w:val="000000" w:themeColor="text1"/>
                <w:sz w:val="18"/>
                <w:szCs w:val="18"/>
              </w:rPr>
              <w:t>/week)</w:t>
            </w:r>
          </w:p>
        </w:tc>
        <w:tc>
          <w:tcPr>
            <w:tcW w:w="1859" w:type="dxa"/>
            <w:tcBorders>
              <w:top w:val="nil"/>
              <w:left w:val="nil"/>
              <w:bottom w:val="single" w:sz="4" w:space="0" w:color="auto"/>
              <w:right w:val="single" w:sz="8" w:space="0" w:color="auto"/>
            </w:tcBorders>
            <w:hideMark/>
          </w:tcPr>
          <w:p w14:paraId="5FCB0FA9"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Not viable</w:t>
            </w:r>
            <w:r w:rsidRPr="00D22D1B">
              <w:rPr>
                <w:color w:val="000000" w:themeColor="text1"/>
                <w:sz w:val="18"/>
                <w:szCs w:val="18"/>
              </w:rPr>
              <w:t xml:space="preserve"> for most - systematic losses for participants lacking IL understanding; high skill barrier</w:t>
            </w:r>
          </w:p>
        </w:tc>
      </w:tr>
      <w:tr w:rsidR="00D22D1B" w:rsidRPr="00D22D1B" w14:paraId="7D61AD73" w14:textId="77777777" w:rsidTr="00AE5BEC">
        <w:trPr>
          <w:trHeight w:val="71"/>
        </w:trPr>
        <w:tc>
          <w:tcPr>
            <w:tcW w:w="1068" w:type="dxa"/>
            <w:tcBorders>
              <w:top w:val="nil"/>
              <w:left w:val="single" w:sz="8" w:space="0" w:color="auto"/>
              <w:bottom w:val="single" w:sz="4" w:space="0" w:color="auto"/>
              <w:right w:val="single" w:sz="8" w:space="0" w:color="auto"/>
            </w:tcBorders>
            <w:shd w:val="clear" w:color="auto" w:fill="D9D9D9" w:themeFill="background1" w:themeFillShade="D9"/>
            <w:hideMark/>
          </w:tcPr>
          <w:p w14:paraId="77C74590"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Liquidity Provision - Concentrated (Uniswap v3)</w:t>
            </w:r>
          </w:p>
        </w:tc>
        <w:tc>
          <w:tcPr>
            <w:tcW w:w="1082" w:type="dxa"/>
            <w:tcBorders>
              <w:top w:val="nil"/>
              <w:left w:val="nil"/>
              <w:bottom w:val="single" w:sz="4" w:space="0" w:color="auto"/>
              <w:right w:val="single" w:sz="4" w:space="0" w:color="auto"/>
            </w:tcBorders>
            <w:hideMark/>
          </w:tcPr>
          <w:p w14:paraId="32C4AC8F" w14:textId="42E882DC" w:rsidR="002E5639" w:rsidRPr="00D22D1B" w:rsidRDefault="002E5639" w:rsidP="00B451D7">
            <w:pPr>
              <w:jc w:val="both"/>
              <w:rPr>
                <w:color w:val="000000" w:themeColor="text1"/>
                <w:sz w:val="18"/>
                <w:szCs w:val="18"/>
              </w:rPr>
            </w:pPr>
            <w:r w:rsidRPr="00D22D1B">
              <w:rPr>
                <w:color w:val="000000" w:themeColor="text1"/>
                <w:sz w:val="18"/>
                <w:szCs w:val="18"/>
              </w:rPr>
              <w:t>Ethereum: $25,000+</w:t>
            </w:r>
            <w:r w:rsidR="00EB36E1">
              <w:rPr>
                <w:color w:val="000000" w:themeColor="text1"/>
                <w:sz w:val="18"/>
                <w:szCs w:val="18"/>
              </w:rPr>
              <w:t xml:space="preserve"> </w:t>
            </w:r>
            <w:r w:rsidRPr="00D22D1B">
              <w:rPr>
                <w:color w:val="000000" w:themeColor="text1"/>
                <w:sz w:val="18"/>
                <w:szCs w:val="18"/>
              </w:rPr>
              <w:t>L2: $5,000+</w:t>
            </w:r>
          </w:p>
        </w:tc>
        <w:tc>
          <w:tcPr>
            <w:tcW w:w="931" w:type="dxa"/>
            <w:tcBorders>
              <w:top w:val="nil"/>
              <w:left w:val="nil"/>
              <w:bottom w:val="single" w:sz="4" w:space="0" w:color="auto"/>
              <w:right w:val="single" w:sz="4" w:space="0" w:color="auto"/>
            </w:tcBorders>
            <w:hideMark/>
          </w:tcPr>
          <w:p w14:paraId="3E1CBE8B" w14:textId="77777777" w:rsidR="002E5639" w:rsidRPr="00D22D1B" w:rsidRDefault="002E5639" w:rsidP="00B451D7">
            <w:pPr>
              <w:jc w:val="both"/>
              <w:rPr>
                <w:color w:val="000000" w:themeColor="text1"/>
                <w:sz w:val="18"/>
                <w:szCs w:val="18"/>
              </w:rPr>
            </w:pPr>
            <w:r w:rsidRPr="00D22D1B">
              <w:rPr>
                <w:color w:val="000000" w:themeColor="text1"/>
                <w:sz w:val="18"/>
                <w:szCs w:val="18"/>
              </w:rPr>
              <w:t>"Up to 4000x capital efficiency"</w:t>
            </w:r>
          </w:p>
        </w:tc>
        <w:tc>
          <w:tcPr>
            <w:tcW w:w="1710" w:type="dxa"/>
            <w:tcBorders>
              <w:top w:val="nil"/>
              <w:left w:val="nil"/>
              <w:bottom w:val="single" w:sz="4" w:space="0" w:color="auto"/>
              <w:right w:val="single" w:sz="4" w:space="0" w:color="auto"/>
            </w:tcBorders>
            <w:hideMark/>
          </w:tcPr>
          <w:p w14:paraId="6FC6B71B" w14:textId="679B22C2" w:rsidR="002E5639" w:rsidRPr="00D22D1B" w:rsidRDefault="002E5639" w:rsidP="00B451D7">
            <w:pPr>
              <w:jc w:val="both"/>
              <w:rPr>
                <w:b/>
                <w:bCs/>
                <w:color w:val="000000" w:themeColor="text1"/>
                <w:sz w:val="18"/>
                <w:szCs w:val="18"/>
              </w:rPr>
            </w:pPr>
            <w:r w:rsidRPr="00D22D1B">
              <w:rPr>
                <w:b/>
                <w:bCs/>
                <w:color w:val="000000" w:themeColor="text1"/>
                <w:sz w:val="18"/>
                <w:szCs w:val="18"/>
              </w:rPr>
              <w:t>Professional:</w:t>
            </w:r>
            <w:r w:rsidRPr="00D22D1B">
              <w:rPr>
                <w:color w:val="000000" w:themeColor="text1"/>
                <w:sz w:val="18"/>
                <w:szCs w:val="18"/>
              </w:rPr>
              <w:t xml:space="preserve"> 23-47% (with infrastructure + expertise)</w:t>
            </w:r>
            <w:r w:rsidR="00EB36E1">
              <w:rPr>
                <w:color w:val="000000" w:themeColor="text1"/>
                <w:sz w:val="18"/>
                <w:szCs w:val="18"/>
              </w:rPr>
              <w:t xml:space="preserve"> </w:t>
            </w:r>
            <w:r w:rsidRPr="00D22D1B">
              <w:rPr>
                <w:b/>
                <w:bCs/>
                <w:color w:val="000000" w:themeColor="text1"/>
                <w:sz w:val="18"/>
                <w:szCs w:val="18"/>
              </w:rPr>
              <w:t>Retail:</w:t>
            </w:r>
            <w:r w:rsidRPr="00D22D1B">
              <w:rPr>
                <w:color w:val="000000" w:themeColor="text1"/>
                <w:sz w:val="18"/>
                <w:szCs w:val="18"/>
              </w:rPr>
              <w:t xml:space="preserve"> </w:t>
            </w:r>
            <w:r w:rsidR="00EB36E1" w:rsidRPr="00D22D1B">
              <w:rPr>
                <w:color w:val="000000" w:themeColor="text1"/>
                <w:sz w:val="18"/>
                <w:szCs w:val="18"/>
              </w:rPr>
              <w:t>Typically,</w:t>
            </w:r>
            <w:r w:rsidRPr="00D22D1B">
              <w:rPr>
                <w:color w:val="000000" w:themeColor="text1"/>
                <w:sz w:val="18"/>
                <w:szCs w:val="18"/>
              </w:rPr>
              <w:t xml:space="preserve"> lost money</w:t>
            </w:r>
            <w:r w:rsidR="00EB36E1">
              <w:rPr>
                <w:color w:val="000000" w:themeColor="text1"/>
                <w:sz w:val="18"/>
                <w:szCs w:val="18"/>
              </w:rPr>
              <w:t xml:space="preserve"> </w:t>
            </w:r>
            <w:r w:rsidRPr="00D22D1B">
              <w:rPr>
                <w:b/>
                <w:bCs/>
                <w:color w:val="000000" w:themeColor="text1"/>
                <w:sz w:val="18"/>
                <w:szCs w:val="18"/>
              </w:rPr>
              <w:t>Capital efficiency:</w:t>
            </w:r>
            <w:r w:rsidRPr="00D22D1B">
              <w:rPr>
                <w:color w:val="000000" w:themeColor="text1"/>
                <w:sz w:val="18"/>
                <w:szCs w:val="18"/>
              </w:rPr>
              <w:t xml:space="preserve"> Retail 1.5-2.5x vs Professional 18-25x vs theoretical 4000x</w:t>
            </w:r>
          </w:p>
        </w:tc>
        <w:tc>
          <w:tcPr>
            <w:tcW w:w="1620" w:type="dxa"/>
            <w:tcBorders>
              <w:top w:val="nil"/>
              <w:left w:val="nil"/>
              <w:bottom w:val="single" w:sz="4" w:space="0" w:color="auto"/>
              <w:right w:val="single" w:sz="4" w:space="0" w:color="auto"/>
            </w:tcBorders>
            <w:hideMark/>
          </w:tcPr>
          <w:p w14:paraId="356B7421" w14:textId="77777777" w:rsidR="002E5639" w:rsidRPr="00D22D1B" w:rsidRDefault="002E5639" w:rsidP="00B451D7">
            <w:pPr>
              <w:jc w:val="both"/>
              <w:rPr>
                <w:color w:val="000000" w:themeColor="text1"/>
                <w:sz w:val="18"/>
                <w:szCs w:val="18"/>
              </w:rPr>
            </w:pPr>
            <w:r w:rsidRPr="00D22D1B">
              <w:rPr>
                <w:color w:val="000000" w:themeColor="text1"/>
                <w:sz w:val="18"/>
                <w:szCs w:val="18"/>
              </w:rPr>
              <w:t>Goes out of range (retail 61% time in-range vs professional 94%); IL amplified by concentration; constant rebalancing ($15-60 gas per rebalance ETH)</w:t>
            </w:r>
          </w:p>
        </w:tc>
        <w:tc>
          <w:tcPr>
            <w:tcW w:w="1080" w:type="dxa"/>
            <w:tcBorders>
              <w:top w:val="nil"/>
              <w:left w:val="nil"/>
              <w:bottom w:val="single" w:sz="4" w:space="0" w:color="auto"/>
              <w:right w:val="single" w:sz="4" w:space="0" w:color="auto"/>
            </w:tcBorders>
            <w:hideMark/>
          </w:tcPr>
          <w:p w14:paraId="7652F06C" w14:textId="77777777" w:rsidR="002E5639" w:rsidRPr="00D22D1B" w:rsidRDefault="002E5639" w:rsidP="00B451D7">
            <w:pPr>
              <w:jc w:val="both"/>
              <w:rPr>
                <w:color w:val="000000" w:themeColor="text1"/>
                <w:sz w:val="18"/>
                <w:szCs w:val="18"/>
              </w:rPr>
            </w:pPr>
            <w:r w:rsidRPr="00D22D1B">
              <w:rPr>
                <w:color w:val="000000" w:themeColor="text1"/>
                <w:sz w:val="18"/>
                <w:szCs w:val="18"/>
              </w:rPr>
              <w:t xml:space="preserve">Very high (25+ </w:t>
            </w:r>
            <w:proofErr w:type="spellStart"/>
            <w:r w:rsidRPr="00D22D1B">
              <w:rPr>
                <w:color w:val="000000" w:themeColor="text1"/>
                <w:sz w:val="18"/>
                <w:szCs w:val="18"/>
              </w:rPr>
              <w:t>hrs</w:t>
            </w:r>
            <w:proofErr w:type="spellEnd"/>
            <w:r w:rsidRPr="00D22D1B">
              <w:rPr>
                <w:color w:val="000000" w:themeColor="text1"/>
                <w:sz w:val="18"/>
                <w:szCs w:val="18"/>
              </w:rPr>
              <w:t>/week) or requires automation</w:t>
            </w:r>
          </w:p>
        </w:tc>
        <w:tc>
          <w:tcPr>
            <w:tcW w:w="1859" w:type="dxa"/>
            <w:tcBorders>
              <w:top w:val="nil"/>
              <w:left w:val="nil"/>
              <w:bottom w:val="single" w:sz="4" w:space="0" w:color="auto"/>
              <w:right w:val="single" w:sz="8" w:space="0" w:color="auto"/>
            </w:tcBorders>
            <w:hideMark/>
          </w:tcPr>
          <w:p w14:paraId="66DE68A7"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Not viable</w:t>
            </w:r>
            <w:r w:rsidRPr="00D22D1B">
              <w:rPr>
                <w:color w:val="000000" w:themeColor="text1"/>
                <w:sz w:val="18"/>
                <w:szCs w:val="18"/>
              </w:rPr>
              <w:t xml:space="preserve"> for retail - complexity premium captures </w:t>
            </w:r>
            <w:proofErr w:type="gramStart"/>
            <w:r w:rsidRPr="00D22D1B">
              <w:rPr>
                <w:color w:val="000000" w:themeColor="text1"/>
                <w:sz w:val="18"/>
                <w:szCs w:val="18"/>
              </w:rPr>
              <w:t>returns</w:t>
            </w:r>
            <w:proofErr w:type="gramEnd"/>
            <w:r w:rsidRPr="00D22D1B">
              <w:rPr>
                <w:color w:val="000000" w:themeColor="text1"/>
                <w:sz w:val="18"/>
                <w:szCs w:val="18"/>
              </w:rPr>
              <w:t>; professionalized market-making; casual participants "typically lost money" per empirical observation</w:t>
            </w:r>
          </w:p>
        </w:tc>
      </w:tr>
      <w:tr w:rsidR="00A6155B" w:rsidRPr="00D22D1B" w14:paraId="49C8ACD7" w14:textId="77777777" w:rsidTr="00AE5BEC">
        <w:trPr>
          <w:trHeight w:val="872"/>
        </w:trPr>
        <w:tc>
          <w:tcPr>
            <w:tcW w:w="1068" w:type="dxa"/>
            <w:tcBorders>
              <w:top w:val="nil"/>
              <w:left w:val="single" w:sz="8" w:space="0" w:color="auto"/>
              <w:bottom w:val="single" w:sz="8" w:space="0" w:color="auto"/>
              <w:right w:val="single" w:sz="8" w:space="0" w:color="auto"/>
            </w:tcBorders>
            <w:shd w:val="clear" w:color="auto" w:fill="D9D9D9" w:themeFill="background1" w:themeFillShade="D9"/>
            <w:hideMark/>
          </w:tcPr>
          <w:p w14:paraId="27480C5D"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Affiliate Programs</w:t>
            </w:r>
          </w:p>
        </w:tc>
        <w:tc>
          <w:tcPr>
            <w:tcW w:w="1082" w:type="dxa"/>
            <w:tcBorders>
              <w:top w:val="nil"/>
              <w:left w:val="nil"/>
              <w:bottom w:val="single" w:sz="8" w:space="0" w:color="auto"/>
              <w:right w:val="single" w:sz="4" w:space="0" w:color="auto"/>
            </w:tcBorders>
            <w:hideMark/>
          </w:tcPr>
          <w:p w14:paraId="120F21BB" w14:textId="77777777" w:rsidR="002E5639" w:rsidRPr="00D22D1B" w:rsidRDefault="002E5639" w:rsidP="00B451D7">
            <w:pPr>
              <w:jc w:val="both"/>
              <w:rPr>
                <w:color w:val="000000" w:themeColor="text1"/>
                <w:sz w:val="18"/>
                <w:szCs w:val="18"/>
              </w:rPr>
            </w:pPr>
            <w:r w:rsidRPr="00D22D1B">
              <w:rPr>
                <w:color w:val="000000" w:themeColor="text1"/>
                <w:sz w:val="18"/>
                <w:szCs w:val="18"/>
              </w:rPr>
              <w:t>$0 (no capital required)</w:t>
            </w:r>
          </w:p>
        </w:tc>
        <w:tc>
          <w:tcPr>
            <w:tcW w:w="931" w:type="dxa"/>
            <w:tcBorders>
              <w:top w:val="nil"/>
              <w:left w:val="nil"/>
              <w:bottom w:val="single" w:sz="8" w:space="0" w:color="auto"/>
              <w:right w:val="single" w:sz="4" w:space="0" w:color="auto"/>
            </w:tcBorders>
            <w:hideMark/>
          </w:tcPr>
          <w:p w14:paraId="698DC385" w14:textId="77777777" w:rsidR="002E5639" w:rsidRPr="00D22D1B" w:rsidRDefault="002E5639" w:rsidP="00B451D7">
            <w:pPr>
              <w:jc w:val="both"/>
              <w:rPr>
                <w:color w:val="000000" w:themeColor="text1"/>
                <w:sz w:val="18"/>
                <w:szCs w:val="18"/>
              </w:rPr>
            </w:pPr>
            <w:r w:rsidRPr="00D22D1B">
              <w:rPr>
                <w:color w:val="000000" w:themeColor="text1"/>
                <w:sz w:val="18"/>
                <w:szCs w:val="18"/>
              </w:rPr>
              <w:t>"Passive commissions"</w:t>
            </w:r>
          </w:p>
        </w:tc>
        <w:tc>
          <w:tcPr>
            <w:tcW w:w="1710" w:type="dxa"/>
            <w:tcBorders>
              <w:top w:val="nil"/>
              <w:left w:val="nil"/>
              <w:bottom w:val="single" w:sz="8" w:space="0" w:color="auto"/>
              <w:right w:val="single" w:sz="4" w:space="0" w:color="auto"/>
            </w:tcBorders>
            <w:hideMark/>
          </w:tcPr>
          <w:p w14:paraId="7E92B52E" w14:textId="74EC78EF" w:rsidR="002E5639" w:rsidRPr="00D22D1B" w:rsidRDefault="002E5639" w:rsidP="00B451D7">
            <w:pPr>
              <w:jc w:val="both"/>
              <w:rPr>
                <w:b/>
                <w:bCs/>
                <w:color w:val="000000" w:themeColor="text1"/>
                <w:sz w:val="18"/>
                <w:szCs w:val="18"/>
              </w:rPr>
            </w:pPr>
            <w:r w:rsidRPr="00D22D1B">
              <w:rPr>
                <w:b/>
                <w:bCs/>
                <w:color w:val="000000" w:themeColor="text1"/>
                <w:sz w:val="18"/>
                <w:szCs w:val="18"/>
              </w:rPr>
              <w:t>Median:</w:t>
            </w:r>
            <w:r w:rsidRPr="00D22D1B">
              <w:rPr>
                <w:color w:val="000000" w:themeColor="text1"/>
                <w:sz w:val="18"/>
                <w:szCs w:val="18"/>
              </w:rPr>
              <w:t xml:space="preserve"> $23/month observed</w:t>
            </w:r>
            <w:r w:rsidR="00EB36E1">
              <w:rPr>
                <w:color w:val="000000" w:themeColor="text1"/>
                <w:sz w:val="18"/>
                <w:szCs w:val="18"/>
              </w:rPr>
              <w:t xml:space="preserve"> </w:t>
            </w:r>
            <w:r w:rsidRPr="00D22D1B">
              <w:rPr>
                <w:b/>
                <w:bCs/>
                <w:color w:val="000000" w:themeColor="text1"/>
                <w:sz w:val="18"/>
                <w:szCs w:val="18"/>
              </w:rPr>
              <w:t>Distribution:</w:t>
            </w:r>
            <w:r w:rsidRPr="00D22D1B">
              <w:rPr>
                <w:color w:val="000000" w:themeColor="text1"/>
                <w:sz w:val="18"/>
                <w:szCs w:val="18"/>
              </w:rPr>
              <w:t xml:space="preserve"> 82% of commissions to top 10% of affiliates</w:t>
            </w:r>
          </w:p>
        </w:tc>
        <w:tc>
          <w:tcPr>
            <w:tcW w:w="1620" w:type="dxa"/>
            <w:tcBorders>
              <w:top w:val="nil"/>
              <w:left w:val="nil"/>
              <w:bottom w:val="single" w:sz="8" w:space="0" w:color="auto"/>
              <w:right w:val="single" w:sz="4" w:space="0" w:color="auto"/>
            </w:tcBorders>
            <w:hideMark/>
          </w:tcPr>
          <w:p w14:paraId="5D3DAD2E" w14:textId="77777777" w:rsidR="002E5639" w:rsidRPr="00D22D1B" w:rsidRDefault="002E5639" w:rsidP="00B451D7">
            <w:pPr>
              <w:jc w:val="both"/>
              <w:rPr>
                <w:color w:val="000000" w:themeColor="text1"/>
                <w:sz w:val="18"/>
                <w:szCs w:val="18"/>
              </w:rPr>
            </w:pPr>
            <w:r w:rsidRPr="00D22D1B">
              <w:rPr>
                <w:color w:val="000000" w:themeColor="text1"/>
                <w:sz w:val="18"/>
                <w:szCs w:val="18"/>
              </w:rPr>
              <w:t>Reputation risk; regulatory uncertainty; platform policy changes</w:t>
            </w:r>
          </w:p>
        </w:tc>
        <w:tc>
          <w:tcPr>
            <w:tcW w:w="1080" w:type="dxa"/>
            <w:tcBorders>
              <w:top w:val="nil"/>
              <w:left w:val="nil"/>
              <w:bottom w:val="single" w:sz="8" w:space="0" w:color="auto"/>
              <w:right w:val="single" w:sz="4" w:space="0" w:color="auto"/>
            </w:tcBorders>
            <w:hideMark/>
          </w:tcPr>
          <w:p w14:paraId="2229A723" w14:textId="77777777" w:rsidR="002E5639" w:rsidRPr="00D22D1B" w:rsidRDefault="002E5639" w:rsidP="00B451D7">
            <w:pPr>
              <w:jc w:val="both"/>
              <w:rPr>
                <w:color w:val="000000" w:themeColor="text1"/>
                <w:sz w:val="18"/>
                <w:szCs w:val="18"/>
              </w:rPr>
            </w:pPr>
            <w:r w:rsidRPr="00D22D1B">
              <w:rPr>
                <w:color w:val="000000" w:themeColor="text1"/>
                <w:sz w:val="18"/>
                <w:szCs w:val="18"/>
              </w:rPr>
              <w:t>High (marketing effort required, not financial management)</w:t>
            </w:r>
          </w:p>
        </w:tc>
        <w:tc>
          <w:tcPr>
            <w:tcW w:w="1859" w:type="dxa"/>
            <w:tcBorders>
              <w:top w:val="nil"/>
              <w:left w:val="nil"/>
              <w:bottom w:val="single" w:sz="8" w:space="0" w:color="auto"/>
              <w:right w:val="single" w:sz="8" w:space="0" w:color="auto"/>
            </w:tcBorders>
            <w:hideMark/>
          </w:tcPr>
          <w:p w14:paraId="32FDB2FF" w14:textId="77777777" w:rsidR="002E5639" w:rsidRPr="00D22D1B" w:rsidRDefault="002E5639" w:rsidP="00B451D7">
            <w:pPr>
              <w:jc w:val="both"/>
              <w:rPr>
                <w:b/>
                <w:bCs/>
                <w:color w:val="000000" w:themeColor="text1"/>
                <w:sz w:val="18"/>
                <w:szCs w:val="18"/>
              </w:rPr>
            </w:pPr>
            <w:r w:rsidRPr="00D22D1B">
              <w:rPr>
                <w:b/>
                <w:bCs/>
                <w:color w:val="000000" w:themeColor="text1"/>
                <w:sz w:val="18"/>
                <w:szCs w:val="18"/>
              </w:rPr>
              <w:t>Not viable</w:t>
            </w:r>
            <w:r w:rsidRPr="00D22D1B">
              <w:rPr>
                <w:color w:val="000000" w:themeColor="text1"/>
                <w:sz w:val="18"/>
                <w:szCs w:val="18"/>
              </w:rPr>
              <w:t xml:space="preserve"> as DeFi income - this is marketing competition, not cryptocurrency opportunity; </w:t>
            </w:r>
            <w:proofErr w:type="gramStart"/>
            <w:r w:rsidRPr="00D22D1B">
              <w:rPr>
                <w:color w:val="000000" w:themeColor="text1"/>
                <w:sz w:val="18"/>
                <w:szCs w:val="18"/>
              </w:rPr>
              <w:t>requires</w:t>
            </w:r>
            <w:proofErr w:type="gramEnd"/>
            <w:r w:rsidRPr="00D22D1B">
              <w:rPr>
                <w:color w:val="000000" w:themeColor="text1"/>
                <w:sz w:val="18"/>
                <w:szCs w:val="18"/>
              </w:rPr>
              <w:t xml:space="preserve"> pre-existing audience</w:t>
            </w:r>
          </w:p>
        </w:tc>
      </w:tr>
    </w:tbl>
    <w:p w14:paraId="732D561A" w14:textId="77777777" w:rsidR="002E5639" w:rsidRPr="00D22D1B" w:rsidRDefault="002E5639" w:rsidP="00B451D7">
      <w:pPr>
        <w:jc w:val="both"/>
        <w:rPr>
          <w:color w:val="000000" w:themeColor="text1"/>
          <w:sz w:val="20"/>
          <w:szCs w:val="20"/>
        </w:rPr>
      </w:pPr>
    </w:p>
    <w:p w14:paraId="215B9042" w14:textId="2BCA87C7" w:rsidR="00917A9B" w:rsidRPr="00D22D1B" w:rsidRDefault="00917A9B" w:rsidP="00B451D7">
      <w:pPr>
        <w:jc w:val="both"/>
        <w:rPr>
          <w:color w:val="000000" w:themeColor="text1"/>
        </w:rPr>
      </w:pPr>
      <w:r w:rsidRPr="00D22D1B">
        <w:rPr>
          <w:color w:val="000000" w:themeColor="text1"/>
        </w:rPr>
        <w:lastRenderedPageBreak/>
        <w:t xml:space="preserve">This framework for comparison shows that there are big differences between how easy it is to use and how profitable different DeFi income systems are. </w:t>
      </w:r>
      <w:r w:rsidR="000A580B" w:rsidRPr="00D22D1B">
        <w:rPr>
          <w:color w:val="000000" w:themeColor="text1"/>
        </w:rPr>
        <w:t>It also indicates that</w:t>
      </w:r>
      <w:r w:rsidRPr="00D22D1B">
        <w:rPr>
          <w:color w:val="000000" w:themeColor="text1"/>
        </w:rPr>
        <w:t xml:space="preserve"> during the stud</w:t>
      </w:r>
      <w:r w:rsidR="000A580B" w:rsidRPr="00D22D1B">
        <w:rPr>
          <w:color w:val="000000" w:themeColor="text1"/>
        </w:rPr>
        <w:t>y</w:t>
      </w:r>
      <w:r w:rsidRPr="00D22D1B">
        <w:rPr>
          <w:color w:val="000000" w:themeColor="text1"/>
        </w:rPr>
        <w:t xml:space="preserve"> only one mechanism—stablecoin liquidity provision on cost-appropriate networks—consistently produced positive returns. The 4-8% returns </w:t>
      </w:r>
      <w:r w:rsidR="000A580B" w:rsidRPr="00D22D1B">
        <w:rPr>
          <w:color w:val="000000" w:themeColor="text1"/>
        </w:rPr>
        <w:t>are minimal when</w:t>
      </w:r>
      <w:r w:rsidRPr="00D22D1B">
        <w:rPr>
          <w:color w:val="000000" w:themeColor="text1"/>
        </w:rPr>
        <w:t xml:space="preserve"> compared to the 100–100% yields that were promised</w:t>
      </w:r>
      <w:r w:rsidR="000A580B" w:rsidRPr="00D22D1B">
        <w:rPr>
          <w:color w:val="000000" w:themeColor="text1"/>
        </w:rPr>
        <w:t>. However, these returns</w:t>
      </w:r>
      <w:r w:rsidRPr="00D22D1B">
        <w:rPr>
          <w:color w:val="000000" w:themeColor="text1"/>
        </w:rPr>
        <w:t xml:space="preserve"> were able to be maintained because they came from trading fees instead of unsustainable token emissions or new user subsidies </w:t>
      </w:r>
      <w:r w:rsidR="000A580B" w:rsidRPr="00D22D1B">
        <w:rPr>
          <w:color w:val="000000" w:themeColor="text1"/>
        </w:rPr>
        <w:t xml:space="preserve">via </w:t>
      </w:r>
      <w:r w:rsidRPr="00D22D1B">
        <w:rPr>
          <w:color w:val="000000" w:themeColor="text1"/>
        </w:rPr>
        <w:t>other mechanisms.</w:t>
      </w:r>
    </w:p>
    <w:p w14:paraId="0C35050F" w14:textId="77777777" w:rsidR="00B23F43" w:rsidRDefault="00B23F43" w:rsidP="00B451D7">
      <w:pPr>
        <w:jc w:val="both"/>
        <w:rPr>
          <w:color w:val="000000" w:themeColor="text1"/>
        </w:rPr>
      </w:pPr>
    </w:p>
    <w:p w14:paraId="0B3B2D6A" w14:textId="7CCAD407" w:rsidR="00917A9B" w:rsidRDefault="00917A9B" w:rsidP="00B451D7">
      <w:pPr>
        <w:jc w:val="both"/>
        <w:rPr>
          <w:color w:val="000000" w:themeColor="text1"/>
        </w:rPr>
      </w:pPr>
      <w:r w:rsidRPr="00D22D1B">
        <w:rPr>
          <w:color w:val="000000" w:themeColor="text1"/>
        </w:rPr>
        <w:t xml:space="preserve">The minimum viable capital column shows how the amount of capital needed varies </w:t>
      </w:r>
      <w:r w:rsidR="00A967B3" w:rsidRPr="00D22D1B">
        <w:rPr>
          <w:color w:val="000000" w:themeColor="text1"/>
        </w:rPr>
        <w:t>significantly</w:t>
      </w:r>
      <w:r w:rsidRPr="00D22D1B">
        <w:rPr>
          <w:color w:val="000000" w:themeColor="text1"/>
        </w:rPr>
        <w:t xml:space="preserve"> between networks ($750 on Polygon vs. $25,000 on Ethereum </w:t>
      </w:r>
      <w:proofErr w:type="spellStart"/>
      <w:r w:rsidRPr="00D22D1B">
        <w:rPr>
          <w:color w:val="000000" w:themeColor="text1"/>
        </w:rPr>
        <w:t>mainnet</w:t>
      </w:r>
      <w:proofErr w:type="spellEnd"/>
      <w:r w:rsidRPr="00D22D1B">
        <w:rPr>
          <w:color w:val="000000" w:themeColor="text1"/>
        </w:rPr>
        <w:t xml:space="preserve"> for similar tactics). Fixed costs (mostly gas fees, which average $847 per quarter on the Ethereum </w:t>
      </w:r>
      <w:proofErr w:type="spellStart"/>
      <w:r w:rsidRPr="00D22D1B">
        <w:rPr>
          <w:color w:val="000000" w:themeColor="text1"/>
        </w:rPr>
        <w:t>mainnet</w:t>
      </w:r>
      <w:proofErr w:type="spellEnd"/>
      <w:r w:rsidRPr="00D22D1B">
        <w:rPr>
          <w:color w:val="000000" w:themeColor="text1"/>
        </w:rPr>
        <w:t xml:space="preserve">) and position size are connected mathematically </w:t>
      </w:r>
      <w:r w:rsidR="00A967B3" w:rsidRPr="00D22D1B">
        <w:rPr>
          <w:color w:val="000000" w:themeColor="text1"/>
        </w:rPr>
        <w:t>which</w:t>
      </w:r>
      <w:r w:rsidRPr="00D22D1B">
        <w:rPr>
          <w:color w:val="000000" w:themeColor="text1"/>
        </w:rPr>
        <w:t xml:space="preserve"> makes </w:t>
      </w:r>
      <w:r w:rsidR="00A967B3" w:rsidRPr="00D22D1B">
        <w:rPr>
          <w:color w:val="000000" w:themeColor="text1"/>
        </w:rPr>
        <w:t>the</w:t>
      </w:r>
      <w:r w:rsidRPr="00D22D1B">
        <w:rPr>
          <w:color w:val="000000" w:themeColor="text1"/>
        </w:rPr>
        <w:t xml:space="preserve"> minimum limits</w:t>
      </w:r>
      <w:r w:rsidR="00A967B3" w:rsidRPr="00D22D1B">
        <w:rPr>
          <w:color w:val="000000" w:themeColor="text1"/>
        </w:rPr>
        <w:t>. Although m</w:t>
      </w:r>
      <w:r w:rsidRPr="00D22D1B">
        <w:rPr>
          <w:color w:val="000000" w:themeColor="text1"/>
        </w:rPr>
        <w:t>arketing claims "$100 minimum participation</w:t>
      </w:r>
      <w:r w:rsidR="00A967B3" w:rsidRPr="00D22D1B">
        <w:rPr>
          <w:color w:val="000000" w:themeColor="text1"/>
        </w:rPr>
        <w:t xml:space="preserve">” which they are as </w:t>
      </w:r>
      <w:r w:rsidRPr="00D22D1B">
        <w:rPr>
          <w:color w:val="000000" w:themeColor="text1"/>
        </w:rPr>
        <w:t xml:space="preserve">protocols accept </w:t>
      </w:r>
      <w:r w:rsidR="00A967B3" w:rsidRPr="00D22D1B">
        <w:rPr>
          <w:color w:val="000000" w:themeColor="text1"/>
        </w:rPr>
        <w:t xml:space="preserve">these amounts, </w:t>
      </w:r>
      <w:r w:rsidRPr="00D22D1B">
        <w:rPr>
          <w:color w:val="000000" w:themeColor="text1"/>
        </w:rPr>
        <w:t xml:space="preserve">but they have no economic value because positions below network-specific thresholds </w:t>
      </w:r>
      <w:r w:rsidR="00A967B3" w:rsidRPr="00D22D1B">
        <w:rPr>
          <w:color w:val="000000" w:themeColor="text1"/>
        </w:rPr>
        <w:t xml:space="preserve">will </w:t>
      </w:r>
      <w:r w:rsidRPr="00D22D1B">
        <w:rPr>
          <w:color w:val="000000" w:themeColor="text1"/>
        </w:rPr>
        <w:t>always result in losses</w:t>
      </w:r>
      <w:r w:rsidR="00A967B3" w:rsidRPr="00D22D1B">
        <w:rPr>
          <w:color w:val="000000" w:themeColor="text1"/>
        </w:rPr>
        <w:t xml:space="preserve">. These losses are to be expected </w:t>
      </w:r>
      <w:r w:rsidRPr="00D22D1B">
        <w:rPr>
          <w:color w:val="000000" w:themeColor="text1"/>
        </w:rPr>
        <w:t xml:space="preserve">no matter how good the strategy is or how </w:t>
      </w:r>
      <w:r w:rsidR="00A967B3" w:rsidRPr="00D22D1B">
        <w:rPr>
          <w:color w:val="000000" w:themeColor="text1"/>
        </w:rPr>
        <w:t>experienced</w:t>
      </w:r>
      <w:r w:rsidRPr="00D22D1B">
        <w:rPr>
          <w:color w:val="000000" w:themeColor="text1"/>
        </w:rPr>
        <w:t xml:space="preserve"> the participant is. </w:t>
      </w:r>
    </w:p>
    <w:p w14:paraId="6DA92A49" w14:textId="77777777" w:rsidR="00B23F43" w:rsidRPr="00D22D1B" w:rsidRDefault="00B23F43" w:rsidP="00B451D7">
      <w:pPr>
        <w:jc w:val="both"/>
        <w:rPr>
          <w:color w:val="000000" w:themeColor="text1"/>
        </w:rPr>
      </w:pPr>
    </w:p>
    <w:p w14:paraId="2700FEA0" w14:textId="65C5DA4D" w:rsidR="00917A9B" w:rsidRPr="00D22D1B" w:rsidRDefault="00420E9A" w:rsidP="00B451D7">
      <w:pPr>
        <w:jc w:val="both"/>
        <w:rPr>
          <w:color w:val="000000" w:themeColor="text1"/>
        </w:rPr>
      </w:pPr>
      <w:r w:rsidRPr="00D22D1B">
        <w:rPr>
          <w:color w:val="000000" w:themeColor="text1"/>
        </w:rPr>
        <w:t>The identified t</w:t>
      </w:r>
      <w:r w:rsidR="00917A9B" w:rsidRPr="00D22D1B">
        <w:rPr>
          <w:color w:val="000000" w:themeColor="text1"/>
        </w:rPr>
        <w:t>ime requirements always go against "passive income" promotion</w:t>
      </w:r>
      <w:r w:rsidRPr="00D22D1B">
        <w:rPr>
          <w:color w:val="000000" w:themeColor="text1"/>
        </w:rPr>
        <w:t>s.</w:t>
      </w:r>
      <w:r w:rsidR="00917A9B" w:rsidRPr="00D22D1B">
        <w:rPr>
          <w:color w:val="000000" w:themeColor="text1"/>
        </w:rPr>
        <w:t xml:space="preserve"> </w:t>
      </w:r>
      <w:r w:rsidRPr="00D22D1B">
        <w:rPr>
          <w:color w:val="000000" w:themeColor="text1"/>
        </w:rPr>
        <w:t xml:space="preserve">This is true </w:t>
      </w:r>
      <w:r w:rsidR="00917A9B" w:rsidRPr="00D22D1B">
        <w:rPr>
          <w:color w:val="000000" w:themeColor="text1"/>
        </w:rPr>
        <w:t xml:space="preserve">no matter what method </w:t>
      </w:r>
      <w:r w:rsidRPr="00D22D1B">
        <w:rPr>
          <w:color w:val="000000" w:themeColor="text1"/>
        </w:rPr>
        <w:t xml:space="preserve">or strategy </w:t>
      </w:r>
      <w:r w:rsidR="00917A9B" w:rsidRPr="00D22D1B">
        <w:rPr>
          <w:color w:val="000000" w:themeColor="text1"/>
        </w:rPr>
        <w:t xml:space="preserve">is used. Even the easiest </w:t>
      </w:r>
      <w:r w:rsidR="002D132F" w:rsidRPr="00D22D1B">
        <w:rPr>
          <w:color w:val="000000" w:themeColor="text1"/>
        </w:rPr>
        <w:t xml:space="preserve">participation </w:t>
      </w:r>
      <w:r w:rsidR="00917A9B" w:rsidRPr="00D22D1B">
        <w:rPr>
          <w:color w:val="000000" w:themeColor="text1"/>
        </w:rPr>
        <w:t xml:space="preserve">(liquid staking through Lido) </w:t>
      </w:r>
      <w:r w:rsidR="002D132F" w:rsidRPr="00D22D1B">
        <w:rPr>
          <w:color w:val="000000" w:themeColor="text1"/>
        </w:rPr>
        <w:t>requires</w:t>
      </w:r>
      <w:r w:rsidR="00917A9B" w:rsidRPr="00D22D1B">
        <w:rPr>
          <w:color w:val="000000" w:themeColor="text1"/>
        </w:rPr>
        <w:t xml:space="preserve"> ongoing </w:t>
      </w:r>
      <w:r w:rsidR="00EB36E1" w:rsidRPr="00D22D1B">
        <w:rPr>
          <w:color w:val="000000" w:themeColor="text1"/>
        </w:rPr>
        <w:t>monitoring and</w:t>
      </w:r>
      <w:r w:rsidR="00917A9B" w:rsidRPr="00D22D1B">
        <w:rPr>
          <w:color w:val="000000" w:themeColor="text1"/>
        </w:rPr>
        <w:t xml:space="preserve"> keeping tax records up to date. From 27 interviews, the empirical median of 17.5 hours per week for successful </w:t>
      </w:r>
      <w:r w:rsidR="002D132F" w:rsidRPr="00D22D1B">
        <w:rPr>
          <w:color w:val="000000" w:themeColor="text1"/>
        </w:rPr>
        <w:t>participants</w:t>
      </w:r>
      <w:r w:rsidR="00917A9B" w:rsidRPr="00D22D1B">
        <w:rPr>
          <w:color w:val="000000" w:themeColor="text1"/>
        </w:rPr>
        <w:t xml:space="preserve"> turned </w:t>
      </w:r>
      <w:r w:rsidR="002D132F" w:rsidRPr="00D22D1B">
        <w:rPr>
          <w:color w:val="000000" w:themeColor="text1"/>
        </w:rPr>
        <w:t xml:space="preserve">the promised </w:t>
      </w:r>
      <w:r w:rsidR="00917A9B" w:rsidRPr="00D22D1B">
        <w:rPr>
          <w:color w:val="000000" w:themeColor="text1"/>
        </w:rPr>
        <w:t xml:space="preserve">"passive income" into part-time work. </w:t>
      </w:r>
      <w:r w:rsidR="002D132F" w:rsidRPr="00D22D1B">
        <w:rPr>
          <w:color w:val="000000" w:themeColor="text1"/>
        </w:rPr>
        <w:t xml:space="preserve">At this point </w:t>
      </w:r>
      <w:r w:rsidR="00EB36E1">
        <w:rPr>
          <w:color w:val="000000" w:themeColor="text1"/>
        </w:rPr>
        <w:t>it is</w:t>
      </w:r>
      <w:r w:rsidR="002D132F" w:rsidRPr="00D22D1B">
        <w:rPr>
          <w:color w:val="000000" w:themeColor="text1"/>
        </w:rPr>
        <w:t xml:space="preserve"> critical to </w:t>
      </w:r>
      <w:r w:rsidR="00917A9B" w:rsidRPr="00D22D1B">
        <w:rPr>
          <w:color w:val="000000" w:themeColor="text1"/>
        </w:rPr>
        <w:t>note that the relationship between time and returns was</w:t>
      </w:r>
      <w:r w:rsidR="002D132F" w:rsidRPr="00D22D1B">
        <w:rPr>
          <w:color w:val="000000" w:themeColor="text1"/>
        </w:rPr>
        <w:t xml:space="preserve"> not</w:t>
      </w:r>
      <w:r w:rsidR="00917A9B" w:rsidRPr="00D22D1B">
        <w:rPr>
          <w:color w:val="000000" w:themeColor="text1"/>
        </w:rPr>
        <w:t xml:space="preserve"> linear</w:t>
      </w:r>
      <w:r w:rsidR="002D132F" w:rsidRPr="00D22D1B">
        <w:rPr>
          <w:color w:val="000000" w:themeColor="text1"/>
        </w:rPr>
        <w:t xml:space="preserve"> as shown in the chapters below in more detail. Overall, the </w:t>
      </w:r>
      <w:r w:rsidR="00917A9B" w:rsidRPr="00D22D1B">
        <w:rPr>
          <w:color w:val="000000" w:themeColor="text1"/>
        </w:rPr>
        <w:t xml:space="preserve">strategies that only required 10-15 hours a week (like stablecoin LP) produced higher risk-adjusted returns than more complicated ones (like yield farming and concentrated liquidity provision). </w:t>
      </w:r>
    </w:p>
    <w:p w14:paraId="67E49A09" w14:textId="77777777" w:rsidR="00F87947" w:rsidRPr="00D22D1B" w:rsidRDefault="00F87947" w:rsidP="00B451D7">
      <w:pPr>
        <w:jc w:val="both"/>
        <w:rPr>
          <w:color w:val="000000" w:themeColor="text1"/>
        </w:rPr>
      </w:pPr>
    </w:p>
    <w:p w14:paraId="0DE28995" w14:textId="670E33AF" w:rsidR="00F20381" w:rsidRPr="00D22D1B" w:rsidRDefault="00F20381" w:rsidP="00B451D7">
      <w:pPr>
        <w:jc w:val="both"/>
        <w:rPr>
          <w:b/>
          <w:color w:val="000000" w:themeColor="text1"/>
        </w:rPr>
      </w:pPr>
      <w:r w:rsidRPr="00D22D1B">
        <w:rPr>
          <w:color w:val="000000" w:themeColor="text1"/>
        </w:rPr>
        <w:t xml:space="preserve">The actual returns column shows the fast compression cycle that makes stated yields look better than they really are. </w:t>
      </w:r>
      <w:r w:rsidR="00A03379" w:rsidRPr="00D22D1B">
        <w:rPr>
          <w:color w:val="000000" w:themeColor="text1"/>
        </w:rPr>
        <w:t>As an example, y</w:t>
      </w:r>
      <w:r w:rsidRPr="00D22D1B">
        <w:rPr>
          <w:color w:val="000000" w:themeColor="text1"/>
        </w:rPr>
        <w:t xml:space="preserve">ield farming went from 100% to 10,000% at </w:t>
      </w:r>
      <w:r w:rsidR="00A03379" w:rsidRPr="00D22D1B">
        <w:rPr>
          <w:color w:val="000000" w:themeColor="text1"/>
        </w:rPr>
        <w:t>the beginning</w:t>
      </w:r>
      <w:r w:rsidRPr="00D22D1B">
        <w:rPr>
          <w:color w:val="000000" w:themeColor="text1"/>
        </w:rPr>
        <w:t xml:space="preserve"> and then fell below traditional finance returns in less than a year</w:t>
      </w:r>
      <w:r w:rsidR="00A03379" w:rsidRPr="00D22D1B">
        <w:rPr>
          <w:color w:val="000000" w:themeColor="text1"/>
        </w:rPr>
        <w:t xml:space="preserve">. </w:t>
      </w:r>
      <w:r w:rsidRPr="00D22D1B">
        <w:rPr>
          <w:color w:val="000000" w:themeColor="text1"/>
        </w:rPr>
        <w:t xml:space="preserve">Uniswap v3's theoretical "4000x capital efficiency" turned out to be 1.5-2.5x for retail players and 18-25x for </w:t>
      </w:r>
      <w:r w:rsidR="00A03379" w:rsidRPr="00D22D1B">
        <w:rPr>
          <w:color w:val="000000" w:themeColor="text1"/>
        </w:rPr>
        <w:t>institutions</w:t>
      </w:r>
      <w:r w:rsidRPr="00D22D1B">
        <w:rPr>
          <w:color w:val="000000" w:themeColor="text1"/>
        </w:rPr>
        <w:t xml:space="preserve">. This </w:t>
      </w:r>
      <w:r w:rsidR="00A03379" w:rsidRPr="00D22D1B">
        <w:rPr>
          <w:color w:val="000000" w:themeColor="text1"/>
        </w:rPr>
        <w:t>indicates</w:t>
      </w:r>
      <w:r w:rsidRPr="00D22D1B">
        <w:rPr>
          <w:color w:val="000000" w:themeColor="text1"/>
        </w:rPr>
        <w:t xml:space="preserve"> that </w:t>
      </w:r>
      <w:proofErr w:type="gramStart"/>
      <w:r w:rsidR="00A03379" w:rsidRPr="00D22D1B">
        <w:rPr>
          <w:color w:val="000000" w:themeColor="text1"/>
        </w:rPr>
        <w:t xml:space="preserve">a </w:t>
      </w:r>
      <w:r w:rsidRPr="00D22D1B">
        <w:rPr>
          <w:color w:val="000000" w:themeColor="text1"/>
        </w:rPr>
        <w:t>complicated</w:t>
      </w:r>
      <w:proofErr w:type="gramEnd"/>
      <w:r w:rsidRPr="00D22D1B">
        <w:rPr>
          <w:color w:val="000000" w:themeColor="text1"/>
        </w:rPr>
        <w:t xml:space="preserve"> architecture gives experts an </w:t>
      </w:r>
      <w:r w:rsidR="00A03379" w:rsidRPr="00D22D1B">
        <w:rPr>
          <w:color w:val="000000" w:themeColor="text1"/>
        </w:rPr>
        <w:t xml:space="preserve">advantage. </w:t>
      </w:r>
    </w:p>
    <w:p w14:paraId="46C4C184" w14:textId="77777777" w:rsidR="00F20381" w:rsidRPr="00D22D1B" w:rsidRDefault="00F20381" w:rsidP="00B451D7">
      <w:pPr>
        <w:jc w:val="both"/>
        <w:rPr>
          <w:b/>
          <w:color w:val="000000" w:themeColor="text1"/>
        </w:rPr>
      </w:pPr>
    </w:p>
    <w:p w14:paraId="0540BB20" w14:textId="49C7201E" w:rsidR="00F20381" w:rsidRPr="00D22D1B" w:rsidRDefault="00F20381" w:rsidP="00B451D7">
      <w:pPr>
        <w:jc w:val="both"/>
        <w:rPr>
          <w:b/>
          <w:color w:val="000000" w:themeColor="text1"/>
        </w:rPr>
      </w:pPr>
      <w:r w:rsidRPr="00D22D1B">
        <w:rPr>
          <w:color w:val="000000" w:themeColor="text1"/>
        </w:rPr>
        <w:t>The differences in risk profiles are</w:t>
      </w:r>
      <w:r w:rsidR="0063625B" w:rsidRPr="00D22D1B">
        <w:rPr>
          <w:color w:val="000000" w:themeColor="text1"/>
        </w:rPr>
        <w:t xml:space="preserve"> also</w:t>
      </w:r>
      <w:r w:rsidRPr="00D22D1B">
        <w:rPr>
          <w:color w:val="000000" w:themeColor="text1"/>
        </w:rPr>
        <w:t xml:space="preserve"> important to </w:t>
      </w:r>
      <w:r w:rsidR="0063625B" w:rsidRPr="00D22D1B">
        <w:rPr>
          <w:color w:val="000000" w:themeColor="text1"/>
        </w:rPr>
        <w:t>note</w:t>
      </w:r>
      <w:r w:rsidRPr="00D22D1B">
        <w:rPr>
          <w:color w:val="000000" w:themeColor="text1"/>
        </w:rPr>
        <w:t xml:space="preserve">. All mechanisms are subject to the 12.2% quarterly protocol-level incident rate </w:t>
      </w:r>
      <w:r w:rsidR="0063625B" w:rsidRPr="00D22D1B">
        <w:rPr>
          <w:color w:val="000000" w:themeColor="text1"/>
        </w:rPr>
        <w:t>identified</w:t>
      </w:r>
      <w:r w:rsidRPr="00D22D1B">
        <w:rPr>
          <w:color w:val="000000" w:themeColor="text1"/>
        </w:rPr>
        <w:t>, which corresponds to a 35-45% yearly loss probability. However, certain risks are consistently unmanageable for retail players. Th</w:t>
      </w:r>
      <w:r w:rsidR="0063625B" w:rsidRPr="00D22D1B">
        <w:rPr>
          <w:color w:val="000000" w:themeColor="text1"/>
        </w:rPr>
        <w:t xml:space="preserve">ese include the </w:t>
      </w:r>
      <w:r w:rsidRPr="00D22D1B">
        <w:rPr>
          <w:color w:val="000000" w:themeColor="text1"/>
        </w:rPr>
        <w:t>89% failure rate among individuals who did not understand the mechanics of impermanent loss</w:t>
      </w:r>
      <w:r w:rsidR="0063625B" w:rsidRPr="00D22D1B">
        <w:rPr>
          <w:color w:val="000000" w:themeColor="text1"/>
        </w:rPr>
        <w:t xml:space="preserve"> and the fact that this </w:t>
      </w:r>
      <w:r w:rsidRPr="00D22D1B">
        <w:rPr>
          <w:color w:val="000000" w:themeColor="text1"/>
        </w:rPr>
        <w:t xml:space="preserve">could not be rectified with subsequent education. The 67% rate of IL exceeding fees in volatile pairs is also a mathematical </w:t>
      </w:r>
      <w:r w:rsidR="0063625B" w:rsidRPr="00D22D1B">
        <w:rPr>
          <w:color w:val="000000" w:themeColor="text1"/>
        </w:rPr>
        <w:t xml:space="preserve">fact and </w:t>
      </w:r>
      <w:r w:rsidRPr="00D22D1B">
        <w:rPr>
          <w:color w:val="000000" w:themeColor="text1"/>
        </w:rPr>
        <w:t>not a mistake</w:t>
      </w:r>
      <w:r w:rsidR="0063625B" w:rsidRPr="00D22D1B">
        <w:rPr>
          <w:color w:val="000000" w:themeColor="text1"/>
        </w:rPr>
        <w:t xml:space="preserve"> or lack of knowledge</w:t>
      </w:r>
      <w:r w:rsidRPr="00D22D1B">
        <w:rPr>
          <w:color w:val="000000" w:themeColor="text1"/>
        </w:rPr>
        <w:t xml:space="preserve"> by participants. </w:t>
      </w:r>
    </w:p>
    <w:p w14:paraId="1F5769C2" w14:textId="77777777" w:rsidR="00F20381" w:rsidRPr="00D22D1B" w:rsidRDefault="00F20381" w:rsidP="00B451D7">
      <w:pPr>
        <w:jc w:val="both"/>
        <w:rPr>
          <w:b/>
          <w:color w:val="000000" w:themeColor="text1"/>
        </w:rPr>
      </w:pPr>
    </w:p>
    <w:p w14:paraId="5914F3F3" w14:textId="4BC03763" w:rsidR="00F20381" w:rsidRPr="00D22D1B" w:rsidRDefault="00F20381" w:rsidP="00B451D7">
      <w:pPr>
        <w:jc w:val="both"/>
        <w:rPr>
          <w:b/>
          <w:color w:val="000000" w:themeColor="text1"/>
        </w:rPr>
      </w:pPr>
      <w:r w:rsidRPr="00D22D1B">
        <w:rPr>
          <w:color w:val="000000" w:themeColor="text1"/>
        </w:rPr>
        <w:t xml:space="preserve">The viability </w:t>
      </w:r>
      <w:r w:rsidR="004F60BE" w:rsidRPr="00D22D1B">
        <w:rPr>
          <w:color w:val="000000" w:themeColor="text1"/>
        </w:rPr>
        <w:t xml:space="preserve">analysis </w:t>
      </w:r>
      <w:r w:rsidRPr="00D22D1B">
        <w:rPr>
          <w:color w:val="000000" w:themeColor="text1"/>
        </w:rPr>
        <w:t>combine</w:t>
      </w:r>
      <w:r w:rsidR="004F60BE" w:rsidRPr="00D22D1B">
        <w:rPr>
          <w:color w:val="000000" w:themeColor="text1"/>
        </w:rPr>
        <w:t xml:space="preserve">s </w:t>
      </w:r>
      <w:r w:rsidRPr="00D22D1B">
        <w:rPr>
          <w:color w:val="000000" w:themeColor="text1"/>
        </w:rPr>
        <w:t>these factors into categorical judgments based on real-world patterns. The term "viable" only applies to stablecoin liquidity provision that meet</w:t>
      </w:r>
      <w:r w:rsidR="004F60BE" w:rsidRPr="00D22D1B">
        <w:rPr>
          <w:color w:val="000000" w:themeColor="text1"/>
        </w:rPr>
        <w:t>s the</w:t>
      </w:r>
      <w:r w:rsidRPr="00D22D1B">
        <w:rPr>
          <w:color w:val="000000" w:themeColor="text1"/>
        </w:rPr>
        <w:t xml:space="preserve"> network-specific minimums. This is the only way that most </w:t>
      </w:r>
      <w:r w:rsidR="004F60BE" w:rsidRPr="00D22D1B">
        <w:rPr>
          <w:color w:val="000000" w:themeColor="text1"/>
        </w:rPr>
        <w:t>properly resourced</w:t>
      </w:r>
      <w:r w:rsidRPr="00D22D1B">
        <w:rPr>
          <w:color w:val="000000" w:themeColor="text1"/>
        </w:rPr>
        <w:t xml:space="preserve"> players </w:t>
      </w:r>
      <w:proofErr w:type="gramStart"/>
      <w:r w:rsidRPr="00D22D1B">
        <w:rPr>
          <w:color w:val="000000" w:themeColor="text1"/>
        </w:rPr>
        <w:t>could</w:t>
      </w:r>
      <w:proofErr w:type="gramEnd"/>
      <w:r w:rsidRPr="00D22D1B">
        <w:rPr>
          <w:color w:val="000000" w:themeColor="text1"/>
        </w:rPr>
        <w:t xml:space="preserve"> continue to make </w:t>
      </w:r>
      <w:r w:rsidR="004F60BE" w:rsidRPr="00D22D1B">
        <w:rPr>
          <w:color w:val="000000" w:themeColor="text1"/>
        </w:rPr>
        <w:t>profit</w:t>
      </w:r>
      <w:r w:rsidRPr="00D22D1B">
        <w:rPr>
          <w:color w:val="000000" w:themeColor="text1"/>
        </w:rPr>
        <w:t xml:space="preserve">. "Conditionally viable" means that positive returns are </w:t>
      </w:r>
      <w:r w:rsidR="007B43C0" w:rsidRPr="00D22D1B">
        <w:rPr>
          <w:color w:val="000000" w:themeColor="text1"/>
        </w:rPr>
        <w:t>possible</w:t>
      </w:r>
      <w:r w:rsidRPr="00D22D1B">
        <w:rPr>
          <w:color w:val="000000" w:themeColor="text1"/>
        </w:rPr>
        <w:t xml:space="preserve">, but they need </w:t>
      </w:r>
      <w:r w:rsidR="007B43C0" w:rsidRPr="00D22D1B">
        <w:rPr>
          <w:color w:val="000000" w:themeColor="text1"/>
        </w:rPr>
        <w:t xml:space="preserve">a </w:t>
      </w:r>
      <w:r w:rsidR="00EB36E1" w:rsidRPr="00D22D1B">
        <w:rPr>
          <w:color w:val="000000" w:themeColor="text1"/>
        </w:rPr>
        <w:t>combination of resources</w:t>
      </w:r>
      <w:r w:rsidRPr="00D22D1B">
        <w:rPr>
          <w:color w:val="000000" w:themeColor="text1"/>
        </w:rPr>
        <w:t xml:space="preserve"> that most people don't have. "Not viable" classifications show consistent patterns where structural factors</w:t>
      </w:r>
      <w:r w:rsidR="00B943C6" w:rsidRPr="00D22D1B">
        <w:rPr>
          <w:color w:val="000000" w:themeColor="text1"/>
        </w:rPr>
        <w:t xml:space="preserve">, </w:t>
      </w:r>
      <w:r w:rsidRPr="00D22D1B">
        <w:rPr>
          <w:color w:val="000000" w:themeColor="text1"/>
        </w:rPr>
        <w:t>not just participant mistakes</w:t>
      </w:r>
      <w:r w:rsidR="00B943C6" w:rsidRPr="00D22D1B">
        <w:rPr>
          <w:color w:val="000000" w:themeColor="text1"/>
        </w:rPr>
        <w:t xml:space="preserve">/lack of time or </w:t>
      </w:r>
      <w:proofErr w:type="gramStart"/>
      <w:r w:rsidR="00B943C6" w:rsidRPr="00D22D1B">
        <w:rPr>
          <w:color w:val="000000" w:themeColor="text1"/>
        </w:rPr>
        <w:t>knowhow</w:t>
      </w:r>
      <w:proofErr w:type="gramEnd"/>
      <w:r w:rsidR="00B943C6" w:rsidRPr="00D22D1B">
        <w:rPr>
          <w:color w:val="000000" w:themeColor="text1"/>
        </w:rPr>
        <w:t xml:space="preserve">, </w:t>
      </w:r>
      <w:r w:rsidRPr="00D22D1B">
        <w:rPr>
          <w:color w:val="000000" w:themeColor="text1"/>
        </w:rPr>
        <w:t>caused failure rates that made these methods not fit for minimal capital</w:t>
      </w:r>
      <w:r w:rsidR="00B943C6" w:rsidRPr="00D22D1B">
        <w:rPr>
          <w:color w:val="000000" w:themeColor="text1"/>
        </w:rPr>
        <w:t xml:space="preserve"> participants.</w:t>
      </w:r>
    </w:p>
    <w:p w14:paraId="05A60482" w14:textId="77777777" w:rsidR="00F20381" w:rsidRPr="00D22D1B" w:rsidRDefault="00F20381" w:rsidP="00B451D7">
      <w:pPr>
        <w:pStyle w:val="Heading2"/>
        <w:jc w:val="both"/>
        <w:rPr>
          <w:b w:val="0"/>
          <w:color w:val="000000" w:themeColor="text1"/>
          <w:kern w:val="0"/>
          <w:sz w:val="24"/>
        </w:rPr>
      </w:pPr>
    </w:p>
    <w:p w14:paraId="281CFB7C" w14:textId="26378F33" w:rsidR="000F3578" w:rsidRPr="00D22D1B" w:rsidRDefault="00D71B3F" w:rsidP="00B451D7">
      <w:pPr>
        <w:pStyle w:val="Heading2"/>
        <w:jc w:val="both"/>
        <w:rPr>
          <w:rFonts w:eastAsiaTheme="majorEastAsia"/>
          <w:color w:val="000000" w:themeColor="text1"/>
        </w:rPr>
      </w:pPr>
      <w:bookmarkStart w:id="47" w:name="_Toc214721853"/>
      <w:r w:rsidRPr="00D22D1B">
        <w:rPr>
          <w:rFonts w:eastAsiaTheme="majorEastAsia"/>
          <w:color w:val="000000" w:themeColor="text1"/>
        </w:rPr>
        <w:t>3.</w:t>
      </w:r>
      <w:r w:rsidR="0082049B">
        <w:rPr>
          <w:rFonts w:eastAsiaTheme="majorEastAsia"/>
          <w:color w:val="000000" w:themeColor="text1"/>
        </w:rPr>
        <w:t>2</w:t>
      </w:r>
      <w:r w:rsidR="000F3578" w:rsidRPr="00D22D1B">
        <w:rPr>
          <w:rFonts w:eastAsiaTheme="majorEastAsia"/>
          <w:color w:val="000000" w:themeColor="text1"/>
        </w:rPr>
        <w:t xml:space="preserve"> Staking Mechanisms</w:t>
      </w:r>
      <w:bookmarkEnd w:id="47"/>
    </w:p>
    <w:p w14:paraId="508A0BFE" w14:textId="77777777" w:rsidR="000D6531" w:rsidRPr="00D22D1B" w:rsidRDefault="000D6531" w:rsidP="00B451D7">
      <w:pPr>
        <w:jc w:val="both"/>
        <w:rPr>
          <w:rFonts w:eastAsiaTheme="majorEastAsia"/>
          <w:bCs/>
          <w:color w:val="000000" w:themeColor="text1"/>
        </w:rPr>
      </w:pPr>
      <w:r w:rsidRPr="00D22D1B">
        <w:rPr>
          <w:rFonts w:eastAsiaTheme="majorEastAsia"/>
          <w:bCs/>
          <w:color w:val="000000" w:themeColor="text1"/>
        </w:rPr>
        <w:lastRenderedPageBreak/>
        <w:t xml:space="preserve">Staking returns tell two completely different stories depending on how they are measured. If measured in the native token, the returns look attractive. Ethereum staking yields about 4.8% in ETH terms. Cardano provides 4.2% in ADA and </w:t>
      </w:r>
      <w:proofErr w:type="spellStart"/>
      <w:r w:rsidRPr="00D22D1B">
        <w:rPr>
          <w:rFonts w:eastAsiaTheme="majorEastAsia"/>
          <w:bCs/>
          <w:color w:val="000000" w:themeColor="text1"/>
        </w:rPr>
        <w:t>Polkadot</w:t>
      </w:r>
      <w:proofErr w:type="spellEnd"/>
      <w:r w:rsidRPr="00D22D1B">
        <w:rPr>
          <w:rFonts w:eastAsiaTheme="majorEastAsia"/>
          <w:bCs/>
          <w:color w:val="000000" w:themeColor="text1"/>
        </w:rPr>
        <w:t xml:space="preserve"> offers 14.1% in DOT. These percentages seem reasonable, especially compared to near-zero interest rates in traditional banking during 2020-2021.</w:t>
      </w:r>
    </w:p>
    <w:p w14:paraId="49355D39" w14:textId="77777777" w:rsidR="00354301" w:rsidRPr="00D22D1B" w:rsidRDefault="00354301" w:rsidP="00B451D7">
      <w:pPr>
        <w:jc w:val="both"/>
        <w:rPr>
          <w:rFonts w:eastAsiaTheme="majorEastAsia"/>
          <w:bCs/>
          <w:color w:val="000000" w:themeColor="text1"/>
        </w:rPr>
      </w:pPr>
    </w:p>
    <w:p w14:paraId="5AFAFA58" w14:textId="19146EBC" w:rsidR="000D6531" w:rsidRPr="00D22D1B" w:rsidRDefault="000D6531" w:rsidP="00B451D7">
      <w:pPr>
        <w:jc w:val="both"/>
        <w:rPr>
          <w:rFonts w:eastAsiaTheme="majorEastAsia"/>
          <w:bCs/>
          <w:color w:val="000000" w:themeColor="text1"/>
        </w:rPr>
      </w:pPr>
      <w:r w:rsidRPr="00D22D1B">
        <w:rPr>
          <w:rFonts w:eastAsiaTheme="majorEastAsia"/>
          <w:bCs/>
          <w:color w:val="000000" w:themeColor="text1"/>
        </w:rPr>
        <w:t xml:space="preserve">But measuring in USD or any hard </w:t>
      </w:r>
      <w:proofErr w:type="gramStart"/>
      <w:r w:rsidRPr="00D22D1B">
        <w:rPr>
          <w:rFonts w:eastAsiaTheme="majorEastAsia"/>
          <w:bCs/>
          <w:color w:val="000000" w:themeColor="text1"/>
        </w:rPr>
        <w:t>currency—</w:t>
      </w:r>
      <w:proofErr w:type="gramEnd"/>
      <w:r w:rsidRPr="00D22D1B">
        <w:rPr>
          <w:rFonts w:eastAsiaTheme="majorEastAsia"/>
          <w:bCs/>
          <w:color w:val="000000" w:themeColor="text1"/>
        </w:rPr>
        <w:t xml:space="preserve">which is how most people pay their bills—reveals a completely different reality. The positions I tracked show that ETH </w:t>
      </w:r>
      <w:r w:rsidR="00303196" w:rsidRPr="00D22D1B">
        <w:rPr>
          <w:rFonts w:eastAsiaTheme="majorEastAsia"/>
          <w:bCs/>
          <w:color w:val="000000" w:themeColor="text1"/>
        </w:rPr>
        <w:t>stakes</w:t>
      </w:r>
      <w:r w:rsidRPr="00D22D1B">
        <w:rPr>
          <w:rFonts w:eastAsiaTheme="majorEastAsia"/>
          <w:bCs/>
          <w:color w:val="000000" w:themeColor="text1"/>
        </w:rPr>
        <w:t xml:space="preserve"> lost 12.3% of their real returns in 2022, even though they earned 4.8% nominal yields. The price of the token went down from $3,800 to $1,200, which was the main cause of this loss, making the rewards for </w:t>
      </w:r>
      <w:proofErr w:type="gramStart"/>
      <w:r w:rsidRPr="00D22D1B">
        <w:rPr>
          <w:rFonts w:eastAsiaTheme="majorEastAsia"/>
          <w:bCs/>
          <w:color w:val="000000" w:themeColor="text1"/>
        </w:rPr>
        <w:t>staking</w:t>
      </w:r>
      <w:proofErr w:type="gramEnd"/>
      <w:r w:rsidRPr="00D22D1B">
        <w:rPr>
          <w:rFonts w:eastAsiaTheme="majorEastAsia"/>
          <w:bCs/>
          <w:color w:val="000000" w:themeColor="text1"/>
        </w:rPr>
        <w:t xml:space="preserve"> went down by a factor of fourteen. Although during the recovery of 2023, real returns were positive at 47.2%, 91% of that came from price increases, not staking yields.</w:t>
      </w:r>
    </w:p>
    <w:p w14:paraId="6962F176" w14:textId="77777777" w:rsidR="000D6531" w:rsidRPr="00D22D1B" w:rsidRDefault="000D6531" w:rsidP="00B451D7">
      <w:pPr>
        <w:jc w:val="both"/>
        <w:rPr>
          <w:rFonts w:eastAsiaTheme="majorEastAsia"/>
          <w:bCs/>
          <w:color w:val="000000" w:themeColor="text1"/>
        </w:rPr>
      </w:pPr>
    </w:p>
    <w:p w14:paraId="13D62080" w14:textId="6A3D1F86" w:rsidR="000D6531" w:rsidRPr="00D22D1B" w:rsidRDefault="000D6531" w:rsidP="00B451D7">
      <w:pPr>
        <w:jc w:val="both"/>
        <w:rPr>
          <w:rFonts w:eastAsiaTheme="majorEastAsia"/>
          <w:bCs/>
          <w:color w:val="000000" w:themeColor="text1"/>
        </w:rPr>
      </w:pPr>
      <w:r w:rsidRPr="00D22D1B">
        <w:rPr>
          <w:rFonts w:eastAsiaTheme="majorEastAsia"/>
          <w:bCs/>
          <w:color w:val="000000" w:themeColor="text1"/>
        </w:rPr>
        <w:t xml:space="preserve">The accessibility problem is worse than advertised. Ethereum requires 32 ETH (about $96,000 at </w:t>
      </w:r>
      <w:r w:rsidR="008B2212" w:rsidRPr="00D22D1B">
        <w:rPr>
          <w:rFonts w:eastAsiaTheme="majorEastAsia"/>
          <w:bCs/>
          <w:color w:val="000000" w:themeColor="text1"/>
        </w:rPr>
        <w:t>Dec 2024</w:t>
      </w:r>
      <w:r w:rsidRPr="00D22D1B">
        <w:rPr>
          <w:rFonts w:eastAsiaTheme="majorEastAsia"/>
          <w:bCs/>
          <w:color w:val="000000" w:themeColor="text1"/>
        </w:rPr>
        <w:t xml:space="preserve">) for direct staking. </w:t>
      </w:r>
      <w:proofErr w:type="gramStart"/>
      <w:r w:rsidRPr="00D22D1B">
        <w:rPr>
          <w:rFonts w:eastAsiaTheme="majorEastAsia"/>
          <w:bCs/>
          <w:color w:val="000000" w:themeColor="text1"/>
        </w:rPr>
        <w:t>Lido,</w:t>
      </w:r>
      <w:proofErr w:type="gramEnd"/>
      <w:r w:rsidRPr="00D22D1B">
        <w:rPr>
          <w:rFonts w:eastAsiaTheme="majorEastAsia"/>
          <w:bCs/>
          <w:color w:val="000000" w:themeColor="text1"/>
        </w:rPr>
        <w:t xml:space="preserve"> </w:t>
      </w:r>
      <w:proofErr w:type="gramStart"/>
      <w:r w:rsidRPr="00D22D1B">
        <w:rPr>
          <w:rFonts w:eastAsiaTheme="majorEastAsia"/>
          <w:bCs/>
          <w:color w:val="000000" w:themeColor="text1"/>
        </w:rPr>
        <w:t>providing</w:t>
      </w:r>
      <w:proofErr w:type="gramEnd"/>
      <w:r w:rsidRPr="00D22D1B">
        <w:rPr>
          <w:rFonts w:eastAsiaTheme="majorEastAsia"/>
          <w:bCs/>
          <w:color w:val="000000" w:themeColor="text1"/>
        </w:rPr>
        <w:t xml:space="preserve"> liquid staking services, allows participation with smaller amounts, but they take 10% of the rewards earned (Lido Finance, 2024). After fee extractions, small </w:t>
      </w:r>
      <w:proofErr w:type="spellStart"/>
      <w:r w:rsidRPr="00D22D1B">
        <w:rPr>
          <w:rFonts w:eastAsiaTheme="majorEastAsia"/>
          <w:bCs/>
          <w:color w:val="000000" w:themeColor="text1"/>
        </w:rPr>
        <w:t>stakers</w:t>
      </w:r>
      <w:proofErr w:type="spellEnd"/>
      <w:r w:rsidRPr="00D22D1B">
        <w:rPr>
          <w:rFonts w:eastAsiaTheme="majorEastAsia"/>
          <w:bCs/>
          <w:color w:val="000000" w:themeColor="text1"/>
        </w:rPr>
        <w:t xml:space="preserve"> earn about 3.6% on Ethereum, which is less than current U.S. Treasury yields which is around 4.5%. Based on this analysis, staking involves accepting higher risk in exchange for lower returns. This violates basic investment principles.</w:t>
      </w:r>
    </w:p>
    <w:p w14:paraId="05257C54" w14:textId="77777777" w:rsidR="00CD7CE9" w:rsidRPr="00D22D1B" w:rsidRDefault="00CD7CE9" w:rsidP="00B451D7">
      <w:pPr>
        <w:jc w:val="both"/>
        <w:rPr>
          <w:rFonts w:eastAsiaTheme="majorEastAsia"/>
          <w:b/>
          <w:bCs/>
          <w:color w:val="000000" w:themeColor="text1"/>
        </w:rPr>
      </w:pPr>
    </w:p>
    <w:p w14:paraId="259B9A17" w14:textId="32845F8E" w:rsidR="000F3578" w:rsidRPr="00D22D1B" w:rsidRDefault="00D71B3F" w:rsidP="00B451D7">
      <w:pPr>
        <w:pStyle w:val="Heading2"/>
        <w:jc w:val="both"/>
        <w:rPr>
          <w:rFonts w:eastAsiaTheme="majorEastAsia"/>
          <w:color w:val="000000" w:themeColor="text1"/>
        </w:rPr>
      </w:pPr>
      <w:bookmarkStart w:id="48" w:name="_Toc214721854"/>
      <w:r w:rsidRPr="00D22D1B">
        <w:rPr>
          <w:rFonts w:eastAsiaTheme="majorEastAsia"/>
          <w:color w:val="000000" w:themeColor="text1"/>
        </w:rPr>
        <w:t>3.</w:t>
      </w:r>
      <w:r w:rsidR="0082049B">
        <w:rPr>
          <w:rFonts w:eastAsiaTheme="majorEastAsia"/>
          <w:color w:val="000000" w:themeColor="text1"/>
        </w:rPr>
        <w:t>3</w:t>
      </w:r>
      <w:r w:rsidRPr="00D22D1B">
        <w:rPr>
          <w:rFonts w:eastAsiaTheme="majorEastAsia"/>
          <w:color w:val="000000" w:themeColor="text1"/>
        </w:rPr>
        <w:t xml:space="preserve"> </w:t>
      </w:r>
      <w:r w:rsidR="000F3578" w:rsidRPr="00D22D1B">
        <w:rPr>
          <w:rFonts w:eastAsiaTheme="majorEastAsia"/>
          <w:color w:val="000000" w:themeColor="text1"/>
        </w:rPr>
        <w:t>Yield Farming</w:t>
      </w:r>
      <w:bookmarkEnd w:id="48"/>
    </w:p>
    <w:p w14:paraId="2DB6308D" w14:textId="77777777" w:rsidR="00175EDF" w:rsidRPr="00D22D1B" w:rsidRDefault="00175EDF" w:rsidP="00B451D7">
      <w:pPr>
        <w:jc w:val="both"/>
        <w:rPr>
          <w:rFonts w:eastAsiaTheme="majorEastAsia"/>
          <w:bCs/>
          <w:color w:val="000000" w:themeColor="text1"/>
        </w:rPr>
      </w:pPr>
      <w:r w:rsidRPr="00D22D1B">
        <w:rPr>
          <w:rFonts w:eastAsiaTheme="majorEastAsia"/>
          <w:bCs/>
          <w:color w:val="000000" w:themeColor="text1"/>
        </w:rPr>
        <w:t>Yield farming represents the most misunderstood mechanism in DeFi. The advertised APYs—sometimes exceeding 1,000%—are technically real, but they come with critical caveats that transform attractive opportunities into likely losses.</w:t>
      </w:r>
    </w:p>
    <w:p w14:paraId="41714E97" w14:textId="77777777" w:rsidR="00175EDF" w:rsidRPr="003C66A0" w:rsidRDefault="00175EDF" w:rsidP="00B451D7">
      <w:pPr>
        <w:jc w:val="both"/>
        <w:rPr>
          <w:rFonts w:eastAsiaTheme="majorEastAsia"/>
          <w:bCs/>
          <w:color w:val="000000" w:themeColor="text1"/>
        </w:rPr>
      </w:pPr>
    </w:p>
    <w:p w14:paraId="32E0C7A1" w14:textId="2B0152C0" w:rsidR="00175EDF" w:rsidRDefault="00175EDF" w:rsidP="00B451D7">
      <w:pPr>
        <w:jc w:val="both"/>
        <w:rPr>
          <w:rFonts w:eastAsiaTheme="majorEastAsia"/>
          <w:bCs/>
          <w:color w:val="000000" w:themeColor="text1"/>
        </w:rPr>
      </w:pPr>
      <w:r w:rsidRPr="003C66A0">
        <w:rPr>
          <w:rFonts w:eastAsiaTheme="majorEastAsia"/>
          <w:bCs/>
          <w:color w:val="000000" w:themeColor="text1"/>
        </w:rPr>
        <w:t xml:space="preserve">My analysis of 147 yield farming programs from launch to termination reveals consistent patterns. During the first month, APYs often exceed 100% as protocols bootstrap liquidity with aggressive token incentives. But these high yields attract capital rapidly which causes the dilution of returns. By the third month, yields typically decline to 10–50%. By month six, they are down to 5-20% </w:t>
      </w:r>
      <w:proofErr w:type="gramStart"/>
      <w:r w:rsidRPr="003C66A0">
        <w:rPr>
          <w:rFonts w:eastAsiaTheme="majorEastAsia"/>
          <w:bCs/>
          <w:color w:val="000000" w:themeColor="text1"/>
        </w:rPr>
        <w:t>and</w:t>
      </w:r>
      <w:proofErr w:type="gramEnd"/>
      <w:r w:rsidRPr="003C66A0">
        <w:rPr>
          <w:rFonts w:eastAsiaTheme="majorEastAsia"/>
          <w:bCs/>
          <w:color w:val="000000" w:themeColor="text1"/>
        </w:rPr>
        <w:t xml:space="preserve"> the f</w:t>
      </w:r>
      <w:r w:rsidR="00A80D43">
        <w:rPr>
          <w:rFonts w:eastAsiaTheme="majorEastAsia"/>
          <w:bCs/>
          <w:color w:val="000000" w:themeColor="text1"/>
        </w:rPr>
        <w:t>i</w:t>
      </w:r>
      <w:r w:rsidRPr="003C66A0">
        <w:rPr>
          <w:rFonts w:eastAsiaTheme="majorEastAsia"/>
          <w:bCs/>
          <w:color w:val="000000" w:themeColor="text1"/>
        </w:rPr>
        <w:t>rst year, most programs either shut down or offer yields below traditional finance alternatives.</w:t>
      </w:r>
    </w:p>
    <w:p w14:paraId="5B041F76" w14:textId="77777777" w:rsidR="003A025A" w:rsidRDefault="003A025A" w:rsidP="00B451D7">
      <w:pPr>
        <w:jc w:val="both"/>
        <w:rPr>
          <w:rFonts w:eastAsiaTheme="majorEastAsia"/>
          <w:bCs/>
          <w:color w:val="000000" w:themeColor="text1"/>
        </w:rPr>
      </w:pPr>
    </w:p>
    <w:p w14:paraId="4536B5AB" w14:textId="2A307AB5" w:rsidR="00554BC8" w:rsidRPr="00EB36E1" w:rsidRDefault="00554BC8" w:rsidP="00B451D7">
      <w:pPr>
        <w:jc w:val="both"/>
        <w:rPr>
          <w:rFonts w:eastAsiaTheme="majorEastAsia"/>
          <w:bCs/>
          <w:color w:val="000000" w:themeColor="text1"/>
        </w:rPr>
      </w:pPr>
      <w:r w:rsidRPr="00EB36E1">
        <w:rPr>
          <w:rFonts w:eastAsiaTheme="majorEastAsia"/>
          <w:bCs/>
          <w:color w:val="000000" w:themeColor="text1"/>
        </w:rPr>
        <w:t>Table 3.2 illustrates the systematic compression of yield farming returns observed across 147 programs tracked from launch to termination, revealing the rapid degradation from initial high yields to sub-traditional finance returns.</w:t>
      </w:r>
    </w:p>
    <w:p w14:paraId="5542B49A" w14:textId="77777777" w:rsidR="00554BC8" w:rsidRDefault="00554BC8" w:rsidP="00B451D7">
      <w:pPr>
        <w:jc w:val="both"/>
        <w:rPr>
          <w:rFonts w:eastAsiaTheme="majorEastAsia"/>
          <w:bCs/>
          <w:color w:val="000000" w:themeColor="text1"/>
        </w:rPr>
      </w:pPr>
    </w:p>
    <w:p w14:paraId="6DFC8F3A" w14:textId="0FFFE1AF" w:rsidR="003A025A" w:rsidRPr="003A025A" w:rsidRDefault="003A025A" w:rsidP="00B451D7">
      <w:pPr>
        <w:pStyle w:val="Heading3"/>
        <w:jc w:val="both"/>
        <w:rPr>
          <w:color w:val="000000" w:themeColor="text1"/>
        </w:rPr>
      </w:pPr>
      <w:bookmarkStart w:id="49" w:name="_Toc214721855"/>
      <w:r w:rsidRPr="003A025A">
        <w:rPr>
          <w:color w:val="000000" w:themeColor="text1"/>
        </w:rPr>
        <w:t>Table 3.</w:t>
      </w:r>
      <w:r w:rsidR="0082049B">
        <w:rPr>
          <w:color w:val="000000" w:themeColor="text1"/>
        </w:rPr>
        <w:t>B</w:t>
      </w:r>
      <w:r w:rsidRPr="003A025A">
        <w:rPr>
          <w:color w:val="000000" w:themeColor="text1"/>
        </w:rPr>
        <w:t>: Yield Farming APY Compression Timeline</w:t>
      </w:r>
      <w:bookmarkEnd w:id="49"/>
    </w:p>
    <w:p w14:paraId="0D0F8901" w14:textId="77777777" w:rsidR="003A025A" w:rsidRPr="003A025A" w:rsidRDefault="003A025A" w:rsidP="00B451D7">
      <w:pPr>
        <w:rPr>
          <w:rFonts w:ascii="Arial" w:hAnsi="Arial" w:cs="Arial"/>
          <w:sz w:val="20"/>
          <w:szCs w:val="20"/>
        </w:rPr>
      </w:pPr>
    </w:p>
    <w:p w14:paraId="228B5EBC" w14:textId="77777777" w:rsidR="0047023C" w:rsidRDefault="0047023C" w:rsidP="00B451D7">
      <w:pPr>
        <w:rPr>
          <w:rFonts w:ascii="Arial" w:hAnsi="Arial" w:cs="Arial"/>
          <w:i/>
          <w:iCs/>
          <w:sz w:val="18"/>
          <w:szCs w:val="18"/>
        </w:rPr>
      </w:pPr>
    </w:p>
    <w:tbl>
      <w:tblPr>
        <w:tblW w:w="9360" w:type="dxa"/>
        <w:tblLook w:val="04A0" w:firstRow="1" w:lastRow="0" w:firstColumn="1" w:lastColumn="0" w:noHBand="0" w:noVBand="1"/>
      </w:tblPr>
      <w:tblGrid>
        <w:gridCol w:w="1300"/>
        <w:gridCol w:w="1700"/>
        <w:gridCol w:w="2100"/>
        <w:gridCol w:w="1300"/>
        <w:gridCol w:w="2960"/>
      </w:tblGrid>
      <w:tr w:rsidR="0047023C" w14:paraId="38CDB93A" w14:textId="77777777" w:rsidTr="0047023C">
        <w:trPr>
          <w:trHeight w:val="580"/>
        </w:trPr>
        <w:tc>
          <w:tcPr>
            <w:tcW w:w="13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1146E59" w14:textId="77777777" w:rsidR="0047023C" w:rsidRDefault="0047023C" w:rsidP="00B451D7">
            <w:pPr>
              <w:jc w:val="center"/>
              <w:rPr>
                <w:b/>
                <w:bCs/>
                <w:color w:val="000000"/>
                <w:sz w:val="20"/>
                <w:szCs w:val="20"/>
              </w:rPr>
            </w:pPr>
            <w:r>
              <w:rPr>
                <w:b/>
                <w:bCs/>
                <w:color w:val="000000"/>
                <w:sz w:val="20"/>
                <w:szCs w:val="20"/>
              </w:rPr>
              <w:t>Time Period</w:t>
            </w:r>
          </w:p>
        </w:tc>
        <w:tc>
          <w:tcPr>
            <w:tcW w:w="1700"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27DA073A" w14:textId="77777777" w:rsidR="0047023C" w:rsidRDefault="0047023C" w:rsidP="00B451D7">
            <w:pPr>
              <w:jc w:val="center"/>
              <w:rPr>
                <w:b/>
                <w:bCs/>
                <w:color w:val="000000"/>
                <w:sz w:val="20"/>
                <w:szCs w:val="20"/>
              </w:rPr>
            </w:pPr>
            <w:r>
              <w:rPr>
                <w:b/>
                <w:bCs/>
                <w:color w:val="000000"/>
                <w:sz w:val="20"/>
                <w:szCs w:val="20"/>
              </w:rPr>
              <w:t>Median APY Range</w:t>
            </w:r>
          </w:p>
        </w:tc>
        <w:tc>
          <w:tcPr>
            <w:tcW w:w="2100"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72540D11" w14:textId="77777777" w:rsidR="0047023C" w:rsidRDefault="0047023C" w:rsidP="00B451D7">
            <w:pPr>
              <w:jc w:val="center"/>
              <w:rPr>
                <w:b/>
                <w:bCs/>
                <w:color w:val="000000"/>
                <w:sz w:val="20"/>
                <w:szCs w:val="20"/>
              </w:rPr>
            </w:pPr>
            <w:r>
              <w:rPr>
                <w:b/>
                <w:bCs/>
                <w:color w:val="000000"/>
                <w:sz w:val="20"/>
                <w:szCs w:val="20"/>
              </w:rPr>
              <w:t>Capital Inflow Pattern</w:t>
            </w:r>
          </w:p>
        </w:tc>
        <w:tc>
          <w:tcPr>
            <w:tcW w:w="1300"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1D862C94" w14:textId="77777777" w:rsidR="0047023C" w:rsidRDefault="0047023C" w:rsidP="00B451D7">
            <w:pPr>
              <w:jc w:val="center"/>
              <w:rPr>
                <w:b/>
                <w:bCs/>
                <w:color w:val="000000"/>
                <w:sz w:val="20"/>
                <w:szCs w:val="20"/>
              </w:rPr>
            </w:pPr>
            <w:r>
              <w:rPr>
                <w:b/>
                <w:bCs/>
                <w:color w:val="000000"/>
                <w:sz w:val="20"/>
                <w:szCs w:val="20"/>
              </w:rPr>
              <w:t>Program Status</w:t>
            </w:r>
          </w:p>
        </w:tc>
        <w:tc>
          <w:tcPr>
            <w:tcW w:w="296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F68F6B8" w14:textId="77777777" w:rsidR="0047023C" w:rsidRDefault="0047023C" w:rsidP="00B451D7">
            <w:pPr>
              <w:jc w:val="center"/>
              <w:rPr>
                <w:b/>
                <w:bCs/>
                <w:color w:val="000000"/>
                <w:sz w:val="20"/>
                <w:szCs w:val="20"/>
              </w:rPr>
            </w:pPr>
            <w:r>
              <w:rPr>
                <w:b/>
                <w:bCs/>
                <w:color w:val="000000"/>
                <w:sz w:val="20"/>
                <w:szCs w:val="20"/>
              </w:rPr>
              <w:t>Notes</w:t>
            </w:r>
          </w:p>
        </w:tc>
      </w:tr>
      <w:tr w:rsidR="0047023C" w14:paraId="27A21F59" w14:textId="77777777" w:rsidTr="0047023C">
        <w:trPr>
          <w:trHeight w:val="560"/>
        </w:trPr>
        <w:tc>
          <w:tcPr>
            <w:tcW w:w="1300"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4747AB61" w14:textId="77777777" w:rsidR="0047023C" w:rsidRDefault="0047023C" w:rsidP="00B451D7">
            <w:pPr>
              <w:rPr>
                <w:color w:val="000000"/>
                <w:sz w:val="20"/>
                <w:szCs w:val="20"/>
              </w:rPr>
            </w:pPr>
            <w:r>
              <w:rPr>
                <w:color w:val="000000"/>
                <w:sz w:val="20"/>
                <w:szCs w:val="20"/>
              </w:rPr>
              <w:t>Launch (Month 1)</w:t>
            </w:r>
          </w:p>
        </w:tc>
        <w:tc>
          <w:tcPr>
            <w:tcW w:w="1700" w:type="dxa"/>
            <w:tcBorders>
              <w:top w:val="nil"/>
              <w:left w:val="nil"/>
              <w:bottom w:val="single" w:sz="4" w:space="0" w:color="auto"/>
              <w:right w:val="single" w:sz="4" w:space="0" w:color="auto"/>
            </w:tcBorders>
            <w:vAlign w:val="center"/>
            <w:hideMark/>
          </w:tcPr>
          <w:p w14:paraId="238682C1" w14:textId="77777777" w:rsidR="0047023C" w:rsidRDefault="0047023C" w:rsidP="00B451D7">
            <w:pPr>
              <w:rPr>
                <w:color w:val="000000"/>
                <w:sz w:val="20"/>
                <w:szCs w:val="20"/>
              </w:rPr>
            </w:pPr>
            <w:r>
              <w:rPr>
                <w:color w:val="000000"/>
                <w:sz w:val="20"/>
                <w:szCs w:val="20"/>
              </w:rPr>
              <w:t>100% - 10,000%</w:t>
            </w:r>
          </w:p>
        </w:tc>
        <w:tc>
          <w:tcPr>
            <w:tcW w:w="2100" w:type="dxa"/>
            <w:tcBorders>
              <w:top w:val="nil"/>
              <w:left w:val="nil"/>
              <w:bottom w:val="single" w:sz="4" w:space="0" w:color="auto"/>
              <w:right w:val="single" w:sz="4" w:space="0" w:color="auto"/>
            </w:tcBorders>
            <w:vAlign w:val="center"/>
            <w:hideMark/>
          </w:tcPr>
          <w:p w14:paraId="7A52E9C5" w14:textId="77777777" w:rsidR="0047023C" w:rsidRDefault="0047023C" w:rsidP="00B451D7">
            <w:pPr>
              <w:rPr>
                <w:color w:val="000000"/>
                <w:sz w:val="20"/>
                <w:szCs w:val="20"/>
              </w:rPr>
            </w:pPr>
            <w:r>
              <w:rPr>
                <w:color w:val="000000"/>
                <w:sz w:val="20"/>
                <w:szCs w:val="20"/>
              </w:rPr>
              <w:t>Rapid initial inflow</w:t>
            </w:r>
          </w:p>
        </w:tc>
        <w:tc>
          <w:tcPr>
            <w:tcW w:w="1300" w:type="dxa"/>
            <w:tcBorders>
              <w:top w:val="nil"/>
              <w:left w:val="nil"/>
              <w:bottom w:val="single" w:sz="4" w:space="0" w:color="auto"/>
              <w:right w:val="single" w:sz="4" w:space="0" w:color="auto"/>
            </w:tcBorders>
            <w:vAlign w:val="center"/>
            <w:hideMark/>
          </w:tcPr>
          <w:p w14:paraId="59DF2B97" w14:textId="77777777" w:rsidR="0047023C" w:rsidRDefault="0047023C" w:rsidP="00B451D7">
            <w:pPr>
              <w:rPr>
                <w:color w:val="000000"/>
                <w:sz w:val="20"/>
                <w:szCs w:val="20"/>
              </w:rPr>
            </w:pPr>
            <w:r>
              <w:rPr>
                <w:color w:val="000000"/>
                <w:sz w:val="20"/>
                <w:szCs w:val="20"/>
              </w:rPr>
              <w:t>100% active</w:t>
            </w:r>
          </w:p>
        </w:tc>
        <w:tc>
          <w:tcPr>
            <w:tcW w:w="2960" w:type="dxa"/>
            <w:tcBorders>
              <w:top w:val="nil"/>
              <w:left w:val="nil"/>
              <w:bottom w:val="single" w:sz="4" w:space="0" w:color="auto"/>
              <w:right w:val="single" w:sz="8" w:space="0" w:color="auto"/>
            </w:tcBorders>
            <w:vAlign w:val="center"/>
            <w:hideMark/>
          </w:tcPr>
          <w:p w14:paraId="619837D0" w14:textId="77777777" w:rsidR="0047023C" w:rsidRDefault="0047023C" w:rsidP="00B451D7">
            <w:pPr>
              <w:rPr>
                <w:color w:val="000000"/>
                <w:sz w:val="20"/>
                <w:szCs w:val="20"/>
              </w:rPr>
            </w:pPr>
            <w:r>
              <w:rPr>
                <w:color w:val="000000"/>
                <w:sz w:val="20"/>
                <w:szCs w:val="20"/>
              </w:rPr>
              <w:t>Bootstrap phase with aggressive token incentives</w:t>
            </w:r>
          </w:p>
        </w:tc>
      </w:tr>
      <w:tr w:rsidR="0047023C" w14:paraId="04F5C219" w14:textId="77777777" w:rsidTr="0047023C">
        <w:trPr>
          <w:trHeight w:val="320"/>
        </w:trPr>
        <w:tc>
          <w:tcPr>
            <w:tcW w:w="1300"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11996BAE" w14:textId="77777777" w:rsidR="0047023C" w:rsidRDefault="0047023C" w:rsidP="00B451D7">
            <w:pPr>
              <w:rPr>
                <w:color w:val="000000"/>
                <w:sz w:val="20"/>
                <w:szCs w:val="20"/>
              </w:rPr>
            </w:pPr>
            <w:r>
              <w:rPr>
                <w:color w:val="000000"/>
                <w:sz w:val="20"/>
                <w:szCs w:val="20"/>
              </w:rPr>
              <w:t>Month 2</w:t>
            </w:r>
          </w:p>
        </w:tc>
        <w:tc>
          <w:tcPr>
            <w:tcW w:w="1700" w:type="dxa"/>
            <w:tcBorders>
              <w:top w:val="nil"/>
              <w:left w:val="nil"/>
              <w:bottom w:val="single" w:sz="4" w:space="0" w:color="auto"/>
              <w:right w:val="single" w:sz="4" w:space="0" w:color="auto"/>
            </w:tcBorders>
            <w:vAlign w:val="center"/>
            <w:hideMark/>
          </w:tcPr>
          <w:p w14:paraId="45C4BD97" w14:textId="77777777" w:rsidR="0047023C" w:rsidRDefault="0047023C" w:rsidP="00B451D7">
            <w:pPr>
              <w:rPr>
                <w:color w:val="000000"/>
                <w:sz w:val="20"/>
                <w:szCs w:val="20"/>
              </w:rPr>
            </w:pPr>
            <w:r>
              <w:rPr>
                <w:color w:val="000000"/>
                <w:sz w:val="20"/>
                <w:szCs w:val="20"/>
              </w:rPr>
              <w:t>50% - 500%</w:t>
            </w:r>
          </w:p>
        </w:tc>
        <w:tc>
          <w:tcPr>
            <w:tcW w:w="2100" w:type="dxa"/>
            <w:tcBorders>
              <w:top w:val="nil"/>
              <w:left w:val="nil"/>
              <w:bottom w:val="single" w:sz="4" w:space="0" w:color="auto"/>
              <w:right w:val="single" w:sz="4" w:space="0" w:color="auto"/>
            </w:tcBorders>
            <w:vAlign w:val="center"/>
            <w:hideMark/>
          </w:tcPr>
          <w:p w14:paraId="27AA195B" w14:textId="77777777" w:rsidR="0047023C" w:rsidRDefault="0047023C" w:rsidP="00B451D7">
            <w:pPr>
              <w:rPr>
                <w:color w:val="000000"/>
                <w:sz w:val="20"/>
                <w:szCs w:val="20"/>
              </w:rPr>
            </w:pPr>
            <w:r>
              <w:rPr>
                <w:color w:val="000000"/>
                <w:sz w:val="20"/>
                <w:szCs w:val="20"/>
              </w:rPr>
              <w:t>Continued heavy inflow</w:t>
            </w:r>
          </w:p>
        </w:tc>
        <w:tc>
          <w:tcPr>
            <w:tcW w:w="1300" w:type="dxa"/>
            <w:tcBorders>
              <w:top w:val="nil"/>
              <w:left w:val="nil"/>
              <w:bottom w:val="single" w:sz="4" w:space="0" w:color="auto"/>
              <w:right w:val="single" w:sz="4" w:space="0" w:color="auto"/>
            </w:tcBorders>
            <w:vAlign w:val="center"/>
            <w:hideMark/>
          </w:tcPr>
          <w:p w14:paraId="439B872F" w14:textId="77777777" w:rsidR="0047023C" w:rsidRDefault="0047023C" w:rsidP="00B451D7">
            <w:pPr>
              <w:rPr>
                <w:color w:val="000000"/>
                <w:sz w:val="20"/>
                <w:szCs w:val="20"/>
              </w:rPr>
            </w:pPr>
            <w:r>
              <w:rPr>
                <w:color w:val="000000"/>
                <w:sz w:val="20"/>
                <w:szCs w:val="20"/>
              </w:rPr>
              <w:t>98% active</w:t>
            </w:r>
          </w:p>
        </w:tc>
        <w:tc>
          <w:tcPr>
            <w:tcW w:w="2960" w:type="dxa"/>
            <w:tcBorders>
              <w:top w:val="nil"/>
              <w:left w:val="nil"/>
              <w:bottom w:val="single" w:sz="4" w:space="0" w:color="auto"/>
              <w:right w:val="single" w:sz="8" w:space="0" w:color="auto"/>
            </w:tcBorders>
            <w:vAlign w:val="center"/>
            <w:hideMark/>
          </w:tcPr>
          <w:p w14:paraId="409DE8B8" w14:textId="77777777" w:rsidR="0047023C" w:rsidRDefault="0047023C" w:rsidP="00B451D7">
            <w:pPr>
              <w:rPr>
                <w:color w:val="000000"/>
                <w:sz w:val="20"/>
                <w:szCs w:val="20"/>
              </w:rPr>
            </w:pPr>
            <w:r>
              <w:rPr>
                <w:color w:val="000000"/>
                <w:sz w:val="20"/>
                <w:szCs w:val="20"/>
              </w:rPr>
              <w:t>Early adopter profits realized</w:t>
            </w:r>
          </w:p>
        </w:tc>
      </w:tr>
      <w:tr w:rsidR="0047023C" w14:paraId="1B53A2E1" w14:textId="77777777" w:rsidTr="0047023C">
        <w:trPr>
          <w:trHeight w:val="320"/>
        </w:trPr>
        <w:tc>
          <w:tcPr>
            <w:tcW w:w="1300"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6323F818" w14:textId="77777777" w:rsidR="0047023C" w:rsidRDefault="0047023C" w:rsidP="00B451D7">
            <w:pPr>
              <w:rPr>
                <w:color w:val="000000"/>
                <w:sz w:val="20"/>
                <w:szCs w:val="20"/>
              </w:rPr>
            </w:pPr>
            <w:r>
              <w:rPr>
                <w:color w:val="000000"/>
                <w:sz w:val="20"/>
                <w:szCs w:val="20"/>
              </w:rPr>
              <w:t>Month 3</w:t>
            </w:r>
          </w:p>
        </w:tc>
        <w:tc>
          <w:tcPr>
            <w:tcW w:w="1700" w:type="dxa"/>
            <w:tcBorders>
              <w:top w:val="nil"/>
              <w:left w:val="nil"/>
              <w:bottom w:val="single" w:sz="4" w:space="0" w:color="auto"/>
              <w:right w:val="single" w:sz="4" w:space="0" w:color="auto"/>
            </w:tcBorders>
            <w:vAlign w:val="center"/>
            <w:hideMark/>
          </w:tcPr>
          <w:p w14:paraId="75F1A7B4" w14:textId="77777777" w:rsidR="0047023C" w:rsidRDefault="0047023C" w:rsidP="00B451D7">
            <w:pPr>
              <w:rPr>
                <w:color w:val="000000"/>
                <w:sz w:val="20"/>
                <w:szCs w:val="20"/>
              </w:rPr>
            </w:pPr>
            <w:r>
              <w:rPr>
                <w:color w:val="000000"/>
                <w:sz w:val="20"/>
                <w:szCs w:val="20"/>
              </w:rPr>
              <w:t>10% - 50%</w:t>
            </w:r>
          </w:p>
        </w:tc>
        <w:tc>
          <w:tcPr>
            <w:tcW w:w="2100" w:type="dxa"/>
            <w:tcBorders>
              <w:top w:val="nil"/>
              <w:left w:val="nil"/>
              <w:bottom w:val="single" w:sz="4" w:space="0" w:color="auto"/>
              <w:right w:val="single" w:sz="4" w:space="0" w:color="auto"/>
            </w:tcBorders>
            <w:vAlign w:val="center"/>
            <w:hideMark/>
          </w:tcPr>
          <w:p w14:paraId="52BB8F50" w14:textId="77777777" w:rsidR="0047023C" w:rsidRDefault="0047023C" w:rsidP="00B451D7">
            <w:pPr>
              <w:rPr>
                <w:color w:val="000000"/>
                <w:sz w:val="20"/>
                <w:szCs w:val="20"/>
              </w:rPr>
            </w:pPr>
            <w:r>
              <w:rPr>
                <w:color w:val="000000"/>
                <w:sz w:val="20"/>
                <w:szCs w:val="20"/>
              </w:rPr>
              <w:t>Slowing inflow</w:t>
            </w:r>
          </w:p>
        </w:tc>
        <w:tc>
          <w:tcPr>
            <w:tcW w:w="1300" w:type="dxa"/>
            <w:tcBorders>
              <w:top w:val="nil"/>
              <w:left w:val="nil"/>
              <w:bottom w:val="single" w:sz="4" w:space="0" w:color="auto"/>
              <w:right w:val="single" w:sz="4" w:space="0" w:color="auto"/>
            </w:tcBorders>
            <w:vAlign w:val="center"/>
            <w:hideMark/>
          </w:tcPr>
          <w:p w14:paraId="0075D1B3" w14:textId="77777777" w:rsidR="0047023C" w:rsidRDefault="0047023C" w:rsidP="00B451D7">
            <w:pPr>
              <w:rPr>
                <w:color w:val="000000"/>
                <w:sz w:val="20"/>
                <w:szCs w:val="20"/>
              </w:rPr>
            </w:pPr>
            <w:r>
              <w:rPr>
                <w:color w:val="000000"/>
                <w:sz w:val="20"/>
                <w:szCs w:val="20"/>
              </w:rPr>
              <w:t>89% active</w:t>
            </w:r>
          </w:p>
        </w:tc>
        <w:tc>
          <w:tcPr>
            <w:tcW w:w="2960" w:type="dxa"/>
            <w:tcBorders>
              <w:top w:val="nil"/>
              <w:left w:val="nil"/>
              <w:bottom w:val="single" w:sz="4" w:space="0" w:color="auto"/>
              <w:right w:val="single" w:sz="8" w:space="0" w:color="auto"/>
            </w:tcBorders>
            <w:vAlign w:val="center"/>
            <w:hideMark/>
          </w:tcPr>
          <w:p w14:paraId="42FA6724" w14:textId="77777777" w:rsidR="0047023C" w:rsidRDefault="0047023C" w:rsidP="00B451D7">
            <w:pPr>
              <w:rPr>
                <w:color w:val="000000"/>
                <w:sz w:val="20"/>
                <w:szCs w:val="20"/>
              </w:rPr>
            </w:pPr>
            <w:r>
              <w:rPr>
                <w:color w:val="000000"/>
                <w:sz w:val="20"/>
                <w:szCs w:val="20"/>
              </w:rPr>
              <w:t>Yield compression accelerates</w:t>
            </w:r>
          </w:p>
        </w:tc>
      </w:tr>
      <w:tr w:rsidR="0047023C" w14:paraId="5DED481F" w14:textId="77777777" w:rsidTr="0047023C">
        <w:trPr>
          <w:trHeight w:val="560"/>
        </w:trPr>
        <w:tc>
          <w:tcPr>
            <w:tcW w:w="1300"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729C45A9" w14:textId="77777777" w:rsidR="0047023C" w:rsidRDefault="0047023C" w:rsidP="00B451D7">
            <w:pPr>
              <w:rPr>
                <w:color w:val="000000"/>
                <w:sz w:val="20"/>
                <w:szCs w:val="20"/>
              </w:rPr>
            </w:pPr>
            <w:r>
              <w:rPr>
                <w:color w:val="000000"/>
                <w:sz w:val="20"/>
                <w:szCs w:val="20"/>
              </w:rPr>
              <w:t>Month 6</w:t>
            </w:r>
          </w:p>
        </w:tc>
        <w:tc>
          <w:tcPr>
            <w:tcW w:w="1700" w:type="dxa"/>
            <w:tcBorders>
              <w:top w:val="nil"/>
              <w:left w:val="nil"/>
              <w:bottom w:val="single" w:sz="4" w:space="0" w:color="auto"/>
              <w:right w:val="single" w:sz="4" w:space="0" w:color="auto"/>
            </w:tcBorders>
            <w:vAlign w:val="center"/>
            <w:hideMark/>
          </w:tcPr>
          <w:p w14:paraId="70295FE0" w14:textId="77777777" w:rsidR="0047023C" w:rsidRDefault="0047023C" w:rsidP="00B451D7">
            <w:pPr>
              <w:rPr>
                <w:color w:val="000000"/>
                <w:sz w:val="20"/>
                <w:szCs w:val="20"/>
              </w:rPr>
            </w:pPr>
            <w:r>
              <w:rPr>
                <w:color w:val="000000"/>
                <w:sz w:val="20"/>
                <w:szCs w:val="20"/>
              </w:rPr>
              <w:t>5% - 20%</w:t>
            </w:r>
          </w:p>
        </w:tc>
        <w:tc>
          <w:tcPr>
            <w:tcW w:w="2100" w:type="dxa"/>
            <w:tcBorders>
              <w:top w:val="nil"/>
              <w:left w:val="nil"/>
              <w:bottom w:val="single" w:sz="4" w:space="0" w:color="auto"/>
              <w:right w:val="single" w:sz="4" w:space="0" w:color="auto"/>
            </w:tcBorders>
            <w:vAlign w:val="center"/>
            <w:hideMark/>
          </w:tcPr>
          <w:p w14:paraId="7E4FFB66" w14:textId="77777777" w:rsidR="0047023C" w:rsidRDefault="0047023C" w:rsidP="00B451D7">
            <w:pPr>
              <w:rPr>
                <w:color w:val="000000"/>
                <w:sz w:val="20"/>
                <w:szCs w:val="20"/>
              </w:rPr>
            </w:pPr>
            <w:r>
              <w:rPr>
                <w:color w:val="000000"/>
                <w:sz w:val="20"/>
                <w:szCs w:val="20"/>
              </w:rPr>
              <w:t>Minimal new capital</w:t>
            </w:r>
          </w:p>
        </w:tc>
        <w:tc>
          <w:tcPr>
            <w:tcW w:w="1300" w:type="dxa"/>
            <w:tcBorders>
              <w:top w:val="nil"/>
              <w:left w:val="nil"/>
              <w:bottom w:val="single" w:sz="4" w:space="0" w:color="auto"/>
              <w:right w:val="single" w:sz="4" w:space="0" w:color="auto"/>
            </w:tcBorders>
            <w:vAlign w:val="center"/>
            <w:hideMark/>
          </w:tcPr>
          <w:p w14:paraId="5D6C6EF7" w14:textId="77777777" w:rsidR="0047023C" w:rsidRDefault="0047023C" w:rsidP="00B451D7">
            <w:pPr>
              <w:rPr>
                <w:color w:val="000000"/>
                <w:sz w:val="20"/>
                <w:szCs w:val="20"/>
              </w:rPr>
            </w:pPr>
            <w:r>
              <w:rPr>
                <w:color w:val="000000"/>
                <w:sz w:val="20"/>
                <w:szCs w:val="20"/>
              </w:rPr>
              <w:t>67% active</w:t>
            </w:r>
          </w:p>
        </w:tc>
        <w:tc>
          <w:tcPr>
            <w:tcW w:w="2960" w:type="dxa"/>
            <w:tcBorders>
              <w:top w:val="nil"/>
              <w:left w:val="nil"/>
              <w:bottom w:val="single" w:sz="4" w:space="0" w:color="auto"/>
              <w:right w:val="single" w:sz="8" w:space="0" w:color="auto"/>
            </w:tcBorders>
            <w:vAlign w:val="center"/>
            <w:hideMark/>
          </w:tcPr>
          <w:p w14:paraId="23E9DDC3" w14:textId="77777777" w:rsidR="0047023C" w:rsidRDefault="0047023C" w:rsidP="00B451D7">
            <w:pPr>
              <w:rPr>
                <w:color w:val="000000"/>
                <w:sz w:val="20"/>
                <w:szCs w:val="20"/>
              </w:rPr>
            </w:pPr>
            <w:r>
              <w:rPr>
                <w:color w:val="000000"/>
                <w:sz w:val="20"/>
                <w:szCs w:val="20"/>
              </w:rPr>
              <w:t>Below advertised sustainability levels</w:t>
            </w:r>
          </w:p>
        </w:tc>
      </w:tr>
      <w:tr w:rsidR="0047023C" w14:paraId="7FBC73EC" w14:textId="77777777" w:rsidTr="0047023C">
        <w:trPr>
          <w:trHeight w:val="320"/>
        </w:trPr>
        <w:tc>
          <w:tcPr>
            <w:tcW w:w="1300"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72F4B5A2" w14:textId="77777777" w:rsidR="0047023C" w:rsidRDefault="0047023C" w:rsidP="00B451D7">
            <w:pPr>
              <w:rPr>
                <w:color w:val="000000"/>
                <w:sz w:val="20"/>
                <w:szCs w:val="20"/>
              </w:rPr>
            </w:pPr>
            <w:r>
              <w:rPr>
                <w:color w:val="000000"/>
                <w:sz w:val="20"/>
                <w:szCs w:val="20"/>
              </w:rPr>
              <w:lastRenderedPageBreak/>
              <w:t>Month 9</w:t>
            </w:r>
          </w:p>
        </w:tc>
        <w:tc>
          <w:tcPr>
            <w:tcW w:w="1700" w:type="dxa"/>
            <w:tcBorders>
              <w:top w:val="nil"/>
              <w:left w:val="nil"/>
              <w:bottom w:val="single" w:sz="4" w:space="0" w:color="auto"/>
              <w:right w:val="single" w:sz="4" w:space="0" w:color="auto"/>
            </w:tcBorders>
            <w:vAlign w:val="center"/>
            <w:hideMark/>
          </w:tcPr>
          <w:p w14:paraId="30E90907" w14:textId="77777777" w:rsidR="0047023C" w:rsidRDefault="0047023C" w:rsidP="00B451D7">
            <w:pPr>
              <w:rPr>
                <w:color w:val="000000"/>
                <w:sz w:val="20"/>
                <w:szCs w:val="20"/>
              </w:rPr>
            </w:pPr>
            <w:r>
              <w:rPr>
                <w:color w:val="000000"/>
                <w:sz w:val="20"/>
                <w:szCs w:val="20"/>
              </w:rPr>
              <w:t>2% - 12%</w:t>
            </w:r>
          </w:p>
        </w:tc>
        <w:tc>
          <w:tcPr>
            <w:tcW w:w="2100" w:type="dxa"/>
            <w:tcBorders>
              <w:top w:val="nil"/>
              <w:left w:val="nil"/>
              <w:bottom w:val="single" w:sz="4" w:space="0" w:color="auto"/>
              <w:right w:val="single" w:sz="4" w:space="0" w:color="auto"/>
            </w:tcBorders>
            <w:vAlign w:val="center"/>
            <w:hideMark/>
          </w:tcPr>
          <w:p w14:paraId="770C3113" w14:textId="77777777" w:rsidR="0047023C" w:rsidRDefault="0047023C" w:rsidP="00B451D7">
            <w:pPr>
              <w:rPr>
                <w:color w:val="000000"/>
                <w:sz w:val="20"/>
                <w:szCs w:val="20"/>
              </w:rPr>
            </w:pPr>
            <w:r>
              <w:rPr>
                <w:color w:val="000000"/>
                <w:sz w:val="20"/>
                <w:szCs w:val="20"/>
              </w:rPr>
              <w:t>Net outflow begins</w:t>
            </w:r>
          </w:p>
        </w:tc>
        <w:tc>
          <w:tcPr>
            <w:tcW w:w="1300" w:type="dxa"/>
            <w:tcBorders>
              <w:top w:val="nil"/>
              <w:left w:val="nil"/>
              <w:bottom w:val="single" w:sz="4" w:space="0" w:color="auto"/>
              <w:right w:val="single" w:sz="4" w:space="0" w:color="auto"/>
            </w:tcBorders>
            <w:vAlign w:val="center"/>
            <w:hideMark/>
          </w:tcPr>
          <w:p w14:paraId="29C39672" w14:textId="77777777" w:rsidR="0047023C" w:rsidRDefault="0047023C" w:rsidP="00B451D7">
            <w:pPr>
              <w:rPr>
                <w:color w:val="000000"/>
                <w:sz w:val="20"/>
                <w:szCs w:val="20"/>
              </w:rPr>
            </w:pPr>
            <w:r>
              <w:rPr>
                <w:color w:val="000000"/>
                <w:sz w:val="20"/>
                <w:szCs w:val="20"/>
              </w:rPr>
              <w:t>43% active</w:t>
            </w:r>
          </w:p>
        </w:tc>
        <w:tc>
          <w:tcPr>
            <w:tcW w:w="2960" w:type="dxa"/>
            <w:tcBorders>
              <w:top w:val="nil"/>
              <w:left w:val="nil"/>
              <w:bottom w:val="single" w:sz="4" w:space="0" w:color="auto"/>
              <w:right w:val="single" w:sz="8" w:space="0" w:color="auto"/>
            </w:tcBorders>
            <w:vAlign w:val="center"/>
            <w:hideMark/>
          </w:tcPr>
          <w:p w14:paraId="4F6F6682" w14:textId="77777777" w:rsidR="0047023C" w:rsidRDefault="0047023C" w:rsidP="00B451D7">
            <w:pPr>
              <w:rPr>
                <w:color w:val="000000"/>
                <w:sz w:val="20"/>
                <w:szCs w:val="20"/>
              </w:rPr>
            </w:pPr>
            <w:r>
              <w:rPr>
                <w:color w:val="000000"/>
                <w:sz w:val="20"/>
                <w:szCs w:val="20"/>
              </w:rPr>
              <w:t>First wave of program shutdowns</w:t>
            </w:r>
          </w:p>
        </w:tc>
      </w:tr>
      <w:tr w:rsidR="0047023C" w14:paraId="70B58F4D" w14:textId="77777777" w:rsidTr="0047023C">
        <w:trPr>
          <w:trHeight w:val="320"/>
        </w:trPr>
        <w:tc>
          <w:tcPr>
            <w:tcW w:w="1300"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7BB817BF" w14:textId="77777777" w:rsidR="0047023C" w:rsidRDefault="0047023C" w:rsidP="00B451D7">
            <w:pPr>
              <w:rPr>
                <w:color w:val="000000"/>
                <w:sz w:val="20"/>
                <w:szCs w:val="20"/>
              </w:rPr>
            </w:pPr>
            <w:r>
              <w:rPr>
                <w:color w:val="000000"/>
                <w:sz w:val="20"/>
                <w:szCs w:val="20"/>
              </w:rPr>
              <w:t>Month 12</w:t>
            </w:r>
          </w:p>
        </w:tc>
        <w:tc>
          <w:tcPr>
            <w:tcW w:w="1700" w:type="dxa"/>
            <w:tcBorders>
              <w:top w:val="nil"/>
              <w:left w:val="nil"/>
              <w:bottom w:val="single" w:sz="4" w:space="0" w:color="auto"/>
              <w:right w:val="single" w:sz="4" w:space="0" w:color="auto"/>
            </w:tcBorders>
            <w:vAlign w:val="center"/>
            <w:hideMark/>
          </w:tcPr>
          <w:p w14:paraId="6073F3B2" w14:textId="77777777" w:rsidR="0047023C" w:rsidRDefault="0047023C" w:rsidP="00B451D7">
            <w:pPr>
              <w:rPr>
                <w:color w:val="000000"/>
                <w:sz w:val="20"/>
                <w:szCs w:val="20"/>
              </w:rPr>
            </w:pPr>
            <w:r>
              <w:rPr>
                <w:color w:val="000000"/>
                <w:sz w:val="20"/>
                <w:szCs w:val="20"/>
              </w:rPr>
              <w:t>1% - 8%</w:t>
            </w:r>
          </w:p>
        </w:tc>
        <w:tc>
          <w:tcPr>
            <w:tcW w:w="2100" w:type="dxa"/>
            <w:tcBorders>
              <w:top w:val="nil"/>
              <w:left w:val="nil"/>
              <w:bottom w:val="single" w:sz="4" w:space="0" w:color="auto"/>
              <w:right w:val="single" w:sz="4" w:space="0" w:color="auto"/>
            </w:tcBorders>
            <w:vAlign w:val="center"/>
            <w:hideMark/>
          </w:tcPr>
          <w:p w14:paraId="5B58D080" w14:textId="77777777" w:rsidR="0047023C" w:rsidRDefault="0047023C" w:rsidP="00B451D7">
            <w:pPr>
              <w:rPr>
                <w:color w:val="000000"/>
                <w:sz w:val="20"/>
                <w:szCs w:val="20"/>
              </w:rPr>
            </w:pPr>
            <w:r>
              <w:rPr>
                <w:color w:val="000000"/>
                <w:sz w:val="20"/>
                <w:szCs w:val="20"/>
              </w:rPr>
              <w:t>Significant outflow</w:t>
            </w:r>
          </w:p>
        </w:tc>
        <w:tc>
          <w:tcPr>
            <w:tcW w:w="1300" w:type="dxa"/>
            <w:tcBorders>
              <w:top w:val="nil"/>
              <w:left w:val="nil"/>
              <w:bottom w:val="single" w:sz="4" w:space="0" w:color="auto"/>
              <w:right w:val="single" w:sz="4" w:space="0" w:color="auto"/>
            </w:tcBorders>
            <w:vAlign w:val="center"/>
            <w:hideMark/>
          </w:tcPr>
          <w:p w14:paraId="79439A5C" w14:textId="77777777" w:rsidR="0047023C" w:rsidRDefault="0047023C" w:rsidP="00B451D7">
            <w:pPr>
              <w:rPr>
                <w:color w:val="000000"/>
                <w:sz w:val="20"/>
                <w:szCs w:val="20"/>
              </w:rPr>
            </w:pPr>
            <w:r>
              <w:rPr>
                <w:color w:val="000000"/>
                <w:sz w:val="20"/>
                <w:szCs w:val="20"/>
              </w:rPr>
              <w:t>28% active</w:t>
            </w:r>
          </w:p>
        </w:tc>
        <w:tc>
          <w:tcPr>
            <w:tcW w:w="2960" w:type="dxa"/>
            <w:tcBorders>
              <w:top w:val="nil"/>
              <w:left w:val="nil"/>
              <w:bottom w:val="single" w:sz="4" w:space="0" w:color="auto"/>
              <w:right w:val="single" w:sz="8" w:space="0" w:color="auto"/>
            </w:tcBorders>
            <w:vAlign w:val="center"/>
            <w:hideMark/>
          </w:tcPr>
          <w:p w14:paraId="3185AFC9" w14:textId="77777777" w:rsidR="0047023C" w:rsidRDefault="0047023C" w:rsidP="00B451D7">
            <w:pPr>
              <w:rPr>
                <w:color w:val="000000"/>
                <w:sz w:val="20"/>
                <w:szCs w:val="20"/>
              </w:rPr>
            </w:pPr>
            <w:r>
              <w:rPr>
                <w:color w:val="000000"/>
                <w:sz w:val="20"/>
                <w:szCs w:val="20"/>
              </w:rPr>
              <w:t>Majority of programs non-viable</w:t>
            </w:r>
          </w:p>
        </w:tc>
      </w:tr>
      <w:tr w:rsidR="0047023C" w14:paraId="7B0662D7" w14:textId="77777777" w:rsidTr="0047023C">
        <w:trPr>
          <w:trHeight w:val="580"/>
        </w:trPr>
        <w:tc>
          <w:tcPr>
            <w:tcW w:w="130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04782A6" w14:textId="77777777" w:rsidR="0047023C" w:rsidRDefault="0047023C" w:rsidP="00B451D7">
            <w:pPr>
              <w:rPr>
                <w:color w:val="000000"/>
                <w:sz w:val="20"/>
                <w:szCs w:val="20"/>
              </w:rPr>
            </w:pPr>
            <w:r>
              <w:rPr>
                <w:color w:val="000000"/>
                <w:sz w:val="20"/>
                <w:szCs w:val="20"/>
              </w:rPr>
              <w:t>Month 18+</w:t>
            </w:r>
          </w:p>
        </w:tc>
        <w:tc>
          <w:tcPr>
            <w:tcW w:w="1700" w:type="dxa"/>
            <w:tcBorders>
              <w:top w:val="nil"/>
              <w:left w:val="nil"/>
              <w:bottom w:val="single" w:sz="8" w:space="0" w:color="auto"/>
              <w:right w:val="single" w:sz="4" w:space="0" w:color="auto"/>
            </w:tcBorders>
            <w:vAlign w:val="center"/>
            <w:hideMark/>
          </w:tcPr>
          <w:p w14:paraId="526BCF94" w14:textId="77777777" w:rsidR="0047023C" w:rsidRDefault="0047023C" w:rsidP="00B451D7">
            <w:pPr>
              <w:rPr>
                <w:color w:val="000000"/>
                <w:sz w:val="20"/>
                <w:szCs w:val="20"/>
              </w:rPr>
            </w:pPr>
            <w:r>
              <w:rPr>
                <w:color w:val="000000"/>
                <w:sz w:val="20"/>
                <w:szCs w:val="20"/>
              </w:rPr>
              <w:t>0.5% - 5%</w:t>
            </w:r>
          </w:p>
        </w:tc>
        <w:tc>
          <w:tcPr>
            <w:tcW w:w="2100" w:type="dxa"/>
            <w:tcBorders>
              <w:top w:val="nil"/>
              <w:left w:val="nil"/>
              <w:bottom w:val="single" w:sz="8" w:space="0" w:color="auto"/>
              <w:right w:val="single" w:sz="4" w:space="0" w:color="auto"/>
            </w:tcBorders>
            <w:vAlign w:val="center"/>
            <w:hideMark/>
          </w:tcPr>
          <w:p w14:paraId="0D07403B" w14:textId="77777777" w:rsidR="0047023C" w:rsidRDefault="0047023C" w:rsidP="00B451D7">
            <w:pPr>
              <w:rPr>
                <w:color w:val="000000"/>
                <w:sz w:val="20"/>
                <w:szCs w:val="20"/>
              </w:rPr>
            </w:pPr>
            <w:r>
              <w:rPr>
                <w:color w:val="000000"/>
                <w:sz w:val="20"/>
                <w:szCs w:val="20"/>
              </w:rPr>
              <w:t>Heavy outflow</w:t>
            </w:r>
          </w:p>
        </w:tc>
        <w:tc>
          <w:tcPr>
            <w:tcW w:w="1300" w:type="dxa"/>
            <w:tcBorders>
              <w:top w:val="nil"/>
              <w:left w:val="nil"/>
              <w:bottom w:val="single" w:sz="8" w:space="0" w:color="auto"/>
              <w:right w:val="single" w:sz="4" w:space="0" w:color="auto"/>
            </w:tcBorders>
            <w:vAlign w:val="center"/>
            <w:hideMark/>
          </w:tcPr>
          <w:p w14:paraId="6A37C2AA" w14:textId="77777777" w:rsidR="0047023C" w:rsidRDefault="0047023C" w:rsidP="00B451D7">
            <w:pPr>
              <w:rPr>
                <w:color w:val="000000"/>
                <w:sz w:val="20"/>
                <w:szCs w:val="20"/>
              </w:rPr>
            </w:pPr>
            <w:r>
              <w:rPr>
                <w:color w:val="000000"/>
                <w:sz w:val="20"/>
                <w:szCs w:val="20"/>
              </w:rPr>
              <w:t>12% active</w:t>
            </w:r>
          </w:p>
        </w:tc>
        <w:tc>
          <w:tcPr>
            <w:tcW w:w="2960" w:type="dxa"/>
            <w:tcBorders>
              <w:top w:val="nil"/>
              <w:left w:val="nil"/>
              <w:bottom w:val="single" w:sz="8" w:space="0" w:color="auto"/>
              <w:right w:val="single" w:sz="8" w:space="0" w:color="auto"/>
            </w:tcBorders>
            <w:vAlign w:val="center"/>
            <w:hideMark/>
          </w:tcPr>
          <w:p w14:paraId="7833EC8A" w14:textId="77777777" w:rsidR="0047023C" w:rsidRDefault="0047023C" w:rsidP="00B451D7">
            <w:pPr>
              <w:rPr>
                <w:color w:val="000000"/>
                <w:sz w:val="20"/>
                <w:szCs w:val="20"/>
              </w:rPr>
            </w:pPr>
            <w:r>
              <w:rPr>
                <w:color w:val="000000"/>
                <w:sz w:val="20"/>
                <w:szCs w:val="20"/>
              </w:rPr>
              <w:t>Below traditional finance alternatives (4.5% Treasury yield)</w:t>
            </w:r>
          </w:p>
        </w:tc>
      </w:tr>
    </w:tbl>
    <w:p w14:paraId="74573DFB" w14:textId="6E83D824" w:rsidR="00175EDF" w:rsidRPr="00C976C1" w:rsidRDefault="003A025A" w:rsidP="00B451D7">
      <w:pPr>
        <w:rPr>
          <w:rFonts w:ascii="Arial" w:hAnsi="Arial" w:cs="Arial"/>
          <w:i/>
          <w:iCs/>
          <w:sz w:val="22"/>
          <w:szCs w:val="22"/>
        </w:rPr>
      </w:pPr>
      <w:r w:rsidRPr="00C976C1">
        <w:rPr>
          <w:rFonts w:ascii="Arial" w:hAnsi="Arial" w:cs="Arial"/>
          <w:i/>
          <w:iCs/>
          <w:sz w:val="22"/>
          <w:szCs w:val="22"/>
        </w:rPr>
        <w:t>Source: Author's analysis of 147 yield farming programs tracked from inception through 2020-2024 study period.</w:t>
      </w:r>
    </w:p>
    <w:p w14:paraId="6D56C776" w14:textId="77777777" w:rsidR="0007632D" w:rsidRPr="0007632D" w:rsidRDefault="0007632D" w:rsidP="00B451D7">
      <w:pPr>
        <w:jc w:val="both"/>
        <w:rPr>
          <w:rFonts w:eastAsiaTheme="majorEastAsia"/>
          <w:bCs/>
          <w:color w:val="000000" w:themeColor="text1"/>
        </w:rPr>
      </w:pPr>
    </w:p>
    <w:p w14:paraId="72B19FDD" w14:textId="3E3F0237" w:rsidR="0007632D" w:rsidRPr="00516A06" w:rsidRDefault="0007632D" w:rsidP="00B451D7">
      <w:pPr>
        <w:jc w:val="both"/>
        <w:rPr>
          <w:rFonts w:eastAsiaTheme="majorEastAsia"/>
          <w:bCs/>
          <w:color w:val="000000" w:themeColor="text1"/>
        </w:rPr>
      </w:pPr>
      <w:r w:rsidRPr="00516A06">
        <w:rPr>
          <w:rFonts w:eastAsiaTheme="majorEastAsia"/>
          <w:bCs/>
          <w:color w:val="000000" w:themeColor="text1"/>
        </w:rPr>
        <w:t xml:space="preserve">The anti-inductive nature of yield farming creates a predictable decay curve where discovery guarantees obsolescence. Initial participants capture outsized returns (100-10,000% APY), but the visibility of these returns attracts capital that systematically compresses yields to sub-viable levels within 12-18 months. Only 12% of </w:t>
      </w:r>
      <w:r w:rsidR="00516A06" w:rsidRPr="00516A06">
        <w:rPr>
          <w:rFonts w:eastAsiaTheme="majorEastAsia"/>
          <w:bCs/>
          <w:color w:val="000000" w:themeColor="text1"/>
        </w:rPr>
        <w:t xml:space="preserve">the </w:t>
      </w:r>
      <w:r w:rsidRPr="00516A06">
        <w:rPr>
          <w:rFonts w:eastAsiaTheme="majorEastAsia"/>
          <w:bCs/>
          <w:color w:val="000000" w:themeColor="text1"/>
        </w:rPr>
        <w:t xml:space="preserve">programs survived beyond 18 months, and those that did </w:t>
      </w:r>
      <w:proofErr w:type="gramStart"/>
      <w:r w:rsidRPr="00516A06">
        <w:rPr>
          <w:rFonts w:eastAsiaTheme="majorEastAsia"/>
          <w:bCs/>
          <w:color w:val="000000" w:themeColor="text1"/>
        </w:rPr>
        <w:t>offered</w:t>
      </w:r>
      <w:proofErr w:type="gramEnd"/>
      <w:r w:rsidRPr="00516A06">
        <w:rPr>
          <w:rFonts w:eastAsiaTheme="majorEastAsia"/>
          <w:bCs/>
          <w:color w:val="000000" w:themeColor="text1"/>
        </w:rPr>
        <w:t xml:space="preserve"> </w:t>
      </w:r>
      <w:proofErr w:type="gramStart"/>
      <w:r w:rsidRPr="00516A06">
        <w:rPr>
          <w:rFonts w:eastAsiaTheme="majorEastAsia"/>
          <w:bCs/>
          <w:color w:val="000000" w:themeColor="text1"/>
        </w:rPr>
        <w:t>returns</w:t>
      </w:r>
      <w:proofErr w:type="gramEnd"/>
      <w:r w:rsidRPr="00516A06">
        <w:rPr>
          <w:rFonts w:eastAsiaTheme="majorEastAsia"/>
          <w:bCs/>
          <w:color w:val="000000" w:themeColor="text1"/>
        </w:rPr>
        <w:t xml:space="preserve"> below risk-free </w:t>
      </w:r>
      <w:r w:rsidR="00516A06" w:rsidRPr="00516A06">
        <w:rPr>
          <w:rFonts w:eastAsiaTheme="majorEastAsia"/>
          <w:bCs/>
          <w:color w:val="000000" w:themeColor="text1"/>
        </w:rPr>
        <w:t>opportunities.</w:t>
      </w:r>
    </w:p>
    <w:p w14:paraId="25133FD0" w14:textId="77777777" w:rsidR="0007632D" w:rsidRDefault="0007632D" w:rsidP="00B451D7">
      <w:pPr>
        <w:jc w:val="both"/>
        <w:rPr>
          <w:rFonts w:eastAsiaTheme="majorEastAsia"/>
          <w:bCs/>
          <w:color w:val="000000" w:themeColor="text1"/>
        </w:rPr>
      </w:pPr>
    </w:p>
    <w:p w14:paraId="51F1C5DC" w14:textId="234EE77C" w:rsidR="00175EDF" w:rsidRPr="003C66A0" w:rsidRDefault="00175EDF" w:rsidP="00B451D7">
      <w:pPr>
        <w:jc w:val="both"/>
        <w:rPr>
          <w:rFonts w:eastAsiaTheme="majorEastAsia"/>
          <w:bCs/>
          <w:color w:val="000000" w:themeColor="text1"/>
        </w:rPr>
      </w:pPr>
      <w:r w:rsidRPr="003C66A0">
        <w:rPr>
          <w:rFonts w:eastAsiaTheme="majorEastAsia"/>
          <w:bCs/>
          <w:color w:val="000000" w:themeColor="text1"/>
        </w:rPr>
        <w:t>The hidden costs devastate the net return</w:t>
      </w:r>
      <w:r w:rsidR="00A80D43">
        <w:rPr>
          <w:rFonts w:eastAsiaTheme="majorEastAsia"/>
          <w:bCs/>
          <w:color w:val="000000" w:themeColor="text1"/>
        </w:rPr>
        <w:t xml:space="preserve"> </w:t>
      </w:r>
      <w:r w:rsidR="00A80D43" w:rsidRPr="003C66A0">
        <w:rPr>
          <w:rFonts w:eastAsiaTheme="majorEastAsia"/>
          <w:bCs/>
          <w:color w:val="000000" w:themeColor="text1"/>
        </w:rPr>
        <w:t>significantly</w:t>
      </w:r>
      <w:r w:rsidRPr="003C66A0">
        <w:rPr>
          <w:rFonts w:eastAsiaTheme="majorEastAsia"/>
          <w:bCs/>
          <w:color w:val="000000" w:themeColor="text1"/>
        </w:rPr>
        <w:t xml:space="preserve">. Gas fees on Ethereum averaged $847 per position per quarter in my tracked data. For a $10,000 position, that's 8.5% quarterly or 34% </w:t>
      </w:r>
      <w:proofErr w:type="gramStart"/>
      <w:r w:rsidRPr="003C66A0">
        <w:rPr>
          <w:rFonts w:eastAsiaTheme="majorEastAsia"/>
          <w:bCs/>
          <w:color w:val="000000" w:themeColor="text1"/>
        </w:rPr>
        <w:t>annualized—</w:t>
      </w:r>
      <w:proofErr w:type="gramEnd"/>
      <w:r w:rsidRPr="003C66A0">
        <w:rPr>
          <w:rFonts w:eastAsiaTheme="majorEastAsia"/>
          <w:bCs/>
          <w:color w:val="000000" w:themeColor="text1"/>
        </w:rPr>
        <w:t>often exceeding the yield itself. Impermanent loss adds an extra layer of cost. Among volatile pair positions, 67% experienced IL exceeding fee income (among 54 volatile pair positions tracked). Smart contract risk materialized in 12% of tracked positions, with average losses of 67% when exploits occurred.</w:t>
      </w:r>
    </w:p>
    <w:p w14:paraId="4340768B" w14:textId="77777777" w:rsidR="00175EDF" w:rsidRPr="003C66A0" w:rsidRDefault="00175EDF" w:rsidP="00B451D7">
      <w:pPr>
        <w:jc w:val="both"/>
        <w:rPr>
          <w:rFonts w:eastAsiaTheme="majorEastAsia"/>
          <w:bCs/>
          <w:color w:val="000000" w:themeColor="text1"/>
        </w:rPr>
      </w:pPr>
    </w:p>
    <w:p w14:paraId="1B10825F" w14:textId="77777777" w:rsidR="00175EDF" w:rsidRPr="003C66A0" w:rsidRDefault="00175EDF" w:rsidP="00B451D7">
      <w:pPr>
        <w:jc w:val="both"/>
        <w:rPr>
          <w:rFonts w:eastAsiaTheme="majorEastAsia"/>
          <w:bCs/>
          <w:color w:val="000000" w:themeColor="text1"/>
        </w:rPr>
      </w:pPr>
      <w:r w:rsidRPr="003C66A0">
        <w:rPr>
          <w:rFonts w:eastAsiaTheme="majorEastAsia"/>
          <w:bCs/>
          <w:color w:val="000000" w:themeColor="text1"/>
        </w:rPr>
        <w:t xml:space="preserve">Liu and </w:t>
      </w:r>
      <w:proofErr w:type="spellStart"/>
      <w:r w:rsidRPr="003C66A0">
        <w:rPr>
          <w:rFonts w:eastAsiaTheme="majorEastAsia"/>
          <w:bCs/>
          <w:color w:val="000000" w:themeColor="text1"/>
        </w:rPr>
        <w:t>Tsyvinski</w:t>
      </w:r>
      <w:proofErr w:type="spellEnd"/>
      <w:r w:rsidRPr="003C66A0">
        <w:rPr>
          <w:rFonts w:eastAsiaTheme="majorEastAsia"/>
          <w:bCs/>
          <w:color w:val="000000" w:themeColor="text1"/>
        </w:rPr>
        <w:t xml:space="preserve"> (2021) studied 347 yield farming positions and found that over half resulted in net losses after accounting for all related costs associated with these transactions. The profitable positions succeeded primarily through token price appreciation rather than yield generation. This is not farming </w:t>
      </w:r>
      <w:proofErr w:type="spellStart"/>
      <w:proofErr w:type="gramStart"/>
      <w:r w:rsidRPr="003C66A0">
        <w:rPr>
          <w:rFonts w:eastAsiaTheme="majorEastAsia"/>
          <w:bCs/>
          <w:color w:val="000000" w:themeColor="text1"/>
        </w:rPr>
        <w:t>butit</w:t>
      </w:r>
      <w:proofErr w:type="spellEnd"/>
      <w:proofErr w:type="gramEnd"/>
      <w:r w:rsidRPr="003C66A0">
        <w:rPr>
          <w:rFonts w:eastAsiaTheme="majorEastAsia"/>
          <w:bCs/>
          <w:color w:val="000000" w:themeColor="text1"/>
        </w:rPr>
        <w:t xml:space="preserve"> is speculation with yield as a minor component.</w:t>
      </w:r>
    </w:p>
    <w:p w14:paraId="10710626" w14:textId="77777777" w:rsidR="00CD7CE9" w:rsidRPr="003C66A0" w:rsidRDefault="00CD7CE9" w:rsidP="00B451D7">
      <w:pPr>
        <w:jc w:val="both"/>
        <w:rPr>
          <w:rFonts w:eastAsiaTheme="majorEastAsia"/>
          <w:b/>
          <w:bCs/>
          <w:color w:val="000000" w:themeColor="text1"/>
        </w:rPr>
      </w:pPr>
    </w:p>
    <w:p w14:paraId="0B361F15" w14:textId="6F7B3FCA" w:rsidR="000F3578" w:rsidRPr="003C66A0" w:rsidRDefault="00D71B3F" w:rsidP="00B451D7">
      <w:pPr>
        <w:pStyle w:val="Heading2"/>
        <w:jc w:val="both"/>
        <w:rPr>
          <w:rFonts w:eastAsiaTheme="majorEastAsia"/>
        </w:rPr>
      </w:pPr>
      <w:bookmarkStart w:id="50" w:name="_Toc214721856"/>
      <w:r w:rsidRPr="003C66A0">
        <w:rPr>
          <w:rFonts w:eastAsiaTheme="majorEastAsia"/>
        </w:rPr>
        <w:t>3.</w:t>
      </w:r>
      <w:r w:rsidR="0082049B">
        <w:rPr>
          <w:rFonts w:eastAsiaTheme="majorEastAsia"/>
        </w:rPr>
        <w:t>4</w:t>
      </w:r>
      <w:r w:rsidR="000F3578" w:rsidRPr="003C66A0">
        <w:rPr>
          <w:rFonts w:eastAsiaTheme="majorEastAsia"/>
        </w:rPr>
        <w:t xml:space="preserve"> Liquidity Provision</w:t>
      </w:r>
      <w:bookmarkEnd w:id="50"/>
    </w:p>
    <w:p w14:paraId="077BD3E5" w14:textId="77777777" w:rsidR="00ED23EE" w:rsidRPr="003C66A0" w:rsidRDefault="00ED23EE" w:rsidP="00B451D7">
      <w:pPr>
        <w:jc w:val="both"/>
        <w:rPr>
          <w:rFonts w:eastAsiaTheme="majorEastAsia"/>
          <w:bCs/>
          <w:color w:val="000000" w:themeColor="text1"/>
        </w:rPr>
      </w:pPr>
      <w:r w:rsidRPr="003C66A0">
        <w:rPr>
          <w:rFonts w:eastAsiaTheme="majorEastAsia"/>
          <w:bCs/>
          <w:color w:val="000000" w:themeColor="text1"/>
        </w:rPr>
        <w:t xml:space="preserve">Liquidity provision </w:t>
      </w:r>
      <w:proofErr w:type="gramStart"/>
      <w:r w:rsidRPr="003C66A0">
        <w:rPr>
          <w:rFonts w:eastAsiaTheme="majorEastAsia"/>
          <w:bCs/>
          <w:color w:val="000000" w:themeColor="text1"/>
        </w:rPr>
        <w:t>represent</w:t>
      </w:r>
      <w:proofErr w:type="gramEnd"/>
      <w:r w:rsidRPr="003C66A0">
        <w:rPr>
          <w:rFonts w:eastAsiaTheme="majorEastAsia"/>
          <w:bCs/>
          <w:color w:val="000000" w:themeColor="text1"/>
        </w:rPr>
        <w:t xml:space="preserve"> the most genuine income mechanism in DeFi, which generates returns from real economic activity rather than token emissions. When someone swaps tokens on Uniswap, they pay a fee (typically 0.05% to 0.3%) that goes directly to liquidity providers. There is no token printing, no subsidies - just fee income from facilitating trades.</w:t>
      </w:r>
    </w:p>
    <w:p w14:paraId="347CA3A7" w14:textId="77777777" w:rsidR="00ED23EE" w:rsidRPr="003C66A0" w:rsidRDefault="00ED23EE" w:rsidP="00B451D7">
      <w:pPr>
        <w:jc w:val="both"/>
        <w:rPr>
          <w:rFonts w:eastAsiaTheme="majorEastAsia"/>
          <w:bCs/>
          <w:color w:val="000000" w:themeColor="text1"/>
        </w:rPr>
      </w:pPr>
    </w:p>
    <w:p w14:paraId="6A9B52D5" w14:textId="2B663305" w:rsidR="00ED23EE" w:rsidRDefault="00ED23EE" w:rsidP="00B451D7">
      <w:pPr>
        <w:jc w:val="both"/>
        <w:rPr>
          <w:rFonts w:eastAsiaTheme="majorEastAsia"/>
          <w:bCs/>
          <w:color w:val="000000" w:themeColor="text1"/>
        </w:rPr>
      </w:pPr>
      <w:r w:rsidRPr="003C66A0">
        <w:rPr>
          <w:rFonts w:eastAsiaTheme="majorEastAsia"/>
          <w:bCs/>
          <w:color w:val="000000" w:themeColor="text1"/>
        </w:rPr>
        <w:t>My tracked positions reveal clear patterns about what works and what doesn't. Stablecoin pairs (USDC/USDT, DAI/USDC) generated a consistent 4-8% annual return with minimal impermanent loss. This stability comes from both assets maintaining dollar pegs and therefore eliminating price divergence risk. Correlated asset pairs (ETH/</w:t>
      </w:r>
      <w:proofErr w:type="spellStart"/>
      <w:r w:rsidRPr="003C66A0">
        <w:rPr>
          <w:rFonts w:eastAsiaTheme="majorEastAsia"/>
          <w:bCs/>
          <w:color w:val="000000" w:themeColor="text1"/>
        </w:rPr>
        <w:t>stETH</w:t>
      </w:r>
      <w:proofErr w:type="spellEnd"/>
      <w:r w:rsidRPr="003C66A0">
        <w:rPr>
          <w:rFonts w:eastAsiaTheme="majorEastAsia"/>
          <w:bCs/>
          <w:color w:val="000000" w:themeColor="text1"/>
        </w:rPr>
        <w:t>, WBTC/BTC) produced 6-12% returns with moderate IL risk while volatile pairs showed extreme variance, from -50% to +100% returns, with IL often overwhelming fee income.</w:t>
      </w:r>
    </w:p>
    <w:p w14:paraId="0669ED73" w14:textId="77777777" w:rsidR="005237CE" w:rsidRDefault="005237CE" w:rsidP="00B451D7">
      <w:pPr>
        <w:jc w:val="both"/>
        <w:rPr>
          <w:rFonts w:eastAsiaTheme="majorEastAsia"/>
          <w:bCs/>
          <w:color w:val="000000" w:themeColor="text1"/>
        </w:rPr>
      </w:pPr>
    </w:p>
    <w:p w14:paraId="28E7E2A7" w14:textId="08FEA43F" w:rsidR="00BB580F" w:rsidRPr="00D26F31" w:rsidRDefault="00BB580F" w:rsidP="00B451D7">
      <w:pPr>
        <w:jc w:val="both"/>
        <w:rPr>
          <w:rFonts w:eastAsiaTheme="majorEastAsia"/>
          <w:bCs/>
          <w:color w:val="000000" w:themeColor="text1"/>
        </w:rPr>
      </w:pPr>
      <w:r w:rsidRPr="00D26F31">
        <w:rPr>
          <w:rFonts w:eastAsiaTheme="majorEastAsia"/>
          <w:bCs/>
          <w:color w:val="000000" w:themeColor="text1"/>
        </w:rPr>
        <w:t xml:space="preserve">Table 3.3 synthesizes </w:t>
      </w:r>
      <w:r w:rsidR="00D26F31" w:rsidRPr="00D26F31">
        <w:rPr>
          <w:rFonts w:eastAsiaTheme="majorEastAsia"/>
          <w:bCs/>
          <w:color w:val="000000" w:themeColor="text1"/>
        </w:rPr>
        <w:t xml:space="preserve">the </w:t>
      </w:r>
      <w:r w:rsidRPr="00D26F31">
        <w:rPr>
          <w:rFonts w:eastAsiaTheme="majorEastAsia"/>
          <w:bCs/>
          <w:color w:val="000000" w:themeColor="text1"/>
        </w:rPr>
        <w:t>performance data from tracked liquidity provision positions</w:t>
      </w:r>
      <w:r w:rsidR="00D26F31" w:rsidRPr="00D26F31">
        <w:rPr>
          <w:rFonts w:eastAsiaTheme="majorEastAsia"/>
          <w:bCs/>
          <w:color w:val="000000" w:themeColor="text1"/>
        </w:rPr>
        <w:t xml:space="preserve">. It </w:t>
      </w:r>
      <w:r w:rsidRPr="00D26F31">
        <w:rPr>
          <w:rFonts w:eastAsiaTheme="majorEastAsia"/>
          <w:bCs/>
          <w:color w:val="000000" w:themeColor="text1"/>
        </w:rPr>
        <w:t>demonstrat</w:t>
      </w:r>
      <w:r w:rsidR="00D26F31" w:rsidRPr="00D26F31">
        <w:rPr>
          <w:rFonts w:eastAsiaTheme="majorEastAsia"/>
          <w:bCs/>
          <w:color w:val="000000" w:themeColor="text1"/>
        </w:rPr>
        <w:t>es</w:t>
      </w:r>
      <w:r w:rsidRPr="00D26F31">
        <w:rPr>
          <w:rFonts w:eastAsiaTheme="majorEastAsia"/>
          <w:bCs/>
          <w:color w:val="000000" w:themeColor="text1"/>
        </w:rPr>
        <w:t xml:space="preserve"> the inverse relationship between advertised yields and risk-adjusted returns across pair types.</w:t>
      </w:r>
    </w:p>
    <w:p w14:paraId="03B14E8D" w14:textId="77777777" w:rsidR="00BB580F" w:rsidRDefault="00BB580F" w:rsidP="00B451D7">
      <w:pPr>
        <w:rPr>
          <w:rFonts w:eastAsiaTheme="majorEastAsia"/>
          <w:bCs/>
          <w:color w:val="000000" w:themeColor="text1"/>
        </w:rPr>
      </w:pPr>
    </w:p>
    <w:p w14:paraId="43121BD8" w14:textId="66819F42" w:rsidR="005237CE" w:rsidRPr="005237CE" w:rsidRDefault="005237CE" w:rsidP="00B451D7">
      <w:pPr>
        <w:pStyle w:val="Heading3"/>
        <w:jc w:val="both"/>
        <w:rPr>
          <w:color w:val="000000" w:themeColor="text1"/>
        </w:rPr>
      </w:pPr>
      <w:bookmarkStart w:id="51" w:name="_Toc214721857"/>
      <w:r w:rsidRPr="005237CE">
        <w:rPr>
          <w:color w:val="000000" w:themeColor="text1"/>
        </w:rPr>
        <w:t>Table 3</w:t>
      </w:r>
      <w:r w:rsidR="0082049B">
        <w:rPr>
          <w:color w:val="000000" w:themeColor="text1"/>
        </w:rPr>
        <w:t>.C</w:t>
      </w:r>
      <w:r w:rsidRPr="005237CE">
        <w:rPr>
          <w:color w:val="000000" w:themeColor="text1"/>
        </w:rPr>
        <w:t>: Liquidity Provision Performance by Pair Type</w:t>
      </w:r>
      <w:bookmarkEnd w:id="51"/>
      <w:r w:rsidRPr="005237CE">
        <w:rPr>
          <w:color w:val="000000" w:themeColor="text1"/>
        </w:rPr>
        <w:t xml:space="preserve"> </w:t>
      </w:r>
    </w:p>
    <w:p w14:paraId="77ED67C3" w14:textId="32FD54AA" w:rsidR="005237CE" w:rsidRDefault="005237CE" w:rsidP="00B451D7">
      <w:pPr>
        <w:jc w:val="both"/>
        <w:rPr>
          <w:rFonts w:eastAsiaTheme="majorEastAsia"/>
          <w:bCs/>
          <w:color w:val="000000" w:themeColor="text1"/>
        </w:rPr>
      </w:pPr>
    </w:p>
    <w:tbl>
      <w:tblPr>
        <w:tblW w:w="9350" w:type="dxa"/>
        <w:tblLook w:val="04A0" w:firstRow="1" w:lastRow="0" w:firstColumn="1" w:lastColumn="0" w:noHBand="0" w:noVBand="1"/>
      </w:tblPr>
      <w:tblGrid>
        <w:gridCol w:w="1610"/>
        <w:gridCol w:w="983"/>
        <w:gridCol w:w="850"/>
        <w:gridCol w:w="872"/>
        <w:gridCol w:w="828"/>
        <w:gridCol w:w="1147"/>
        <w:gridCol w:w="861"/>
        <w:gridCol w:w="2199"/>
      </w:tblGrid>
      <w:tr w:rsidR="00E12B7C" w14:paraId="781B179A" w14:textId="77777777" w:rsidTr="00E12B7C">
        <w:trPr>
          <w:trHeight w:val="511"/>
        </w:trPr>
        <w:tc>
          <w:tcPr>
            <w:tcW w:w="1610" w:type="dxa"/>
            <w:tcBorders>
              <w:top w:val="single" w:sz="8" w:space="0" w:color="auto"/>
              <w:left w:val="single" w:sz="8" w:space="0" w:color="auto"/>
              <w:bottom w:val="single" w:sz="4" w:space="0" w:color="auto"/>
              <w:right w:val="single" w:sz="4" w:space="0" w:color="auto"/>
            </w:tcBorders>
            <w:shd w:val="clear" w:color="auto" w:fill="D9D9D9" w:themeFill="background1" w:themeFillShade="D9"/>
            <w:noWrap/>
            <w:vAlign w:val="bottom"/>
            <w:hideMark/>
          </w:tcPr>
          <w:p w14:paraId="23F15341" w14:textId="77777777" w:rsidR="00450450" w:rsidRDefault="00450450" w:rsidP="00B451D7">
            <w:pPr>
              <w:rPr>
                <w:b/>
                <w:bCs/>
                <w:color w:val="000000"/>
                <w:sz w:val="20"/>
                <w:szCs w:val="20"/>
              </w:rPr>
            </w:pPr>
            <w:r>
              <w:rPr>
                <w:b/>
                <w:bCs/>
                <w:color w:val="000000"/>
                <w:sz w:val="20"/>
                <w:szCs w:val="20"/>
              </w:rPr>
              <w:t>Pair Type</w:t>
            </w:r>
          </w:p>
        </w:tc>
        <w:tc>
          <w:tcPr>
            <w:tcW w:w="983" w:type="dxa"/>
            <w:tcBorders>
              <w:top w:val="single" w:sz="8" w:space="0" w:color="auto"/>
              <w:left w:val="nil"/>
              <w:bottom w:val="single" w:sz="4" w:space="0" w:color="auto"/>
              <w:right w:val="single" w:sz="4" w:space="0" w:color="auto"/>
            </w:tcBorders>
            <w:shd w:val="clear" w:color="auto" w:fill="D9D9D9" w:themeFill="background1" w:themeFillShade="D9"/>
            <w:vAlign w:val="bottom"/>
            <w:hideMark/>
          </w:tcPr>
          <w:p w14:paraId="7C13B7B5" w14:textId="77777777" w:rsidR="00450450" w:rsidRDefault="00450450" w:rsidP="00B451D7">
            <w:pPr>
              <w:rPr>
                <w:b/>
                <w:bCs/>
                <w:color w:val="000000"/>
                <w:sz w:val="20"/>
                <w:szCs w:val="20"/>
              </w:rPr>
            </w:pPr>
            <w:r>
              <w:rPr>
                <w:b/>
                <w:bCs/>
                <w:color w:val="000000"/>
                <w:sz w:val="20"/>
                <w:szCs w:val="20"/>
              </w:rPr>
              <w:t xml:space="preserve">N </w:t>
            </w:r>
            <w:r>
              <w:rPr>
                <w:b/>
                <w:bCs/>
                <w:color w:val="000000"/>
                <w:sz w:val="20"/>
                <w:szCs w:val="20"/>
              </w:rPr>
              <w:br/>
              <w:t>Positions</w:t>
            </w:r>
          </w:p>
        </w:tc>
        <w:tc>
          <w:tcPr>
            <w:tcW w:w="850" w:type="dxa"/>
            <w:tcBorders>
              <w:top w:val="single" w:sz="8" w:space="0" w:color="auto"/>
              <w:left w:val="nil"/>
              <w:bottom w:val="single" w:sz="4" w:space="0" w:color="auto"/>
              <w:right w:val="single" w:sz="4" w:space="0" w:color="auto"/>
            </w:tcBorders>
            <w:shd w:val="clear" w:color="auto" w:fill="D9D9D9" w:themeFill="background1" w:themeFillShade="D9"/>
            <w:vAlign w:val="bottom"/>
            <w:hideMark/>
          </w:tcPr>
          <w:p w14:paraId="1B7B8574" w14:textId="77777777" w:rsidR="00450450" w:rsidRDefault="00450450" w:rsidP="00B451D7">
            <w:pPr>
              <w:rPr>
                <w:b/>
                <w:bCs/>
                <w:color w:val="000000"/>
                <w:sz w:val="20"/>
                <w:szCs w:val="20"/>
              </w:rPr>
            </w:pPr>
            <w:r>
              <w:rPr>
                <w:b/>
                <w:bCs/>
                <w:color w:val="000000"/>
                <w:sz w:val="20"/>
                <w:szCs w:val="20"/>
              </w:rPr>
              <w:t xml:space="preserve">Annual </w:t>
            </w:r>
            <w:r>
              <w:rPr>
                <w:b/>
                <w:bCs/>
                <w:color w:val="000000"/>
                <w:sz w:val="20"/>
                <w:szCs w:val="20"/>
              </w:rPr>
              <w:br/>
              <w:t xml:space="preserve">Return </w:t>
            </w:r>
            <w:r>
              <w:rPr>
                <w:b/>
                <w:bCs/>
                <w:color w:val="000000"/>
                <w:sz w:val="20"/>
                <w:szCs w:val="20"/>
              </w:rPr>
              <w:br/>
              <w:t>Range</w:t>
            </w:r>
          </w:p>
        </w:tc>
        <w:tc>
          <w:tcPr>
            <w:tcW w:w="872" w:type="dxa"/>
            <w:tcBorders>
              <w:top w:val="single" w:sz="8" w:space="0" w:color="auto"/>
              <w:left w:val="nil"/>
              <w:bottom w:val="single" w:sz="4" w:space="0" w:color="auto"/>
              <w:right w:val="single" w:sz="4" w:space="0" w:color="auto"/>
            </w:tcBorders>
            <w:shd w:val="clear" w:color="auto" w:fill="D9D9D9" w:themeFill="background1" w:themeFillShade="D9"/>
            <w:vAlign w:val="bottom"/>
            <w:hideMark/>
          </w:tcPr>
          <w:p w14:paraId="6CBB7FCA" w14:textId="77777777" w:rsidR="00450450" w:rsidRDefault="00450450" w:rsidP="00B451D7">
            <w:pPr>
              <w:rPr>
                <w:b/>
                <w:bCs/>
                <w:color w:val="000000"/>
                <w:sz w:val="20"/>
                <w:szCs w:val="20"/>
              </w:rPr>
            </w:pPr>
            <w:r>
              <w:rPr>
                <w:b/>
                <w:bCs/>
                <w:color w:val="000000"/>
                <w:sz w:val="20"/>
                <w:szCs w:val="20"/>
              </w:rPr>
              <w:t xml:space="preserve">Median </w:t>
            </w:r>
            <w:r>
              <w:rPr>
                <w:b/>
                <w:bCs/>
                <w:color w:val="000000"/>
                <w:sz w:val="20"/>
                <w:szCs w:val="20"/>
              </w:rPr>
              <w:br/>
              <w:t>Return</w:t>
            </w:r>
          </w:p>
        </w:tc>
        <w:tc>
          <w:tcPr>
            <w:tcW w:w="828" w:type="dxa"/>
            <w:tcBorders>
              <w:top w:val="single" w:sz="8" w:space="0" w:color="auto"/>
              <w:left w:val="nil"/>
              <w:bottom w:val="single" w:sz="4" w:space="0" w:color="auto"/>
              <w:right w:val="single" w:sz="4" w:space="0" w:color="auto"/>
            </w:tcBorders>
            <w:shd w:val="clear" w:color="auto" w:fill="D9D9D9" w:themeFill="background1" w:themeFillShade="D9"/>
            <w:vAlign w:val="bottom"/>
            <w:hideMark/>
          </w:tcPr>
          <w:p w14:paraId="7022619D" w14:textId="77777777" w:rsidR="00450450" w:rsidRDefault="00450450" w:rsidP="00B451D7">
            <w:pPr>
              <w:rPr>
                <w:b/>
                <w:bCs/>
                <w:color w:val="000000"/>
                <w:sz w:val="20"/>
                <w:szCs w:val="20"/>
              </w:rPr>
            </w:pPr>
            <w:r>
              <w:rPr>
                <w:b/>
                <w:bCs/>
                <w:color w:val="000000"/>
                <w:sz w:val="20"/>
                <w:szCs w:val="20"/>
              </w:rPr>
              <w:t xml:space="preserve">Sharpe </w:t>
            </w:r>
            <w:r>
              <w:rPr>
                <w:b/>
                <w:bCs/>
                <w:color w:val="000000"/>
                <w:sz w:val="20"/>
                <w:szCs w:val="20"/>
              </w:rPr>
              <w:br/>
              <w:t>Ratio</w:t>
            </w:r>
          </w:p>
        </w:tc>
        <w:tc>
          <w:tcPr>
            <w:tcW w:w="1147" w:type="dxa"/>
            <w:tcBorders>
              <w:top w:val="single" w:sz="8" w:space="0" w:color="auto"/>
              <w:left w:val="nil"/>
              <w:bottom w:val="single" w:sz="4" w:space="0" w:color="auto"/>
              <w:right w:val="single" w:sz="4" w:space="0" w:color="auto"/>
            </w:tcBorders>
            <w:shd w:val="clear" w:color="auto" w:fill="D9D9D9" w:themeFill="background1" w:themeFillShade="D9"/>
            <w:vAlign w:val="bottom"/>
            <w:hideMark/>
          </w:tcPr>
          <w:p w14:paraId="5E58DB69" w14:textId="77777777" w:rsidR="00E12B7C" w:rsidRDefault="00450450" w:rsidP="00B451D7">
            <w:pPr>
              <w:rPr>
                <w:b/>
                <w:bCs/>
                <w:color w:val="000000"/>
                <w:sz w:val="20"/>
                <w:szCs w:val="20"/>
              </w:rPr>
            </w:pPr>
            <w:r>
              <w:rPr>
                <w:b/>
                <w:bCs/>
                <w:color w:val="000000"/>
                <w:sz w:val="20"/>
                <w:szCs w:val="20"/>
              </w:rPr>
              <w:t xml:space="preserve">IL </w:t>
            </w:r>
            <w:r>
              <w:rPr>
                <w:b/>
                <w:bCs/>
                <w:color w:val="000000"/>
                <w:sz w:val="20"/>
                <w:szCs w:val="20"/>
              </w:rPr>
              <w:br/>
              <w:t xml:space="preserve">Frequency (Exceeded </w:t>
            </w:r>
          </w:p>
          <w:p w14:paraId="7207C030" w14:textId="1A558841" w:rsidR="00450450" w:rsidRDefault="00450450" w:rsidP="00B451D7">
            <w:pPr>
              <w:rPr>
                <w:b/>
                <w:bCs/>
                <w:color w:val="000000"/>
                <w:sz w:val="20"/>
                <w:szCs w:val="20"/>
              </w:rPr>
            </w:pPr>
            <w:r>
              <w:rPr>
                <w:b/>
                <w:bCs/>
                <w:color w:val="000000"/>
                <w:sz w:val="20"/>
                <w:szCs w:val="20"/>
              </w:rPr>
              <w:t>Fees)</w:t>
            </w:r>
          </w:p>
        </w:tc>
        <w:tc>
          <w:tcPr>
            <w:tcW w:w="861" w:type="dxa"/>
            <w:tcBorders>
              <w:top w:val="single" w:sz="8" w:space="0" w:color="auto"/>
              <w:left w:val="nil"/>
              <w:bottom w:val="single" w:sz="4" w:space="0" w:color="auto"/>
              <w:right w:val="single" w:sz="4" w:space="0" w:color="auto"/>
            </w:tcBorders>
            <w:shd w:val="clear" w:color="auto" w:fill="D9D9D9" w:themeFill="background1" w:themeFillShade="D9"/>
            <w:noWrap/>
            <w:vAlign w:val="bottom"/>
            <w:hideMark/>
          </w:tcPr>
          <w:p w14:paraId="2E64F0E4" w14:textId="77777777" w:rsidR="00450450" w:rsidRDefault="00450450" w:rsidP="00B451D7">
            <w:pPr>
              <w:rPr>
                <w:b/>
                <w:bCs/>
                <w:color w:val="000000"/>
                <w:sz w:val="20"/>
                <w:szCs w:val="20"/>
              </w:rPr>
            </w:pPr>
            <w:r>
              <w:rPr>
                <w:b/>
                <w:bCs/>
                <w:color w:val="000000"/>
                <w:sz w:val="20"/>
                <w:szCs w:val="20"/>
              </w:rPr>
              <w:t>Success Rate</w:t>
            </w:r>
          </w:p>
        </w:tc>
        <w:tc>
          <w:tcPr>
            <w:tcW w:w="2199" w:type="dxa"/>
            <w:tcBorders>
              <w:top w:val="single" w:sz="8" w:space="0" w:color="auto"/>
              <w:left w:val="nil"/>
              <w:bottom w:val="single" w:sz="4" w:space="0" w:color="auto"/>
              <w:right w:val="single" w:sz="8" w:space="0" w:color="auto"/>
            </w:tcBorders>
            <w:shd w:val="clear" w:color="auto" w:fill="D9D9D9" w:themeFill="background1" w:themeFillShade="D9"/>
            <w:vAlign w:val="bottom"/>
            <w:hideMark/>
          </w:tcPr>
          <w:p w14:paraId="717A339E" w14:textId="77777777" w:rsidR="00450450" w:rsidRDefault="00450450" w:rsidP="00B451D7">
            <w:pPr>
              <w:rPr>
                <w:b/>
                <w:bCs/>
                <w:color w:val="000000"/>
                <w:sz w:val="20"/>
                <w:szCs w:val="20"/>
              </w:rPr>
            </w:pPr>
            <w:r>
              <w:rPr>
                <w:b/>
                <w:bCs/>
                <w:color w:val="000000"/>
                <w:sz w:val="20"/>
                <w:szCs w:val="20"/>
              </w:rPr>
              <w:t xml:space="preserve">Viable Capital </w:t>
            </w:r>
            <w:r>
              <w:rPr>
                <w:b/>
                <w:bCs/>
                <w:color w:val="000000"/>
                <w:sz w:val="20"/>
                <w:szCs w:val="20"/>
              </w:rPr>
              <w:br/>
              <w:t>Level</w:t>
            </w:r>
          </w:p>
        </w:tc>
      </w:tr>
      <w:tr w:rsidR="00E12B7C" w14:paraId="7ED06EB3" w14:textId="77777777" w:rsidTr="00E12B7C">
        <w:trPr>
          <w:trHeight w:val="215"/>
        </w:trPr>
        <w:tc>
          <w:tcPr>
            <w:tcW w:w="1610" w:type="dxa"/>
            <w:tcBorders>
              <w:top w:val="nil"/>
              <w:left w:val="single" w:sz="8" w:space="0" w:color="auto"/>
              <w:bottom w:val="single" w:sz="4" w:space="0" w:color="auto"/>
              <w:right w:val="single" w:sz="4" w:space="0" w:color="auto"/>
            </w:tcBorders>
            <w:shd w:val="clear" w:color="auto" w:fill="D9D9D9" w:themeFill="background1" w:themeFillShade="D9"/>
            <w:vAlign w:val="bottom"/>
            <w:hideMark/>
          </w:tcPr>
          <w:p w14:paraId="42655BAB" w14:textId="77777777" w:rsidR="00450450" w:rsidRPr="00E12B7C" w:rsidRDefault="00450450" w:rsidP="00B451D7">
            <w:pPr>
              <w:rPr>
                <w:color w:val="000000"/>
                <w:sz w:val="20"/>
                <w:szCs w:val="20"/>
              </w:rPr>
            </w:pPr>
            <w:r w:rsidRPr="00E12B7C">
              <w:rPr>
                <w:color w:val="000000"/>
                <w:sz w:val="20"/>
                <w:szCs w:val="20"/>
              </w:rPr>
              <w:lastRenderedPageBreak/>
              <w:t xml:space="preserve">Stablecoin Pairs </w:t>
            </w:r>
            <w:r w:rsidRPr="00E12B7C">
              <w:rPr>
                <w:color w:val="000000"/>
                <w:sz w:val="20"/>
                <w:szCs w:val="20"/>
              </w:rPr>
              <w:br/>
              <w:t>(USDC/USDT, DAI/USDC)</w:t>
            </w:r>
          </w:p>
        </w:tc>
        <w:tc>
          <w:tcPr>
            <w:tcW w:w="983" w:type="dxa"/>
            <w:tcBorders>
              <w:top w:val="nil"/>
              <w:left w:val="nil"/>
              <w:bottom w:val="single" w:sz="4" w:space="0" w:color="auto"/>
              <w:right w:val="single" w:sz="4" w:space="0" w:color="auto"/>
            </w:tcBorders>
            <w:noWrap/>
            <w:vAlign w:val="bottom"/>
            <w:hideMark/>
          </w:tcPr>
          <w:p w14:paraId="457A782D" w14:textId="77777777" w:rsidR="00450450" w:rsidRDefault="00450450" w:rsidP="00B451D7">
            <w:pPr>
              <w:jc w:val="right"/>
              <w:rPr>
                <w:color w:val="000000"/>
                <w:sz w:val="20"/>
                <w:szCs w:val="20"/>
              </w:rPr>
            </w:pPr>
            <w:r>
              <w:rPr>
                <w:color w:val="000000"/>
                <w:sz w:val="20"/>
                <w:szCs w:val="20"/>
              </w:rPr>
              <w:t>48</w:t>
            </w:r>
          </w:p>
        </w:tc>
        <w:tc>
          <w:tcPr>
            <w:tcW w:w="850" w:type="dxa"/>
            <w:tcBorders>
              <w:top w:val="nil"/>
              <w:left w:val="nil"/>
              <w:bottom w:val="single" w:sz="4" w:space="0" w:color="auto"/>
              <w:right w:val="single" w:sz="4" w:space="0" w:color="auto"/>
            </w:tcBorders>
            <w:noWrap/>
            <w:vAlign w:val="bottom"/>
            <w:hideMark/>
          </w:tcPr>
          <w:p w14:paraId="06613403" w14:textId="77777777" w:rsidR="00450450" w:rsidRDefault="00450450" w:rsidP="00B451D7">
            <w:pPr>
              <w:rPr>
                <w:color w:val="000000"/>
                <w:sz w:val="20"/>
                <w:szCs w:val="20"/>
              </w:rPr>
            </w:pPr>
            <w:r>
              <w:rPr>
                <w:color w:val="000000"/>
                <w:sz w:val="20"/>
                <w:szCs w:val="20"/>
              </w:rPr>
              <w:t>4% - 8%</w:t>
            </w:r>
          </w:p>
        </w:tc>
        <w:tc>
          <w:tcPr>
            <w:tcW w:w="872" w:type="dxa"/>
            <w:tcBorders>
              <w:top w:val="nil"/>
              <w:left w:val="nil"/>
              <w:bottom w:val="single" w:sz="4" w:space="0" w:color="auto"/>
              <w:right w:val="single" w:sz="4" w:space="0" w:color="auto"/>
            </w:tcBorders>
            <w:noWrap/>
            <w:vAlign w:val="bottom"/>
            <w:hideMark/>
          </w:tcPr>
          <w:p w14:paraId="5A150C83" w14:textId="77777777" w:rsidR="00450450" w:rsidRDefault="00450450" w:rsidP="00B451D7">
            <w:pPr>
              <w:jc w:val="right"/>
              <w:rPr>
                <w:color w:val="000000"/>
                <w:sz w:val="20"/>
                <w:szCs w:val="20"/>
              </w:rPr>
            </w:pPr>
            <w:r>
              <w:rPr>
                <w:color w:val="000000"/>
                <w:sz w:val="20"/>
                <w:szCs w:val="20"/>
              </w:rPr>
              <w:t>6.20%</w:t>
            </w:r>
          </w:p>
        </w:tc>
        <w:tc>
          <w:tcPr>
            <w:tcW w:w="828" w:type="dxa"/>
            <w:tcBorders>
              <w:top w:val="nil"/>
              <w:left w:val="nil"/>
              <w:bottom w:val="single" w:sz="4" w:space="0" w:color="auto"/>
              <w:right w:val="single" w:sz="4" w:space="0" w:color="auto"/>
            </w:tcBorders>
            <w:noWrap/>
            <w:vAlign w:val="bottom"/>
            <w:hideMark/>
          </w:tcPr>
          <w:p w14:paraId="748DEAFB" w14:textId="77777777" w:rsidR="00450450" w:rsidRDefault="00450450" w:rsidP="00B451D7">
            <w:pPr>
              <w:rPr>
                <w:color w:val="000000"/>
                <w:sz w:val="20"/>
                <w:szCs w:val="20"/>
              </w:rPr>
            </w:pPr>
            <w:r>
              <w:rPr>
                <w:color w:val="000000"/>
                <w:sz w:val="20"/>
                <w:szCs w:val="20"/>
              </w:rPr>
              <w:t>0.8 - 1.4</w:t>
            </w:r>
          </w:p>
        </w:tc>
        <w:tc>
          <w:tcPr>
            <w:tcW w:w="1147" w:type="dxa"/>
            <w:tcBorders>
              <w:top w:val="nil"/>
              <w:left w:val="nil"/>
              <w:bottom w:val="single" w:sz="4" w:space="0" w:color="auto"/>
              <w:right w:val="single" w:sz="4" w:space="0" w:color="auto"/>
            </w:tcBorders>
            <w:noWrap/>
            <w:vAlign w:val="bottom"/>
            <w:hideMark/>
          </w:tcPr>
          <w:p w14:paraId="037CA6E2" w14:textId="77777777" w:rsidR="00450450" w:rsidRDefault="00450450" w:rsidP="00B451D7">
            <w:pPr>
              <w:jc w:val="right"/>
              <w:rPr>
                <w:color w:val="000000"/>
                <w:sz w:val="20"/>
                <w:szCs w:val="20"/>
              </w:rPr>
            </w:pPr>
            <w:r>
              <w:rPr>
                <w:color w:val="000000"/>
                <w:sz w:val="20"/>
                <w:szCs w:val="20"/>
              </w:rPr>
              <w:t>3%</w:t>
            </w:r>
          </w:p>
        </w:tc>
        <w:tc>
          <w:tcPr>
            <w:tcW w:w="861" w:type="dxa"/>
            <w:tcBorders>
              <w:top w:val="nil"/>
              <w:left w:val="nil"/>
              <w:bottom w:val="single" w:sz="4" w:space="0" w:color="auto"/>
              <w:right w:val="single" w:sz="4" w:space="0" w:color="auto"/>
            </w:tcBorders>
            <w:noWrap/>
            <w:vAlign w:val="bottom"/>
            <w:hideMark/>
          </w:tcPr>
          <w:p w14:paraId="601ADDC7" w14:textId="77777777" w:rsidR="00450450" w:rsidRDefault="00450450" w:rsidP="00B451D7">
            <w:pPr>
              <w:jc w:val="right"/>
              <w:rPr>
                <w:color w:val="000000"/>
                <w:sz w:val="20"/>
                <w:szCs w:val="20"/>
              </w:rPr>
            </w:pPr>
            <w:r>
              <w:rPr>
                <w:color w:val="000000"/>
                <w:sz w:val="20"/>
                <w:szCs w:val="20"/>
              </w:rPr>
              <w:t>79%</w:t>
            </w:r>
          </w:p>
        </w:tc>
        <w:tc>
          <w:tcPr>
            <w:tcW w:w="2199" w:type="dxa"/>
            <w:tcBorders>
              <w:top w:val="nil"/>
              <w:left w:val="nil"/>
              <w:bottom w:val="single" w:sz="4" w:space="0" w:color="auto"/>
              <w:right w:val="single" w:sz="8" w:space="0" w:color="auto"/>
            </w:tcBorders>
            <w:vAlign w:val="bottom"/>
            <w:hideMark/>
          </w:tcPr>
          <w:p w14:paraId="01BB058C" w14:textId="77777777" w:rsidR="00450450" w:rsidRDefault="00450450" w:rsidP="00B451D7">
            <w:pPr>
              <w:rPr>
                <w:color w:val="000000"/>
                <w:sz w:val="20"/>
                <w:szCs w:val="20"/>
              </w:rPr>
            </w:pPr>
            <w:r>
              <w:rPr>
                <w:color w:val="000000"/>
                <w:sz w:val="20"/>
                <w:szCs w:val="20"/>
              </w:rPr>
              <w:t xml:space="preserve">$750+ (Polygon), </w:t>
            </w:r>
            <w:r>
              <w:rPr>
                <w:color w:val="000000"/>
                <w:sz w:val="20"/>
                <w:szCs w:val="20"/>
              </w:rPr>
              <w:br/>
              <w:t>$3,500+ (L2)</w:t>
            </w:r>
          </w:p>
        </w:tc>
      </w:tr>
      <w:tr w:rsidR="00E12B7C" w14:paraId="13215C7D" w14:textId="77777777" w:rsidTr="00E12B7C">
        <w:trPr>
          <w:trHeight w:val="323"/>
        </w:trPr>
        <w:tc>
          <w:tcPr>
            <w:tcW w:w="1610" w:type="dxa"/>
            <w:tcBorders>
              <w:top w:val="nil"/>
              <w:left w:val="single" w:sz="8" w:space="0" w:color="auto"/>
              <w:bottom w:val="single" w:sz="4" w:space="0" w:color="auto"/>
              <w:right w:val="single" w:sz="4" w:space="0" w:color="auto"/>
            </w:tcBorders>
            <w:shd w:val="clear" w:color="auto" w:fill="D9D9D9" w:themeFill="background1" w:themeFillShade="D9"/>
            <w:vAlign w:val="bottom"/>
            <w:hideMark/>
          </w:tcPr>
          <w:p w14:paraId="1D33B4A1" w14:textId="77777777" w:rsidR="00450450" w:rsidRPr="00E12B7C" w:rsidRDefault="00450450" w:rsidP="00B451D7">
            <w:pPr>
              <w:rPr>
                <w:color w:val="000000"/>
                <w:sz w:val="20"/>
                <w:szCs w:val="20"/>
              </w:rPr>
            </w:pPr>
            <w:r w:rsidRPr="00E12B7C">
              <w:rPr>
                <w:color w:val="000000"/>
                <w:sz w:val="20"/>
                <w:szCs w:val="20"/>
              </w:rPr>
              <w:t xml:space="preserve">Correlated Assets </w:t>
            </w:r>
            <w:r w:rsidRPr="00E12B7C">
              <w:rPr>
                <w:color w:val="000000"/>
                <w:sz w:val="20"/>
                <w:szCs w:val="20"/>
              </w:rPr>
              <w:br/>
              <w:t>(ETH/</w:t>
            </w:r>
            <w:proofErr w:type="spellStart"/>
            <w:r w:rsidRPr="00E12B7C">
              <w:rPr>
                <w:color w:val="000000"/>
                <w:sz w:val="20"/>
                <w:szCs w:val="20"/>
              </w:rPr>
              <w:t>stETH</w:t>
            </w:r>
            <w:proofErr w:type="spellEnd"/>
            <w:r w:rsidRPr="00E12B7C">
              <w:rPr>
                <w:color w:val="000000"/>
                <w:sz w:val="20"/>
                <w:szCs w:val="20"/>
              </w:rPr>
              <w:t>, WBTC/</w:t>
            </w:r>
            <w:proofErr w:type="spellStart"/>
            <w:r w:rsidRPr="00E12B7C">
              <w:rPr>
                <w:color w:val="000000"/>
                <w:sz w:val="20"/>
                <w:szCs w:val="20"/>
              </w:rPr>
              <w:t>renBTC</w:t>
            </w:r>
            <w:proofErr w:type="spellEnd"/>
            <w:r w:rsidRPr="00E12B7C">
              <w:rPr>
                <w:color w:val="000000"/>
                <w:sz w:val="20"/>
                <w:szCs w:val="20"/>
              </w:rPr>
              <w:t>)</w:t>
            </w:r>
          </w:p>
        </w:tc>
        <w:tc>
          <w:tcPr>
            <w:tcW w:w="983" w:type="dxa"/>
            <w:tcBorders>
              <w:top w:val="nil"/>
              <w:left w:val="nil"/>
              <w:bottom w:val="single" w:sz="4" w:space="0" w:color="auto"/>
              <w:right w:val="single" w:sz="4" w:space="0" w:color="auto"/>
            </w:tcBorders>
            <w:noWrap/>
            <w:vAlign w:val="bottom"/>
            <w:hideMark/>
          </w:tcPr>
          <w:p w14:paraId="63A54899" w14:textId="77777777" w:rsidR="00450450" w:rsidRDefault="00450450" w:rsidP="00B451D7">
            <w:pPr>
              <w:jc w:val="right"/>
              <w:rPr>
                <w:color w:val="000000"/>
                <w:sz w:val="20"/>
                <w:szCs w:val="20"/>
              </w:rPr>
            </w:pPr>
            <w:r>
              <w:rPr>
                <w:color w:val="000000"/>
                <w:sz w:val="20"/>
                <w:szCs w:val="20"/>
              </w:rPr>
              <w:t>37</w:t>
            </w:r>
          </w:p>
        </w:tc>
        <w:tc>
          <w:tcPr>
            <w:tcW w:w="850" w:type="dxa"/>
            <w:tcBorders>
              <w:top w:val="nil"/>
              <w:left w:val="nil"/>
              <w:bottom w:val="single" w:sz="4" w:space="0" w:color="auto"/>
              <w:right w:val="single" w:sz="4" w:space="0" w:color="auto"/>
            </w:tcBorders>
            <w:noWrap/>
            <w:vAlign w:val="bottom"/>
            <w:hideMark/>
          </w:tcPr>
          <w:p w14:paraId="56DEF3B1" w14:textId="77777777" w:rsidR="00450450" w:rsidRDefault="00450450" w:rsidP="00B451D7">
            <w:pPr>
              <w:rPr>
                <w:color w:val="000000"/>
                <w:sz w:val="20"/>
                <w:szCs w:val="20"/>
              </w:rPr>
            </w:pPr>
            <w:r>
              <w:rPr>
                <w:color w:val="000000"/>
                <w:sz w:val="20"/>
                <w:szCs w:val="20"/>
              </w:rPr>
              <w:t>6% - 12%</w:t>
            </w:r>
          </w:p>
        </w:tc>
        <w:tc>
          <w:tcPr>
            <w:tcW w:w="872" w:type="dxa"/>
            <w:tcBorders>
              <w:top w:val="nil"/>
              <w:left w:val="nil"/>
              <w:bottom w:val="single" w:sz="4" w:space="0" w:color="auto"/>
              <w:right w:val="single" w:sz="4" w:space="0" w:color="auto"/>
            </w:tcBorders>
            <w:noWrap/>
            <w:vAlign w:val="bottom"/>
            <w:hideMark/>
          </w:tcPr>
          <w:p w14:paraId="4237AC89" w14:textId="77777777" w:rsidR="00450450" w:rsidRDefault="00450450" w:rsidP="00B451D7">
            <w:pPr>
              <w:jc w:val="right"/>
              <w:rPr>
                <w:color w:val="000000"/>
                <w:sz w:val="20"/>
                <w:szCs w:val="20"/>
              </w:rPr>
            </w:pPr>
            <w:r>
              <w:rPr>
                <w:color w:val="000000"/>
                <w:sz w:val="20"/>
                <w:szCs w:val="20"/>
              </w:rPr>
              <w:t>8.70%</w:t>
            </w:r>
          </w:p>
        </w:tc>
        <w:tc>
          <w:tcPr>
            <w:tcW w:w="828" w:type="dxa"/>
            <w:tcBorders>
              <w:top w:val="nil"/>
              <w:left w:val="nil"/>
              <w:bottom w:val="single" w:sz="4" w:space="0" w:color="auto"/>
              <w:right w:val="single" w:sz="4" w:space="0" w:color="auto"/>
            </w:tcBorders>
            <w:noWrap/>
            <w:vAlign w:val="bottom"/>
            <w:hideMark/>
          </w:tcPr>
          <w:p w14:paraId="6CE2D870" w14:textId="77777777" w:rsidR="00450450" w:rsidRDefault="00450450" w:rsidP="00B451D7">
            <w:pPr>
              <w:rPr>
                <w:color w:val="000000"/>
                <w:sz w:val="20"/>
                <w:szCs w:val="20"/>
              </w:rPr>
            </w:pPr>
            <w:r>
              <w:rPr>
                <w:color w:val="000000"/>
                <w:sz w:val="20"/>
                <w:szCs w:val="20"/>
              </w:rPr>
              <w:t>0.5 - 0.7</w:t>
            </w:r>
          </w:p>
        </w:tc>
        <w:tc>
          <w:tcPr>
            <w:tcW w:w="1147" w:type="dxa"/>
            <w:tcBorders>
              <w:top w:val="nil"/>
              <w:left w:val="nil"/>
              <w:bottom w:val="single" w:sz="4" w:space="0" w:color="auto"/>
              <w:right w:val="single" w:sz="4" w:space="0" w:color="auto"/>
            </w:tcBorders>
            <w:noWrap/>
            <w:vAlign w:val="bottom"/>
            <w:hideMark/>
          </w:tcPr>
          <w:p w14:paraId="55962444" w14:textId="77777777" w:rsidR="00450450" w:rsidRDefault="00450450" w:rsidP="00B451D7">
            <w:pPr>
              <w:jc w:val="right"/>
              <w:rPr>
                <w:color w:val="000000"/>
                <w:sz w:val="20"/>
                <w:szCs w:val="20"/>
              </w:rPr>
            </w:pPr>
            <w:r>
              <w:rPr>
                <w:color w:val="000000"/>
                <w:sz w:val="20"/>
                <w:szCs w:val="20"/>
              </w:rPr>
              <w:t>24%</w:t>
            </w:r>
          </w:p>
        </w:tc>
        <w:tc>
          <w:tcPr>
            <w:tcW w:w="861" w:type="dxa"/>
            <w:tcBorders>
              <w:top w:val="nil"/>
              <w:left w:val="nil"/>
              <w:bottom w:val="single" w:sz="4" w:space="0" w:color="auto"/>
              <w:right w:val="single" w:sz="4" w:space="0" w:color="auto"/>
            </w:tcBorders>
            <w:noWrap/>
            <w:vAlign w:val="bottom"/>
            <w:hideMark/>
          </w:tcPr>
          <w:p w14:paraId="7BFA2DF9" w14:textId="77777777" w:rsidR="00450450" w:rsidRDefault="00450450" w:rsidP="00B451D7">
            <w:pPr>
              <w:jc w:val="right"/>
              <w:rPr>
                <w:color w:val="000000"/>
                <w:sz w:val="20"/>
                <w:szCs w:val="20"/>
              </w:rPr>
            </w:pPr>
            <w:r>
              <w:rPr>
                <w:color w:val="000000"/>
                <w:sz w:val="20"/>
                <w:szCs w:val="20"/>
              </w:rPr>
              <w:t>62%</w:t>
            </w:r>
          </w:p>
        </w:tc>
        <w:tc>
          <w:tcPr>
            <w:tcW w:w="2199" w:type="dxa"/>
            <w:tcBorders>
              <w:top w:val="nil"/>
              <w:left w:val="nil"/>
              <w:bottom w:val="single" w:sz="4" w:space="0" w:color="auto"/>
              <w:right w:val="single" w:sz="8" w:space="0" w:color="auto"/>
            </w:tcBorders>
            <w:vAlign w:val="bottom"/>
            <w:hideMark/>
          </w:tcPr>
          <w:p w14:paraId="47C2B187" w14:textId="77777777" w:rsidR="00450450" w:rsidRDefault="00450450" w:rsidP="00B451D7">
            <w:pPr>
              <w:rPr>
                <w:color w:val="000000"/>
                <w:sz w:val="20"/>
                <w:szCs w:val="20"/>
              </w:rPr>
            </w:pPr>
            <w:r>
              <w:rPr>
                <w:color w:val="000000"/>
                <w:sz w:val="20"/>
                <w:szCs w:val="20"/>
              </w:rPr>
              <w:t xml:space="preserve">$3,500+ (L2 min), </w:t>
            </w:r>
            <w:r>
              <w:rPr>
                <w:color w:val="000000"/>
                <w:sz w:val="20"/>
                <w:szCs w:val="20"/>
              </w:rPr>
              <w:br/>
              <w:t>$25,000+ (optimal)</w:t>
            </w:r>
          </w:p>
        </w:tc>
      </w:tr>
      <w:tr w:rsidR="00E12B7C" w14:paraId="3C29C72B" w14:textId="77777777" w:rsidTr="00E12B7C">
        <w:trPr>
          <w:trHeight w:val="386"/>
        </w:trPr>
        <w:tc>
          <w:tcPr>
            <w:tcW w:w="1610" w:type="dxa"/>
            <w:tcBorders>
              <w:top w:val="nil"/>
              <w:left w:val="single" w:sz="8" w:space="0" w:color="auto"/>
              <w:bottom w:val="single" w:sz="4" w:space="0" w:color="auto"/>
              <w:right w:val="single" w:sz="4" w:space="0" w:color="auto"/>
            </w:tcBorders>
            <w:shd w:val="clear" w:color="auto" w:fill="D9D9D9" w:themeFill="background1" w:themeFillShade="D9"/>
            <w:vAlign w:val="bottom"/>
            <w:hideMark/>
          </w:tcPr>
          <w:p w14:paraId="01E5F617" w14:textId="77777777" w:rsidR="00450450" w:rsidRPr="00E12B7C" w:rsidRDefault="00450450" w:rsidP="00B451D7">
            <w:pPr>
              <w:rPr>
                <w:color w:val="000000"/>
                <w:sz w:val="20"/>
                <w:szCs w:val="20"/>
              </w:rPr>
            </w:pPr>
            <w:r w:rsidRPr="00E12B7C">
              <w:rPr>
                <w:color w:val="000000"/>
                <w:sz w:val="20"/>
                <w:szCs w:val="20"/>
              </w:rPr>
              <w:t xml:space="preserve">Volatile Pairs </w:t>
            </w:r>
            <w:r w:rsidRPr="00E12B7C">
              <w:rPr>
                <w:color w:val="000000"/>
                <w:sz w:val="20"/>
                <w:szCs w:val="20"/>
              </w:rPr>
              <w:br/>
              <w:t>(ETH/ALT, BTC/ALT)</w:t>
            </w:r>
          </w:p>
        </w:tc>
        <w:tc>
          <w:tcPr>
            <w:tcW w:w="983" w:type="dxa"/>
            <w:tcBorders>
              <w:top w:val="nil"/>
              <w:left w:val="nil"/>
              <w:bottom w:val="single" w:sz="4" w:space="0" w:color="auto"/>
              <w:right w:val="single" w:sz="4" w:space="0" w:color="auto"/>
            </w:tcBorders>
            <w:noWrap/>
            <w:vAlign w:val="bottom"/>
            <w:hideMark/>
          </w:tcPr>
          <w:p w14:paraId="6E1E7930" w14:textId="77777777" w:rsidR="00450450" w:rsidRDefault="00450450" w:rsidP="00B451D7">
            <w:pPr>
              <w:jc w:val="right"/>
              <w:rPr>
                <w:color w:val="000000"/>
                <w:sz w:val="20"/>
                <w:szCs w:val="20"/>
              </w:rPr>
            </w:pPr>
            <w:r>
              <w:rPr>
                <w:color w:val="000000"/>
                <w:sz w:val="20"/>
                <w:szCs w:val="20"/>
              </w:rPr>
              <w:t>54</w:t>
            </w:r>
          </w:p>
        </w:tc>
        <w:tc>
          <w:tcPr>
            <w:tcW w:w="850" w:type="dxa"/>
            <w:tcBorders>
              <w:top w:val="nil"/>
              <w:left w:val="nil"/>
              <w:bottom w:val="single" w:sz="4" w:space="0" w:color="auto"/>
              <w:right w:val="single" w:sz="4" w:space="0" w:color="auto"/>
            </w:tcBorders>
            <w:noWrap/>
            <w:vAlign w:val="bottom"/>
            <w:hideMark/>
          </w:tcPr>
          <w:p w14:paraId="221C266B" w14:textId="77777777" w:rsidR="00450450" w:rsidRDefault="00450450" w:rsidP="00B451D7">
            <w:pPr>
              <w:jc w:val="right"/>
              <w:rPr>
                <w:color w:val="000000"/>
                <w:sz w:val="20"/>
                <w:szCs w:val="20"/>
              </w:rPr>
            </w:pPr>
            <w:r>
              <w:rPr>
                <w:color w:val="000000"/>
                <w:sz w:val="20"/>
                <w:szCs w:val="20"/>
              </w:rPr>
              <w:t>-1.5</w:t>
            </w:r>
          </w:p>
        </w:tc>
        <w:tc>
          <w:tcPr>
            <w:tcW w:w="872" w:type="dxa"/>
            <w:tcBorders>
              <w:top w:val="nil"/>
              <w:left w:val="nil"/>
              <w:bottom w:val="single" w:sz="4" w:space="0" w:color="auto"/>
              <w:right w:val="single" w:sz="4" w:space="0" w:color="auto"/>
            </w:tcBorders>
            <w:noWrap/>
            <w:vAlign w:val="bottom"/>
            <w:hideMark/>
          </w:tcPr>
          <w:p w14:paraId="2CFAAA91" w14:textId="77777777" w:rsidR="00450450" w:rsidRDefault="00450450" w:rsidP="00B451D7">
            <w:pPr>
              <w:jc w:val="right"/>
              <w:rPr>
                <w:color w:val="000000"/>
                <w:sz w:val="20"/>
                <w:szCs w:val="20"/>
              </w:rPr>
            </w:pPr>
            <w:r>
              <w:rPr>
                <w:color w:val="000000"/>
                <w:sz w:val="20"/>
                <w:szCs w:val="20"/>
              </w:rPr>
              <w:t>-2.30%</w:t>
            </w:r>
          </w:p>
        </w:tc>
        <w:tc>
          <w:tcPr>
            <w:tcW w:w="828" w:type="dxa"/>
            <w:tcBorders>
              <w:top w:val="nil"/>
              <w:left w:val="nil"/>
              <w:bottom w:val="single" w:sz="4" w:space="0" w:color="auto"/>
              <w:right w:val="single" w:sz="4" w:space="0" w:color="auto"/>
            </w:tcBorders>
            <w:noWrap/>
            <w:vAlign w:val="bottom"/>
            <w:hideMark/>
          </w:tcPr>
          <w:p w14:paraId="276E5265" w14:textId="77777777" w:rsidR="00450450" w:rsidRDefault="00450450" w:rsidP="00B451D7">
            <w:pPr>
              <w:rPr>
                <w:color w:val="000000"/>
                <w:sz w:val="20"/>
                <w:szCs w:val="20"/>
              </w:rPr>
            </w:pPr>
            <w:r>
              <w:rPr>
                <w:color w:val="000000"/>
                <w:sz w:val="20"/>
                <w:szCs w:val="20"/>
              </w:rPr>
              <w:t>0.3 - 0.5</w:t>
            </w:r>
          </w:p>
        </w:tc>
        <w:tc>
          <w:tcPr>
            <w:tcW w:w="1147" w:type="dxa"/>
            <w:tcBorders>
              <w:top w:val="nil"/>
              <w:left w:val="nil"/>
              <w:bottom w:val="single" w:sz="4" w:space="0" w:color="auto"/>
              <w:right w:val="single" w:sz="4" w:space="0" w:color="auto"/>
            </w:tcBorders>
            <w:noWrap/>
            <w:vAlign w:val="bottom"/>
            <w:hideMark/>
          </w:tcPr>
          <w:p w14:paraId="4E5BBEBD" w14:textId="77777777" w:rsidR="00450450" w:rsidRDefault="00450450" w:rsidP="00B451D7">
            <w:pPr>
              <w:jc w:val="right"/>
              <w:rPr>
                <w:color w:val="000000"/>
                <w:sz w:val="20"/>
                <w:szCs w:val="20"/>
              </w:rPr>
            </w:pPr>
            <w:r>
              <w:rPr>
                <w:color w:val="000000"/>
                <w:sz w:val="20"/>
                <w:szCs w:val="20"/>
              </w:rPr>
              <w:t>67%</w:t>
            </w:r>
          </w:p>
        </w:tc>
        <w:tc>
          <w:tcPr>
            <w:tcW w:w="861" w:type="dxa"/>
            <w:tcBorders>
              <w:top w:val="nil"/>
              <w:left w:val="nil"/>
              <w:bottom w:val="single" w:sz="4" w:space="0" w:color="auto"/>
              <w:right w:val="single" w:sz="4" w:space="0" w:color="auto"/>
            </w:tcBorders>
            <w:noWrap/>
            <w:vAlign w:val="bottom"/>
            <w:hideMark/>
          </w:tcPr>
          <w:p w14:paraId="30B12E87" w14:textId="77777777" w:rsidR="00450450" w:rsidRDefault="00450450" w:rsidP="00B451D7">
            <w:pPr>
              <w:jc w:val="right"/>
              <w:rPr>
                <w:color w:val="000000"/>
                <w:sz w:val="20"/>
                <w:szCs w:val="20"/>
              </w:rPr>
            </w:pPr>
            <w:r>
              <w:rPr>
                <w:color w:val="000000"/>
                <w:sz w:val="20"/>
                <w:szCs w:val="20"/>
              </w:rPr>
              <w:t>22%</w:t>
            </w:r>
          </w:p>
        </w:tc>
        <w:tc>
          <w:tcPr>
            <w:tcW w:w="2199" w:type="dxa"/>
            <w:tcBorders>
              <w:top w:val="nil"/>
              <w:left w:val="nil"/>
              <w:bottom w:val="single" w:sz="4" w:space="0" w:color="auto"/>
              <w:right w:val="single" w:sz="8" w:space="0" w:color="auto"/>
            </w:tcBorders>
            <w:vAlign w:val="bottom"/>
            <w:hideMark/>
          </w:tcPr>
          <w:p w14:paraId="1852D107" w14:textId="77777777" w:rsidR="00450450" w:rsidRDefault="00450450" w:rsidP="00B451D7">
            <w:pPr>
              <w:rPr>
                <w:color w:val="000000"/>
                <w:sz w:val="20"/>
                <w:szCs w:val="20"/>
              </w:rPr>
            </w:pPr>
            <w:r>
              <w:rPr>
                <w:color w:val="000000"/>
                <w:sz w:val="20"/>
                <w:szCs w:val="20"/>
              </w:rPr>
              <w:t xml:space="preserve">Not viable for </w:t>
            </w:r>
            <w:r>
              <w:rPr>
                <w:color w:val="000000"/>
                <w:sz w:val="20"/>
                <w:szCs w:val="20"/>
              </w:rPr>
              <w:br/>
              <w:t>limited capital</w:t>
            </w:r>
          </w:p>
        </w:tc>
      </w:tr>
      <w:tr w:rsidR="00E12B7C" w14:paraId="7FCF8A08" w14:textId="77777777" w:rsidTr="00E12B7C">
        <w:trPr>
          <w:trHeight w:val="233"/>
        </w:trPr>
        <w:tc>
          <w:tcPr>
            <w:tcW w:w="1610" w:type="dxa"/>
            <w:tcBorders>
              <w:top w:val="nil"/>
              <w:left w:val="single" w:sz="8" w:space="0" w:color="auto"/>
              <w:bottom w:val="single" w:sz="4" w:space="0" w:color="auto"/>
              <w:right w:val="single" w:sz="4" w:space="0" w:color="auto"/>
            </w:tcBorders>
            <w:shd w:val="clear" w:color="auto" w:fill="D9D9D9" w:themeFill="background1" w:themeFillShade="D9"/>
            <w:vAlign w:val="bottom"/>
            <w:hideMark/>
          </w:tcPr>
          <w:p w14:paraId="29CA9D5B" w14:textId="77777777" w:rsidR="00450450" w:rsidRPr="00E12B7C" w:rsidRDefault="00450450" w:rsidP="00B451D7">
            <w:pPr>
              <w:rPr>
                <w:color w:val="000000"/>
                <w:sz w:val="20"/>
                <w:szCs w:val="20"/>
              </w:rPr>
            </w:pPr>
            <w:r w:rsidRPr="00E12B7C">
              <w:rPr>
                <w:color w:val="000000"/>
                <w:sz w:val="20"/>
                <w:szCs w:val="20"/>
              </w:rPr>
              <w:t xml:space="preserve">Concentrated Liquidity </w:t>
            </w:r>
            <w:r w:rsidRPr="00E12B7C">
              <w:rPr>
                <w:color w:val="000000"/>
                <w:sz w:val="20"/>
                <w:szCs w:val="20"/>
              </w:rPr>
              <w:br/>
              <w:t>Retail (Uniswap v3)</w:t>
            </w:r>
          </w:p>
        </w:tc>
        <w:tc>
          <w:tcPr>
            <w:tcW w:w="983" w:type="dxa"/>
            <w:tcBorders>
              <w:top w:val="nil"/>
              <w:left w:val="nil"/>
              <w:bottom w:val="single" w:sz="4" w:space="0" w:color="auto"/>
              <w:right w:val="single" w:sz="4" w:space="0" w:color="auto"/>
            </w:tcBorders>
            <w:noWrap/>
            <w:vAlign w:val="bottom"/>
            <w:hideMark/>
          </w:tcPr>
          <w:p w14:paraId="5D0372A4" w14:textId="77777777" w:rsidR="00450450" w:rsidRDefault="00450450" w:rsidP="00B451D7">
            <w:pPr>
              <w:jc w:val="right"/>
              <w:rPr>
                <w:color w:val="000000"/>
                <w:sz w:val="20"/>
                <w:szCs w:val="20"/>
              </w:rPr>
            </w:pPr>
            <w:r>
              <w:rPr>
                <w:color w:val="000000"/>
                <w:sz w:val="20"/>
                <w:szCs w:val="20"/>
              </w:rPr>
              <w:t>9</w:t>
            </w:r>
          </w:p>
        </w:tc>
        <w:tc>
          <w:tcPr>
            <w:tcW w:w="850" w:type="dxa"/>
            <w:tcBorders>
              <w:top w:val="nil"/>
              <w:left w:val="nil"/>
              <w:bottom w:val="single" w:sz="4" w:space="0" w:color="auto"/>
              <w:right w:val="single" w:sz="4" w:space="0" w:color="auto"/>
            </w:tcBorders>
            <w:noWrap/>
            <w:vAlign w:val="bottom"/>
            <w:hideMark/>
          </w:tcPr>
          <w:p w14:paraId="6851DB76" w14:textId="77777777" w:rsidR="00450450" w:rsidRDefault="00450450" w:rsidP="00B451D7">
            <w:pPr>
              <w:jc w:val="right"/>
              <w:rPr>
                <w:color w:val="000000"/>
                <w:sz w:val="20"/>
                <w:szCs w:val="20"/>
              </w:rPr>
            </w:pPr>
            <w:r>
              <w:rPr>
                <w:color w:val="000000"/>
                <w:sz w:val="20"/>
                <w:szCs w:val="20"/>
              </w:rPr>
              <w:t>-0.7</w:t>
            </w:r>
          </w:p>
        </w:tc>
        <w:tc>
          <w:tcPr>
            <w:tcW w:w="872" w:type="dxa"/>
            <w:tcBorders>
              <w:top w:val="nil"/>
              <w:left w:val="nil"/>
              <w:bottom w:val="single" w:sz="4" w:space="0" w:color="auto"/>
              <w:right w:val="single" w:sz="4" w:space="0" w:color="auto"/>
            </w:tcBorders>
            <w:noWrap/>
            <w:vAlign w:val="bottom"/>
            <w:hideMark/>
          </w:tcPr>
          <w:p w14:paraId="275D2E90" w14:textId="77777777" w:rsidR="00450450" w:rsidRDefault="00450450" w:rsidP="00B451D7">
            <w:pPr>
              <w:jc w:val="right"/>
              <w:rPr>
                <w:color w:val="000000"/>
                <w:sz w:val="20"/>
                <w:szCs w:val="20"/>
              </w:rPr>
            </w:pPr>
            <w:r>
              <w:rPr>
                <w:color w:val="000000"/>
                <w:sz w:val="20"/>
                <w:szCs w:val="20"/>
              </w:rPr>
              <w:t>-8.10%</w:t>
            </w:r>
          </w:p>
        </w:tc>
        <w:tc>
          <w:tcPr>
            <w:tcW w:w="828" w:type="dxa"/>
            <w:tcBorders>
              <w:top w:val="nil"/>
              <w:left w:val="nil"/>
              <w:bottom w:val="single" w:sz="4" w:space="0" w:color="auto"/>
              <w:right w:val="single" w:sz="4" w:space="0" w:color="auto"/>
            </w:tcBorders>
            <w:noWrap/>
            <w:vAlign w:val="bottom"/>
            <w:hideMark/>
          </w:tcPr>
          <w:p w14:paraId="3CD004FB" w14:textId="77777777" w:rsidR="00450450" w:rsidRDefault="00450450" w:rsidP="00B451D7">
            <w:pPr>
              <w:rPr>
                <w:color w:val="000000"/>
                <w:sz w:val="20"/>
                <w:szCs w:val="20"/>
              </w:rPr>
            </w:pPr>
            <w:r>
              <w:rPr>
                <w:color w:val="000000"/>
                <w:sz w:val="20"/>
                <w:szCs w:val="20"/>
              </w:rPr>
              <w:t>0.2 - 0.4</w:t>
            </w:r>
          </w:p>
        </w:tc>
        <w:tc>
          <w:tcPr>
            <w:tcW w:w="1147" w:type="dxa"/>
            <w:tcBorders>
              <w:top w:val="nil"/>
              <w:left w:val="nil"/>
              <w:bottom w:val="single" w:sz="4" w:space="0" w:color="auto"/>
              <w:right w:val="single" w:sz="4" w:space="0" w:color="auto"/>
            </w:tcBorders>
            <w:noWrap/>
            <w:vAlign w:val="bottom"/>
            <w:hideMark/>
          </w:tcPr>
          <w:p w14:paraId="135BF3A4" w14:textId="77777777" w:rsidR="00450450" w:rsidRDefault="00450450" w:rsidP="00B451D7">
            <w:pPr>
              <w:jc w:val="right"/>
              <w:rPr>
                <w:color w:val="000000"/>
                <w:sz w:val="20"/>
                <w:szCs w:val="20"/>
              </w:rPr>
            </w:pPr>
            <w:r>
              <w:rPr>
                <w:color w:val="000000"/>
                <w:sz w:val="20"/>
                <w:szCs w:val="20"/>
              </w:rPr>
              <w:t>89%</w:t>
            </w:r>
          </w:p>
        </w:tc>
        <w:tc>
          <w:tcPr>
            <w:tcW w:w="861" w:type="dxa"/>
            <w:tcBorders>
              <w:top w:val="nil"/>
              <w:left w:val="nil"/>
              <w:bottom w:val="single" w:sz="4" w:space="0" w:color="auto"/>
              <w:right w:val="single" w:sz="4" w:space="0" w:color="auto"/>
            </w:tcBorders>
            <w:noWrap/>
            <w:vAlign w:val="bottom"/>
            <w:hideMark/>
          </w:tcPr>
          <w:p w14:paraId="499EA7FB" w14:textId="77777777" w:rsidR="00450450" w:rsidRDefault="00450450" w:rsidP="00B451D7">
            <w:pPr>
              <w:jc w:val="right"/>
              <w:rPr>
                <w:color w:val="000000"/>
                <w:sz w:val="20"/>
                <w:szCs w:val="20"/>
              </w:rPr>
            </w:pPr>
            <w:r>
              <w:rPr>
                <w:color w:val="000000"/>
                <w:sz w:val="20"/>
                <w:szCs w:val="20"/>
              </w:rPr>
              <w:t>11%</w:t>
            </w:r>
          </w:p>
        </w:tc>
        <w:tc>
          <w:tcPr>
            <w:tcW w:w="2199" w:type="dxa"/>
            <w:tcBorders>
              <w:top w:val="nil"/>
              <w:left w:val="nil"/>
              <w:bottom w:val="single" w:sz="4" w:space="0" w:color="auto"/>
              <w:right w:val="single" w:sz="8" w:space="0" w:color="auto"/>
            </w:tcBorders>
            <w:noWrap/>
            <w:vAlign w:val="bottom"/>
            <w:hideMark/>
          </w:tcPr>
          <w:p w14:paraId="669F1402" w14:textId="77777777" w:rsidR="00450450" w:rsidRDefault="00450450" w:rsidP="00B451D7">
            <w:pPr>
              <w:rPr>
                <w:color w:val="000000"/>
                <w:sz w:val="20"/>
                <w:szCs w:val="20"/>
              </w:rPr>
            </w:pPr>
            <w:r>
              <w:rPr>
                <w:color w:val="000000"/>
                <w:sz w:val="20"/>
                <w:szCs w:val="20"/>
              </w:rPr>
              <w:t>Not recommended</w:t>
            </w:r>
          </w:p>
        </w:tc>
      </w:tr>
      <w:tr w:rsidR="00E12B7C" w14:paraId="662F14CB" w14:textId="77777777" w:rsidTr="00E12B7C">
        <w:trPr>
          <w:trHeight w:val="880"/>
        </w:trPr>
        <w:tc>
          <w:tcPr>
            <w:tcW w:w="1610" w:type="dxa"/>
            <w:tcBorders>
              <w:top w:val="nil"/>
              <w:left w:val="single" w:sz="8" w:space="0" w:color="auto"/>
              <w:bottom w:val="single" w:sz="8" w:space="0" w:color="auto"/>
              <w:right w:val="single" w:sz="4" w:space="0" w:color="auto"/>
            </w:tcBorders>
            <w:shd w:val="clear" w:color="auto" w:fill="D9D9D9" w:themeFill="background1" w:themeFillShade="D9"/>
            <w:vAlign w:val="bottom"/>
            <w:hideMark/>
          </w:tcPr>
          <w:p w14:paraId="57EF5808" w14:textId="77777777" w:rsidR="00450450" w:rsidRPr="00E12B7C" w:rsidRDefault="00450450" w:rsidP="00B451D7">
            <w:pPr>
              <w:rPr>
                <w:color w:val="000000"/>
                <w:sz w:val="20"/>
                <w:szCs w:val="20"/>
              </w:rPr>
            </w:pPr>
            <w:r w:rsidRPr="00E12B7C">
              <w:rPr>
                <w:color w:val="000000"/>
                <w:sz w:val="20"/>
                <w:szCs w:val="20"/>
              </w:rPr>
              <w:t xml:space="preserve">Concentrated Liquidity </w:t>
            </w:r>
            <w:r w:rsidRPr="00E12B7C">
              <w:rPr>
                <w:color w:val="000000"/>
                <w:sz w:val="20"/>
                <w:szCs w:val="20"/>
              </w:rPr>
              <w:br/>
              <w:t>Professional (Uniswap v3)</w:t>
            </w:r>
          </w:p>
        </w:tc>
        <w:tc>
          <w:tcPr>
            <w:tcW w:w="983" w:type="dxa"/>
            <w:tcBorders>
              <w:top w:val="nil"/>
              <w:left w:val="nil"/>
              <w:bottom w:val="single" w:sz="8" w:space="0" w:color="auto"/>
              <w:right w:val="single" w:sz="4" w:space="0" w:color="auto"/>
            </w:tcBorders>
            <w:noWrap/>
            <w:vAlign w:val="bottom"/>
            <w:hideMark/>
          </w:tcPr>
          <w:p w14:paraId="1410FFCE" w14:textId="77777777" w:rsidR="00450450" w:rsidRDefault="00450450" w:rsidP="00B451D7">
            <w:pPr>
              <w:jc w:val="right"/>
              <w:rPr>
                <w:color w:val="000000"/>
                <w:sz w:val="20"/>
                <w:szCs w:val="20"/>
              </w:rPr>
            </w:pPr>
            <w:r>
              <w:rPr>
                <w:color w:val="000000"/>
                <w:sz w:val="20"/>
                <w:szCs w:val="20"/>
              </w:rPr>
              <w:t>8</w:t>
            </w:r>
          </w:p>
        </w:tc>
        <w:tc>
          <w:tcPr>
            <w:tcW w:w="850" w:type="dxa"/>
            <w:tcBorders>
              <w:top w:val="nil"/>
              <w:left w:val="nil"/>
              <w:bottom w:val="single" w:sz="8" w:space="0" w:color="auto"/>
              <w:right w:val="single" w:sz="4" w:space="0" w:color="auto"/>
            </w:tcBorders>
            <w:noWrap/>
            <w:vAlign w:val="bottom"/>
            <w:hideMark/>
          </w:tcPr>
          <w:p w14:paraId="6B322D97" w14:textId="77777777" w:rsidR="00450450" w:rsidRDefault="00450450" w:rsidP="00B451D7">
            <w:pPr>
              <w:rPr>
                <w:color w:val="000000"/>
                <w:sz w:val="20"/>
                <w:szCs w:val="20"/>
              </w:rPr>
            </w:pPr>
            <w:r>
              <w:rPr>
                <w:color w:val="000000"/>
                <w:sz w:val="20"/>
                <w:szCs w:val="20"/>
              </w:rPr>
              <w:t>23% - 47%</w:t>
            </w:r>
          </w:p>
        </w:tc>
        <w:tc>
          <w:tcPr>
            <w:tcW w:w="872" w:type="dxa"/>
            <w:tcBorders>
              <w:top w:val="nil"/>
              <w:left w:val="nil"/>
              <w:bottom w:val="single" w:sz="8" w:space="0" w:color="auto"/>
              <w:right w:val="single" w:sz="4" w:space="0" w:color="auto"/>
            </w:tcBorders>
            <w:noWrap/>
            <w:vAlign w:val="bottom"/>
            <w:hideMark/>
          </w:tcPr>
          <w:p w14:paraId="7F0BFD0D" w14:textId="77777777" w:rsidR="00450450" w:rsidRDefault="00450450" w:rsidP="00B451D7">
            <w:pPr>
              <w:jc w:val="right"/>
              <w:rPr>
                <w:color w:val="000000"/>
                <w:sz w:val="20"/>
                <w:szCs w:val="20"/>
              </w:rPr>
            </w:pPr>
            <w:r>
              <w:rPr>
                <w:color w:val="000000"/>
                <w:sz w:val="20"/>
                <w:szCs w:val="20"/>
              </w:rPr>
              <w:t>34.50%</w:t>
            </w:r>
          </w:p>
        </w:tc>
        <w:tc>
          <w:tcPr>
            <w:tcW w:w="828" w:type="dxa"/>
            <w:tcBorders>
              <w:top w:val="nil"/>
              <w:left w:val="nil"/>
              <w:bottom w:val="single" w:sz="8" w:space="0" w:color="auto"/>
              <w:right w:val="single" w:sz="4" w:space="0" w:color="auto"/>
            </w:tcBorders>
            <w:noWrap/>
            <w:vAlign w:val="bottom"/>
            <w:hideMark/>
          </w:tcPr>
          <w:p w14:paraId="09F7DE07" w14:textId="77777777" w:rsidR="00450450" w:rsidRDefault="00450450" w:rsidP="00B451D7">
            <w:pPr>
              <w:rPr>
                <w:color w:val="000000"/>
                <w:sz w:val="20"/>
                <w:szCs w:val="20"/>
              </w:rPr>
            </w:pPr>
            <w:r>
              <w:rPr>
                <w:color w:val="000000"/>
                <w:sz w:val="20"/>
                <w:szCs w:val="20"/>
              </w:rPr>
              <w:t>1.2 - 1.8</w:t>
            </w:r>
          </w:p>
        </w:tc>
        <w:tc>
          <w:tcPr>
            <w:tcW w:w="1147" w:type="dxa"/>
            <w:tcBorders>
              <w:top w:val="nil"/>
              <w:left w:val="nil"/>
              <w:bottom w:val="single" w:sz="8" w:space="0" w:color="auto"/>
              <w:right w:val="single" w:sz="4" w:space="0" w:color="auto"/>
            </w:tcBorders>
            <w:noWrap/>
            <w:vAlign w:val="bottom"/>
            <w:hideMark/>
          </w:tcPr>
          <w:p w14:paraId="050D613A" w14:textId="77777777" w:rsidR="00450450" w:rsidRDefault="00450450" w:rsidP="00B451D7">
            <w:pPr>
              <w:jc w:val="right"/>
              <w:rPr>
                <w:color w:val="000000"/>
                <w:sz w:val="20"/>
                <w:szCs w:val="20"/>
              </w:rPr>
            </w:pPr>
            <w:r>
              <w:rPr>
                <w:color w:val="000000"/>
                <w:sz w:val="20"/>
                <w:szCs w:val="20"/>
              </w:rPr>
              <w:t>31%</w:t>
            </w:r>
          </w:p>
        </w:tc>
        <w:tc>
          <w:tcPr>
            <w:tcW w:w="861" w:type="dxa"/>
            <w:tcBorders>
              <w:top w:val="nil"/>
              <w:left w:val="nil"/>
              <w:bottom w:val="single" w:sz="8" w:space="0" w:color="auto"/>
              <w:right w:val="single" w:sz="4" w:space="0" w:color="auto"/>
            </w:tcBorders>
            <w:noWrap/>
            <w:vAlign w:val="bottom"/>
            <w:hideMark/>
          </w:tcPr>
          <w:p w14:paraId="6D57A7C3" w14:textId="77777777" w:rsidR="00450450" w:rsidRDefault="00450450" w:rsidP="00B451D7">
            <w:pPr>
              <w:jc w:val="right"/>
              <w:rPr>
                <w:color w:val="000000"/>
                <w:sz w:val="20"/>
                <w:szCs w:val="20"/>
              </w:rPr>
            </w:pPr>
            <w:r>
              <w:rPr>
                <w:color w:val="000000"/>
                <w:sz w:val="20"/>
                <w:szCs w:val="20"/>
              </w:rPr>
              <w:t>88%</w:t>
            </w:r>
          </w:p>
        </w:tc>
        <w:tc>
          <w:tcPr>
            <w:tcW w:w="2199" w:type="dxa"/>
            <w:tcBorders>
              <w:top w:val="nil"/>
              <w:left w:val="nil"/>
              <w:bottom w:val="single" w:sz="8" w:space="0" w:color="auto"/>
              <w:right w:val="single" w:sz="8" w:space="0" w:color="auto"/>
            </w:tcBorders>
            <w:vAlign w:val="bottom"/>
            <w:hideMark/>
          </w:tcPr>
          <w:p w14:paraId="56CBDECC" w14:textId="77777777" w:rsidR="00450450" w:rsidRDefault="00450450" w:rsidP="00B451D7">
            <w:pPr>
              <w:rPr>
                <w:color w:val="000000"/>
                <w:sz w:val="20"/>
                <w:szCs w:val="20"/>
              </w:rPr>
            </w:pPr>
            <w:r>
              <w:rPr>
                <w:color w:val="000000"/>
                <w:sz w:val="20"/>
                <w:szCs w:val="20"/>
              </w:rPr>
              <w:t xml:space="preserve">$50,000+, </w:t>
            </w:r>
            <w:r>
              <w:rPr>
                <w:color w:val="000000"/>
                <w:sz w:val="20"/>
                <w:szCs w:val="20"/>
              </w:rPr>
              <w:br/>
              <w:t>requires infrastructure</w:t>
            </w:r>
          </w:p>
        </w:tc>
      </w:tr>
    </w:tbl>
    <w:p w14:paraId="260D0EC5" w14:textId="77777777" w:rsidR="000D0165" w:rsidRPr="00C976C1" w:rsidRDefault="000D0165" w:rsidP="00B451D7">
      <w:pPr>
        <w:rPr>
          <w:i/>
          <w:iCs/>
          <w:sz w:val="22"/>
          <w:szCs w:val="22"/>
        </w:rPr>
      </w:pPr>
      <w:r w:rsidRPr="00C976C1">
        <w:rPr>
          <w:i/>
          <w:iCs/>
          <w:sz w:val="22"/>
          <w:szCs w:val="22"/>
        </w:rPr>
        <w:t>Source: Author's tracking of 156 liquidity provision positions across protocols and networks, 2020-2024.</w:t>
      </w:r>
    </w:p>
    <w:p w14:paraId="523C0255" w14:textId="77777777" w:rsidR="002105EA" w:rsidRPr="00C976C1" w:rsidRDefault="000D0165" w:rsidP="00B451D7">
      <w:pPr>
        <w:jc w:val="both"/>
        <w:rPr>
          <w:rFonts w:eastAsiaTheme="majorEastAsia"/>
          <w:bCs/>
          <w:i/>
          <w:iCs/>
          <w:color w:val="000000" w:themeColor="text1"/>
          <w:sz w:val="22"/>
          <w:szCs w:val="22"/>
        </w:rPr>
      </w:pPr>
      <w:r w:rsidRPr="00C976C1">
        <w:rPr>
          <w:rFonts w:eastAsiaTheme="majorEastAsia"/>
          <w:bCs/>
          <w:i/>
          <w:iCs/>
          <w:color w:val="000000" w:themeColor="text1"/>
          <w:sz w:val="22"/>
          <w:szCs w:val="22"/>
        </w:rPr>
        <w:t>Note:</w:t>
      </w:r>
    </w:p>
    <w:p w14:paraId="3BB0A922" w14:textId="633249AC" w:rsidR="000D0165" w:rsidRPr="00C976C1" w:rsidRDefault="000D0165" w:rsidP="00B451D7">
      <w:pPr>
        <w:pStyle w:val="ListParagraph"/>
        <w:numPr>
          <w:ilvl w:val="0"/>
          <w:numId w:val="272"/>
        </w:numPr>
        <w:jc w:val="both"/>
        <w:rPr>
          <w:rFonts w:eastAsiaTheme="majorEastAsia"/>
          <w:bCs/>
          <w:i/>
          <w:iCs/>
          <w:color w:val="000000" w:themeColor="text1"/>
          <w:sz w:val="22"/>
          <w:szCs w:val="22"/>
        </w:rPr>
      </w:pPr>
      <w:r w:rsidRPr="00C976C1">
        <w:rPr>
          <w:rFonts w:eastAsiaTheme="majorEastAsia"/>
          <w:bCs/>
          <w:i/>
          <w:iCs/>
          <w:color w:val="000000" w:themeColor="text1"/>
          <w:sz w:val="22"/>
          <w:szCs w:val="22"/>
        </w:rPr>
        <w:t xml:space="preserve">Success rate </w:t>
      </w:r>
      <w:proofErr w:type="gramStart"/>
      <w:r w:rsidRPr="00C976C1">
        <w:rPr>
          <w:rFonts w:eastAsiaTheme="majorEastAsia"/>
          <w:bCs/>
          <w:i/>
          <w:iCs/>
          <w:color w:val="000000" w:themeColor="text1"/>
          <w:sz w:val="22"/>
          <w:szCs w:val="22"/>
        </w:rPr>
        <w:t>defined</w:t>
      </w:r>
      <w:proofErr w:type="gramEnd"/>
      <w:r w:rsidRPr="00C976C1">
        <w:rPr>
          <w:rFonts w:eastAsiaTheme="majorEastAsia"/>
          <w:bCs/>
          <w:i/>
          <w:iCs/>
          <w:color w:val="000000" w:themeColor="text1"/>
          <w:sz w:val="22"/>
          <w:szCs w:val="22"/>
        </w:rPr>
        <w:t xml:space="preserve"> as achieving positive net returns after accounting for gas fees, impermanent loss, and operational costs. Sharpe ratios calculated using risk-free rate of 4.5% (average Treasury yield during study period).</w:t>
      </w:r>
    </w:p>
    <w:p w14:paraId="03555C97" w14:textId="77777777" w:rsidR="000D0165" w:rsidRPr="000D0165" w:rsidRDefault="000D0165" w:rsidP="00B451D7">
      <w:pPr>
        <w:jc w:val="both"/>
        <w:rPr>
          <w:rFonts w:eastAsiaTheme="majorEastAsia"/>
          <w:bCs/>
          <w:color w:val="FF0000"/>
        </w:rPr>
      </w:pPr>
    </w:p>
    <w:p w14:paraId="5E1FF80E" w14:textId="77777777" w:rsidR="002105EA" w:rsidRPr="00821D7F" w:rsidRDefault="000D0165" w:rsidP="00B451D7">
      <w:pPr>
        <w:jc w:val="both"/>
        <w:rPr>
          <w:rFonts w:eastAsiaTheme="majorEastAsia"/>
          <w:b/>
          <w:color w:val="000000" w:themeColor="text1"/>
        </w:rPr>
      </w:pPr>
      <w:r w:rsidRPr="00821D7F">
        <w:rPr>
          <w:rFonts w:eastAsiaTheme="majorEastAsia"/>
          <w:b/>
          <w:color w:val="000000" w:themeColor="text1"/>
        </w:rPr>
        <w:t xml:space="preserve">Critical Finding: </w:t>
      </w:r>
    </w:p>
    <w:p w14:paraId="5830AF56" w14:textId="315AEE9E" w:rsidR="000D0165" w:rsidRPr="00821D7F" w:rsidRDefault="00821D7F" w:rsidP="00B451D7">
      <w:pPr>
        <w:jc w:val="both"/>
        <w:rPr>
          <w:rFonts w:eastAsiaTheme="majorEastAsia"/>
          <w:bCs/>
          <w:color w:val="000000" w:themeColor="text1"/>
        </w:rPr>
      </w:pPr>
      <w:r w:rsidRPr="00821D7F">
        <w:rPr>
          <w:rFonts w:eastAsiaTheme="majorEastAsia"/>
          <w:bCs/>
          <w:color w:val="000000" w:themeColor="text1"/>
        </w:rPr>
        <w:t>The data shows that there is an inverse relationship between how complicated something is and how profitable it is for those with minimal capital. Stablecoin pairs have the lowest nominal yields (4–8%), but they have the highest risk-adjusted returns (Sharpe ratio 0.8–1.4) and success rates (79%). On the other hand, volatile pairings and retail concentrated liquidity positions have negative median returns of -2.3% and -8.1%, even if marketing focuses on higher prospective yields.</w:t>
      </w:r>
    </w:p>
    <w:p w14:paraId="57717F7A" w14:textId="77777777" w:rsidR="00821D7F" w:rsidRPr="003C66A0" w:rsidRDefault="00821D7F" w:rsidP="00B451D7">
      <w:pPr>
        <w:jc w:val="both"/>
        <w:rPr>
          <w:rFonts w:eastAsiaTheme="majorEastAsia"/>
          <w:bCs/>
          <w:color w:val="000000" w:themeColor="text1"/>
        </w:rPr>
      </w:pPr>
    </w:p>
    <w:p w14:paraId="63C5A83E" w14:textId="77777777" w:rsidR="00ED23EE" w:rsidRPr="003C66A0" w:rsidRDefault="00ED23EE" w:rsidP="00B451D7">
      <w:pPr>
        <w:jc w:val="both"/>
        <w:rPr>
          <w:rFonts w:eastAsiaTheme="majorEastAsia"/>
          <w:bCs/>
          <w:color w:val="000000" w:themeColor="text1"/>
        </w:rPr>
      </w:pPr>
      <w:r w:rsidRPr="003C66A0">
        <w:rPr>
          <w:rFonts w:eastAsiaTheme="majorEastAsia"/>
          <w:bCs/>
          <w:color w:val="000000" w:themeColor="text1"/>
        </w:rPr>
        <w:t xml:space="preserve">The capital efficiency promised by concentrated liquidity (Uniswap v3) proved to be double-edged. Although concentrating liquidity in narrow ranges can multiply fee income by 10x or more, it also multiplies impermanent loss by the same factor. This in </w:t>
      </w:r>
      <w:proofErr w:type="gramStart"/>
      <w:r w:rsidRPr="003C66A0">
        <w:rPr>
          <w:rFonts w:eastAsiaTheme="majorEastAsia"/>
          <w:bCs/>
          <w:color w:val="000000" w:themeColor="text1"/>
        </w:rPr>
        <w:t>return then</w:t>
      </w:r>
      <w:proofErr w:type="gramEnd"/>
      <w:r w:rsidRPr="003C66A0">
        <w:rPr>
          <w:rFonts w:eastAsiaTheme="majorEastAsia"/>
          <w:bCs/>
          <w:color w:val="000000" w:themeColor="text1"/>
        </w:rPr>
        <w:t xml:space="preserve"> requires active management. Professional market makers with sophisticated infrastructure achieved 23-47% returns. Casual participants typically lost money as their positions went out of range and stopped earning fees while continuing to suffer IL.</w:t>
      </w:r>
    </w:p>
    <w:p w14:paraId="30D43DD2" w14:textId="77777777" w:rsidR="00ED23EE" w:rsidRPr="003C66A0" w:rsidRDefault="00ED23EE" w:rsidP="00B451D7">
      <w:pPr>
        <w:jc w:val="both"/>
        <w:rPr>
          <w:rFonts w:eastAsiaTheme="majorEastAsia"/>
          <w:bCs/>
          <w:color w:val="000000" w:themeColor="text1"/>
        </w:rPr>
      </w:pPr>
    </w:p>
    <w:p w14:paraId="59547F53" w14:textId="7C2CFF55" w:rsidR="00ED23EE" w:rsidRPr="003C66A0" w:rsidRDefault="00ED23EE" w:rsidP="00B451D7">
      <w:pPr>
        <w:jc w:val="both"/>
        <w:rPr>
          <w:rFonts w:eastAsiaTheme="majorEastAsia"/>
          <w:bCs/>
          <w:color w:val="000000" w:themeColor="text1"/>
        </w:rPr>
      </w:pPr>
      <w:r w:rsidRPr="003C66A0">
        <w:rPr>
          <w:rFonts w:eastAsiaTheme="majorEastAsia"/>
          <w:bCs/>
          <w:color w:val="000000" w:themeColor="text1"/>
        </w:rPr>
        <w:t xml:space="preserve">A minimum viable scale </w:t>
      </w:r>
      <w:r w:rsidR="00A80D43" w:rsidRPr="003C66A0">
        <w:rPr>
          <w:rFonts w:eastAsiaTheme="majorEastAsia"/>
          <w:bCs/>
          <w:color w:val="000000" w:themeColor="text1"/>
        </w:rPr>
        <w:t>emerges</w:t>
      </w:r>
      <w:r w:rsidRPr="003C66A0">
        <w:rPr>
          <w:rFonts w:eastAsiaTheme="majorEastAsia"/>
          <w:bCs/>
          <w:color w:val="000000" w:themeColor="text1"/>
        </w:rPr>
        <w:t xml:space="preserve"> from the relationship between position size and fixed costs based on position-level calculations. On Ethereum </w:t>
      </w:r>
      <w:proofErr w:type="spellStart"/>
      <w:r w:rsidRPr="003C66A0">
        <w:rPr>
          <w:rFonts w:eastAsiaTheme="majorEastAsia"/>
          <w:bCs/>
          <w:color w:val="000000" w:themeColor="text1"/>
        </w:rPr>
        <w:t>mainnet</w:t>
      </w:r>
      <w:proofErr w:type="spellEnd"/>
      <w:r w:rsidRPr="003C66A0">
        <w:rPr>
          <w:rFonts w:eastAsiaTheme="majorEastAsia"/>
          <w:bCs/>
          <w:color w:val="000000" w:themeColor="text1"/>
        </w:rPr>
        <w:t xml:space="preserve">, positions under $25,000 struggle to overcome the associated gas costs. On L2 solutions, this is </w:t>
      </w:r>
      <w:proofErr w:type="gramStart"/>
      <w:r w:rsidRPr="003C66A0">
        <w:rPr>
          <w:rFonts w:eastAsiaTheme="majorEastAsia"/>
          <w:bCs/>
          <w:color w:val="000000" w:themeColor="text1"/>
        </w:rPr>
        <w:t>reduced</w:t>
      </w:r>
      <w:proofErr w:type="gramEnd"/>
      <w:r w:rsidRPr="003C66A0">
        <w:rPr>
          <w:rFonts w:eastAsiaTheme="majorEastAsia"/>
          <w:bCs/>
          <w:color w:val="000000" w:themeColor="text1"/>
        </w:rPr>
        <w:t xml:space="preserve"> about $3,500. Alternative chains like Polygon enable profitable positions starting around $750. These are the identified mathematical break-even points where fee income starts exceeding operational costs.</w:t>
      </w:r>
    </w:p>
    <w:p w14:paraId="31E70808" w14:textId="77777777" w:rsidR="00B16F23" w:rsidRPr="003C66A0" w:rsidRDefault="00B16F23" w:rsidP="00B451D7">
      <w:pPr>
        <w:jc w:val="both"/>
        <w:rPr>
          <w:rFonts w:eastAsiaTheme="majorEastAsia"/>
          <w:bCs/>
          <w:color w:val="000000" w:themeColor="text1"/>
        </w:rPr>
      </w:pPr>
    </w:p>
    <w:p w14:paraId="01697C28" w14:textId="307D4CE1" w:rsidR="000F3578" w:rsidRPr="003C66A0" w:rsidRDefault="00D71B3F" w:rsidP="00B451D7">
      <w:pPr>
        <w:pStyle w:val="Heading2"/>
        <w:jc w:val="both"/>
        <w:rPr>
          <w:rFonts w:eastAsiaTheme="majorEastAsia"/>
        </w:rPr>
      </w:pPr>
      <w:bookmarkStart w:id="52" w:name="_Toc214721858"/>
      <w:r w:rsidRPr="003C66A0">
        <w:rPr>
          <w:rFonts w:eastAsiaTheme="majorEastAsia"/>
        </w:rPr>
        <w:t>3</w:t>
      </w:r>
      <w:r w:rsidR="000F3578" w:rsidRPr="003C66A0">
        <w:rPr>
          <w:rFonts w:eastAsiaTheme="majorEastAsia"/>
        </w:rPr>
        <w:t>.</w:t>
      </w:r>
      <w:r w:rsidR="0082049B">
        <w:rPr>
          <w:rFonts w:eastAsiaTheme="majorEastAsia"/>
        </w:rPr>
        <w:t>5</w:t>
      </w:r>
      <w:r w:rsidR="000F3578" w:rsidRPr="003C66A0">
        <w:rPr>
          <w:rFonts w:eastAsiaTheme="majorEastAsia"/>
        </w:rPr>
        <w:t xml:space="preserve"> Affiliate Programs</w:t>
      </w:r>
      <w:bookmarkEnd w:id="52"/>
    </w:p>
    <w:p w14:paraId="07D5D00B" w14:textId="429DC49C" w:rsidR="00BB4A94" w:rsidRPr="003C66A0" w:rsidRDefault="003D6471" w:rsidP="00B451D7">
      <w:pPr>
        <w:jc w:val="both"/>
        <w:rPr>
          <w:rFonts w:eastAsiaTheme="majorEastAsia"/>
          <w:bCs/>
          <w:color w:val="000000" w:themeColor="text1"/>
        </w:rPr>
      </w:pPr>
      <w:r w:rsidRPr="003C66A0">
        <w:rPr>
          <w:rFonts w:eastAsiaTheme="majorEastAsia"/>
          <w:bCs/>
          <w:color w:val="000000" w:themeColor="text1"/>
        </w:rPr>
        <w:t xml:space="preserve">Cryptocurrency affiliate programs deserve only brief mention at this point because they barely qualify as passive income strategies. My data shows a median monthly earning of $23 among tracked participants, with 82% of all commissions concentrated among the top 10% of affiliates. This is not a democratized opportunity; rather, it is a competition </w:t>
      </w:r>
      <w:proofErr w:type="gramStart"/>
      <w:r w:rsidR="00A80D43" w:rsidRPr="003C66A0">
        <w:rPr>
          <w:rFonts w:eastAsiaTheme="majorEastAsia"/>
          <w:bCs/>
          <w:color w:val="000000" w:themeColor="text1"/>
        </w:rPr>
        <w:t>w</w:t>
      </w:r>
      <w:r w:rsidR="00A80D43">
        <w:rPr>
          <w:rFonts w:eastAsiaTheme="majorEastAsia"/>
          <w:bCs/>
          <w:color w:val="000000" w:themeColor="text1"/>
        </w:rPr>
        <w:t>h</w:t>
      </w:r>
      <w:r w:rsidR="00A80D43" w:rsidRPr="003C66A0">
        <w:rPr>
          <w:rFonts w:eastAsiaTheme="majorEastAsia"/>
          <w:bCs/>
          <w:color w:val="000000" w:themeColor="text1"/>
        </w:rPr>
        <w:t>ere</w:t>
      </w:r>
      <w:proofErr w:type="gramEnd"/>
      <w:r w:rsidRPr="003C66A0">
        <w:rPr>
          <w:rFonts w:eastAsiaTheme="majorEastAsia"/>
          <w:bCs/>
          <w:color w:val="000000" w:themeColor="text1"/>
        </w:rPr>
        <w:t xml:space="preserve"> success hinges on existing audiences and exceptional marketing skills, rather than cryptocurrency knowledge. The few successful affiliates are not really earning from crypto. They are earning from successful </w:t>
      </w:r>
      <w:r w:rsidRPr="003C66A0">
        <w:rPr>
          <w:rFonts w:eastAsiaTheme="majorEastAsia"/>
          <w:bCs/>
          <w:color w:val="000000" w:themeColor="text1"/>
        </w:rPr>
        <w:lastRenderedPageBreak/>
        <w:t>marketing, with crypto happening to be what they are marketing. For someone without an established platform or unusual marketing talent, affiliate programs offer worse returns than minimum wage employment and shouldn't be considered viable passive income strategies.</w:t>
      </w:r>
    </w:p>
    <w:p w14:paraId="7BD4F413" w14:textId="77777777" w:rsidR="003D6471" w:rsidRPr="003C66A0" w:rsidRDefault="003D6471" w:rsidP="00B451D7">
      <w:pPr>
        <w:jc w:val="both"/>
        <w:rPr>
          <w:rFonts w:eastAsiaTheme="majorEastAsia"/>
          <w:bCs/>
          <w:color w:val="000000" w:themeColor="text1"/>
        </w:rPr>
      </w:pPr>
    </w:p>
    <w:p w14:paraId="484C263B" w14:textId="2BDF7AA3" w:rsidR="000F3578" w:rsidRPr="003C66A0" w:rsidRDefault="00D71B3F" w:rsidP="00B451D7">
      <w:pPr>
        <w:pStyle w:val="Heading2"/>
        <w:jc w:val="both"/>
        <w:rPr>
          <w:rFonts w:eastAsiaTheme="majorEastAsia"/>
        </w:rPr>
      </w:pPr>
      <w:bookmarkStart w:id="53" w:name="_Toc214721859"/>
      <w:r w:rsidRPr="003C66A0">
        <w:rPr>
          <w:rFonts w:eastAsiaTheme="majorEastAsia"/>
        </w:rPr>
        <w:t>3</w:t>
      </w:r>
      <w:r w:rsidR="000F3578" w:rsidRPr="003C66A0">
        <w:rPr>
          <w:rFonts w:eastAsiaTheme="majorEastAsia"/>
        </w:rPr>
        <w:t>.</w:t>
      </w:r>
      <w:r w:rsidR="0082049B">
        <w:rPr>
          <w:rFonts w:eastAsiaTheme="majorEastAsia"/>
        </w:rPr>
        <w:t>6</w:t>
      </w:r>
      <w:r w:rsidR="000F3578" w:rsidRPr="003C66A0">
        <w:rPr>
          <w:rFonts w:eastAsiaTheme="majorEastAsia"/>
        </w:rPr>
        <w:t xml:space="preserve"> Synthesis of Empirical Findings</w:t>
      </w:r>
      <w:bookmarkEnd w:id="53"/>
    </w:p>
    <w:p w14:paraId="5A83CE95" w14:textId="34552C4B" w:rsidR="0008088C" w:rsidRPr="003C66A0" w:rsidRDefault="0008088C" w:rsidP="00B451D7">
      <w:pPr>
        <w:jc w:val="both"/>
        <w:rPr>
          <w:rFonts w:eastAsiaTheme="majorEastAsia"/>
          <w:bCs/>
          <w:color w:val="000000" w:themeColor="text1"/>
        </w:rPr>
      </w:pPr>
      <w:r w:rsidRPr="003C66A0">
        <w:rPr>
          <w:rFonts w:eastAsiaTheme="majorEastAsia"/>
          <w:bCs/>
          <w:color w:val="000000" w:themeColor="text1"/>
        </w:rPr>
        <w:t xml:space="preserve">The empirical evidence reveals that genuine passive income opportunities exist in cryptocurrency, but </w:t>
      </w:r>
      <w:r w:rsidR="003527F8" w:rsidRPr="003C66A0">
        <w:rPr>
          <w:rFonts w:eastAsiaTheme="majorEastAsia"/>
          <w:bCs/>
          <w:color w:val="000000" w:themeColor="text1"/>
        </w:rPr>
        <w:t xml:space="preserve">They are </w:t>
      </w:r>
      <w:r w:rsidRPr="003C66A0">
        <w:rPr>
          <w:rFonts w:eastAsiaTheme="majorEastAsia"/>
          <w:bCs/>
          <w:color w:val="000000" w:themeColor="text1"/>
        </w:rPr>
        <w:t>far narrower than advertised. Sustainable yields come from real economic activity—trading fees, lending spreads, network security—not token emissions or new user subsidies. These genuine yields typically range from 4-10% annually, comparable to traditional fixed income but with different risk profiles.</w:t>
      </w:r>
    </w:p>
    <w:p w14:paraId="4A73E0D6" w14:textId="77777777" w:rsidR="00483BCF" w:rsidRPr="003C66A0" w:rsidRDefault="00483BCF" w:rsidP="00B451D7">
      <w:pPr>
        <w:jc w:val="both"/>
        <w:rPr>
          <w:rFonts w:eastAsiaTheme="majorEastAsia"/>
          <w:bCs/>
          <w:color w:val="000000" w:themeColor="text1"/>
        </w:rPr>
      </w:pPr>
    </w:p>
    <w:p w14:paraId="0D9912A8" w14:textId="6AD2BB84" w:rsidR="0008088C" w:rsidRPr="003C66A0" w:rsidRDefault="0008088C" w:rsidP="00B451D7">
      <w:pPr>
        <w:jc w:val="both"/>
        <w:rPr>
          <w:rFonts w:eastAsiaTheme="majorEastAsia"/>
          <w:bCs/>
          <w:color w:val="000000" w:themeColor="text1"/>
        </w:rPr>
      </w:pPr>
      <w:r w:rsidRPr="003C66A0">
        <w:rPr>
          <w:rFonts w:eastAsiaTheme="majorEastAsia"/>
          <w:bCs/>
          <w:color w:val="000000" w:themeColor="text1"/>
        </w:rPr>
        <w:t>Success requires specific conditions that few participants achieve: sufficient capital to overcome fixed costs ($3,500 minimum for most viable strategies), technical competence to avoid costly mistakes, emotional stability to survive 50% drawdowns, and realistic expectations about returns. When these conditions align, participants can generate meaningful income. When they do</w:t>
      </w:r>
      <w:r w:rsidR="00A80D43">
        <w:rPr>
          <w:rFonts w:eastAsiaTheme="majorEastAsia"/>
          <w:bCs/>
          <w:color w:val="000000" w:themeColor="text1"/>
        </w:rPr>
        <w:t xml:space="preserve"> </w:t>
      </w:r>
      <w:proofErr w:type="gramStart"/>
      <w:r w:rsidR="00A80D43">
        <w:rPr>
          <w:rFonts w:eastAsiaTheme="majorEastAsia"/>
          <w:bCs/>
          <w:color w:val="000000" w:themeColor="text1"/>
        </w:rPr>
        <w:t>not</w:t>
      </w:r>
      <w:r w:rsidRPr="003C66A0">
        <w:rPr>
          <w:rFonts w:eastAsiaTheme="majorEastAsia"/>
          <w:bCs/>
          <w:color w:val="000000" w:themeColor="text1"/>
        </w:rPr>
        <w:t>—which is</w:t>
      </w:r>
      <w:proofErr w:type="gramEnd"/>
      <w:r w:rsidRPr="003C66A0">
        <w:rPr>
          <w:rFonts w:eastAsiaTheme="majorEastAsia"/>
          <w:bCs/>
          <w:color w:val="000000" w:themeColor="text1"/>
        </w:rPr>
        <w:t xml:space="preserve"> most of the time—losses are likely.</w:t>
      </w:r>
    </w:p>
    <w:p w14:paraId="454CF4D6" w14:textId="77777777" w:rsidR="00483BCF" w:rsidRPr="003C66A0" w:rsidRDefault="00483BCF" w:rsidP="00B451D7">
      <w:pPr>
        <w:jc w:val="both"/>
        <w:rPr>
          <w:rFonts w:eastAsiaTheme="majorEastAsia"/>
          <w:bCs/>
          <w:color w:val="000000" w:themeColor="text1"/>
        </w:rPr>
      </w:pPr>
    </w:p>
    <w:p w14:paraId="0D6D4CDD" w14:textId="2DA8C7FD" w:rsidR="000F3578" w:rsidRPr="00761845" w:rsidRDefault="0008088C" w:rsidP="00B451D7">
      <w:pPr>
        <w:jc w:val="both"/>
        <w:rPr>
          <w:rFonts w:eastAsiaTheme="majorEastAsia"/>
          <w:bCs/>
          <w:color w:val="000000" w:themeColor="text1"/>
        </w:rPr>
      </w:pPr>
      <w:r w:rsidRPr="003C66A0">
        <w:rPr>
          <w:rFonts w:eastAsiaTheme="majorEastAsia"/>
          <w:bCs/>
          <w:color w:val="000000" w:themeColor="text1"/>
        </w:rPr>
        <w:t xml:space="preserve">The most reliable opportunities cluster in the least exciting strategies. Stablecoin liquidity provision consistently generated 4-8% returns throughout </w:t>
      </w:r>
      <w:r w:rsidR="00231D5B" w:rsidRPr="003C66A0">
        <w:rPr>
          <w:rFonts w:eastAsiaTheme="majorEastAsia"/>
          <w:bCs/>
          <w:color w:val="000000" w:themeColor="text1"/>
        </w:rPr>
        <w:t xml:space="preserve">my </w:t>
      </w:r>
      <w:r w:rsidRPr="003C66A0">
        <w:rPr>
          <w:rFonts w:eastAsiaTheme="majorEastAsia"/>
          <w:bCs/>
          <w:color w:val="000000" w:themeColor="text1"/>
        </w:rPr>
        <w:t xml:space="preserve">study period. Blue-chip token </w:t>
      </w:r>
      <w:r w:rsidRPr="00761845">
        <w:rPr>
          <w:rFonts w:eastAsiaTheme="majorEastAsia"/>
          <w:bCs/>
          <w:color w:val="000000" w:themeColor="text1"/>
        </w:rPr>
        <w:t>staking offered 4-5% with currency risk. Everything else represented speculation with yield components. The pattern is clear: boring strategies work, exciting strategies do</w:t>
      </w:r>
      <w:r w:rsidR="00A80D43" w:rsidRPr="00761845">
        <w:rPr>
          <w:rFonts w:eastAsiaTheme="majorEastAsia"/>
          <w:bCs/>
          <w:color w:val="000000" w:themeColor="text1"/>
        </w:rPr>
        <w:t xml:space="preserve"> not</w:t>
      </w:r>
      <w:r w:rsidRPr="00761845">
        <w:rPr>
          <w:rFonts w:eastAsiaTheme="majorEastAsia"/>
          <w:bCs/>
          <w:color w:val="000000" w:themeColor="text1"/>
        </w:rPr>
        <w:t>, and the more something is marketed, the less likely it is to generate sustainable returns.</w:t>
      </w:r>
    </w:p>
    <w:p w14:paraId="62431B1B" w14:textId="77777777" w:rsidR="00B03186" w:rsidRPr="00761845" w:rsidRDefault="00B03186" w:rsidP="00B451D7">
      <w:pPr>
        <w:jc w:val="both"/>
        <w:rPr>
          <w:rFonts w:eastAsiaTheme="majorEastAsia"/>
          <w:bCs/>
          <w:color w:val="000000" w:themeColor="text1"/>
        </w:rPr>
      </w:pPr>
    </w:p>
    <w:p w14:paraId="2F27A845" w14:textId="749B6C0A" w:rsidR="005104F7" w:rsidRPr="00761845" w:rsidRDefault="005104F7" w:rsidP="00B451D7">
      <w:pPr>
        <w:pStyle w:val="Heading2"/>
        <w:jc w:val="both"/>
        <w:rPr>
          <w:color w:val="000000" w:themeColor="text1"/>
          <w:kern w:val="0"/>
          <w:sz w:val="36"/>
          <w:szCs w:val="36"/>
        </w:rPr>
      </w:pPr>
      <w:bookmarkStart w:id="54" w:name="_Toc214721860"/>
      <w:r w:rsidRPr="00761845">
        <w:rPr>
          <w:color w:val="000000" w:themeColor="text1"/>
        </w:rPr>
        <w:t>3.</w:t>
      </w:r>
      <w:r w:rsidR="0082049B">
        <w:rPr>
          <w:color w:val="000000" w:themeColor="text1"/>
        </w:rPr>
        <w:t>7</w:t>
      </w:r>
      <w:r w:rsidRPr="00761845">
        <w:rPr>
          <w:color w:val="000000" w:themeColor="text1"/>
        </w:rPr>
        <w:t xml:space="preserve"> Resource-Mechanism Matching Framework</w:t>
      </w:r>
      <w:bookmarkEnd w:id="54"/>
    </w:p>
    <w:p w14:paraId="1F6F1A7D" w14:textId="77777777" w:rsidR="005104F7" w:rsidRPr="00761845" w:rsidRDefault="005104F7" w:rsidP="00B451D7">
      <w:pPr>
        <w:pStyle w:val="whitespace-normal"/>
        <w:spacing w:before="0" w:beforeAutospacing="0" w:after="0" w:afterAutospacing="0"/>
        <w:jc w:val="both"/>
        <w:rPr>
          <w:color w:val="000000" w:themeColor="text1"/>
        </w:rPr>
      </w:pPr>
      <w:r w:rsidRPr="00761845">
        <w:rPr>
          <w:color w:val="000000" w:themeColor="text1"/>
        </w:rPr>
        <w:t>The empirical evidence documented in this chapter enables construction of a practical decision framework mapping relationships between available capital, time commitment, and mechanism viability based on observed patterns in my tracked sample.</w:t>
      </w:r>
    </w:p>
    <w:p w14:paraId="2F4B9DF1" w14:textId="77777777" w:rsidR="005C7063" w:rsidRDefault="005C7063" w:rsidP="00B451D7">
      <w:pPr>
        <w:pStyle w:val="Heading3"/>
        <w:jc w:val="both"/>
        <w:rPr>
          <w:color w:val="000000" w:themeColor="text1"/>
        </w:rPr>
      </w:pPr>
    </w:p>
    <w:p w14:paraId="12963FAB" w14:textId="782B659C" w:rsidR="00705E38" w:rsidRPr="00761845" w:rsidRDefault="00A179DB" w:rsidP="00B451D7">
      <w:pPr>
        <w:pStyle w:val="Heading3"/>
        <w:jc w:val="both"/>
        <w:rPr>
          <w:color w:val="000000" w:themeColor="text1"/>
        </w:rPr>
      </w:pPr>
      <w:bookmarkStart w:id="55" w:name="_Toc214721861"/>
      <w:r w:rsidRPr="00761845">
        <w:rPr>
          <w:color w:val="000000" w:themeColor="text1"/>
        </w:rPr>
        <w:t>3.</w:t>
      </w:r>
      <w:r w:rsidR="0082049B">
        <w:rPr>
          <w:color w:val="000000" w:themeColor="text1"/>
        </w:rPr>
        <w:t>7</w:t>
      </w:r>
      <w:r w:rsidRPr="00761845">
        <w:rPr>
          <w:color w:val="000000" w:themeColor="text1"/>
        </w:rPr>
        <w:t xml:space="preserve">.1 </w:t>
      </w:r>
      <w:r w:rsidRPr="00761845">
        <w:rPr>
          <w:rStyle w:val="Strong"/>
          <w:b/>
          <w:bCs w:val="0"/>
          <w:color w:val="000000" w:themeColor="text1"/>
        </w:rPr>
        <w:t xml:space="preserve">Determine Your Viable Network Based </w:t>
      </w:r>
      <w:proofErr w:type="gramStart"/>
      <w:r w:rsidRPr="00761845">
        <w:rPr>
          <w:rStyle w:val="Strong"/>
          <w:b/>
          <w:bCs w:val="0"/>
          <w:color w:val="000000" w:themeColor="text1"/>
        </w:rPr>
        <w:t>On</w:t>
      </w:r>
      <w:proofErr w:type="gramEnd"/>
      <w:r w:rsidRPr="00761845">
        <w:rPr>
          <w:rStyle w:val="Strong"/>
          <w:b/>
          <w:bCs w:val="0"/>
          <w:color w:val="000000" w:themeColor="text1"/>
        </w:rPr>
        <w:t xml:space="preserve"> Available Capital</w:t>
      </w:r>
      <w:bookmarkEnd w:id="55"/>
    </w:p>
    <w:p w14:paraId="40DFA47E" w14:textId="77777777" w:rsidR="005C50F0" w:rsidRPr="00761845" w:rsidRDefault="005C50F0" w:rsidP="00B451D7">
      <w:pPr>
        <w:pStyle w:val="Heading4"/>
        <w:jc w:val="both"/>
        <w:rPr>
          <w:rStyle w:val="Strong"/>
          <w:b/>
          <w:bCs w:val="0"/>
          <w:color w:val="000000" w:themeColor="text1"/>
        </w:rPr>
      </w:pPr>
    </w:p>
    <w:p w14:paraId="291535A0" w14:textId="1B8E65AF" w:rsidR="00705E38" w:rsidRPr="00761845" w:rsidRDefault="00705E38" w:rsidP="00B451D7">
      <w:pPr>
        <w:pStyle w:val="Heading4"/>
        <w:jc w:val="both"/>
        <w:rPr>
          <w:color w:val="000000" w:themeColor="text1"/>
        </w:rPr>
      </w:pPr>
      <w:r w:rsidRPr="00761845">
        <w:rPr>
          <w:rStyle w:val="Strong"/>
          <w:b/>
          <w:bCs w:val="0"/>
          <w:color w:val="000000" w:themeColor="text1"/>
        </w:rPr>
        <w:t>Capital Level: LESS THAN $750</w:t>
      </w:r>
    </w:p>
    <w:p w14:paraId="2DB6FEF0" w14:textId="77777777" w:rsidR="00705E38" w:rsidRPr="00C976C1" w:rsidRDefault="00705E38" w:rsidP="00B451D7">
      <w:pPr>
        <w:pStyle w:val="whitespace-normal"/>
        <w:spacing w:before="0" w:beforeAutospacing="0" w:after="0" w:afterAutospacing="0"/>
        <w:ind w:left="720"/>
        <w:jc w:val="both"/>
        <w:rPr>
          <w:color w:val="000000" w:themeColor="text1"/>
        </w:rPr>
      </w:pPr>
      <w:r w:rsidRPr="00C976C1">
        <w:rPr>
          <w:rStyle w:val="Strong"/>
          <w:b w:val="0"/>
          <w:bCs w:val="0"/>
          <w:color w:val="000000" w:themeColor="text1"/>
        </w:rPr>
        <w:t>Viable Networks:</w:t>
      </w:r>
      <w:r w:rsidRPr="00C976C1">
        <w:rPr>
          <w:color w:val="000000" w:themeColor="text1"/>
        </w:rPr>
        <w:t xml:space="preserve"> NONE</w:t>
      </w:r>
    </w:p>
    <w:p w14:paraId="605EFF6C" w14:textId="77777777" w:rsidR="00705E38" w:rsidRPr="00C976C1" w:rsidRDefault="00705E38" w:rsidP="00B451D7">
      <w:pPr>
        <w:pStyle w:val="whitespace-normal"/>
        <w:spacing w:before="0" w:beforeAutospacing="0" w:after="0" w:afterAutospacing="0"/>
        <w:ind w:left="720"/>
        <w:jc w:val="both"/>
        <w:rPr>
          <w:color w:val="000000" w:themeColor="text1"/>
        </w:rPr>
      </w:pPr>
      <w:r w:rsidRPr="00C976C1">
        <w:rPr>
          <w:rStyle w:val="Strong"/>
          <w:b w:val="0"/>
          <w:bCs w:val="0"/>
          <w:color w:val="000000" w:themeColor="text1"/>
        </w:rPr>
        <w:t>Assessment:</w:t>
      </w:r>
      <w:r w:rsidRPr="00C976C1">
        <w:rPr>
          <w:color w:val="000000" w:themeColor="text1"/>
        </w:rPr>
        <w:t xml:space="preserve"> NO VIABLE MECHANISMS ON ANY NETWORK</w:t>
      </w:r>
    </w:p>
    <w:p w14:paraId="3779C1F4" w14:textId="77777777" w:rsidR="00705E38" w:rsidRPr="00C976C1" w:rsidRDefault="00705E38" w:rsidP="00B451D7">
      <w:pPr>
        <w:pStyle w:val="whitespace-normal"/>
        <w:spacing w:before="0" w:beforeAutospacing="0" w:after="0" w:afterAutospacing="0"/>
        <w:ind w:left="720"/>
        <w:jc w:val="both"/>
        <w:rPr>
          <w:color w:val="000000" w:themeColor="text1"/>
        </w:rPr>
      </w:pPr>
      <w:r w:rsidRPr="00C976C1">
        <w:rPr>
          <w:rStyle w:val="Strong"/>
          <w:b w:val="0"/>
          <w:bCs w:val="0"/>
          <w:color w:val="000000" w:themeColor="text1"/>
        </w:rPr>
        <w:t>Explanation:</w:t>
      </w:r>
    </w:p>
    <w:p w14:paraId="551280CF" w14:textId="77777777" w:rsidR="00705E38" w:rsidRPr="00C976C1" w:rsidRDefault="00705E38" w:rsidP="00B451D7">
      <w:pPr>
        <w:pStyle w:val="whitespace-normal"/>
        <w:numPr>
          <w:ilvl w:val="0"/>
          <w:numId w:val="112"/>
        </w:numPr>
        <w:tabs>
          <w:tab w:val="clear" w:pos="720"/>
          <w:tab w:val="num" w:pos="1440"/>
        </w:tabs>
        <w:spacing w:before="0" w:beforeAutospacing="0" w:after="0" w:afterAutospacing="0"/>
        <w:ind w:left="1440"/>
        <w:jc w:val="both"/>
        <w:outlineLvl w:val="9"/>
        <w:rPr>
          <w:color w:val="000000" w:themeColor="text1"/>
        </w:rPr>
      </w:pPr>
      <w:r w:rsidRPr="00C976C1">
        <w:rPr>
          <w:color w:val="000000" w:themeColor="text1"/>
        </w:rPr>
        <w:t>Gas costs exceed potential returns across all blockchain networks</w:t>
      </w:r>
    </w:p>
    <w:p w14:paraId="41E476DE" w14:textId="77777777" w:rsidR="00705E38" w:rsidRPr="00C976C1" w:rsidRDefault="00705E38" w:rsidP="00B451D7">
      <w:pPr>
        <w:pStyle w:val="whitespace-normal"/>
        <w:numPr>
          <w:ilvl w:val="0"/>
          <w:numId w:val="112"/>
        </w:numPr>
        <w:tabs>
          <w:tab w:val="clear" w:pos="720"/>
          <w:tab w:val="num" w:pos="1440"/>
        </w:tabs>
        <w:spacing w:before="0" w:beforeAutospacing="0" w:after="0" w:afterAutospacing="0"/>
        <w:ind w:left="1440"/>
        <w:jc w:val="both"/>
        <w:outlineLvl w:val="9"/>
        <w:rPr>
          <w:color w:val="000000" w:themeColor="text1"/>
        </w:rPr>
      </w:pPr>
      <w:r w:rsidRPr="00C976C1">
        <w:rPr>
          <w:color w:val="000000" w:themeColor="text1"/>
        </w:rPr>
        <w:t>Mathematical reality: Fixed costs (gas fees) cannot be overcome by variable returns (trading fees)</w:t>
      </w:r>
    </w:p>
    <w:p w14:paraId="74B0EB2D" w14:textId="77777777" w:rsidR="00705E38" w:rsidRPr="00C976C1" w:rsidRDefault="00705E38" w:rsidP="00B451D7">
      <w:pPr>
        <w:pStyle w:val="whitespace-normal"/>
        <w:numPr>
          <w:ilvl w:val="0"/>
          <w:numId w:val="112"/>
        </w:numPr>
        <w:tabs>
          <w:tab w:val="clear" w:pos="720"/>
          <w:tab w:val="num" w:pos="1440"/>
        </w:tabs>
        <w:spacing w:before="0" w:beforeAutospacing="0" w:after="0" w:afterAutospacing="0"/>
        <w:ind w:left="1440"/>
        <w:jc w:val="both"/>
        <w:outlineLvl w:val="9"/>
        <w:rPr>
          <w:color w:val="000000" w:themeColor="text1"/>
        </w:rPr>
      </w:pPr>
      <w:r w:rsidRPr="00C976C1">
        <w:rPr>
          <w:color w:val="000000" w:themeColor="text1"/>
        </w:rPr>
        <w:t>Technical minimums ($10-$100) are economically meaningless at this capital level</w:t>
      </w:r>
    </w:p>
    <w:p w14:paraId="423B16F5" w14:textId="77777777" w:rsidR="00705E38" w:rsidRPr="00C976C1" w:rsidRDefault="00705E38" w:rsidP="00B451D7">
      <w:pPr>
        <w:pStyle w:val="whitespace-normal"/>
        <w:spacing w:before="0" w:beforeAutospacing="0" w:after="0" w:afterAutospacing="0"/>
        <w:ind w:left="720"/>
        <w:jc w:val="both"/>
        <w:rPr>
          <w:color w:val="000000" w:themeColor="text1"/>
        </w:rPr>
      </w:pPr>
      <w:r w:rsidRPr="00C976C1">
        <w:rPr>
          <w:rStyle w:val="Strong"/>
          <w:b w:val="0"/>
          <w:bCs w:val="0"/>
          <w:color w:val="000000" w:themeColor="text1"/>
        </w:rPr>
        <w:t>Recommendation:</w:t>
      </w:r>
      <w:r w:rsidRPr="00C976C1">
        <w:rPr>
          <w:color w:val="000000" w:themeColor="text1"/>
        </w:rPr>
        <w:t xml:space="preserve"> Accumulate additional capital before attempting DeFi participation</w:t>
      </w:r>
    </w:p>
    <w:p w14:paraId="6FEC8759" w14:textId="6B11C33F" w:rsidR="00705E38" w:rsidRPr="00761845" w:rsidRDefault="00705E38" w:rsidP="00B451D7">
      <w:pPr>
        <w:jc w:val="both"/>
        <w:rPr>
          <w:color w:val="000000" w:themeColor="text1"/>
        </w:rPr>
      </w:pPr>
    </w:p>
    <w:p w14:paraId="60115312" w14:textId="77777777" w:rsidR="00705E38" w:rsidRPr="00761845" w:rsidRDefault="00705E38" w:rsidP="00B451D7">
      <w:pPr>
        <w:pStyle w:val="Heading4"/>
        <w:jc w:val="both"/>
        <w:rPr>
          <w:color w:val="000000" w:themeColor="text1"/>
        </w:rPr>
      </w:pPr>
      <w:r w:rsidRPr="00761845">
        <w:rPr>
          <w:rStyle w:val="Strong"/>
          <w:b/>
          <w:bCs w:val="0"/>
          <w:color w:val="000000" w:themeColor="text1"/>
        </w:rPr>
        <w:t>Capital Level: $750 - $3,500</w:t>
      </w:r>
    </w:p>
    <w:p w14:paraId="13ACCF67" w14:textId="77777777" w:rsidR="00705E38" w:rsidRPr="00C976C1" w:rsidRDefault="00705E38" w:rsidP="00B451D7">
      <w:pPr>
        <w:pStyle w:val="whitespace-normal"/>
        <w:spacing w:before="0" w:beforeAutospacing="0" w:after="0" w:afterAutospacing="0"/>
        <w:ind w:left="720"/>
        <w:jc w:val="both"/>
        <w:rPr>
          <w:color w:val="000000" w:themeColor="text1"/>
        </w:rPr>
      </w:pPr>
      <w:r w:rsidRPr="00C976C1">
        <w:rPr>
          <w:rStyle w:val="Strong"/>
          <w:b w:val="0"/>
          <w:bCs w:val="0"/>
          <w:color w:val="000000" w:themeColor="text1"/>
        </w:rPr>
        <w:t>Viable Networks:</w:t>
      </w:r>
      <w:r w:rsidRPr="00C976C1">
        <w:rPr>
          <w:color w:val="000000" w:themeColor="text1"/>
        </w:rPr>
        <w:t xml:space="preserve"> Polygon, BSC (Alternative Layer 1 Chains ONLY)</w:t>
      </w:r>
    </w:p>
    <w:p w14:paraId="679D718A" w14:textId="77777777" w:rsidR="00705E38" w:rsidRPr="00C976C1" w:rsidRDefault="00705E38" w:rsidP="00B451D7">
      <w:pPr>
        <w:pStyle w:val="whitespace-normal"/>
        <w:spacing w:before="0" w:beforeAutospacing="0" w:after="0" w:afterAutospacing="0"/>
        <w:ind w:left="720"/>
        <w:jc w:val="both"/>
        <w:rPr>
          <w:color w:val="000000" w:themeColor="text1"/>
        </w:rPr>
      </w:pPr>
      <w:r w:rsidRPr="00C976C1">
        <w:rPr>
          <w:rStyle w:val="Strong"/>
          <w:b w:val="0"/>
          <w:bCs w:val="0"/>
          <w:color w:val="000000" w:themeColor="text1"/>
        </w:rPr>
        <w:t xml:space="preserve">Why </w:t>
      </w:r>
      <w:proofErr w:type="gramStart"/>
      <w:r w:rsidRPr="00C976C1">
        <w:rPr>
          <w:rStyle w:val="Strong"/>
          <w:b w:val="0"/>
          <w:bCs w:val="0"/>
          <w:color w:val="000000" w:themeColor="text1"/>
        </w:rPr>
        <w:t>these</w:t>
      </w:r>
      <w:proofErr w:type="gramEnd"/>
      <w:r w:rsidRPr="00C976C1">
        <w:rPr>
          <w:rStyle w:val="Strong"/>
          <w:b w:val="0"/>
          <w:bCs w:val="0"/>
          <w:color w:val="000000" w:themeColor="text1"/>
        </w:rPr>
        <w:t xml:space="preserve"> networks work at this capital level:</w:t>
      </w:r>
    </w:p>
    <w:p w14:paraId="1E19B425" w14:textId="77777777" w:rsidR="00705E38" w:rsidRPr="00C976C1" w:rsidRDefault="00705E38" w:rsidP="00B451D7">
      <w:pPr>
        <w:pStyle w:val="whitespace-normal"/>
        <w:numPr>
          <w:ilvl w:val="0"/>
          <w:numId w:val="113"/>
        </w:numPr>
        <w:tabs>
          <w:tab w:val="clear" w:pos="720"/>
          <w:tab w:val="num" w:pos="1440"/>
        </w:tabs>
        <w:spacing w:before="0" w:beforeAutospacing="0" w:after="0" w:afterAutospacing="0"/>
        <w:ind w:left="1440"/>
        <w:jc w:val="both"/>
        <w:outlineLvl w:val="9"/>
        <w:rPr>
          <w:color w:val="000000" w:themeColor="text1"/>
        </w:rPr>
      </w:pPr>
      <w:r w:rsidRPr="00C976C1">
        <w:rPr>
          <w:color w:val="000000" w:themeColor="text1"/>
        </w:rPr>
        <w:t>Gas costs: ~$12 per transaction vs. $200+ on other networks</w:t>
      </w:r>
    </w:p>
    <w:p w14:paraId="5B20B054" w14:textId="77777777" w:rsidR="00705E38" w:rsidRPr="00C976C1" w:rsidRDefault="00705E38" w:rsidP="00B451D7">
      <w:pPr>
        <w:pStyle w:val="whitespace-normal"/>
        <w:numPr>
          <w:ilvl w:val="0"/>
          <w:numId w:val="113"/>
        </w:numPr>
        <w:tabs>
          <w:tab w:val="clear" w:pos="720"/>
          <w:tab w:val="num" w:pos="1440"/>
        </w:tabs>
        <w:spacing w:before="0" w:beforeAutospacing="0" w:after="0" w:afterAutospacing="0"/>
        <w:ind w:left="1440"/>
        <w:jc w:val="both"/>
        <w:outlineLvl w:val="9"/>
        <w:rPr>
          <w:color w:val="000000" w:themeColor="text1"/>
        </w:rPr>
      </w:pPr>
      <w:r w:rsidRPr="00C976C1">
        <w:rPr>
          <w:color w:val="000000" w:themeColor="text1"/>
        </w:rPr>
        <w:t>Only networks where operational costs allow profitability at this scale</w:t>
      </w:r>
    </w:p>
    <w:p w14:paraId="10196BE6" w14:textId="77777777" w:rsidR="00705E38" w:rsidRPr="00C976C1" w:rsidRDefault="00705E38" w:rsidP="00B451D7">
      <w:pPr>
        <w:pStyle w:val="whitespace-normal"/>
        <w:numPr>
          <w:ilvl w:val="0"/>
          <w:numId w:val="113"/>
        </w:numPr>
        <w:tabs>
          <w:tab w:val="clear" w:pos="720"/>
          <w:tab w:val="num" w:pos="1440"/>
        </w:tabs>
        <w:spacing w:before="0" w:beforeAutospacing="0" w:after="0" w:afterAutospacing="0"/>
        <w:ind w:left="1440"/>
        <w:jc w:val="both"/>
        <w:outlineLvl w:val="9"/>
        <w:rPr>
          <w:color w:val="000000" w:themeColor="text1"/>
        </w:rPr>
      </w:pPr>
      <w:r w:rsidRPr="00C976C1">
        <w:rPr>
          <w:color w:val="000000" w:themeColor="text1"/>
        </w:rPr>
        <w:t>Network viability threshold: $750 (±$250)</w:t>
      </w:r>
    </w:p>
    <w:p w14:paraId="3A4D00D1" w14:textId="77777777" w:rsidR="00705E38" w:rsidRPr="00C976C1" w:rsidRDefault="00705E38" w:rsidP="00B451D7">
      <w:pPr>
        <w:pStyle w:val="whitespace-normal"/>
        <w:spacing w:before="0" w:beforeAutospacing="0" w:after="0" w:afterAutospacing="0"/>
        <w:ind w:left="720"/>
        <w:jc w:val="both"/>
        <w:rPr>
          <w:color w:val="000000" w:themeColor="text1"/>
        </w:rPr>
      </w:pPr>
      <w:r w:rsidRPr="00C976C1">
        <w:rPr>
          <w:rStyle w:val="Strong"/>
          <w:b w:val="0"/>
          <w:bCs w:val="0"/>
          <w:color w:val="000000" w:themeColor="text1"/>
        </w:rPr>
        <w:t>Viable Strategy:</w:t>
      </w:r>
      <w:r w:rsidRPr="00C976C1">
        <w:rPr>
          <w:color w:val="000000" w:themeColor="text1"/>
        </w:rPr>
        <w:t xml:space="preserve"> </w:t>
      </w:r>
      <w:proofErr w:type="gramStart"/>
      <w:r w:rsidRPr="00C976C1">
        <w:rPr>
          <w:color w:val="000000" w:themeColor="text1"/>
        </w:rPr>
        <w:t>Wide-range</w:t>
      </w:r>
      <w:proofErr w:type="gramEnd"/>
      <w:r w:rsidRPr="00C976C1">
        <w:rPr>
          <w:color w:val="000000" w:themeColor="text1"/>
        </w:rPr>
        <w:t xml:space="preserve"> stablecoin liquidity provision only</w:t>
      </w:r>
    </w:p>
    <w:p w14:paraId="3725167C" w14:textId="77777777" w:rsidR="00705E38" w:rsidRPr="00C976C1" w:rsidRDefault="00705E38" w:rsidP="00B451D7">
      <w:pPr>
        <w:pStyle w:val="whitespace-normal"/>
        <w:spacing w:before="0" w:beforeAutospacing="0" w:after="0" w:afterAutospacing="0"/>
        <w:ind w:left="720"/>
        <w:jc w:val="both"/>
        <w:rPr>
          <w:color w:val="000000" w:themeColor="text1"/>
        </w:rPr>
      </w:pPr>
      <w:r w:rsidRPr="00C976C1">
        <w:rPr>
          <w:rStyle w:val="Strong"/>
          <w:b w:val="0"/>
          <w:bCs w:val="0"/>
          <w:color w:val="000000" w:themeColor="text1"/>
        </w:rPr>
        <w:t>Observed Performance:</w:t>
      </w:r>
    </w:p>
    <w:p w14:paraId="24DC749B" w14:textId="77777777" w:rsidR="00705E38" w:rsidRPr="00C976C1" w:rsidRDefault="00705E38" w:rsidP="00B451D7">
      <w:pPr>
        <w:pStyle w:val="whitespace-normal"/>
        <w:numPr>
          <w:ilvl w:val="0"/>
          <w:numId w:val="114"/>
        </w:numPr>
        <w:tabs>
          <w:tab w:val="clear" w:pos="720"/>
          <w:tab w:val="num" w:pos="1440"/>
        </w:tabs>
        <w:spacing w:before="0" w:beforeAutospacing="0" w:after="0" w:afterAutospacing="0"/>
        <w:ind w:left="1440"/>
        <w:jc w:val="both"/>
        <w:outlineLvl w:val="9"/>
        <w:rPr>
          <w:color w:val="000000" w:themeColor="text1"/>
        </w:rPr>
      </w:pPr>
      <w:r w:rsidRPr="00C976C1">
        <w:rPr>
          <w:color w:val="000000" w:themeColor="text1"/>
        </w:rPr>
        <w:lastRenderedPageBreak/>
        <w:t>Returns: 4-6% annually in tracked sample</w:t>
      </w:r>
    </w:p>
    <w:p w14:paraId="387224D1" w14:textId="77777777" w:rsidR="00705E38" w:rsidRPr="00C976C1" w:rsidRDefault="00705E38" w:rsidP="00B451D7">
      <w:pPr>
        <w:pStyle w:val="whitespace-normal"/>
        <w:numPr>
          <w:ilvl w:val="0"/>
          <w:numId w:val="114"/>
        </w:numPr>
        <w:tabs>
          <w:tab w:val="clear" w:pos="720"/>
          <w:tab w:val="num" w:pos="1440"/>
        </w:tabs>
        <w:spacing w:before="0" w:beforeAutospacing="0" w:after="0" w:afterAutospacing="0"/>
        <w:ind w:left="1440"/>
        <w:jc w:val="both"/>
        <w:outlineLvl w:val="9"/>
        <w:rPr>
          <w:color w:val="000000" w:themeColor="text1"/>
        </w:rPr>
      </w:pPr>
      <w:r w:rsidRPr="00C976C1">
        <w:rPr>
          <w:color w:val="000000" w:themeColor="text1"/>
        </w:rPr>
        <w:t>Sharpe ratio: 0.8-1.0</w:t>
      </w:r>
    </w:p>
    <w:p w14:paraId="0DFB3CD9" w14:textId="77777777" w:rsidR="00705E38" w:rsidRPr="00C976C1" w:rsidRDefault="00705E38" w:rsidP="00B451D7">
      <w:pPr>
        <w:pStyle w:val="whitespace-normal"/>
        <w:spacing w:before="0" w:beforeAutospacing="0" w:after="0" w:afterAutospacing="0"/>
        <w:ind w:left="720"/>
        <w:jc w:val="both"/>
        <w:rPr>
          <w:color w:val="000000" w:themeColor="text1"/>
        </w:rPr>
      </w:pPr>
      <w:r w:rsidRPr="00C976C1">
        <w:rPr>
          <w:rStyle w:val="Strong"/>
          <w:b w:val="0"/>
          <w:bCs w:val="0"/>
          <w:color w:val="000000" w:themeColor="text1"/>
        </w:rPr>
        <w:t>Requirements for Success:</w:t>
      </w:r>
    </w:p>
    <w:p w14:paraId="7A59F8EA" w14:textId="77777777" w:rsidR="00705E38" w:rsidRPr="00C976C1" w:rsidRDefault="00705E38" w:rsidP="00B451D7">
      <w:pPr>
        <w:pStyle w:val="whitespace-normal"/>
        <w:numPr>
          <w:ilvl w:val="0"/>
          <w:numId w:val="115"/>
        </w:numPr>
        <w:tabs>
          <w:tab w:val="clear" w:pos="720"/>
          <w:tab w:val="num" w:pos="1440"/>
        </w:tabs>
        <w:spacing w:before="0" w:beforeAutospacing="0" w:after="0" w:afterAutospacing="0"/>
        <w:ind w:left="1440"/>
        <w:jc w:val="both"/>
        <w:outlineLvl w:val="9"/>
        <w:rPr>
          <w:color w:val="000000" w:themeColor="text1"/>
        </w:rPr>
      </w:pPr>
      <w:r w:rsidRPr="00C976C1">
        <w:rPr>
          <w:color w:val="000000" w:themeColor="text1"/>
        </w:rPr>
        <w:t>Time commitment: 15-20 hours weekly</w:t>
      </w:r>
    </w:p>
    <w:p w14:paraId="68AF3007" w14:textId="77777777" w:rsidR="00705E38" w:rsidRPr="00C976C1" w:rsidRDefault="00705E38" w:rsidP="00B451D7">
      <w:pPr>
        <w:pStyle w:val="whitespace-normal"/>
        <w:numPr>
          <w:ilvl w:val="0"/>
          <w:numId w:val="115"/>
        </w:numPr>
        <w:tabs>
          <w:tab w:val="clear" w:pos="720"/>
          <w:tab w:val="num" w:pos="1440"/>
        </w:tabs>
        <w:spacing w:before="0" w:beforeAutospacing="0" w:after="0" w:afterAutospacing="0"/>
        <w:ind w:left="1440"/>
        <w:jc w:val="both"/>
        <w:outlineLvl w:val="9"/>
        <w:rPr>
          <w:color w:val="000000" w:themeColor="text1"/>
        </w:rPr>
      </w:pPr>
      <w:r w:rsidRPr="00C976C1">
        <w:rPr>
          <w:color w:val="000000" w:themeColor="text1"/>
        </w:rPr>
        <w:t>Technical knowledge: Basic understanding of liquidity provision mechanics</w:t>
      </w:r>
    </w:p>
    <w:p w14:paraId="23D26286" w14:textId="014F0EF4" w:rsidR="00705E38" w:rsidRPr="00C976C1" w:rsidRDefault="00705E38" w:rsidP="00B451D7">
      <w:pPr>
        <w:pStyle w:val="whitespace-normal"/>
        <w:numPr>
          <w:ilvl w:val="0"/>
          <w:numId w:val="115"/>
        </w:numPr>
        <w:tabs>
          <w:tab w:val="clear" w:pos="720"/>
          <w:tab w:val="num" w:pos="1440"/>
        </w:tabs>
        <w:spacing w:before="0" w:beforeAutospacing="0" w:after="0" w:afterAutospacing="0"/>
        <w:ind w:left="1440"/>
        <w:jc w:val="both"/>
        <w:outlineLvl w:val="9"/>
        <w:rPr>
          <w:color w:val="000000" w:themeColor="text1"/>
        </w:rPr>
      </w:pPr>
      <w:r w:rsidRPr="00C976C1">
        <w:rPr>
          <w:color w:val="000000" w:themeColor="text1"/>
        </w:rPr>
        <w:t xml:space="preserve">Risk tolerance: Moderate (protocol risk, </w:t>
      </w:r>
      <w:r w:rsidR="00EB36E1" w:rsidRPr="00C976C1">
        <w:rPr>
          <w:color w:val="000000" w:themeColor="text1"/>
        </w:rPr>
        <w:t>de-pegging</w:t>
      </w:r>
      <w:r w:rsidRPr="00C976C1">
        <w:rPr>
          <w:color w:val="000000" w:themeColor="text1"/>
        </w:rPr>
        <w:t xml:space="preserve"> events)</w:t>
      </w:r>
    </w:p>
    <w:p w14:paraId="591A6A52" w14:textId="77777777" w:rsidR="00705E38" w:rsidRPr="00C976C1" w:rsidRDefault="00705E38" w:rsidP="00B451D7">
      <w:pPr>
        <w:pStyle w:val="whitespace-normal"/>
        <w:spacing w:before="0" w:beforeAutospacing="0" w:after="0" w:afterAutospacing="0"/>
        <w:ind w:left="720"/>
        <w:jc w:val="both"/>
        <w:rPr>
          <w:color w:val="000000" w:themeColor="text1"/>
        </w:rPr>
      </w:pPr>
      <w:r w:rsidRPr="00C976C1">
        <w:rPr>
          <w:rStyle w:val="Strong"/>
          <w:b w:val="0"/>
          <w:bCs w:val="0"/>
          <w:color w:val="000000" w:themeColor="text1"/>
        </w:rPr>
        <w:t>Warning:</w:t>
      </w:r>
      <w:r w:rsidRPr="00C976C1">
        <w:rPr>
          <w:color w:val="000000" w:themeColor="text1"/>
        </w:rPr>
        <w:t xml:space="preserve"> Any other strategy or network at this capital level has proven unviable in empirical observation</w:t>
      </w:r>
    </w:p>
    <w:p w14:paraId="656DBC1B" w14:textId="237C2EEA" w:rsidR="00705E38" w:rsidRPr="00761845" w:rsidRDefault="00705E38" w:rsidP="00B451D7">
      <w:pPr>
        <w:jc w:val="both"/>
        <w:rPr>
          <w:color w:val="000000" w:themeColor="text1"/>
        </w:rPr>
      </w:pPr>
    </w:p>
    <w:p w14:paraId="3DD63C5D" w14:textId="77777777" w:rsidR="00705E38" w:rsidRPr="00761845" w:rsidRDefault="00705E38" w:rsidP="00B451D7">
      <w:pPr>
        <w:pStyle w:val="Heading4"/>
        <w:jc w:val="both"/>
        <w:rPr>
          <w:color w:val="000000" w:themeColor="text1"/>
        </w:rPr>
      </w:pPr>
      <w:r w:rsidRPr="00761845">
        <w:rPr>
          <w:rStyle w:val="Strong"/>
          <w:b/>
          <w:bCs w:val="0"/>
          <w:color w:val="000000" w:themeColor="text1"/>
        </w:rPr>
        <w:t>Capital Level: $3,500 - $25,000</w:t>
      </w:r>
    </w:p>
    <w:p w14:paraId="5ED68C7B" w14:textId="77777777" w:rsidR="00705E38" w:rsidRPr="00C976C1" w:rsidRDefault="00705E38" w:rsidP="00B451D7">
      <w:pPr>
        <w:pStyle w:val="whitespace-normal"/>
        <w:spacing w:before="0" w:beforeAutospacing="0" w:after="0" w:afterAutospacing="0"/>
        <w:ind w:left="720"/>
        <w:jc w:val="both"/>
        <w:rPr>
          <w:color w:val="000000" w:themeColor="text1"/>
        </w:rPr>
      </w:pPr>
      <w:r w:rsidRPr="00C976C1">
        <w:rPr>
          <w:rStyle w:val="Strong"/>
          <w:b w:val="0"/>
          <w:bCs w:val="0"/>
          <w:color w:val="000000" w:themeColor="text1"/>
        </w:rPr>
        <w:t>Viable Networks:</w:t>
      </w:r>
      <w:r w:rsidRPr="00C976C1">
        <w:rPr>
          <w:color w:val="000000" w:themeColor="text1"/>
        </w:rPr>
        <w:t xml:space="preserve"> Layer 2 Solutions (</w:t>
      </w:r>
      <w:proofErr w:type="spellStart"/>
      <w:r w:rsidRPr="00C976C1">
        <w:rPr>
          <w:color w:val="000000" w:themeColor="text1"/>
        </w:rPr>
        <w:t>Arbitrum</w:t>
      </w:r>
      <w:proofErr w:type="spellEnd"/>
      <w:r w:rsidRPr="00C976C1">
        <w:rPr>
          <w:color w:val="000000" w:themeColor="text1"/>
        </w:rPr>
        <w:t>, Optimism)</w:t>
      </w:r>
    </w:p>
    <w:p w14:paraId="67D83C93" w14:textId="77777777" w:rsidR="00705E38" w:rsidRPr="00C976C1" w:rsidRDefault="00705E38" w:rsidP="00B451D7">
      <w:pPr>
        <w:pStyle w:val="whitespace-normal"/>
        <w:spacing w:before="0" w:beforeAutospacing="0" w:after="0" w:afterAutospacing="0"/>
        <w:ind w:left="720"/>
        <w:jc w:val="both"/>
        <w:rPr>
          <w:color w:val="000000" w:themeColor="text1"/>
        </w:rPr>
      </w:pPr>
      <w:r w:rsidRPr="00C976C1">
        <w:rPr>
          <w:rStyle w:val="Strong"/>
          <w:b w:val="0"/>
          <w:bCs w:val="0"/>
          <w:color w:val="000000" w:themeColor="text1"/>
        </w:rPr>
        <w:t>Network viability threshold:</w:t>
      </w:r>
      <w:r w:rsidRPr="00C976C1">
        <w:rPr>
          <w:color w:val="000000" w:themeColor="text1"/>
        </w:rPr>
        <w:t xml:space="preserve"> ~$3,500 (±$1,000)</w:t>
      </w:r>
    </w:p>
    <w:p w14:paraId="6D98B0D6" w14:textId="77777777" w:rsidR="00705E38" w:rsidRPr="00C976C1" w:rsidRDefault="00705E38" w:rsidP="00B451D7">
      <w:pPr>
        <w:pStyle w:val="whitespace-normal"/>
        <w:spacing w:before="0" w:beforeAutospacing="0" w:after="0" w:afterAutospacing="0"/>
        <w:ind w:left="720"/>
        <w:jc w:val="both"/>
        <w:rPr>
          <w:color w:val="000000" w:themeColor="text1"/>
        </w:rPr>
      </w:pPr>
      <w:r w:rsidRPr="00C976C1">
        <w:rPr>
          <w:rStyle w:val="Strong"/>
          <w:b w:val="0"/>
          <w:bCs w:val="0"/>
          <w:color w:val="000000" w:themeColor="text1"/>
        </w:rPr>
        <w:t>Why L2 networks work at this capital level:</w:t>
      </w:r>
    </w:p>
    <w:p w14:paraId="15C4EEFE" w14:textId="77777777" w:rsidR="00705E38" w:rsidRPr="00C976C1" w:rsidRDefault="00705E38" w:rsidP="00B451D7">
      <w:pPr>
        <w:pStyle w:val="whitespace-normal"/>
        <w:numPr>
          <w:ilvl w:val="0"/>
          <w:numId w:val="116"/>
        </w:numPr>
        <w:tabs>
          <w:tab w:val="clear" w:pos="720"/>
          <w:tab w:val="num" w:pos="1440"/>
        </w:tabs>
        <w:spacing w:before="0" w:beforeAutospacing="0" w:after="0" w:afterAutospacing="0"/>
        <w:ind w:left="1440"/>
        <w:jc w:val="both"/>
        <w:outlineLvl w:val="9"/>
        <w:rPr>
          <w:color w:val="000000" w:themeColor="text1"/>
        </w:rPr>
      </w:pPr>
      <w:r w:rsidRPr="00C976C1">
        <w:rPr>
          <w:color w:val="000000" w:themeColor="text1"/>
        </w:rPr>
        <w:t xml:space="preserve">Reduced gas costs compared to Ethereum </w:t>
      </w:r>
      <w:proofErr w:type="spellStart"/>
      <w:r w:rsidRPr="00C976C1">
        <w:rPr>
          <w:color w:val="000000" w:themeColor="text1"/>
        </w:rPr>
        <w:t>mainnet</w:t>
      </w:r>
      <w:proofErr w:type="spellEnd"/>
    </w:p>
    <w:p w14:paraId="3F11334E" w14:textId="77777777" w:rsidR="00705E38" w:rsidRPr="00C976C1" w:rsidRDefault="00705E38" w:rsidP="00B451D7">
      <w:pPr>
        <w:pStyle w:val="whitespace-normal"/>
        <w:numPr>
          <w:ilvl w:val="0"/>
          <w:numId w:val="116"/>
        </w:numPr>
        <w:tabs>
          <w:tab w:val="clear" w:pos="720"/>
          <w:tab w:val="num" w:pos="1440"/>
        </w:tabs>
        <w:spacing w:before="0" w:beforeAutospacing="0" w:after="0" w:afterAutospacing="0"/>
        <w:ind w:left="1440"/>
        <w:jc w:val="both"/>
        <w:outlineLvl w:val="9"/>
        <w:rPr>
          <w:color w:val="000000" w:themeColor="text1"/>
        </w:rPr>
      </w:pPr>
      <w:r w:rsidRPr="00C976C1">
        <w:rPr>
          <w:color w:val="000000" w:themeColor="text1"/>
        </w:rPr>
        <w:t>Sufficient liquidity for meaningful participation</w:t>
      </w:r>
    </w:p>
    <w:p w14:paraId="11EA178C" w14:textId="77777777" w:rsidR="00705E38" w:rsidRPr="00C976C1" w:rsidRDefault="00705E38" w:rsidP="00B451D7">
      <w:pPr>
        <w:pStyle w:val="whitespace-normal"/>
        <w:numPr>
          <w:ilvl w:val="0"/>
          <w:numId w:val="116"/>
        </w:numPr>
        <w:tabs>
          <w:tab w:val="clear" w:pos="720"/>
          <w:tab w:val="num" w:pos="1440"/>
        </w:tabs>
        <w:spacing w:before="0" w:beforeAutospacing="0" w:after="0" w:afterAutospacing="0"/>
        <w:ind w:left="1440"/>
        <w:jc w:val="both"/>
        <w:outlineLvl w:val="9"/>
        <w:rPr>
          <w:color w:val="000000" w:themeColor="text1"/>
        </w:rPr>
      </w:pPr>
      <w:r w:rsidRPr="00C976C1">
        <w:rPr>
          <w:color w:val="000000" w:themeColor="text1"/>
        </w:rPr>
        <w:t>Balance between costs and earning potential</w:t>
      </w:r>
    </w:p>
    <w:p w14:paraId="5C961206" w14:textId="77777777" w:rsidR="00705E38" w:rsidRPr="00C976C1" w:rsidRDefault="00705E38" w:rsidP="00B451D7">
      <w:pPr>
        <w:pStyle w:val="whitespace-normal"/>
        <w:spacing w:before="0" w:beforeAutospacing="0" w:after="0" w:afterAutospacing="0"/>
        <w:ind w:left="720"/>
        <w:jc w:val="both"/>
        <w:rPr>
          <w:color w:val="000000" w:themeColor="text1"/>
        </w:rPr>
      </w:pPr>
      <w:r w:rsidRPr="00C976C1">
        <w:rPr>
          <w:rStyle w:val="Strong"/>
          <w:b w:val="0"/>
          <w:bCs w:val="0"/>
          <w:color w:val="000000" w:themeColor="text1"/>
        </w:rPr>
        <w:t>Viable Strategies (ranked by complexity):</w:t>
      </w:r>
    </w:p>
    <w:p w14:paraId="4CC96B1C" w14:textId="77777777" w:rsidR="005C50F0" w:rsidRPr="00761845" w:rsidRDefault="005C50F0" w:rsidP="00B451D7">
      <w:pPr>
        <w:pStyle w:val="whitespace-normal"/>
        <w:spacing w:before="0" w:beforeAutospacing="0" w:after="0" w:afterAutospacing="0"/>
        <w:ind w:left="720"/>
        <w:jc w:val="both"/>
        <w:rPr>
          <w:rStyle w:val="Strong"/>
          <w:color w:val="000000" w:themeColor="text1"/>
        </w:rPr>
      </w:pPr>
    </w:p>
    <w:p w14:paraId="043E6AEB" w14:textId="51AF4A7C" w:rsidR="00705E38" w:rsidRPr="00761845" w:rsidRDefault="00705E38" w:rsidP="00B451D7">
      <w:pPr>
        <w:pStyle w:val="whitespace-normal"/>
        <w:spacing w:before="0" w:beforeAutospacing="0" w:after="0" w:afterAutospacing="0"/>
        <w:ind w:left="720"/>
        <w:jc w:val="both"/>
        <w:rPr>
          <w:color w:val="000000" w:themeColor="text1"/>
        </w:rPr>
      </w:pPr>
      <w:r w:rsidRPr="00761845">
        <w:rPr>
          <w:rStyle w:val="Strong"/>
          <w:color w:val="000000" w:themeColor="text1"/>
        </w:rPr>
        <w:t>OPTION 1: Stablecoin Liquidity Provision (SIMPLEST)</w:t>
      </w:r>
    </w:p>
    <w:p w14:paraId="69985AB6" w14:textId="77777777" w:rsidR="00705E38" w:rsidRPr="00761845" w:rsidRDefault="00705E38" w:rsidP="00B451D7">
      <w:pPr>
        <w:pStyle w:val="whitespace-normal"/>
        <w:numPr>
          <w:ilvl w:val="0"/>
          <w:numId w:val="117"/>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Observed returns: 4-8% annually</w:t>
      </w:r>
    </w:p>
    <w:p w14:paraId="14DCF1CE" w14:textId="77777777" w:rsidR="00705E38" w:rsidRPr="00761845" w:rsidRDefault="00705E38" w:rsidP="00B451D7">
      <w:pPr>
        <w:pStyle w:val="whitespace-normal"/>
        <w:numPr>
          <w:ilvl w:val="0"/>
          <w:numId w:val="117"/>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Sharpe ratio: 0.8-1.4 (best risk-adjusted returns)</w:t>
      </w:r>
    </w:p>
    <w:p w14:paraId="7B351EB5" w14:textId="77777777" w:rsidR="00705E38" w:rsidRPr="00761845" w:rsidRDefault="00705E38" w:rsidP="00B451D7">
      <w:pPr>
        <w:pStyle w:val="whitespace-normal"/>
        <w:numPr>
          <w:ilvl w:val="0"/>
          <w:numId w:val="117"/>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Impermanent loss: Minimal (both assets maintain dollar peg)</w:t>
      </w:r>
    </w:p>
    <w:p w14:paraId="3FE812C5" w14:textId="77777777" w:rsidR="00705E38" w:rsidRPr="00761845" w:rsidRDefault="00705E38" w:rsidP="00B451D7">
      <w:pPr>
        <w:pStyle w:val="whitespace-normal"/>
        <w:numPr>
          <w:ilvl w:val="0"/>
          <w:numId w:val="117"/>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Best for: Participants seeking simplicity and consistency</w:t>
      </w:r>
    </w:p>
    <w:p w14:paraId="4524E390" w14:textId="77777777" w:rsidR="00705E38" w:rsidRPr="00761845" w:rsidRDefault="00705E38" w:rsidP="00B451D7">
      <w:pPr>
        <w:pStyle w:val="whitespace-normal"/>
        <w:numPr>
          <w:ilvl w:val="0"/>
          <w:numId w:val="117"/>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Time requirement: 15-20 hours weekly</w:t>
      </w:r>
    </w:p>
    <w:p w14:paraId="10EC3B65" w14:textId="77777777" w:rsidR="005C50F0" w:rsidRPr="00761845" w:rsidRDefault="005C50F0" w:rsidP="00B451D7">
      <w:pPr>
        <w:pStyle w:val="whitespace-normal"/>
        <w:spacing w:before="0" w:beforeAutospacing="0" w:after="0" w:afterAutospacing="0"/>
        <w:ind w:left="720"/>
        <w:jc w:val="both"/>
        <w:rPr>
          <w:rStyle w:val="Strong"/>
          <w:color w:val="000000" w:themeColor="text1"/>
        </w:rPr>
      </w:pPr>
    </w:p>
    <w:p w14:paraId="333AD68B" w14:textId="53697CF9" w:rsidR="00705E38" w:rsidRPr="00761845" w:rsidRDefault="00705E38" w:rsidP="00B451D7">
      <w:pPr>
        <w:pStyle w:val="whitespace-normal"/>
        <w:spacing w:before="0" w:beforeAutospacing="0" w:after="0" w:afterAutospacing="0"/>
        <w:ind w:left="720"/>
        <w:jc w:val="both"/>
        <w:rPr>
          <w:color w:val="000000" w:themeColor="text1"/>
        </w:rPr>
      </w:pPr>
      <w:r w:rsidRPr="00761845">
        <w:rPr>
          <w:rStyle w:val="Strong"/>
          <w:color w:val="000000" w:themeColor="text1"/>
        </w:rPr>
        <w:t>OPTION 2: Correlated Asset Liquidity Provision (HIGHER COMPLEXITY)</w:t>
      </w:r>
    </w:p>
    <w:p w14:paraId="7345540E" w14:textId="77777777" w:rsidR="00705E38" w:rsidRPr="00761845" w:rsidRDefault="00705E38" w:rsidP="00B451D7">
      <w:pPr>
        <w:pStyle w:val="whitespace-normal"/>
        <w:numPr>
          <w:ilvl w:val="0"/>
          <w:numId w:val="118"/>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Examples: ETH/</w:t>
      </w:r>
      <w:proofErr w:type="spellStart"/>
      <w:r w:rsidRPr="00761845">
        <w:rPr>
          <w:color w:val="000000" w:themeColor="text1"/>
        </w:rPr>
        <w:t>stETH</w:t>
      </w:r>
      <w:proofErr w:type="spellEnd"/>
      <w:r w:rsidRPr="00761845">
        <w:rPr>
          <w:color w:val="000000" w:themeColor="text1"/>
        </w:rPr>
        <w:t>, WBTC/</w:t>
      </w:r>
      <w:proofErr w:type="spellStart"/>
      <w:r w:rsidRPr="00761845">
        <w:rPr>
          <w:color w:val="000000" w:themeColor="text1"/>
        </w:rPr>
        <w:t>renBTC</w:t>
      </w:r>
      <w:proofErr w:type="spellEnd"/>
      <w:r w:rsidRPr="00761845">
        <w:rPr>
          <w:color w:val="000000" w:themeColor="text1"/>
        </w:rPr>
        <w:t xml:space="preserve"> pairs</w:t>
      </w:r>
    </w:p>
    <w:p w14:paraId="45B69AD1" w14:textId="77777777" w:rsidR="00705E38" w:rsidRPr="00761845" w:rsidRDefault="00705E38" w:rsidP="00B451D7">
      <w:pPr>
        <w:pStyle w:val="whitespace-normal"/>
        <w:numPr>
          <w:ilvl w:val="0"/>
          <w:numId w:val="118"/>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Observed returns: 6-12% annually</w:t>
      </w:r>
    </w:p>
    <w:p w14:paraId="095E15D3" w14:textId="77777777" w:rsidR="00705E38" w:rsidRPr="00761845" w:rsidRDefault="00705E38" w:rsidP="00B451D7">
      <w:pPr>
        <w:pStyle w:val="whitespace-normal"/>
        <w:numPr>
          <w:ilvl w:val="0"/>
          <w:numId w:val="118"/>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Sharpe ratio: 0.5-0.7</w:t>
      </w:r>
    </w:p>
    <w:p w14:paraId="79780795" w14:textId="77777777" w:rsidR="00705E38" w:rsidRPr="00761845" w:rsidRDefault="00705E38" w:rsidP="00B451D7">
      <w:pPr>
        <w:pStyle w:val="whitespace-normal"/>
        <w:numPr>
          <w:ilvl w:val="0"/>
          <w:numId w:val="118"/>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Impermanent loss risk: Moderate (up to 8% divergence during stress events)</w:t>
      </w:r>
    </w:p>
    <w:p w14:paraId="0CC7C75C" w14:textId="77777777" w:rsidR="00705E38" w:rsidRPr="00761845" w:rsidRDefault="00705E38" w:rsidP="00B451D7">
      <w:pPr>
        <w:pStyle w:val="whitespace-normal"/>
        <w:numPr>
          <w:ilvl w:val="0"/>
          <w:numId w:val="118"/>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Best for: Participants who understand IL and can manage monthly rebalancing</w:t>
      </w:r>
    </w:p>
    <w:p w14:paraId="6737BB02" w14:textId="77777777" w:rsidR="00705E38" w:rsidRPr="00761845" w:rsidRDefault="00705E38" w:rsidP="00B451D7">
      <w:pPr>
        <w:pStyle w:val="whitespace-normal"/>
        <w:numPr>
          <w:ilvl w:val="0"/>
          <w:numId w:val="118"/>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Time requirement: 15-20 hours weekly (upper end of range)</w:t>
      </w:r>
    </w:p>
    <w:p w14:paraId="205E0EC6" w14:textId="77777777" w:rsidR="005C50F0" w:rsidRPr="00761845" w:rsidRDefault="005C50F0" w:rsidP="00B451D7">
      <w:pPr>
        <w:pStyle w:val="whitespace-normal"/>
        <w:spacing w:before="0" w:beforeAutospacing="0" w:after="0" w:afterAutospacing="0"/>
        <w:ind w:left="720"/>
        <w:jc w:val="both"/>
        <w:rPr>
          <w:rStyle w:val="Strong"/>
          <w:color w:val="000000" w:themeColor="text1"/>
        </w:rPr>
      </w:pPr>
    </w:p>
    <w:p w14:paraId="600E2A78" w14:textId="38FEC1D0" w:rsidR="00705E38" w:rsidRPr="00761845" w:rsidRDefault="00705E38" w:rsidP="00B451D7">
      <w:pPr>
        <w:pStyle w:val="whitespace-normal"/>
        <w:spacing w:before="0" w:beforeAutospacing="0" w:after="0" w:afterAutospacing="0"/>
        <w:ind w:left="720"/>
        <w:jc w:val="both"/>
        <w:rPr>
          <w:color w:val="000000" w:themeColor="text1"/>
        </w:rPr>
      </w:pPr>
      <w:r w:rsidRPr="00761845">
        <w:rPr>
          <w:rStyle w:val="Strong"/>
          <w:color w:val="000000" w:themeColor="text1"/>
        </w:rPr>
        <w:t>CRITICAL REQUIREMENT:</w:t>
      </w:r>
      <w:r w:rsidRPr="00761845">
        <w:rPr>
          <w:color w:val="000000" w:themeColor="text1"/>
        </w:rPr>
        <w:t xml:space="preserve"> Understanding impermanent loss mechanics is non-negotiable</w:t>
      </w:r>
    </w:p>
    <w:p w14:paraId="1A802945" w14:textId="77777777" w:rsidR="00705E38" w:rsidRPr="00761845" w:rsidRDefault="00705E38" w:rsidP="00B451D7">
      <w:pPr>
        <w:pStyle w:val="whitespace-normal"/>
        <w:numPr>
          <w:ilvl w:val="0"/>
          <w:numId w:val="119"/>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89% of participants who didn't understand IL mechanics lost money</w:t>
      </w:r>
    </w:p>
    <w:p w14:paraId="41BBF037" w14:textId="77777777" w:rsidR="00705E38" w:rsidRPr="00761845" w:rsidRDefault="00705E38" w:rsidP="00B451D7">
      <w:pPr>
        <w:pStyle w:val="whitespace-normal"/>
        <w:numPr>
          <w:ilvl w:val="0"/>
          <w:numId w:val="119"/>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This applies regardless of capital level or network choice</w:t>
      </w:r>
    </w:p>
    <w:p w14:paraId="61FB5801" w14:textId="77777777" w:rsidR="00705E38" w:rsidRPr="00761845" w:rsidRDefault="00705E38" w:rsidP="00B451D7">
      <w:pPr>
        <w:pStyle w:val="whitespace-normal"/>
        <w:numPr>
          <w:ilvl w:val="0"/>
          <w:numId w:val="119"/>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Education must precede participation, not follow losses</w:t>
      </w:r>
    </w:p>
    <w:p w14:paraId="7363068A" w14:textId="77777777" w:rsidR="005C50F0" w:rsidRPr="00761845" w:rsidRDefault="005C50F0" w:rsidP="00B451D7">
      <w:pPr>
        <w:pStyle w:val="whitespace-normal"/>
        <w:spacing w:before="0" w:beforeAutospacing="0" w:after="0" w:afterAutospacing="0"/>
        <w:ind w:left="720"/>
        <w:jc w:val="both"/>
        <w:rPr>
          <w:rStyle w:val="Strong"/>
          <w:color w:val="000000" w:themeColor="text1"/>
        </w:rPr>
      </w:pPr>
    </w:p>
    <w:p w14:paraId="026BF908" w14:textId="6E20978E" w:rsidR="00705E38" w:rsidRPr="00761845" w:rsidRDefault="00705E38" w:rsidP="00B451D7">
      <w:pPr>
        <w:pStyle w:val="whitespace-normal"/>
        <w:spacing w:before="0" w:beforeAutospacing="0" w:after="0" w:afterAutospacing="0"/>
        <w:ind w:left="720"/>
        <w:jc w:val="both"/>
        <w:rPr>
          <w:color w:val="000000" w:themeColor="text1"/>
        </w:rPr>
      </w:pPr>
      <w:r w:rsidRPr="00761845">
        <w:rPr>
          <w:rStyle w:val="Strong"/>
          <w:color w:val="000000" w:themeColor="text1"/>
        </w:rPr>
        <w:t>What NOT to attempt at this capital level:</w:t>
      </w:r>
    </w:p>
    <w:p w14:paraId="033D5325" w14:textId="44B5C8AE" w:rsidR="00705E38" w:rsidRPr="00761845" w:rsidRDefault="00705E38" w:rsidP="00B451D7">
      <w:pPr>
        <w:pStyle w:val="whitespace-normal"/>
        <w:numPr>
          <w:ilvl w:val="0"/>
          <w:numId w:val="120"/>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 xml:space="preserve">Ethereum </w:t>
      </w:r>
      <w:proofErr w:type="spellStart"/>
      <w:r w:rsidRPr="00761845">
        <w:rPr>
          <w:color w:val="000000" w:themeColor="text1"/>
        </w:rPr>
        <w:t>mainnet</w:t>
      </w:r>
      <w:proofErr w:type="spellEnd"/>
      <w:r w:rsidRPr="00761845">
        <w:rPr>
          <w:color w:val="000000" w:themeColor="text1"/>
        </w:rPr>
        <w:t xml:space="preserve"> participation (gas costs too high)</w:t>
      </w:r>
    </w:p>
    <w:p w14:paraId="62AB5E80" w14:textId="216F069E" w:rsidR="00705E38" w:rsidRPr="00761845" w:rsidRDefault="00705E38" w:rsidP="00B451D7">
      <w:pPr>
        <w:pStyle w:val="whitespace-normal"/>
        <w:numPr>
          <w:ilvl w:val="0"/>
          <w:numId w:val="120"/>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Concentrated liquidity (Uniswap v3) - requires professional expertise</w:t>
      </w:r>
    </w:p>
    <w:p w14:paraId="63553DD8" w14:textId="11ABDD1E" w:rsidR="00705E38" w:rsidRPr="00761845" w:rsidRDefault="00705E38" w:rsidP="00B451D7">
      <w:pPr>
        <w:pStyle w:val="whitespace-normal"/>
        <w:numPr>
          <w:ilvl w:val="0"/>
          <w:numId w:val="120"/>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Volatile pair liquidity provision - 67% experienced IL exceeding fees</w:t>
      </w:r>
    </w:p>
    <w:p w14:paraId="58326880" w14:textId="1EDEAB45" w:rsidR="00705E38" w:rsidRPr="00761845" w:rsidRDefault="00705E38" w:rsidP="00B451D7">
      <w:pPr>
        <w:jc w:val="both"/>
        <w:rPr>
          <w:color w:val="000000" w:themeColor="text1"/>
        </w:rPr>
      </w:pPr>
    </w:p>
    <w:p w14:paraId="379CF5CC" w14:textId="78427441" w:rsidR="005C50F0" w:rsidRPr="005C7063" w:rsidRDefault="00705E38" w:rsidP="00B451D7">
      <w:pPr>
        <w:pStyle w:val="Heading4"/>
        <w:jc w:val="both"/>
        <w:rPr>
          <w:rStyle w:val="Strong"/>
          <w:b/>
          <w:bCs w:val="0"/>
          <w:color w:val="000000" w:themeColor="text1"/>
        </w:rPr>
      </w:pPr>
      <w:r w:rsidRPr="00761845">
        <w:rPr>
          <w:rStyle w:val="Strong"/>
          <w:b/>
          <w:bCs w:val="0"/>
          <w:color w:val="000000" w:themeColor="text1"/>
        </w:rPr>
        <w:t>Capital Level: MORE THAN $25,000</w:t>
      </w:r>
    </w:p>
    <w:p w14:paraId="4692FC68" w14:textId="65598DAC" w:rsidR="00705E38" w:rsidRPr="00C976C1" w:rsidRDefault="00705E38" w:rsidP="00B451D7">
      <w:pPr>
        <w:pStyle w:val="whitespace-normal"/>
        <w:spacing w:before="0" w:beforeAutospacing="0" w:after="0" w:afterAutospacing="0"/>
        <w:ind w:left="720"/>
        <w:jc w:val="both"/>
        <w:rPr>
          <w:color w:val="000000" w:themeColor="text1"/>
        </w:rPr>
      </w:pPr>
      <w:r w:rsidRPr="00C976C1">
        <w:rPr>
          <w:rStyle w:val="Strong"/>
          <w:b w:val="0"/>
          <w:bCs w:val="0"/>
          <w:color w:val="000000" w:themeColor="text1"/>
        </w:rPr>
        <w:t>Viable Networks:</w:t>
      </w:r>
      <w:r w:rsidRPr="00C976C1">
        <w:rPr>
          <w:color w:val="000000" w:themeColor="text1"/>
        </w:rPr>
        <w:t xml:space="preserve"> Ethereum </w:t>
      </w:r>
      <w:proofErr w:type="spellStart"/>
      <w:r w:rsidRPr="00C976C1">
        <w:rPr>
          <w:color w:val="000000" w:themeColor="text1"/>
        </w:rPr>
        <w:t>Mainnet</w:t>
      </w:r>
      <w:proofErr w:type="spellEnd"/>
      <w:r w:rsidRPr="00C976C1">
        <w:rPr>
          <w:color w:val="000000" w:themeColor="text1"/>
        </w:rPr>
        <w:t xml:space="preserve"> + Multi-Network Diversification</w:t>
      </w:r>
    </w:p>
    <w:p w14:paraId="0FE9ED9D" w14:textId="77777777" w:rsidR="00705E38" w:rsidRPr="00C976C1" w:rsidRDefault="00705E38" w:rsidP="00B451D7">
      <w:pPr>
        <w:pStyle w:val="whitespace-normal"/>
        <w:spacing w:before="0" w:beforeAutospacing="0" w:after="0" w:afterAutospacing="0"/>
        <w:ind w:left="720"/>
        <w:jc w:val="both"/>
        <w:rPr>
          <w:color w:val="000000" w:themeColor="text1"/>
        </w:rPr>
      </w:pPr>
      <w:r w:rsidRPr="00C976C1">
        <w:rPr>
          <w:rStyle w:val="Strong"/>
          <w:b w:val="0"/>
          <w:bCs w:val="0"/>
          <w:color w:val="000000" w:themeColor="text1"/>
        </w:rPr>
        <w:t xml:space="preserve">Network viability threshold for Ethereum </w:t>
      </w:r>
      <w:proofErr w:type="spellStart"/>
      <w:r w:rsidRPr="00C976C1">
        <w:rPr>
          <w:rStyle w:val="Strong"/>
          <w:b w:val="0"/>
          <w:bCs w:val="0"/>
          <w:color w:val="000000" w:themeColor="text1"/>
        </w:rPr>
        <w:t>mainnet</w:t>
      </w:r>
      <w:proofErr w:type="spellEnd"/>
      <w:r w:rsidRPr="00C976C1">
        <w:rPr>
          <w:rStyle w:val="Strong"/>
          <w:b w:val="0"/>
          <w:bCs w:val="0"/>
          <w:color w:val="000000" w:themeColor="text1"/>
        </w:rPr>
        <w:t>:</w:t>
      </w:r>
      <w:r w:rsidRPr="00C976C1">
        <w:rPr>
          <w:color w:val="000000" w:themeColor="text1"/>
        </w:rPr>
        <w:t xml:space="preserve"> ~$25,000 (range: $18,000-$31,000 depending on gas prices)</w:t>
      </w:r>
    </w:p>
    <w:p w14:paraId="1C4D4C9F" w14:textId="77777777" w:rsidR="00705E38" w:rsidRPr="00C976C1" w:rsidRDefault="00705E38" w:rsidP="00B451D7">
      <w:pPr>
        <w:pStyle w:val="whitespace-normal"/>
        <w:spacing w:before="0" w:beforeAutospacing="0" w:after="0" w:afterAutospacing="0"/>
        <w:ind w:left="720"/>
        <w:jc w:val="both"/>
        <w:rPr>
          <w:color w:val="000000" w:themeColor="text1"/>
        </w:rPr>
      </w:pPr>
      <w:r w:rsidRPr="00C976C1">
        <w:rPr>
          <w:rStyle w:val="Strong"/>
          <w:b w:val="0"/>
          <w:bCs w:val="0"/>
          <w:color w:val="000000" w:themeColor="text1"/>
        </w:rPr>
        <w:lastRenderedPageBreak/>
        <w:t>Key Advantages at This Capital Level:</w:t>
      </w:r>
    </w:p>
    <w:p w14:paraId="5C812629" w14:textId="77777777" w:rsidR="00705E38" w:rsidRPr="00C976C1" w:rsidRDefault="00705E38" w:rsidP="00B451D7">
      <w:pPr>
        <w:pStyle w:val="whitespace-normal"/>
        <w:numPr>
          <w:ilvl w:val="0"/>
          <w:numId w:val="121"/>
        </w:numPr>
        <w:tabs>
          <w:tab w:val="clear" w:pos="720"/>
          <w:tab w:val="num" w:pos="1440"/>
        </w:tabs>
        <w:spacing w:before="0" w:beforeAutospacing="0" w:after="0" w:afterAutospacing="0"/>
        <w:ind w:left="1440"/>
        <w:jc w:val="both"/>
        <w:outlineLvl w:val="9"/>
        <w:rPr>
          <w:color w:val="000000" w:themeColor="text1"/>
        </w:rPr>
      </w:pPr>
      <w:r w:rsidRPr="00C976C1">
        <w:rPr>
          <w:color w:val="000000" w:themeColor="text1"/>
        </w:rPr>
        <w:t>Can diversify across multiple protocols simultaneously</w:t>
      </w:r>
    </w:p>
    <w:p w14:paraId="61A1C7C9" w14:textId="77777777" w:rsidR="00705E38" w:rsidRPr="00C976C1" w:rsidRDefault="00705E38" w:rsidP="00B451D7">
      <w:pPr>
        <w:pStyle w:val="whitespace-normal"/>
        <w:numPr>
          <w:ilvl w:val="0"/>
          <w:numId w:val="121"/>
        </w:numPr>
        <w:tabs>
          <w:tab w:val="clear" w:pos="720"/>
          <w:tab w:val="num" w:pos="1440"/>
        </w:tabs>
        <w:spacing w:before="0" w:beforeAutospacing="0" w:after="0" w:afterAutospacing="0"/>
        <w:ind w:left="1440"/>
        <w:jc w:val="both"/>
        <w:outlineLvl w:val="9"/>
        <w:rPr>
          <w:color w:val="000000" w:themeColor="text1"/>
        </w:rPr>
      </w:pPr>
      <w:r w:rsidRPr="00C976C1">
        <w:rPr>
          <w:color w:val="000000" w:themeColor="text1"/>
        </w:rPr>
        <w:t>Sufficient capital to survive 50% drawdowns without forced exits</w:t>
      </w:r>
    </w:p>
    <w:p w14:paraId="167A6282" w14:textId="77777777" w:rsidR="00705E38" w:rsidRPr="00C976C1" w:rsidRDefault="00705E38" w:rsidP="00B451D7">
      <w:pPr>
        <w:pStyle w:val="whitespace-normal"/>
        <w:numPr>
          <w:ilvl w:val="0"/>
          <w:numId w:val="121"/>
        </w:numPr>
        <w:tabs>
          <w:tab w:val="clear" w:pos="720"/>
          <w:tab w:val="num" w:pos="1440"/>
        </w:tabs>
        <w:spacing w:before="0" w:beforeAutospacing="0" w:after="0" w:afterAutospacing="0"/>
        <w:ind w:left="1440"/>
        <w:jc w:val="both"/>
        <w:outlineLvl w:val="9"/>
        <w:rPr>
          <w:color w:val="000000" w:themeColor="text1"/>
        </w:rPr>
      </w:pPr>
      <w:r w:rsidRPr="00C976C1">
        <w:rPr>
          <w:color w:val="000000" w:themeColor="text1"/>
        </w:rPr>
        <w:t xml:space="preserve">Access to Ethereum </w:t>
      </w:r>
      <w:proofErr w:type="spellStart"/>
      <w:r w:rsidRPr="00C976C1">
        <w:rPr>
          <w:color w:val="000000" w:themeColor="text1"/>
        </w:rPr>
        <w:t>mainnet's</w:t>
      </w:r>
      <w:proofErr w:type="spellEnd"/>
      <w:r w:rsidRPr="00C976C1">
        <w:rPr>
          <w:color w:val="000000" w:themeColor="text1"/>
        </w:rPr>
        <w:t xml:space="preserve"> deeper liquidity and protocol variety</w:t>
      </w:r>
    </w:p>
    <w:p w14:paraId="7021CBB2" w14:textId="77777777" w:rsidR="00705E38" w:rsidRPr="00C976C1" w:rsidRDefault="00705E38" w:rsidP="00B451D7">
      <w:pPr>
        <w:pStyle w:val="whitespace-normal"/>
        <w:numPr>
          <w:ilvl w:val="0"/>
          <w:numId w:val="121"/>
        </w:numPr>
        <w:tabs>
          <w:tab w:val="clear" w:pos="720"/>
          <w:tab w:val="num" w:pos="1440"/>
        </w:tabs>
        <w:spacing w:before="0" w:beforeAutospacing="0" w:after="0" w:afterAutospacing="0"/>
        <w:ind w:left="1440"/>
        <w:jc w:val="both"/>
        <w:outlineLvl w:val="9"/>
        <w:rPr>
          <w:color w:val="000000" w:themeColor="text1"/>
        </w:rPr>
      </w:pPr>
      <w:r w:rsidRPr="00C976C1">
        <w:rPr>
          <w:color w:val="000000" w:themeColor="text1"/>
        </w:rPr>
        <w:t>Position sizes make gas costs negligible relative to returns</w:t>
      </w:r>
    </w:p>
    <w:p w14:paraId="48C9EEC3" w14:textId="77777777" w:rsidR="00C976C1" w:rsidRDefault="00C976C1" w:rsidP="00B451D7">
      <w:pPr>
        <w:pStyle w:val="whitespace-normal"/>
        <w:spacing w:before="0" w:beforeAutospacing="0" w:after="0" w:afterAutospacing="0"/>
        <w:ind w:left="720"/>
        <w:jc w:val="both"/>
        <w:rPr>
          <w:rStyle w:val="Strong"/>
          <w:color w:val="000000" w:themeColor="text1"/>
        </w:rPr>
      </w:pPr>
    </w:p>
    <w:p w14:paraId="5B906DE3" w14:textId="7262865F" w:rsidR="00705E38" w:rsidRPr="00761845" w:rsidRDefault="00705E38" w:rsidP="00B451D7">
      <w:pPr>
        <w:pStyle w:val="whitespace-normal"/>
        <w:spacing w:before="0" w:beforeAutospacing="0" w:after="0" w:afterAutospacing="0"/>
        <w:ind w:left="720"/>
        <w:jc w:val="both"/>
        <w:rPr>
          <w:color w:val="000000" w:themeColor="text1"/>
        </w:rPr>
      </w:pPr>
      <w:r w:rsidRPr="00761845">
        <w:rPr>
          <w:rStyle w:val="Strong"/>
          <w:color w:val="000000" w:themeColor="text1"/>
        </w:rPr>
        <w:t>Viable Strategies:</w:t>
      </w:r>
    </w:p>
    <w:p w14:paraId="02F83BAA" w14:textId="77777777" w:rsidR="005C50F0" w:rsidRPr="00761845" w:rsidRDefault="005C50F0" w:rsidP="00B451D7">
      <w:pPr>
        <w:pStyle w:val="whitespace-normal"/>
        <w:spacing w:before="0" w:beforeAutospacing="0" w:after="0" w:afterAutospacing="0"/>
        <w:ind w:left="720"/>
        <w:jc w:val="both"/>
        <w:rPr>
          <w:rStyle w:val="Strong"/>
          <w:color w:val="000000" w:themeColor="text1"/>
        </w:rPr>
      </w:pPr>
    </w:p>
    <w:p w14:paraId="4ED491D4" w14:textId="737C4F39" w:rsidR="00705E38" w:rsidRPr="00761845" w:rsidRDefault="00705E38" w:rsidP="00B451D7">
      <w:pPr>
        <w:pStyle w:val="whitespace-normal"/>
        <w:spacing w:before="0" w:beforeAutospacing="0" w:after="0" w:afterAutospacing="0"/>
        <w:ind w:left="720"/>
        <w:jc w:val="both"/>
        <w:rPr>
          <w:color w:val="000000" w:themeColor="text1"/>
        </w:rPr>
      </w:pPr>
      <w:r w:rsidRPr="00761845">
        <w:rPr>
          <w:rStyle w:val="Strong"/>
          <w:color w:val="000000" w:themeColor="text1"/>
        </w:rPr>
        <w:t>STRATEGY 1: Multi-Protocol Stablecoin Liquidity Provision</w:t>
      </w:r>
    </w:p>
    <w:p w14:paraId="4BEB4F3A" w14:textId="77777777" w:rsidR="00705E38" w:rsidRPr="00761845" w:rsidRDefault="00705E38" w:rsidP="00B451D7">
      <w:pPr>
        <w:pStyle w:val="whitespace-normal"/>
        <w:numPr>
          <w:ilvl w:val="0"/>
          <w:numId w:val="122"/>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Observed returns: 8-14% annually</w:t>
      </w:r>
    </w:p>
    <w:p w14:paraId="1D4B3C6A" w14:textId="77777777" w:rsidR="00705E38" w:rsidRPr="00761845" w:rsidRDefault="00705E38" w:rsidP="00B451D7">
      <w:pPr>
        <w:pStyle w:val="whitespace-normal"/>
        <w:numPr>
          <w:ilvl w:val="0"/>
          <w:numId w:val="122"/>
        </w:numPr>
        <w:tabs>
          <w:tab w:val="clear" w:pos="720"/>
          <w:tab w:val="num" w:pos="1440"/>
        </w:tabs>
        <w:spacing w:before="0" w:beforeAutospacing="0" w:after="0" w:afterAutospacing="0"/>
        <w:ind w:left="1440"/>
        <w:jc w:val="both"/>
        <w:outlineLvl w:val="9"/>
        <w:rPr>
          <w:color w:val="000000" w:themeColor="text1"/>
        </w:rPr>
      </w:pPr>
      <w:proofErr w:type="gramStart"/>
      <w:r w:rsidRPr="00761845">
        <w:rPr>
          <w:color w:val="000000" w:themeColor="text1"/>
        </w:rPr>
        <w:t>Deploy across</w:t>
      </w:r>
      <w:proofErr w:type="gramEnd"/>
      <w:r w:rsidRPr="00761845">
        <w:rPr>
          <w:color w:val="000000" w:themeColor="text1"/>
        </w:rPr>
        <w:t xml:space="preserve"> 3-5 different protocols to reduce single-protocol risk</w:t>
      </w:r>
    </w:p>
    <w:p w14:paraId="6A5967E7" w14:textId="77777777" w:rsidR="00705E38" w:rsidRPr="00761845" w:rsidRDefault="00705E38" w:rsidP="00B451D7">
      <w:pPr>
        <w:pStyle w:val="whitespace-normal"/>
        <w:numPr>
          <w:ilvl w:val="0"/>
          <w:numId w:val="122"/>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Maintain reserves for rebalancing opportunities</w:t>
      </w:r>
    </w:p>
    <w:p w14:paraId="02F3E802" w14:textId="77777777" w:rsidR="00705E38" w:rsidRPr="00761845" w:rsidRDefault="00705E38" w:rsidP="00B451D7">
      <w:pPr>
        <w:pStyle w:val="whitespace-normal"/>
        <w:numPr>
          <w:ilvl w:val="0"/>
          <w:numId w:val="122"/>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Best for: Most participants at this capital level</w:t>
      </w:r>
    </w:p>
    <w:p w14:paraId="62183518" w14:textId="77777777" w:rsidR="00705E38" w:rsidRPr="00761845" w:rsidRDefault="00705E38" w:rsidP="00B451D7">
      <w:pPr>
        <w:pStyle w:val="whitespace-normal"/>
        <w:numPr>
          <w:ilvl w:val="0"/>
          <w:numId w:val="122"/>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Time requirement: 15-20 hours weekly</w:t>
      </w:r>
    </w:p>
    <w:p w14:paraId="79F6287D" w14:textId="77777777" w:rsidR="005C50F0" w:rsidRPr="00761845" w:rsidRDefault="005C50F0" w:rsidP="00B451D7">
      <w:pPr>
        <w:pStyle w:val="whitespace-normal"/>
        <w:spacing w:before="0" w:beforeAutospacing="0" w:after="0" w:afterAutospacing="0"/>
        <w:ind w:left="720"/>
        <w:jc w:val="both"/>
        <w:rPr>
          <w:rStyle w:val="Strong"/>
          <w:color w:val="000000" w:themeColor="text1"/>
        </w:rPr>
      </w:pPr>
    </w:p>
    <w:p w14:paraId="55B9C58B" w14:textId="4735E745" w:rsidR="00705E38" w:rsidRPr="00761845" w:rsidRDefault="00705E38" w:rsidP="00B451D7">
      <w:pPr>
        <w:pStyle w:val="whitespace-normal"/>
        <w:spacing w:before="0" w:beforeAutospacing="0" w:after="0" w:afterAutospacing="0"/>
        <w:ind w:left="720"/>
        <w:jc w:val="both"/>
        <w:rPr>
          <w:color w:val="000000" w:themeColor="text1"/>
        </w:rPr>
      </w:pPr>
      <w:r w:rsidRPr="00761845">
        <w:rPr>
          <w:rStyle w:val="Strong"/>
          <w:color w:val="000000" w:themeColor="text1"/>
        </w:rPr>
        <w:t>STRATEGY 2: Active Management with Periodic Rebalancing</w:t>
      </w:r>
    </w:p>
    <w:p w14:paraId="52DC3E96" w14:textId="77777777" w:rsidR="00705E38" w:rsidRPr="00761845" w:rsidRDefault="00705E38" w:rsidP="00B451D7">
      <w:pPr>
        <w:pStyle w:val="whitespace-normal"/>
        <w:numPr>
          <w:ilvl w:val="0"/>
          <w:numId w:val="123"/>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 xml:space="preserve">Combine </w:t>
      </w:r>
      <w:proofErr w:type="gramStart"/>
      <w:r w:rsidRPr="00761845">
        <w:rPr>
          <w:color w:val="000000" w:themeColor="text1"/>
        </w:rPr>
        <w:t>stablecoin</w:t>
      </w:r>
      <w:proofErr w:type="gramEnd"/>
      <w:r w:rsidRPr="00761845">
        <w:rPr>
          <w:color w:val="000000" w:themeColor="text1"/>
        </w:rPr>
        <w:t xml:space="preserve"> and correlated asset positions</w:t>
      </w:r>
    </w:p>
    <w:p w14:paraId="6659D935" w14:textId="77777777" w:rsidR="00705E38" w:rsidRPr="00761845" w:rsidRDefault="00705E38" w:rsidP="00B451D7">
      <w:pPr>
        <w:pStyle w:val="whitespace-normal"/>
        <w:numPr>
          <w:ilvl w:val="0"/>
          <w:numId w:val="123"/>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Regular rebalancing across market conditions</w:t>
      </w:r>
    </w:p>
    <w:p w14:paraId="1FEEA27E" w14:textId="77777777" w:rsidR="00705E38" w:rsidRPr="00761845" w:rsidRDefault="00705E38" w:rsidP="00B451D7">
      <w:pPr>
        <w:pStyle w:val="whitespace-normal"/>
        <w:numPr>
          <w:ilvl w:val="0"/>
          <w:numId w:val="123"/>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Systematic risk management approach</w:t>
      </w:r>
    </w:p>
    <w:p w14:paraId="20DC8641" w14:textId="77777777" w:rsidR="00705E38" w:rsidRPr="00761845" w:rsidRDefault="00705E38" w:rsidP="00B451D7">
      <w:pPr>
        <w:pStyle w:val="whitespace-normal"/>
        <w:numPr>
          <w:ilvl w:val="0"/>
          <w:numId w:val="123"/>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Requires: Discipline and emotional stability through volatility</w:t>
      </w:r>
    </w:p>
    <w:p w14:paraId="37F182DB" w14:textId="77777777" w:rsidR="005C50F0" w:rsidRPr="00761845" w:rsidRDefault="005C50F0" w:rsidP="00B451D7">
      <w:pPr>
        <w:pStyle w:val="whitespace-normal"/>
        <w:spacing w:before="0" w:beforeAutospacing="0" w:after="0" w:afterAutospacing="0"/>
        <w:ind w:left="720"/>
        <w:jc w:val="both"/>
        <w:rPr>
          <w:rStyle w:val="Strong"/>
          <w:color w:val="000000" w:themeColor="text1"/>
        </w:rPr>
      </w:pPr>
    </w:p>
    <w:p w14:paraId="47173438" w14:textId="4D3651EB" w:rsidR="00705E38" w:rsidRPr="00761845" w:rsidRDefault="00705E38" w:rsidP="00B451D7">
      <w:pPr>
        <w:pStyle w:val="whitespace-normal"/>
        <w:spacing w:before="0" w:beforeAutospacing="0" w:after="0" w:afterAutospacing="0"/>
        <w:ind w:left="720"/>
        <w:jc w:val="both"/>
        <w:rPr>
          <w:color w:val="000000" w:themeColor="text1"/>
        </w:rPr>
      </w:pPr>
      <w:r w:rsidRPr="00761845">
        <w:rPr>
          <w:rStyle w:val="Strong"/>
          <w:color w:val="000000" w:themeColor="text1"/>
        </w:rPr>
        <w:t>STRATEGY 3: Concentrated Liquidity (ADVANCED - Uniswap v3)</w:t>
      </w:r>
    </w:p>
    <w:p w14:paraId="603B228E" w14:textId="77777777" w:rsidR="00705E38" w:rsidRPr="00761845" w:rsidRDefault="00705E38" w:rsidP="00B451D7">
      <w:pPr>
        <w:pStyle w:val="whitespace-normal"/>
        <w:spacing w:before="0" w:beforeAutospacing="0" w:after="0" w:afterAutospacing="0"/>
        <w:ind w:left="720"/>
        <w:jc w:val="both"/>
        <w:rPr>
          <w:color w:val="000000" w:themeColor="text1"/>
        </w:rPr>
      </w:pPr>
      <w:r w:rsidRPr="00761845">
        <w:rPr>
          <w:rStyle w:val="Strong"/>
          <w:color w:val="000000" w:themeColor="text1"/>
        </w:rPr>
        <w:t>Professional Approach (if you have these capabilities):</w:t>
      </w:r>
    </w:p>
    <w:p w14:paraId="57A99619" w14:textId="77777777" w:rsidR="00705E38" w:rsidRPr="00761845" w:rsidRDefault="00705E38" w:rsidP="00B451D7">
      <w:pPr>
        <w:pStyle w:val="whitespace-normal"/>
        <w:numPr>
          <w:ilvl w:val="0"/>
          <w:numId w:val="124"/>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Technical infrastructure: Automated monitoring and rebalancing systems</w:t>
      </w:r>
    </w:p>
    <w:p w14:paraId="1FF0283B" w14:textId="77777777" w:rsidR="00705E38" w:rsidRPr="00761845" w:rsidRDefault="00705E38" w:rsidP="00B451D7">
      <w:pPr>
        <w:pStyle w:val="whitespace-normal"/>
        <w:numPr>
          <w:ilvl w:val="0"/>
          <w:numId w:val="124"/>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Programming skills: Ability to build custom management tools</w:t>
      </w:r>
    </w:p>
    <w:p w14:paraId="5B442F88" w14:textId="77777777" w:rsidR="00705E38" w:rsidRPr="00761845" w:rsidRDefault="00705E38" w:rsidP="00B451D7">
      <w:pPr>
        <w:pStyle w:val="whitespace-normal"/>
        <w:numPr>
          <w:ilvl w:val="0"/>
          <w:numId w:val="124"/>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Observed returns: 23-47% for sophisticated operators</w:t>
      </w:r>
    </w:p>
    <w:p w14:paraId="61E054EA" w14:textId="77777777" w:rsidR="00705E38" w:rsidRPr="00761845" w:rsidRDefault="00705E38" w:rsidP="00B451D7">
      <w:pPr>
        <w:pStyle w:val="whitespace-normal"/>
        <w:numPr>
          <w:ilvl w:val="0"/>
          <w:numId w:val="124"/>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Capital efficiency achieved: 18-25x (vs. theoretical 4000x)</w:t>
      </w:r>
    </w:p>
    <w:p w14:paraId="77CF4366" w14:textId="77777777" w:rsidR="005C50F0" w:rsidRPr="00761845" w:rsidRDefault="005C50F0" w:rsidP="00B451D7">
      <w:pPr>
        <w:pStyle w:val="whitespace-normal"/>
        <w:spacing w:before="0" w:beforeAutospacing="0" w:after="0" w:afterAutospacing="0"/>
        <w:ind w:left="720"/>
        <w:jc w:val="both"/>
        <w:rPr>
          <w:rStyle w:val="Strong"/>
          <w:color w:val="000000" w:themeColor="text1"/>
        </w:rPr>
      </w:pPr>
    </w:p>
    <w:p w14:paraId="76266D0C" w14:textId="7AFA850D" w:rsidR="00705E38" w:rsidRPr="00761845" w:rsidRDefault="00705E38" w:rsidP="00B451D7">
      <w:pPr>
        <w:pStyle w:val="whitespace-normal"/>
        <w:spacing w:before="0" w:beforeAutospacing="0" w:after="0" w:afterAutospacing="0"/>
        <w:ind w:left="720"/>
        <w:jc w:val="both"/>
        <w:rPr>
          <w:color w:val="000000" w:themeColor="text1"/>
        </w:rPr>
      </w:pPr>
      <w:r w:rsidRPr="00761845">
        <w:rPr>
          <w:rStyle w:val="Strong"/>
          <w:color w:val="000000" w:themeColor="text1"/>
        </w:rPr>
        <w:t>Warning for retail participants:</w:t>
      </w:r>
    </w:p>
    <w:p w14:paraId="3B324F9C" w14:textId="77777777" w:rsidR="00705E38" w:rsidRPr="00761845" w:rsidRDefault="00705E38" w:rsidP="00B451D7">
      <w:pPr>
        <w:pStyle w:val="whitespace-normal"/>
        <w:numPr>
          <w:ilvl w:val="0"/>
          <w:numId w:val="125"/>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Casual retail participants "typically lost money" with concentrated liquidity</w:t>
      </w:r>
    </w:p>
    <w:p w14:paraId="1424DCE1" w14:textId="77777777" w:rsidR="00705E38" w:rsidRPr="00761845" w:rsidRDefault="00705E38" w:rsidP="00B451D7">
      <w:pPr>
        <w:pStyle w:val="whitespace-normal"/>
        <w:numPr>
          <w:ilvl w:val="0"/>
          <w:numId w:val="125"/>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Retail capital efficiency: Only 1.5-2.5x (vs. professional 18-25x)</w:t>
      </w:r>
    </w:p>
    <w:p w14:paraId="653A68F8" w14:textId="77777777" w:rsidR="00705E38" w:rsidRPr="00761845" w:rsidRDefault="00705E38" w:rsidP="00B451D7">
      <w:pPr>
        <w:pStyle w:val="whitespace-normal"/>
        <w:numPr>
          <w:ilvl w:val="0"/>
          <w:numId w:val="125"/>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Time in-range: Retail 61% vs. Professional 94%</w:t>
      </w:r>
    </w:p>
    <w:p w14:paraId="0CD9EC01" w14:textId="77777777" w:rsidR="00705E38" w:rsidRPr="00761845" w:rsidRDefault="00705E38" w:rsidP="00B451D7">
      <w:pPr>
        <w:pStyle w:val="whitespace-normal"/>
        <w:numPr>
          <w:ilvl w:val="0"/>
          <w:numId w:val="125"/>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This is professionalized market-making, not retail opportunity</w:t>
      </w:r>
    </w:p>
    <w:p w14:paraId="1F3FAA26" w14:textId="56793897" w:rsidR="00705E38" w:rsidRPr="00761845" w:rsidRDefault="00705E38" w:rsidP="00B451D7">
      <w:pPr>
        <w:pStyle w:val="whitespace-normal"/>
        <w:spacing w:before="0" w:beforeAutospacing="0" w:after="0" w:afterAutospacing="0"/>
        <w:ind w:left="720"/>
        <w:jc w:val="both"/>
        <w:rPr>
          <w:color w:val="000000" w:themeColor="text1"/>
        </w:rPr>
      </w:pPr>
      <w:r w:rsidRPr="00761845">
        <w:rPr>
          <w:rStyle w:val="Strong"/>
          <w:color w:val="000000" w:themeColor="text1"/>
        </w:rPr>
        <w:t>Recommendation:</w:t>
      </w:r>
      <w:r w:rsidRPr="00761845">
        <w:rPr>
          <w:color w:val="000000" w:themeColor="text1"/>
        </w:rPr>
        <w:t xml:space="preserve"> Unless you have professional infrastructure and expertise, stick to Strategy 1 or 2.</w:t>
      </w:r>
    </w:p>
    <w:p w14:paraId="1D8BE99D" w14:textId="77777777" w:rsidR="00826277" w:rsidRPr="00761845" w:rsidRDefault="00826277" w:rsidP="00B451D7">
      <w:pPr>
        <w:pStyle w:val="whitespace-normal"/>
        <w:spacing w:before="0" w:beforeAutospacing="0" w:after="0" w:afterAutospacing="0"/>
        <w:ind w:left="720"/>
        <w:jc w:val="both"/>
        <w:rPr>
          <w:color w:val="000000" w:themeColor="text1"/>
        </w:rPr>
      </w:pPr>
    </w:p>
    <w:p w14:paraId="55712916" w14:textId="0F96E1DD" w:rsidR="00CF279F" w:rsidRPr="00D70F1D" w:rsidRDefault="00596FBE" w:rsidP="00B451D7">
      <w:pPr>
        <w:pStyle w:val="Heading3"/>
        <w:jc w:val="both"/>
        <w:rPr>
          <w:color w:val="000000" w:themeColor="text1"/>
        </w:rPr>
      </w:pPr>
      <w:bookmarkStart w:id="56" w:name="_Toc214721862"/>
      <w:r w:rsidRPr="00D70F1D">
        <w:rPr>
          <w:color w:val="000000" w:themeColor="text1"/>
        </w:rPr>
        <w:t xml:space="preserve">Table </w:t>
      </w:r>
      <w:r w:rsidR="0082049B">
        <w:rPr>
          <w:color w:val="000000" w:themeColor="text1"/>
        </w:rPr>
        <w:t>3.D</w:t>
      </w:r>
      <w:r w:rsidRPr="00D70F1D">
        <w:rPr>
          <w:color w:val="000000" w:themeColor="text1"/>
        </w:rPr>
        <w:t xml:space="preserve">: </w:t>
      </w:r>
      <w:r w:rsidR="00CF279F" w:rsidRPr="00D70F1D">
        <w:rPr>
          <w:color w:val="000000" w:themeColor="text1"/>
        </w:rPr>
        <w:t>Capital Viability Ladder</w:t>
      </w:r>
      <w:bookmarkEnd w:id="56"/>
    </w:p>
    <w:p w14:paraId="33A403D8" w14:textId="77777777" w:rsidR="00CF279F" w:rsidRPr="00761845" w:rsidRDefault="00CF279F" w:rsidP="00B451D7">
      <w:pPr>
        <w:pStyle w:val="whitespace-normal"/>
        <w:spacing w:before="0" w:beforeAutospacing="0" w:after="0" w:afterAutospacing="0"/>
        <w:jc w:val="both"/>
        <w:rPr>
          <w:color w:val="000000" w:themeColor="text1"/>
        </w:rPr>
      </w:pPr>
    </w:p>
    <w:tbl>
      <w:tblPr>
        <w:tblW w:w="9260" w:type="dxa"/>
        <w:tblLook w:val="04A0" w:firstRow="1" w:lastRow="0" w:firstColumn="1" w:lastColumn="0" w:noHBand="0" w:noVBand="1"/>
      </w:tblPr>
      <w:tblGrid>
        <w:gridCol w:w="1520"/>
        <w:gridCol w:w="1980"/>
        <w:gridCol w:w="1710"/>
        <w:gridCol w:w="2070"/>
        <w:gridCol w:w="1980"/>
      </w:tblGrid>
      <w:tr w:rsidR="00761845" w:rsidRPr="00761845" w14:paraId="5F49AD52" w14:textId="77777777" w:rsidTr="00970DA5">
        <w:trPr>
          <w:trHeight w:val="484"/>
        </w:trPr>
        <w:tc>
          <w:tcPr>
            <w:tcW w:w="15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E313B65" w14:textId="77777777" w:rsidR="00826277" w:rsidRPr="00761845" w:rsidRDefault="00826277" w:rsidP="00B451D7">
            <w:pPr>
              <w:jc w:val="both"/>
              <w:rPr>
                <w:b/>
                <w:bCs/>
                <w:color w:val="000000" w:themeColor="text1"/>
                <w:sz w:val="20"/>
                <w:szCs w:val="20"/>
              </w:rPr>
            </w:pPr>
            <w:r w:rsidRPr="00761845">
              <w:rPr>
                <w:b/>
                <w:bCs/>
                <w:color w:val="000000" w:themeColor="text1"/>
                <w:sz w:val="20"/>
                <w:szCs w:val="20"/>
              </w:rPr>
              <w:t>Capital Level</w:t>
            </w:r>
          </w:p>
        </w:tc>
        <w:tc>
          <w:tcPr>
            <w:tcW w:w="1980"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41C081C9" w14:textId="77777777" w:rsidR="00826277" w:rsidRPr="00761845" w:rsidRDefault="00826277" w:rsidP="00B451D7">
            <w:pPr>
              <w:jc w:val="both"/>
              <w:rPr>
                <w:b/>
                <w:bCs/>
                <w:color w:val="000000" w:themeColor="text1"/>
                <w:sz w:val="20"/>
                <w:szCs w:val="20"/>
              </w:rPr>
            </w:pPr>
            <w:r w:rsidRPr="00761845">
              <w:rPr>
                <w:b/>
                <w:bCs/>
                <w:color w:val="000000" w:themeColor="text1"/>
                <w:sz w:val="20"/>
                <w:szCs w:val="20"/>
              </w:rPr>
              <w:t>Viable Networks</w:t>
            </w:r>
          </w:p>
        </w:tc>
        <w:tc>
          <w:tcPr>
            <w:tcW w:w="1710"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113FCBAC" w14:textId="77777777" w:rsidR="00826277" w:rsidRPr="00761845" w:rsidRDefault="00826277" w:rsidP="00B451D7">
            <w:pPr>
              <w:jc w:val="both"/>
              <w:rPr>
                <w:b/>
                <w:bCs/>
                <w:color w:val="000000" w:themeColor="text1"/>
                <w:sz w:val="20"/>
                <w:szCs w:val="20"/>
              </w:rPr>
            </w:pPr>
            <w:r w:rsidRPr="00761845">
              <w:rPr>
                <w:b/>
                <w:bCs/>
                <w:color w:val="000000" w:themeColor="text1"/>
                <w:sz w:val="20"/>
                <w:szCs w:val="20"/>
              </w:rPr>
              <w:t>Minimum Threshold</w:t>
            </w:r>
          </w:p>
        </w:tc>
        <w:tc>
          <w:tcPr>
            <w:tcW w:w="2070"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57753C2E" w14:textId="77777777" w:rsidR="00826277" w:rsidRPr="00761845" w:rsidRDefault="00826277" w:rsidP="00B451D7">
            <w:pPr>
              <w:jc w:val="both"/>
              <w:rPr>
                <w:b/>
                <w:bCs/>
                <w:color w:val="000000" w:themeColor="text1"/>
                <w:sz w:val="20"/>
                <w:szCs w:val="20"/>
              </w:rPr>
            </w:pPr>
            <w:r w:rsidRPr="00761845">
              <w:rPr>
                <w:b/>
                <w:bCs/>
                <w:color w:val="000000" w:themeColor="text1"/>
                <w:sz w:val="20"/>
                <w:szCs w:val="20"/>
              </w:rPr>
              <w:t>Viable Strategies</w:t>
            </w:r>
          </w:p>
        </w:tc>
        <w:tc>
          <w:tcPr>
            <w:tcW w:w="198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792A17A" w14:textId="77777777" w:rsidR="00826277" w:rsidRPr="00761845" w:rsidRDefault="00826277" w:rsidP="00B451D7">
            <w:pPr>
              <w:jc w:val="both"/>
              <w:rPr>
                <w:b/>
                <w:bCs/>
                <w:color w:val="000000" w:themeColor="text1"/>
                <w:sz w:val="20"/>
                <w:szCs w:val="20"/>
              </w:rPr>
            </w:pPr>
            <w:r w:rsidRPr="00761845">
              <w:rPr>
                <w:b/>
                <w:bCs/>
                <w:color w:val="000000" w:themeColor="text1"/>
                <w:sz w:val="20"/>
                <w:szCs w:val="20"/>
              </w:rPr>
              <w:t>Expected Net Returns</w:t>
            </w:r>
          </w:p>
        </w:tc>
      </w:tr>
      <w:tr w:rsidR="00761845" w:rsidRPr="00761845" w14:paraId="743A2A54" w14:textId="77777777" w:rsidTr="00970DA5">
        <w:trPr>
          <w:trHeight w:val="376"/>
        </w:trPr>
        <w:tc>
          <w:tcPr>
            <w:tcW w:w="1520"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288B0120" w14:textId="77777777" w:rsidR="00826277" w:rsidRPr="00761845" w:rsidRDefault="00826277" w:rsidP="00B451D7">
            <w:pPr>
              <w:jc w:val="both"/>
              <w:rPr>
                <w:b/>
                <w:bCs/>
                <w:color w:val="000000" w:themeColor="text1"/>
                <w:sz w:val="20"/>
                <w:szCs w:val="20"/>
              </w:rPr>
            </w:pPr>
            <w:r w:rsidRPr="00761845">
              <w:rPr>
                <w:b/>
                <w:bCs/>
                <w:color w:val="000000" w:themeColor="text1"/>
                <w:sz w:val="20"/>
                <w:szCs w:val="20"/>
              </w:rPr>
              <w:t>&lt;$750</w:t>
            </w:r>
          </w:p>
        </w:tc>
        <w:tc>
          <w:tcPr>
            <w:tcW w:w="1980" w:type="dxa"/>
            <w:tcBorders>
              <w:top w:val="nil"/>
              <w:left w:val="nil"/>
              <w:bottom w:val="single" w:sz="4" w:space="0" w:color="auto"/>
              <w:right w:val="single" w:sz="4" w:space="0" w:color="auto"/>
            </w:tcBorders>
            <w:vAlign w:val="center"/>
            <w:hideMark/>
          </w:tcPr>
          <w:p w14:paraId="77B6F666" w14:textId="77777777" w:rsidR="00826277" w:rsidRPr="00761845" w:rsidRDefault="00826277" w:rsidP="00B451D7">
            <w:pPr>
              <w:jc w:val="both"/>
              <w:rPr>
                <w:color w:val="000000" w:themeColor="text1"/>
                <w:sz w:val="20"/>
                <w:szCs w:val="20"/>
              </w:rPr>
            </w:pPr>
            <w:r w:rsidRPr="00761845">
              <w:rPr>
                <w:color w:val="000000" w:themeColor="text1"/>
                <w:sz w:val="20"/>
                <w:szCs w:val="20"/>
              </w:rPr>
              <w:t>NONE</w:t>
            </w:r>
          </w:p>
        </w:tc>
        <w:tc>
          <w:tcPr>
            <w:tcW w:w="1710" w:type="dxa"/>
            <w:tcBorders>
              <w:top w:val="nil"/>
              <w:left w:val="nil"/>
              <w:bottom w:val="single" w:sz="4" w:space="0" w:color="auto"/>
              <w:right w:val="single" w:sz="4" w:space="0" w:color="auto"/>
            </w:tcBorders>
            <w:vAlign w:val="center"/>
            <w:hideMark/>
          </w:tcPr>
          <w:p w14:paraId="411795B9" w14:textId="77777777" w:rsidR="00826277" w:rsidRPr="00761845" w:rsidRDefault="00826277" w:rsidP="00B451D7">
            <w:pPr>
              <w:jc w:val="both"/>
              <w:rPr>
                <w:color w:val="000000" w:themeColor="text1"/>
                <w:sz w:val="20"/>
                <w:szCs w:val="20"/>
              </w:rPr>
            </w:pPr>
            <w:r w:rsidRPr="00761845">
              <w:rPr>
                <w:color w:val="000000" w:themeColor="text1"/>
                <w:sz w:val="20"/>
                <w:szCs w:val="20"/>
              </w:rPr>
              <w:t>N/A</w:t>
            </w:r>
          </w:p>
        </w:tc>
        <w:tc>
          <w:tcPr>
            <w:tcW w:w="2070" w:type="dxa"/>
            <w:tcBorders>
              <w:top w:val="nil"/>
              <w:left w:val="nil"/>
              <w:bottom w:val="single" w:sz="4" w:space="0" w:color="auto"/>
              <w:right w:val="single" w:sz="4" w:space="0" w:color="auto"/>
            </w:tcBorders>
            <w:vAlign w:val="center"/>
            <w:hideMark/>
          </w:tcPr>
          <w:p w14:paraId="40D7BEFC" w14:textId="77777777" w:rsidR="00826277" w:rsidRPr="00761845" w:rsidRDefault="00826277" w:rsidP="00B451D7">
            <w:pPr>
              <w:jc w:val="both"/>
              <w:rPr>
                <w:color w:val="000000" w:themeColor="text1"/>
                <w:sz w:val="20"/>
                <w:szCs w:val="20"/>
              </w:rPr>
            </w:pPr>
            <w:r w:rsidRPr="00761845">
              <w:rPr>
                <w:color w:val="000000" w:themeColor="text1"/>
                <w:sz w:val="20"/>
                <w:szCs w:val="20"/>
              </w:rPr>
              <w:t>No viable mechanisms</w:t>
            </w:r>
          </w:p>
        </w:tc>
        <w:tc>
          <w:tcPr>
            <w:tcW w:w="1980" w:type="dxa"/>
            <w:tcBorders>
              <w:top w:val="nil"/>
              <w:left w:val="nil"/>
              <w:bottom w:val="single" w:sz="4" w:space="0" w:color="auto"/>
              <w:right w:val="single" w:sz="8" w:space="0" w:color="auto"/>
            </w:tcBorders>
            <w:vAlign w:val="center"/>
            <w:hideMark/>
          </w:tcPr>
          <w:p w14:paraId="2FC6AF27" w14:textId="77777777" w:rsidR="00826277" w:rsidRPr="00761845" w:rsidRDefault="00826277" w:rsidP="00B451D7">
            <w:pPr>
              <w:jc w:val="both"/>
              <w:rPr>
                <w:color w:val="000000" w:themeColor="text1"/>
                <w:sz w:val="20"/>
                <w:szCs w:val="20"/>
              </w:rPr>
            </w:pPr>
            <w:r w:rsidRPr="00761845">
              <w:rPr>
                <w:color w:val="000000" w:themeColor="text1"/>
                <w:sz w:val="20"/>
                <w:szCs w:val="20"/>
              </w:rPr>
              <w:t>Guaranteed losses</w:t>
            </w:r>
          </w:p>
        </w:tc>
      </w:tr>
      <w:tr w:rsidR="00761845" w:rsidRPr="00761845" w14:paraId="2A107EA9" w14:textId="77777777" w:rsidTr="00970DA5">
        <w:trPr>
          <w:trHeight w:val="431"/>
        </w:trPr>
        <w:tc>
          <w:tcPr>
            <w:tcW w:w="1520"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7676DD6F" w14:textId="77777777" w:rsidR="00826277" w:rsidRPr="00761845" w:rsidRDefault="00826277" w:rsidP="00B451D7">
            <w:pPr>
              <w:jc w:val="both"/>
              <w:rPr>
                <w:b/>
                <w:bCs/>
                <w:color w:val="000000" w:themeColor="text1"/>
                <w:sz w:val="20"/>
                <w:szCs w:val="20"/>
              </w:rPr>
            </w:pPr>
            <w:r w:rsidRPr="00761845">
              <w:rPr>
                <w:b/>
                <w:bCs/>
                <w:color w:val="000000" w:themeColor="text1"/>
                <w:sz w:val="20"/>
                <w:szCs w:val="20"/>
              </w:rPr>
              <w:t>$750 - $3,500</w:t>
            </w:r>
          </w:p>
        </w:tc>
        <w:tc>
          <w:tcPr>
            <w:tcW w:w="1980" w:type="dxa"/>
            <w:tcBorders>
              <w:top w:val="nil"/>
              <w:left w:val="nil"/>
              <w:bottom w:val="single" w:sz="4" w:space="0" w:color="auto"/>
              <w:right w:val="single" w:sz="4" w:space="0" w:color="auto"/>
            </w:tcBorders>
            <w:vAlign w:val="center"/>
            <w:hideMark/>
          </w:tcPr>
          <w:p w14:paraId="4919F45E" w14:textId="77777777" w:rsidR="00826277" w:rsidRPr="00761845" w:rsidRDefault="00826277" w:rsidP="00B451D7">
            <w:pPr>
              <w:jc w:val="both"/>
              <w:rPr>
                <w:color w:val="000000" w:themeColor="text1"/>
                <w:sz w:val="20"/>
                <w:szCs w:val="20"/>
              </w:rPr>
            </w:pPr>
            <w:r w:rsidRPr="00761845">
              <w:rPr>
                <w:color w:val="000000" w:themeColor="text1"/>
                <w:sz w:val="20"/>
                <w:szCs w:val="20"/>
              </w:rPr>
              <w:t>Polygon, BSC (Alt L1 only)</w:t>
            </w:r>
          </w:p>
        </w:tc>
        <w:tc>
          <w:tcPr>
            <w:tcW w:w="1710" w:type="dxa"/>
            <w:tcBorders>
              <w:top w:val="nil"/>
              <w:left w:val="nil"/>
              <w:bottom w:val="single" w:sz="4" w:space="0" w:color="auto"/>
              <w:right w:val="single" w:sz="4" w:space="0" w:color="auto"/>
            </w:tcBorders>
            <w:vAlign w:val="center"/>
            <w:hideMark/>
          </w:tcPr>
          <w:p w14:paraId="03C09C89" w14:textId="77777777" w:rsidR="00826277" w:rsidRPr="00761845" w:rsidRDefault="00826277" w:rsidP="00B451D7">
            <w:pPr>
              <w:jc w:val="both"/>
              <w:rPr>
                <w:color w:val="000000" w:themeColor="text1"/>
                <w:sz w:val="20"/>
                <w:szCs w:val="20"/>
              </w:rPr>
            </w:pPr>
            <w:r w:rsidRPr="00761845">
              <w:rPr>
                <w:color w:val="000000" w:themeColor="text1"/>
                <w:sz w:val="20"/>
                <w:szCs w:val="20"/>
              </w:rPr>
              <w:t>$750 (±$250)</w:t>
            </w:r>
          </w:p>
        </w:tc>
        <w:tc>
          <w:tcPr>
            <w:tcW w:w="2070" w:type="dxa"/>
            <w:tcBorders>
              <w:top w:val="nil"/>
              <w:left w:val="nil"/>
              <w:bottom w:val="single" w:sz="4" w:space="0" w:color="auto"/>
              <w:right w:val="single" w:sz="4" w:space="0" w:color="auto"/>
            </w:tcBorders>
            <w:vAlign w:val="center"/>
            <w:hideMark/>
          </w:tcPr>
          <w:p w14:paraId="0F41D3D8" w14:textId="77777777" w:rsidR="00826277" w:rsidRPr="00761845" w:rsidRDefault="00826277" w:rsidP="00B451D7">
            <w:pPr>
              <w:jc w:val="both"/>
              <w:rPr>
                <w:color w:val="000000" w:themeColor="text1"/>
                <w:sz w:val="20"/>
                <w:szCs w:val="20"/>
              </w:rPr>
            </w:pPr>
            <w:proofErr w:type="gramStart"/>
            <w:r w:rsidRPr="00761845">
              <w:rPr>
                <w:color w:val="000000" w:themeColor="text1"/>
                <w:sz w:val="20"/>
                <w:szCs w:val="20"/>
              </w:rPr>
              <w:t>Wide-range</w:t>
            </w:r>
            <w:proofErr w:type="gramEnd"/>
            <w:r w:rsidRPr="00761845">
              <w:rPr>
                <w:color w:val="000000" w:themeColor="text1"/>
                <w:sz w:val="20"/>
                <w:szCs w:val="20"/>
              </w:rPr>
              <w:t xml:space="preserve"> stablecoin LP only</w:t>
            </w:r>
          </w:p>
        </w:tc>
        <w:tc>
          <w:tcPr>
            <w:tcW w:w="1980" w:type="dxa"/>
            <w:tcBorders>
              <w:top w:val="nil"/>
              <w:left w:val="nil"/>
              <w:bottom w:val="single" w:sz="4" w:space="0" w:color="auto"/>
              <w:right w:val="single" w:sz="8" w:space="0" w:color="auto"/>
            </w:tcBorders>
            <w:vAlign w:val="center"/>
            <w:hideMark/>
          </w:tcPr>
          <w:p w14:paraId="6B68AF0D" w14:textId="77777777" w:rsidR="00826277" w:rsidRPr="00761845" w:rsidRDefault="00826277" w:rsidP="00B451D7">
            <w:pPr>
              <w:jc w:val="both"/>
              <w:rPr>
                <w:color w:val="000000" w:themeColor="text1"/>
                <w:sz w:val="20"/>
                <w:szCs w:val="20"/>
              </w:rPr>
            </w:pPr>
            <w:r w:rsidRPr="00761845">
              <w:rPr>
                <w:color w:val="000000" w:themeColor="text1"/>
                <w:sz w:val="20"/>
                <w:szCs w:val="20"/>
              </w:rPr>
              <w:t>4-6% annually</w:t>
            </w:r>
          </w:p>
        </w:tc>
      </w:tr>
      <w:tr w:rsidR="00761845" w:rsidRPr="00761845" w14:paraId="0184DD69" w14:textId="77777777" w:rsidTr="00970DA5">
        <w:trPr>
          <w:trHeight w:val="593"/>
        </w:trPr>
        <w:tc>
          <w:tcPr>
            <w:tcW w:w="1520"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55D7D350" w14:textId="77777777" w:rsidR="00826277" w:rsidRPr="00761845" w:rsidRDefault="00826277" w:rsidP="00B451D7">
            <w:pPr>
              <w:jc w:val="both"/>
              <w:rPr>
                <w:b/>
                <w:bCs/>
                <w:color w:val="000000" w:themeColor="text1"/>
                <w:sz w:val="20"/>
                <w:szCs w:val="20"/>
              </w:rPr>
            </w:pPr>
            <w:r w:rsidRPr="00761845">
              <w:rPr>
                <w:b/>
                <w:bCs/>
                <w:color w:val="000000" w:themeColor="text1"/>
                <w:sz w:val="20"/>
                <w:szCs w:val="20"/>
              </w:rPr>
              <w:t>$3,500 - $25,000</w:t>
            </w:r>
          </w:p>
        </w:tc>
        <w:tc>
          <w:tcPr>
            <w:tcW w:w="1980" w:type="dxa"/>
            <w:tcBorders>
              <w:top w:val="nil"/>
              <w:left w:val="nil"/>
              <w:bottom w:val="single" w:sz="4" w:space="0" w:color="auto"/>
              <w:right w:val="single" w:sz="4" w:space="0" w:color="auto"/>
            </w:tcBorders>
            <w:vAlign w:val="center"/>
            <w:hideMark/>
          </w:tcPr>
          <w:p w14:paraId="53D28D90" w14:textId="77777777" w:rsidR="00826277" w:rsidRPr="00761845" w:rsidRDefault="00826277" w:rsidP="00B451D7">
            <w:pPr>
              <w:jc w:val="both"/>
              <w:rPr>
                <w:color w:val="000000" w:themeColor="text1"/>
                <w:sz w:val="20"/>
                <w:szCs w:val="20"/>
              </w:rPr>
            </w:pPr>
            <w:r w:rsidRPr="00761845">
              <w:rPr>
                <w:color w:val="000000" w:themeColor="text1"/>
                <w:sz w:val="20"/>
                <w:szCs w:val="20"/>
              </w:rPr>
              <w:t>Layer 2 (</w:t>
            </w:r>
            <w:proofErr w:type="spellStart"/>
            <w:r w:rsidRPr="00761845">
              <w:rPr>
                <w:color w:val="000000" w:themeColor="text1"/>
                <w:sz w:val="20"/>
                <w:szCs w:val="20"/>
              </w:rPr>
              <w:t>Arbitrum</w:t>
            </w:r>
            <w:proofErr w:type="spellEnd"/>
            <w:r w:rsidRPr="00761845">
              <w:rPr>
                <w:color w:val="000000" w:themeColor="text1"/>
                <w:sz w:val="20"/>
                <w:szCs w:val="20"/>
              </w:rPr>
              <w:t>, Optimism)</w:t>
            </w:r>
          </w:p>
        </w:tc>
        <w:tc>
          <w:tcPr>
            <w:tcW w:w="1710" w:type="dxa"/>
            <w:tcBorders>
              <w:top w:val="nil"/>
              <w:left w:val="nil"/>
              <w:bottom w:val="single" w:sz="4" w:space="0" w:color="auto"/>
              <w:right w:val="single" w:sz="4" w:space="0" w:color="auto"/>
            </w:tcBorders>
            <w:vAlign w:val="center"/>
            <w:hideMark/>
          </w:tcPr>
          <w:p w14:paraId="4F8D9D8F" w14:textId="77777777" w:rsidR="00826277" w:rsidRPr="00761845" w:rsidRDefault="00826277" w:rsidP="00B451D7">
            <w:pPr>
              <w:jc w:val="both"/>
              <w:rPr>
                <w:color w:val="000000" w:themeColor="text1"/>
                <w:sz w:val="20"/>
                <w:szCs w:val="20"/>
              </w:rPr>
            </w:pPr>
            <w:r w:rsidRPr="00761845">
              <w:rPr>
                <w:color w:val="000000" w:themeColor="text1"/>
                <w:sz w:val="20"/>
                <w:szCs w:val="20"/>
              </w:rPr>
              <w:t>$3,500 (±$1,000)</w:t>
            </w:r>
          </w:p>
        </w:tc>
        <w:tc>
          <w:tcPr>
            <w:tcW w:w="2070" w:type="dxa"/>
            <w:tcBorders>
              <w:top w:val="nil"/>
              <w:left w:val="nil"/>
              <w:bottom w:val="single" w:sz="4" w:space="0" w:color="auto"/>
              <w:right w:val="single" w:sz="4" w:space="0" w:color="auto"/>
            </w:tcBorders>
            <w:vAlign w:val="center"/>
            <w:hideMark/>
          </w:tcPr>
          <w:p w14:paraId="06E26566" w14:textId="77777777" w:rsidR="00826277" w:rsidRPr="00761845" w:rsidRDefault="00826277" w:rsidP="00B451D7">
            <w:pPr>
              <w:jc w:val="both"/>
              <w:rPr>
                <w:color w:val="000000" w:themeColor="text1"/>
                <w:sz w:val="20"/>
                <w:szCs w:val="20"/>
              </w:rPr>
            </w:pPr>
            <w:r w:rsidRPr="00761845">
              <w:rPr>
                <w:color w:val="000000" w:themeColor="text1"/>
                <w:sz w:val="20"/>
                <w:szCs w:val="20"/>
              </w:rPr>
              <w:t>Stablecoin LP, Correlated pairs LP</w:t>
            </w:r>
          </w:p>
        </w:tc>
        <w:tc>
          <w:tcPr>
            <w:tcW w:w="1980" w:type="dxa"/>
            <w:tcBorders>
              <w:top w:val="nil"/>
              <w:left w:val="nil"/>
              <w:bottom w:val="single" w:sz="4" w:space="0" w:color="auto"/>
              <w:right w:val="single" w:sz="8" w:space="0" w:color="auto"/>
            </w:tcBorders>
            <w:vAlign w:val="center"/>
            <w:hideMark/>
          </w:tcPr>
          <w:p w14:paraId="3658A37E" w14:textId="77777777" w:rsidR="00826277" w:rsidRPr="00761845" w:rsidRDefault="00826277" w:rsidP="00B451D7">
            <w:pPr>
              <w:jc w:val="both"/>
              <w:rPr>
                <w:color w:val="000000" w:themeColor="text1"/>
                <w:sz w:val="20"/>
                <w:szCs w:val="20"/>
              </w:rPr>
            </w:pPr>
            <w:r w:rsidRPr="00761845">
              <w:rPr>
                <w:color w:val="000000" w:themeColor="text1"/>
                <w:sz w:val="20"/>
                <w:szCs w:val="20"/>
              </w:rPr>
              <w:t>4-12% annually</w:t>
            </w:r>
          </w:p>
        </w:tc>
      </w:tr>
      <w:tr w:rsidR="00761845" w:rsidRPr="00186FE1" w14:paraId="672ACCE3" w14:textId="77777777" w:rsidTr="00970DA5">
        <w:trPr>
          <w:trHeight w:val="530"/>
        </w:trPr>
        <w:tc>
          <w:tcPr>
            <w:tcW w:w="152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612EC74E" w14:textId="77777777" w:rsidR="00826277" w:rsidRPr="00186FE1" w:rsidRDefault="00826277" w:rsidP="00B451D7">
            <w:pPr>
              <w:jc w:val="both"/>
              <w:rPr>
                <w:b/>
                <w:bCs/>
                <w:color w:val="000000" w:themeColor="text1"/>
              </w:rPr>
            </w:pPr>
            <w:r w:rsidRPr="00186FE1">
              <w:rPr>
                <w:b/>
                <w:bCs/>
                <w:color w:val="000000" w:themeColor="text1"/>
              </w:rPr>
              <w:t>$25,000+</w:t>
            </w:r>
          </w:p>
        </w:tc>
        <w:tc>
          <w:tcPr>
            <w:tcW w:w="1980" w:type="dxa"/>
            <w:tcBorders>
              <w:top w:val="nil"/>
              <w:left w:val="nil"/>
              <w:bottom w:val="single" w:sz="8" w:space="0" w:color="auto"/>
              <w:right w:val="single" w:sz="4" w:space="0" w:color="auto"/>
            </w:tcBorders>
            <w:vAlign w:val="center"/>
            <w:hideMark/>
          </w:tcPr>
          <w:p w14:paraId="5AA0E416" w14:textId="77777777" w:rsidR="00826277" w:rsidRPr="00186FE1" w:rsidRDefault="00826277" w:rsidP="00B451D7">
            <w:pPr>
              <w:jc w:val="both"/>
              <w:rPr>
                <w:color w:val="000000" w:themeColor="text1"/>
              </w:rPr>
            </w:pPr>
            <w:r w:rsidRPr="00186FE1">
              <w:rPr>
                <w:color w:val="000000" w:themeColor="text1"/>
              </w:rPr>
              <w:t xml:space="preserve">Ethereum </w:t>
            </w:r>
            <w:proofErr w:type="spellStart"/>
            <w:r w:rsidRPr="00186FE1">
              <w:rPr>
                <w:color w:val="000000" w:themeColor="text1"/>
              </w:rPr>
              <w:t>Mainnet</w:t>
            </w:r>
            <w:proofErr w:type="spellEnd"/>
            <w:r w:rsidRPr="00186FE1">
              <w:rPr>
                <w:color w:val="000000" w:themeColor="text1"/>
              </w:rPr>
              <w:t xml:space="preserve"> + </w:t>
            </w:r>
            <w:proofErr w:type="gramStart"/>
            <w:r w:rsidRPr="00186FE1">
              <w:rPr>
                <w:color w:val="000000" w:themeColor="text1"/>
              </w:rPr>
              <w:t>Multi-network</w:t>
            </w:r>
            <w:proofErr w:type="gramEnd"/>
          </w:p>
        </w:tc>
        <w:tc>
          <w:tcPr>
            <w:tcW w:w="1710" w:type="dxa"/>
            <w:tcBorders>
              <w:top w:val="nil"/>
              <w:left w:val="nil"/>
              <w:bottom w:val="single" w:sz="8" w:space="0" w:color="auto"/>
              <w:right w:val="single" w:sz="4" w:space="0" w:color="auto"/>
            </w:tcBorders>
            <w:vAlign w:val="center"/>
            <w:hideMark/>
          </w:tcPr>
          <w:p w14:paraId="695B02BF" w14:textId="77777777" w:rsidR="00826277" w:rsidRPr="00186FE1" w:rsidRDefault="00826277" w:rsidP="00B451D7">
            <w:pPr>
              <w:jc w:val="both"/>
              <w:rPr>
                <w:color w:val="000000" w:themeColor="text1"/>
              </w:rPr>
            </w:pPr>
            <w:r w:rsidRPr="00186FE1">
              <w:rPr>
                <w:color w:val="000000" w:themeColor="text1"/>
              </w:rPr>
              <w:t>$25,000 ($18K-$31K range)</w:t>
            </w:r>
          </w:p>
        </w:tc>
        <w:tc>
          <w:tcPr>
            <w:tcW w:w="2070" w:type="dxa"/>
            <w:tcBorders>
              <w:top w:val="nil"/>
              <w:left w:val="nil"/>
              <w:bottom w:val="single" w:sz="8" w:space="0" w:color="auto"/>
              <w:right w:val="single" w:sz="4" w:space="0" w:color="auto"/>
            </w:tcBorders>
            <w:vAlign w:val="center"/>
            <w:hideMark/>
          </w:tcPr>
          <w:p w14:paraId="638542A9" w14:textId="77777777" w:rsidR="00826277" w:rsidRPr="00186FE1" w:rsidRDefault="00826277" w:rsidP="00B451D7">
            <w:pPr>
              <w:jc w:val="both"/>
              <w:rPr>
                <w:color w:val="000000" w:themeColor="text1"/>
              </w:rPr>
            </w:pPr>
            <w:r w:rsidRPr="00186FE1">
              <w:rPr>
                <w:color w:val="000000" w:themeColor="text1"/>
              </w:rPr>
              <w:t>Multi-protocol, Active management</w:t>
            </w:r>
          </w:p>
        </w:tc>
        <w:tc>
          <w:tcPr>
            <w:tcW w:w="1980" w:type="dxa"/>
            <w:tcBorders>
              <w:top w:val="nil"/>
              <w:left w:val="nil"/>
              <w:bottom w:val="single" w:sz="8" w:space="0" w:color="auto"/>
              <w:right w:val="single" w:sz="8" w:space="0" w:color="auto"/>
            </w:tcBorders>
            <w:vAlign w:val="center"/>
            <w:hideMark/>
          </w:tcPr>
          <w:p w14:paraId="0A5B2F1B" w14:textId="77777777" w:rsidR="00826277" w:rsidRPr="00186FE1" w:rsidRDefault="00826277" w:rsidP="00B451D7">
            <w:pPr>
              <w:jc w:val="both"/>
              <w:rPr>
                <w:color w:val="000000" w:themeColor="text1"/>
              </w:rPr>
            </w:pPr>
            <w:r w:rsidRPr="00186FE1">
              <w:rPr>
                <w:color w:val="000000" w:themeColor="text1"/>
              </w:rPr>
              <w:t>8-14% annually</w:t>
            </w:r>
          </w:p>
        </w:tc>
      </w:tr>
    </w:tbl>
    <w:p w14:paraId="2ED83E56" w14:textId="1B83535E" w:rsidR="00826277" w:rsidRPr="00577265" w:rsidRDefault="00970DA5" w:rsidP="00B451D7">
      <w:pPr>
        <w:pStyle w:val="whitespace-normal"/>
        <w:spacing w:before="0" w:beforeAutospacing="0" w:after="0" w:afterAutospacing="0"/>
        <w:jc w:val="both"/>
        <w:rPr>
          <w:b/>
          <w:bCs/>
          <w:i/>
          <w:iCs/>
          <w:color w:val="000000" w:themeColor="text1"/>
          <w:sz w:val="22"/>
          <w:szCs w:val="22"/>
        </w:rPr>
      </w:pPr>
      <w:r w:rsidRPr="00577265">
        <w:rPr>
          <w:rStyle w:val="Strong"/>
          <w:b w:val="0"/>
          <w:bCs w:val="0"/>
          <w:i/>
          <w:iCs/>
          <w:color w:val="000000" w:themeColor="text1"/>
          <w:sz w:val="22"/>
          <w:szCs w:val="22"/>
        </w:rPr>
        <w:lastRenderedPageBreak/>
        <w:t>Note:</w:t>
      </w:r>
      <w:r w:rsidRPr="00577265">
        <w:rPr>
          <w:b/>
          <w:bCs/>
          <w:i/>
          <w:iCs/>
          <w:color w:val="000000" w:themeColor="text1"/>
          <w:sz w:val="22"/>
          <w:szCs w:val="22"/>
        </w:rPr>
        <w:t xml:space="preserve"> </w:t>
      </w:r>
      <w:r w:rsidRPr="00577265">
        <w:rPr>
          <w:i/>
          <w:iCs/>
          <w:color w:val="000000" w:themeColor="text1"/>
          <w:sz w:val="22"/>
          <w:szCs w:val="22"/>
        </w:rPr>
        <w:t>Break-even analysis from 156 tracked positions (2020-2024). Thresholds represent mathematical relationship between fixed costs and fee generation rates.</w:t>
      </w:r>
    </w:p>
    <w:p w14:paraId="690D2CEB" w14:textId="77777777" w:rsidR="00705E38" w:rsidRPr="005A3B19" w:rsidRDefault="00705E38" w:rsidP="00B451D7">
      <w:pPr>
        <w:pStyle w:val="whitespace-normal"/>
        <w:spacing w:before="0" w:beforeAutospacing="0" w:after="0" w:afterAutospacing="0"/>
        <w:jc w:val="both"/>
        <w:rPr>
          <w:color w:val="000000" w:themeColor="text1"/>
        </w:rPr>
      </w:pPr>
    </w:p>
    <w:p w14:paraId="162D84BA" w14:textId="7E30FE34" w:rsidR="00CD3A55" w:rsidRPr="005A3B19" w:rsidRDefault="00CD3A55" w:rsidP="00B451D7">
      <w:pPr>
        <w:jc w:val="both"/>
        <w:rPr>
          <w:color w:val="000000" w:themeColor="text1"/>
          <w:kern w:val="2"/>
        </w:rPr>
      </w:pPr>
      <w:r w:rsidRPr="005A3B19">
        <w:rPr>
          <w:color w:val="000000" w:themeColor="text1"/>
          <w:kern w:val="2"/>
        </w:rPr>
        <w:t>Table 3.</w:t>
      </w:r>
      <w:r w:rsidR="00577265">
        <w:rPr>
          <w:color w:val="000000" w:themeColor="text1"/>
          <w:kern w:val="2"/>
        </w:rPr>
        <w:t>E</w:t>
      </w:r>
      <w:r w:rsidRPr="005A3B19">
        <w:rPr>
          <w:color w:val="000000" w:themeColor="text1"/>
          <w:kern w:val="2"/>
        </w:rPr>
        <w:t xml:space="preserve"> quantifies impermanent </w:t>
      </w:r>
      <w:proofErr w:type="gramStart"/>
      <w:r w:rsidRPr="005A3B19">
        <w:rPr>
          <w:color w:val="000000" w:themeColor="text1"/>
          <w:kern w:val="2"/>
        </w:rPr>
        <w:t>los</w:t>
      </w:r>
      <w:r w:rsidR="005A3B19" w:rsidRPr="005A3B19">
        <w:rPr>
          <w:color w:val="000000" w:themeColor="text1"/>
          <w:kern w:val="2"/>
        </w:rPr>
        <w:t>es</w:t>
      </w:r>
      <w:proofErr w:type="gramEnd"/>
      <w:r w:rsidR="005A3B19" w:rsidRPr="005A3B19">
        <w:rPr>
          <w:color w:val="000000" w:themeColor="text1"/>
          <w:kern w:val="2"/>
        </w:rPr>
        <w:t xml:space="preserve"> </w:t>
      </w:r>
      <w:r w:rsidRPr="005A3B19">
        <w:rPr>
          <w:color w:val="000000" w:themeColor="text1"/>
          <w:kern w:val="2"/>
        </w:rPr>
        <w:t>across realistic price divergence scenarios</w:t>
      </w:r>
      <w:r w:rsidR="005A3B19" w:rsidRPr="005A3B19">
        <w:rPr>
          <w:color w:val="000000" w:themeColor="text1"/>
          <w:kern w:val="2"/>
        </w:rPr>
        <w:t xml:space="preserve"> and </w:t>
      </w:r>
      <w:r w:rsidRPr="005A3B19">
        <w:rPr>
          <w:color w:val="000000" w:themeColor="text1"/>
          <w:kern w:val="2"/>
        </w:rPr>
        <w:t>provid</w:t>
      </w:r>
      <w:r w:rsidR="005A3B19" w:rsidRPr="005A3B19">
        <w:rPr>
          <w:color w:val="000000" w:themeColor="text1"/>
          <w:kern w:val="2"/>
        </w:rPr>
        <w:t>es overview of the</w:t>
      </w:r>
      <w:r w:rsidRPr="005A3B19">
        <w:rPr>
          <w:color w:val="000000" w:themeColor="text1"/>
          <w:kern w:val="2"/>
        </w:rPr>
        <w:t xml:space="preserve"> empirical benchmarks for the IL exposure </w:t>
      </w:r>
      <w:r w:rsidR="005A3B19" w:rsidRPr="005A3B19">
        <w:rPr>
          <w:color w:val="000000" w:themeColor="text1"/>
          <w:kern w:val="2"/>
        </w:rPr>
        <w:t>which</w:t>
      </w:r>
      <w:r w:rsidRPr="005A3B19">
        <w:rPr>
          <w:color w:val="000000" w:themeColor="text1"/>
          <w:kern w:val="2"/>
        </w:rPr>
        <w:t xml:space="preserve"> eliminated 89% of </w:t>
      </w:r>
      <w:r w:rsidR="005A3B19" w:rsidRPr="005A3B19">
        <w:rPr>
          <w:color w:val="000000" w:themeColor="text1"/>
          <w:kern w:val="2"/>
        </w:rPr>
        <w:t xml:space="preserve">the </w:t>
      </w:r>
      <w:r w:rsidRPr="005A3B19">
        <w:rPr>
          <w:color w:val="000000" w:themeColor="text1"/>
          <w:kern w:val="2"/>
        </w:rPr>
        <w:t>participants who failed to understand these mechanics.</w:t>
      </w:r>
    </w:p>
    <w:p w14:paraId="1BE0B140" w14:textId="77777777" w:rsidR="00CD3A55" w:rsidRPr="00186FE1" w:rsidRDefault="00CD3A55" w:rsidP="00B451D7">
      <w:pPr>
        <w:pStyle w:val="whitespace-normal"/>
        <w:spacing w:before="0" w:beforeAutospacing="0" w:after="0" w:afterAutospacing="0"/>
        <w:jc w:val="both"/>
        <w:rPr>
          <w:color w:val="FF0000"/>
        </w:rPr>
      </w:pPr>
    </w:p>
    <w:p w14:paraId="5A3AE899" w14:textId="251D5948" w:rsidR="00CD3A55" w:rsidRPr="00D70F1D" w:rsidRDefault="00CD3A55" w:rsidP="00B451D7">
      <w:pPr>
        <w:pStyle w:val="Heading3"/>
        <w:jc w:val="both"/>
        <w:rPr>
          <w:color w:val="000000" w:themeColor="text1"/>
        </w:rPr>
      </w:pPr>
      <w:bookmarkStart w:id="57" w:name="_Toc214721863"/>
      <w:r w:rsidRPr="00D70F1D">
        <w:rPr>
          <w:color w:val="000000" w:themeColor="text1"/>
        </w:rPr>
        <w:t>Table 3.</w:t>
      </w:r>
      <w:r w:rsidR="00C5607F">
        <w:rPr>
          <w:color w:val="000000" w:themeColor="text1"/>
        </w:rPr>
        <w:t>E</w:t>
      </w:r>
      <w:r w:rsidRPr="00D70F1D">
        <w:rPr>
          <w:color w:val="000000" w:themeColor="text1"/>
        </w:rPr>
        <w:t>: Impermanent Loss Quantification Matrix</w:t>
      </w:r>
      <w:bookmarkEnd w:id="57"/>
      <w:r w:rsidRPr="00D70F1D">
        <w:rPr>
          <w:color w:val="000000" w:themeColor="text1"/>
        </w:rPr>
        <w:t xml:space="preserve"> </w:t>
      </w:r>
    </w:p>
    <w:p w14:paraId="5506037E" w14:textId="77777777" w:rsidR="00CD3A55" w:rsidRPr="00186FE1" w:rsidRDefault="00CD3A55" w:rsidP="00B451D7">
      <w:pPr>
        <w:pStyle w:val="whitespace-normal"/>
        <w:spacing w:before="0" w:beforeAutospacing="0" w:after="0" w:afterAutospacing="0"/>
        <w:jc w:val="both"/>
        <w:rPr>
          <w:color w:val="000000" w:themeColor="text1"/>
        </w:rPr>
      </w:pPr>
    </w:p>
    <w:tbl>
      <w:tblPr>
        <w:tblW w:w="9260" w:type="dxa"/>
        <w:tblLook w:val="04A0" w:firstRow="1" w:lastRow="0" w:firstColumn="1" w:lastColumn="0" w:noHBand="0" w:noVBand="1"/>
      </w:tblPr>
      <w:tblGrid>
        <w:gridCol w:w="1350"/>
        <w:gridCol w:w="1127"/>
        <w:gridCol w:w="1194"/>
        <w:gridCol w:w="1516"/>
        <w:gridCol w:w="1283"/>
        <w:gridCol w:w="1060"/>
        <w:gridCol w:w="1730"/>
      </w:tblGrid>
      <w:tr w:rsidR="00B84EFD" w:rsidRPr="00B84EFD" w14:paraId="74BA7E45" w14:textId="77777777" w:rsidTr="00B84EFD">
        <w:trPr>
          <w:trHeight w:val="1160"/>
        </w:trPr>
        <w:tc>
          <w:tcPr>
            <w:tcW w:w="135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bottom"/>
            <w:hideMark/>
          </w:tcPr>
          <w:p w14:paraId="60DFF8EB" w14:textId="77777777" w:rsidR="00CD3A55" w:rsidRPr="00B84EFD" w:rsidRDefault="00CD3A55" w:rsidP="00B451D7">
            <w:pPr>
              <w:jc w:val="both"/>
              <w:rPr>
                <w:b/>
                <w:bCs/>
                <w:color w:val="000000"/>
                <w:sz w:val="20"/>
                <w:szCs w:val="20"/>
              </w:rPr>
            </w:pPr>
            <w:r w:rsidRPr="00B84EFD">
              <w:rPr>
                <w:b/>
                <w:bCs/>
                <w:color w:val="000000"/>
                <w:sz w:val="20"/>
                <w:szCs w:val="20"/>
              </w:rPr>
              <w:t xml:space="preserve">Pattern </w:t>
            </w:r>
            <w:r w:rsidRPr="00B84EFD">
              <w:rPr>
                <w:b/>
                <w:bCs/>
                <w:color w:val="000000"/>
                <w:sz w:val="20"/>
                <w:szCs w:val="20"/>
              </w:rPr>
              <w:br/>
              <w:t>Type</w:t>
            </w:r>
          </w:p>
        </w:tc>
        <w:tc>
          <w:tcPr>
            <w:tcW w:w="1127" w:type="dxa"/>
            <w:tcBorders>
              <w:top w:val="single" w:sz="8" w:space="0" w:color="auto"/>
              <w:left w:val="nil"/>
              <w:bottom w:val="single" w:sz="8" w:space="0" w:color="auto"/>
              <w:right w:val="single" w:sz="4" w:space="0" w:color="auto"/>
            </w:tcBorders>
            <w:shd w:val="clear" w:color="auto" w:fill="D9D9D9" w:themeFill="background1" w:themeFillShade="D9"/>
            <w:vAlign w:val="bottom"/>
            <w:hideMark/>
          </w:tcPr>
          <w:p w14:paraId="0B5D30DB" w14:textId="77777777" w:rsidR="00CD3A55" w:rsidRPr="00B84EFD" w:rsidRDefault="00CD3A55" w:rsidP="00B451D7">
            <w:pPr>
              <w:jc w:val="both"/>
              <w:rPr>
                <w:b/>
                <w:bCs/>
                <w:color w:val="000000"/>
                <w:sz w:val="20"/>
                <w:szCs w:val="20"/>
              </w:rPr>
            </w:pPr>
            <w:r w:rsidRPr="00B84EFD">
              <w:rPr>
                <w:b/>
                <w:bCs/>
                <w:color w:val="000000"/>
                <w:sz w:val="20"/>
                <w:szCs w:val="20"/>
              </w:rPr>
              <w:t xml:space="preserve">Frequency </w:t>
            </w:r>
            <w:r w:rsidRPr="00B84EFD">
              <w:rPr>
                <w:b/>
                <w:bCs/>
                <w:color w:val="000000"/>
                <w:sz w:val="20"/>
                <w:szCs w:val="20"/>
              </w:rPr>
              <w:br/>
              <w:t>(% positions)</w:t>
            </w:r>
          </w:p>
        </w:tc>
        <w:tc>
          <w:tcPr>
            <w:tcW w:w="1194" w:type="dxa"/>
            <w:tcBorders>
              <w:top w:val="single" w:sz="8" w:space="0" w:color="auto"/>
              <w:left w:val="nil"/>
              <w:bottom w:val="single" w:sz="8" w:space="0" w:color="auto"/>
              <w:right w:val="single" w:sz="4" w:space="0" w:color="auto"/>
            </w:tcBorders>
            <w:shd w:val="clear" w:color="auto" w:fill="D9D9D9" w:themeFill="background1" w:themeFillShade="D9"/>
            <w:vAlign w:val="bottom"/>
            <w:hideMark/>
          </w:tcPr>
          <w:p w14:paraId="1128011A" w14:textId="77777777" w:rsidR="00CD3A55" w:rsidRPr="00B84EFD" w:rsidRDefault="00CD3A55" w:rsidP="00B451D7">
            <w:pPr>
              <w:jc w:val="both"/>
              <w:rPr>
                <w:b/>
                <w:bCs/>
                <w:color w:val="000000"/>
                <w:sz w:val="20"/>
                <w:szCs w:val="20"/>
              </w:rPr>
            </w:pPr>
            <w:r w:rsidRPr="00B84EFD">
              <w:rPr>
                <w:b/>
                <w:bCs/>
                <w:color w:val="000000"/>
                <w:sz w:val="20"/>
                <w:szCs w:val="20"/>
              </w:rPr>
              <w:t>Strategy Association</w:t>
            </w:r>
          </w:p>
        </w:tc>
        <w:tc>
          <w:tcPr>
            <w:tcW w:w="1516" w:type="dxa"/>
            <w:tcBorders>
              <w:top w:val="single" w:sz="8" w:space="0" w:color="auto"/>
              <w:left w:val="nil"/>
              <w:bottom w:val="single" w:sz="8" w:space="0" w:color="auto"/>
              <w:right w:val="single" w:sz="4" w:space="0" w:color="auto"/>
            </w:tcBorders>
            <w:shd w:val="clear" w:color="auto" w:fill="D9D9D9" w:themeFill="background1" w:themeFillShade="D9"/>
            <w:vAlign w:val="bottom"/>
            <w:hideMark/>
          </w:tcPr>
          <w:p w14:paraId="46BEF71F" w14:textId="77777777" w:rsidR="00CD3A55" w:rsidRPr="00B84EFD" w:rsidRDefault="00CD3A55" w:rsidP="00B451D7">
            <w:pPr>
              <w:jc w:val="both"/>
              <w:rPr>
                <w:b/>
                <w:bCs/>
                <w:color w:val="000000"/>
                <w:sz w:val="20"/>
                <w:szCs w:val="20"/>
              </w:rPr>
            </w:pPr>
            <w:r w:rsidRPr="00B84EFD">
              <w:rPr>
                <w:b/>
                <w:bCs/>
                <w:color w:val="000000"/>
                <w:sz w:val="20"/>
                <w:szCs w:val="20"/>
              </w:rPr>
              <w:t xml:space="preserve">Quarterly Return </w:t>
            </w:r>
            <w:r w:rsidRPr="00B84EFD">
              <w:rPr>
                <w:b/>
                <w:bCs/>
                <w:color w:val="000000"/>
                <w:sz w:val="20"/>
                <w:szCs w:val="20"/>
              </w:rPr>
              <w:br/>
              <w:t>Characteristics</w:t>
            </w:r>
          </w:p>
        </w:tc>
        <w:tc>
          <w:tcPr>
            <w:tcW w:w="1283" w:type="dxa"/>
            <w:tcBorders>
              <w:top w:val="single" w:sz="8" w:space="0" w:color="auto"/>
              <w:left w:val="nil"/>
              <w:bottom w:val="single" w:sz="8" w:space="0" w:color="auto"/>
              <w:right w:val="single" w:sz="4" w:space="0" w:color="auto"/>
            </w:tcBorders>
            <w:shd w:val="clear" w:color="auto" w:fill="D9D9D9" w:themeFill="background1" w:themeFillShade="D9"/>
            <w:vAlign w:val="bottom"/>
            <w:hideMark/>
          </w:tcPr>
          <w:p w14:paraId="271B2E57" w14:textId="77777777" w:rsidR="00CD3A55" w:rsidRPr="00B84EFD" w:rsidRDefault="00CD3A55" w:rsidP="00B451D7">
            <w:pPr>
              <w:jc w:val="both"/>
              <w:rPr>
                <w:b/>
                <w:bCs/>
                <w:color w:val="000000"/>
                <w:sz w:val="20"/>
                <w:szCs w:val="20"/>
              </w:rPr>
            </w:pPr>
            <w:r w:rsidRPr="00B84EFD">
              <w:rPr>
                <w:b/>
                <w:bCs/>
                <w:color w:val="000000"/>
                <w:sz w:val="20"/>
                <w:szCs w:val="20"/>
              </w:rPr>
              <w:t>Risk Profile</w:t>
            </w:r>
          </w:p>
        </w:tc>
        <w:tc>
          <w:tcPr>
            <w:tcW w:w="1060" w:type="dxa"/>
            <w:tcBorders>
              <w:top w:val="single" w:sz="8" w:space="0" w:color="auto"/>
              <w:left w:val="nil"/>
              <w:bottom w:val="single" w:sz="8" w:space="0" w:color="auto"/>
              <w:right w:val="single" w:sz="4" w:space="0" w:color="auto"/>
            </w:tcBorders>
            <w:shd w:val="clear" w:color="auto" w:fill="D9D9D9" w:themeFill="background1" w:themeFillShade="D9"/>
            <w:vAlign w:val="bottom"/>
            <w:hideMark/>
          </w:tcPr>
          <w:p w14:paraId="58CD7D6C" w14:textId="77777777" w:rsidR="00CD3A55" w:rsidRPr="00B84EFD" w:rsidRDefault="00CD3A55" w:rsidP="00B451D7">
            <w:pPr>
              <w:jc w:val="both"/>
              <w:rPr>
                <w:b/>
                <w:bCs/>
                <w:color w:val="000000"/>
                <w:sz w:val="20"/>
                <w:szCs w:val="20"/>
              </w:rPr>
            </w:pPr>
            <w:r w:rsidRPr="00B84EFD">
              <w:rPr>
                <w:b/>
                <w:bCs/>
                <w:color w:val="000000"/>
                <w:sz w:val="20"/>
                <w:szCs w:val="20"/>
              </w:rPr>
              <w:t xml:space="preserve">Capital Recovery </w:t>
            </w:r>
            <w:r w:rsidRPr="00B84EFD">
              <w:rPr>
                <w:b/>
                <w:bCs/>
                <w:color w:val="000000"/>
                <w:sz w:val="20"/>
                <w:szCs w:val="20"/>
              </w:rPr>
              <w:br/>
              <w:t>After Loss</w:t>
            </w:r>
          </w:p>
        </w:tc>
        <w:tc>
          <w:tcPr>
            <w:tcW w:w="1730" w:type="dxa"/>
            <w:tcBorders>
              <w:top w:val="single" w:sz="8" w:space="0" w:color="auto"/>
              <w:left w:val="nil"/>
              <w:bottom w:val="single" w:sz="8" w:space="0" w:color="auto"/>
              <w:right w:val="single" w:sz="8" w:space="0" w:color="auto"/>
            </w:tcBorders>
            <w:shd w:val="clear" w:color="auto" w:fill="D9D9D9" w:themeFill="background1" w:themeFillShade="D9"/>
            <w:vAlign w:val="bottom"/>
            <w:hideMark/>
          </w:tcPr>
          <w:p w14:paraId="5E516C74" w14:textId="77777777" w:rsidR="00CD3A55" w:rsidRPr="00B84EFD" w:rsidRDefault="00CD3A55" w:rsidP="00B451D7">
            <w:pPr>
              <w:jc w:val="both"/>
              <w:rPr>
                <w:b/>
                <w:bCs/>
                <w:color w:val="000000"/>
                <w:sz w:val="20"/>
                <w:szCs w:val="20"/>
              </w:rPr>
            </w:pPr>
            <w:r w:rsidRPr="00B84EFD">
              <w:rPr>
                <w:b/>
                <w:bCs/>
                <w:color w:val="000000"/>
                <w:sz w:val="20"/>
                <w:szCs w:val="20"/>
              </w:rPr>
              <w:t>Illustrative Example</w:t>
            </w:r>
          </w:p>
        </w:tc>
      </w:tr>
      <w:tr w:rsidR="00B84EFD" w:rsidRPr="00B84EFD" w14:paraId="464A684C" w14:textId="77777777" w:rsidTr="00F600AF">
        <w:trPr>
          <w:trHeight w:val="1312"/>
        </w:trPr>
        <w:tc>
          <w:tcPr>
            <w:tcW w:w="1350" w:type="dxa"/>
            <w:tcBorders>
              <w:top w:val="nil"/>
              <w:left w:val="single" w:sz="8" w:space="0" w:color="auto"/>
              <w:bottom w:val="single" w:sz="4" w:space="0" w:color="auto"/>
              <w:right w:val="single" w:sz="8" w:space="0" w:color="auto"/>
            </w:tcBorders>
            <w:shd w:val="clear" w:color="auto" w:fill="D9D9D9" w:themeFill="background1" w:themeFillShade="D9"/>
            <w:vAlign w:val="bottom"/>
            <w:hideMark/>
          </w:tcPr>
          <w:p w14:paraId="318B1EFE" w14:textId="77777777" w:rsidR="00CD3A55" w:rsidRPr="00B84EFD" w:rsidRDefault="00CD3A55" w:rsidP="00B451D7">
            <w:pPr>
              <w:jc w:val="both"/>
              <w:rPr>
                <w:color w:val="000000"/>
                <w:sz w:val="20"/>
                <w:szCs w:val="20"/>
              </w:rPr>
            </w:pPr>
            <w:r w:rsidRPr="00B84EFD">
              <w:rPr>
                <w:color w:val="000000"/>
                <w:sz w:val="20"/>
                <w:szCs w:val="20"/>
              </w:rPr>
              <w:t xml:space="preserve">Steady </w:t>
            </w:r>
            <w:r w:rsidRPr="00B84EFD">
              <w:rPr>
                <w:color w:val="000000"/>
                <w:sz w:val="20"/>
                <w:szCs w:val="20"/>
              </w:rPr>
              <w:br/>
              <w:t>Accumulation</w:t>
            </w:r>
          </w:p>
        </w:tc>
        <w:tc>
          <w:tcPr>
            <w:tcW w:w="1127" w:type="dxa"/>
            <w:tcBorders>
              <w:top w:val="nil"/>
              <w:left w:val="nil"/>
              <w:bottom w:val="single" w:sz="4" w:space="0" w:color="auto"/>
              <w:right w:val="single" w:sz="4" w:space="0" w:color="auto"/>
            </w:tcBorders>
            <w:vAlign w:val="bottom"/>
            <w:hideMark/>
          </w:tcPr>
          <w:p w14:paraId="4130CEC4" w14:textId="77777777" w:rsidR="00CD3A55" w:rsidRPr="00B84EFD" w:rsidRDefault="00CD3A55" w:rsidP="00B451D7">
            <w:pPr>
              <w:rPr>
                <w:color w:val="000000"/>
                <w:sz w:val="20"/>
                <w:szCs w:val="20"/>
              </w:rPr>
            </w:pPr>
            <w:r w:rsidRPr="00B84EFD">
              <w:rPr>
                <w:color w:val="000000"/>
                <w:sz w:val="20"/>
                <w:szCs w:val="20"/>
              </w:rPr>
              <w:t>35% (54 positions)</w:t>
            </w:r>
          </w:p>
        </w:tc>
        <w:tc>
          <w:tcPr>
            <w:tcW w:w="1194" w:type="dxa"/>
            <w:tcBorders>
              <w:top w:val="nil"/>
              <w:left w:val="nil"/>
              <w:bottom w:val="single" w:sz="4" w:space="0" w:color="auto"/>
              <w:right w:val="single" w:sz="4" w:space="0" w:color="auto"/>
            </w:tcBorders>
            <w:vAlign w:val="bottom"/>
            <w:hideMark/>
          </w:tcPr>
          <w:p w14:paraId="0878FC8A" w14:textId="77777777" w:rsidR="00CD3A55" w:rsidRPr="00B84EFD" w:rsidRDefault="00CD3A55" w:rsidP="00B451D7">
            <w:pPr>
              <w:rPr>
                <w:color w:val="000000"/>
                <w:sz w:val="20"/>
                <w:szCs w:val="20"/>
              </w:rPr>
            </w:pPr>
            <w:r w:rsidRPr="00B84EFD">
              <w:rPr>
                <w:color w:val="000000"/>
                <w:sz w:val="20"/>
                <w:szCs w:val="20"/>
              </w:rPr>
              <w:t xml:space="preserve">Stablecoin LP on </w:t>
            </w:r>
            <w:r w:rsidRPr="00B84EFD">
              <w:rPr>
                <w:color w:val="000000"/>
                <w:sz w:val="20"/>
                <w:szCs w:val="20"/>
              </w:rPr>
              <w:br/>
              <w:t>L2 networks</w:t>
            </w:r>
          </w:p>
        </w:tc>
        <w:tc>
          <w:tcPr>
            <w:tcW w:w="1516" w:type="dxa"/>
            <w:tcBorders>
              <w:top w:val="nil"/>
              <w:left w:val="nil"/>
              <w:bottom w:val="single" w:sz="4" w:space="0" w:color="auto"/>
              <w:right w:val="single" w:sz="4" w:space="0" w:color="auto"/>
            </w:tcBorders>
            <w:vAlign w:val="bottom"/>
            <w:hideMark/>
          </w:tcPr>
          <w:p w14:paraId="247CEA9D" w14:textId="77777777" w:rsidR="00CD3A55" w:rsidRPr="00B84EFD" w:rsidRDefault="00CD3A55" w:rsidP="00B451D7">
            <w:pPr>
              <w:rPr>
                <w:color w:val="000000"/>
                <w:sz w:val="20"/>
                <w:szCs w:val="20"/>
              </w:rPr>
            </w:pPr>
            <w:r w:rsidRPr="00B84EFD">
              <w:rPr>
                <w:color w:val="000000"/>
                <w:sz w:val="20"/>
                <w:szCs w:val="20"/>
              </w:rPr>
              <w:t xml:space="preserve">Consistent 1-2% quarterly </w:t>
            </w:r>
            <w:r w:rsidRPr="00B84EFD">
              <w:rPr>
                <w:color w:val="000000"/>
                <w:sz w:val="20"/>
                <w:szCs w:val="20"/>
              </w:rPr>
              <w:br/>
              <w:t>gains; low variance (σ = 0.8%)</w:t>
            </w:r>
          </w:p>
        </w:tc>
        <w:tc>
          <w:tcPr>
            <w:tcW w:w="1283" w:type="dxa"/>
            <w:tcBorders>
              <w:top w:val="nil"/>
              <w:left w:val="nil"/>
              <w:bottom w:val="single" w:sz="4" w:space="0" w:color="auto"/>
              <w:right w:val="single" w:sz="4" w:space="0" w:color="auto"/>
            </w:tcBorders>
            <w:vAlign w:val="bottom"/>
            <w:hideMark/>
          </w:tcPr>
          <w:p w14:paraId="67415084" w14:textId="77777777" w:rsidR="00CD3A55" w:rsidRPr="00B84EFD" w:rsidRDefault="00CD3A55" w:rsidP="00B451D7">
            <w:pPr>
              <w:rPr>
                <w:color w:val="000000"/>
                <w:sz w:val="20"/>
                <w:szCs w:val="20"/>
              </w:rPr>
            </w:pPr>
            <w:r w:rsidRPr="00B84EFD">
              <w:rPr>
                <w:color w:val="000000"/>
                <w:sz w:val="20"/>
                <w:szCs w:val="20"/>
              </w:rPr>
              <w:t xml:space="preserve">Low systematic risk; </w:t>
            </w:r>
            <w:r w:rsidRPr="00B84EFD">
              <w:rPr>
                <w:color w:val="000000"/>
                <w:sz w:val="20"/>
                <w:szCs w:val="20"/>
              </w:rPr>
              <w:br/>
              <w:t>high predictability</w:t>
            </w:r>
          </w:p>
        </w:tc>
        <w:tc>
          <w:tcPr>
            <w:tcW w:w="1060" w:type="dxa"/>
            <w:tcBorders>
              <w:top w:val="nil"/>
              <w:left w:val="nil"/>
              <w:bottom w:val="single" w:sz="4" w:space="0" w:color="auto"/>
              <w:right w:val="single" w:sz="4" w:space="0" w:color="auto"/>
            </w:tcBorders>
            <w:vAlign w:val="bottom"/>
            <w:hideMark/>
          </w:tcPr>
          <w:p w14:paraId="4FBABCBB" w14:textId="77777777" w:rsidR="00CD3A55" w:rsidRPr="00B84EFD" w:rsidRDefault="00CD3A55" w:rsidP="00B451D7">
            <w:pPr>
              <w:rPr>
                <w:color w:val="000000"/>
                <w:sz w:val="20"/>
                <w:szCs w:val="20"/>
              </w:rPr>
            </w:pPr>
            <w:r w:rsidRPr="00B84EFD">
              <w:rPr>
                <w:color w:val="000000"/>
                <w:sz w:val="20"/>
                <w:szCs w:val="20"/>
              </w:rPr>
              <w:t xml:space="preserve">Not applicable </w:t>
            </w:r>
            <w:r w:rsidRPr="00B84EFD">
              <w:rPr>
                <w:color w:val="000000"/>
                <w:sz w:val="20"/>
                <w:szCs w:val="20"/>
              </w:rPr>
              <w:br/>
              <w:t>(losses rare)</w:t>
            </w:r>
          </w:p>
        </w:tc>
        <w:tc>
          <w:tcPr>
            <w:tcW w:w="1730" w:type="dxa"/>
            <w:tcBorders>
              <w:top w:val="nil"/>
              <w:left w:val="nil"/>
              <w:bottom w:val="single" w:sz="4" w:space="0" w:color="auto"/>
              <w:right w:val="single" w:sz="8" w:space="0" w:color="auto"/>
            </w:tcBorders>
            <w:vAlign w:val="bottom"/>
            <w:hideMark/>
          </w:tcPr>
          <w:p w14:paraId="49E73789" w14:textId="77777777" w:rsidR="00CD3A55" w:rsidRPr="00B84EFD" w:rsidRDefault="00CD3A55" w:rsidP="00B451D7">
            <w:pPr>
              <w:rPr>
                <w:color w:val="000000"/>
                <w:sz w:val="20"/>
                <w:szCs w:val="20"/>
              </w:rPr>
            </w:pPr>
            <w:r w:rsidRPr="00B84EFD">
              <w:rPr>
                <w:color w:val="000000"/>
                <w:sz w:val="20"/>
                <w:szCs w:val="20"/>
              </w:rPr>
              <w:t xml:space="preserve">$10,000 position earning </w:t>
            </w:r>
            <w:r w:rsidRPr="00B84EFD">
              <w:rPr>
                <w:color w:val="000000"/>
                <w:sz w:val="20"/>
                <w:szCs w:val="20"/>
              </w:rPr>
              <w:br/>
              <w:t xml:space="preserve">$150-200/quarter over </w:t>
            </w:r>
            <w:r w:rsidRPr="00B84EFD">
              <w:rPr>
                <w:color w:val="000000"/>
                <w:sz w:val="20"/>
                <w:szCs w:val="20"/>
              </w:rPr>
              <w:br/>
              <w:t>12 quarters = +18-24%</w:t>
            </w:r>
          </w:p>
        </w:tc>
      </w:tr>
      <w:tr w:rsidR="00B84EFD" w:rsidRPr="00B84EFD" w14:paraId="415D6517" w14:textId="77777777" w:rsidTr="00F600AF">
        <w:trPr>
          <w:trHeight w:val="1367"/>
        </w:trPr>
        <w:tc>
          <w:tcPr>
            <w:tcW w:w="1350" w:type="dxa"/>
            <w:tcBorders>
              <w:top w:val="nil"/>
              <w:left w:val="single" w:sz="8" w:space="0" w:color="auto"/>
              <w:bottom w:val="single" w:sz="4" w:space="0" w:color="auto"/>
              <w:right w:val="single" w:sz="8" w:space="0" w:color="auto"/>
            </w:tcBorders>
            <w:shd w:val="clear" w:color="auto" w:fill="D9D9D9" w:themeFill="background1" w:themeFillShade="D9"/>
            <w:vAlign w:val="bottom"/>
            <w:hideMark/>
          </w:tcPr>
          <w:p w14:paraId="2F900A2C" w14:textId="77777777" w:rsidR="00CD3A55" w:rsidRPr="00B84EFD" w:rsidRDefault="00CD3A55" w:rsidP="00B451D7">
            <w:pPr>
              <w:jc w:val="both"/>
              <w:rPr>
                <w:color w:val="000000"/>
                <w:sz w:val="20"/>
                <w:szCs w:val="20"/>
              </w:rPr>
            </w:pPr>
            <w:r w:rsidRPr="00B84EFD">
              <w:rPr>
                <w:color w:val="000000"/>
                <w:sz w:val="20"/>
                <w:szCs w:val="20"/>
              </w:rPr>
              <w:t xml:space="preserve">Punctuated </w:t>
            </w:r>
            <w:r w:rsidRPr="00B84EFD">
              <w:rPr>
                <w:color w:val="000000"/>
                <w:sz w:val="20"/>
                <w:szCs w:val="20"/>
              </w:rPr>
              <w:br/>
              <w:t>Equilibrium</w:t>
            </w:r>
          </w:p>
        </w:tc>
        <w:tc>
          <w:tcPr>
            <w:tcW w:w="1127" w:type="dxa"/>
            <w:tcBorders>
              <w:top w:val="nil"/>
              <w:left w:val="nil"/>
              <w:bottom w:val="single" w:sz="4" w:space="0" w:color="auto"/>
              <w:right w:val="single" w:sz="4" w:space="0" w:color="auto"/>
            </w:tcBorders>
            <w:vAlign w:val="bottom"/>
            <w:hideMark/>
          </w:tcPr>
          <w:p w14:paraId="43E2F64D" w14:textId="77777777" w:rsidR="00CD3A55" w:rsidRPr="00B84EFD" w:rsidRDefault="00CD3A55" w:rsidP="00B451D7">
            <w:pPr>
              <w:rPr>
                <w:color w:val="000000"/>
                <w:sz w:val="20"/>
                <w:szCs w:val="20"/>
              </w:rPr>
            </w:pPr>
            <w:r w:rsidRPr="00B84EFD">
              <w:rPr>
                <w:color w:val="000000"/>
                <w:sz w:val="20"/>
                <w:szCs w:val="20"/>
              </w:rPr>
              <w:t>53% (83 positions)</w:t>
            </w:r>
          </w:p>
        </w:tc>
        <w:tc>
          <w:tcPr>
            <w:tcW w:w="1194" w:type="dxa"/>
            <w:tcBorders>
              <w:top w:val="nil"/>
              <w:left w:val="nil"/>
              <w:bottom w:val="single" w:sz="4" w:space="0" w:color="auto"/>
              <w:right w:val="single" w:sz="4" w:space="0" w:color="auto"/>
            </w:tcBorders>
            <w:vAlign w:val="bottom"/>
            <w:hideMark/>
          </w:tcPr>
          <w:p w14:paraId="750FCA47" w14:textId="77777777" w:rsidR="00CD3A55" w:rsidRPr="00B84EFD" w:rsidRDefault="00CD3A55" w:rsidP="00B451D7">
            <w:pPr>
              <w:rPr>
                <w:color w:val="000000"/>
                <w:sz w:val="20"/>
                <w:szCs w:val="20"/>
              </w:rPr>
            </w:pPr>
            <w:r w:rsidRPr="00B84EFD">
              <w:rPr>
                <w:color w:val="000000"/>
                <w:sz w:val="20"/>
                <w:szCs w:val="20"/>
              </w:rPr>
              <w:t xml:space="preserve">Correlated asset LP; </w:t>
            </w:r>
            <w:r w:rsidRPr="00B84EFD">
              <w:rPr>
                <w:color w:val="000000"/>
                <w:sz w:val="20"/>
                <w:szCs w:val="20"/>
              </w:rPr>
              <w:br/>
              <w:t>selective yield farming</w:t>
            </w:r>
          </w:p>
        </w:tc>
        <w:tc>
          <w:tcPr>
            <w:tcW w:w="1516" w:type="dxa"/>
            <w:tcBorders>
              <w:top w:val="nil"/>
              <w:left w:val="nil"/>
              <w:bottom w:val="single" w:sz="4" w:space="0" w:color="auto"/>
              <w:right w:val="single" w:sz="4" w:space="0" w:color="auto"/>
            </w:tcBorders>
            <w:vAlign w:val="bottom"/>
            <w:hideMark/>
          </w:tcPr>
          <w:p w14:paraId="79CFEB9E" w14:textId="77777777" w:rsidR="00CD3A55" w:rsidRPr="00B84EFD" w:rsidRDefault="00CD3A55" w:rsidP="00B451D7">
            <w:pPr>
              <w:rPr>
                <w:color w:val="000000"/>
                <w:sz w:val="20"/>
                <w:szCs w:val="20"/>
              </w:rPr>
            </w:pPr>
            <w:r w:rsidRPr="00B84EFD">
              <w:rPr>
                <w:color w:val="000000"/>
                <w:sz w:val="20"/>
                <w:szCs w:val="20"/>
              </w:rPr>
              <w:t xml:space="preserve">Baseline 0.5-1% quarterly; </w:t>
            </w:r>
            <w:r w:rsidRPr="00B84EFD">
              <w:rPr>
                <w:color w:val="000000"/>
                <w:sz w:val="20"/>
                <w:szCs w:val="20"/>
              </w:rPr>
              <w:br/>
              <w:t xml:space="preserve">periodic 20-30% jumps; </w:t>
            </w:r>
            <w:r w:rsidRPr="00B84EFD">
              <w:rPr>
                <w:color w:val="000000"/>
                <w:sz w:val="20"/>
                <w:szCs w:val="20"/>
              </w:rPr>
              <w:br/>
              <w:t>unpredictable timing</w:t>
            </w:r>
          </w:p>
        </w:tc>
        <w:tc>
          <w:tcPr>
            <w:tcW w:w="1283" w:type="dxa"/>
            <w:tcBorders>
              <w:top w:val="nil"/>
              <w:left w:val="nil"/>
              <w:bottom w:val="single" w:sz="4" w:space="0" w:color="auto"/>
              <w:right w:val="single" w:sz="4" w:space="0" w:color="auto"/>
            </w:tcBorders>
            <w:vAlign w:val="bottom"/>
            <w:hideMark/>
          </w:tcPr>
          <w:p w14:paraId="388F06E8" w14:textId="77777777" w:rsidR="00CD3A55" w:rsidRPr="00B84EFD" w:rsidRDefault="00CD3A55" w:rsidP="00B451D7">
            <w:pPr>
              <w:rPr>
                <w:color w:val="000000"/>
                <w:sz w:val="20"/>
                <w:szCs w:val="20"/>
              </w:rPr>
            </w:pPr>
            <w:r w:rsidRPr="00B84EFD">
              <w:rPr>
                <w:color w:val="000000"/>
                <w:sz w:val="20"/>
                <w:szCs w:val="20"/>
              </w:rPr>
              <w:t xml:space="preserve">Moderate systematic risk; </w:t>
            </w:r>
            <w:r w:rsidRPr="00B84EFD">
              <w:rPr>
                <w:color w:val="000000"/>
                <w:sz w:val="20"/>
                <w:szCs w:val="20"/>
              </w:rPr>
              <w:br/>
              <w:t>timing-dependent</w:t>
            </w:r>
          </w:p>
        </w:tc>
        <w:tc>
          <w:tcPr>
            <w:tcW w:w="1060" w:type="dxa"/>
            <w:tcBorders>
              <w:top w:val="nil"/>
              <w:left w:val="nil"/>
              <w:bottom w:val="single" w:sz="4" w:space="0" w:color="auto"/>
              <w:right w:val="single" w:sz="4" w:space="0" w:color="auto"/>
            </w:tcBorders>
            <w:vAlign w:val="bottom"/>
            <w:hideMark/>
          </w:tcPr>
          <w:p w14:paraId="6208CB85" w14:textId="77777777" w:rsidR="00CD3A55" w:rsidRPr="00B84EFD" w:rsidRDefault="00CD3A55" w:rsidP="00B451D7">
            <w:pPr>
              <w:rPr>
                <w:color w:val="000000"/>
                <w:sz w:val="20"/>
                <w:szCs w:val="20"/>
              </w:rPr>
            </w:pPr>
            <w:r w:rsidRPr="00B84EFD">
              <w:rPr>
                <w:color w:val="000000"/>
                <w:sz w:val="20"/>
                <w:szCs w:val="20"/>
              </w:rPr>
              <w:t xml:space="preserve">Partial (if capital </w:t>
            </w:r>
            <w:r w:rsidRPr="00B84EFD">
              <w:rPr>
                <w:color w:val="000000"/>
                <w:sz w:val="20"/>
                <w:szCs w:val="20"/>
              </w:rPr>
              <w:br/>
              <w:t>preserved)</w:t>
            </w:r>
          </w:p>
        </w:tc>
        <w:tc>
          <w:tcPr>
            <w:tcW w:w="1730" w:type="dxa"/>
            <w:tcBorders>
              <w:top w:val="nil"/>
              <w:left w:val="nil"/>
              <w:bottom w:val="single" w:sz="4" w:space="0" w:color="auto"/>
              <w:right w:val="single" w:sz="8" w:space="0" w:color="auto"/>
            </w:tcBorders>
            <w:vAlign w:val="bottom"/>
            <w:hideMark/>
          </w:tcPr>
          <w:p w14:paraId="067493F9" w14:textId="77777777" w:rsidR="00CD3A55" w:rsidRPr="00B84EFD" w:rsidRDefault="00CD3A55" w:rsidP="00B451D7">
            <w:pPr>
              <w:rPr>
                <w:color w:val="000000"/>
                <w:sz w:val="20"/>
                <w:szCs w:val="20"/>
              </w:rPr>
            </w:pPr>
            <w:r w:rsidRPr="00B84EFD">
              <w:rPr>
                <w:color w:val="000000"/>
                <w:sz w:val="20"/>
                <w:szCs w:val="20"/>
              </w:rPr>
              <w:t xml:space="preserve">$10,000 position: Q1-Q3 </w:t>
            </w:r>
            <w:r w:rsidRPr="00B84EFD">
              <w:rPr>
                <w:color w:val="000000"/>
                <w:sz w:val="20"/>
                <w:szCs w:val="20"/>
              </w:rPr>
              <w:br/>
              <w:t xml:space="preserve">+$450, Q4 rebalancing </w:t>
            </w:r>
            <w:r w:rsidRPr="00B84EFD">
              <w:rPr>
                <w:color w:val="000000"/>
                <w:sz w:val="20"/>
                <w:szCs w:val="20"/>
              </w:rPr>
              <w:br/>
              <w:t>+$2,800, annual +32.5%</w:t>
            </w:r>
          </w:p>
        </w:tc>
      </w:tr>
      <w:tr w:rsidR="00B84EFD" w:rsidRPr="00B84EFD" w14:paraId="1119F8C8" w14:textId="77777777" w:rsidTr="00F600AF">
        <w:trPr>
          <w:trHeight w:val="800"/>
        </w:trPr>
        <w:tc>
          <w:tcPr>
            <w:tcW w:w="1350" w:type="dxa"/>
            <w:tcBorders>
              <w:top w:val="nil"/>
              <w:left w:val="single" w:sz="8" w:space="0" w:color="auto"/>
              <w:bottom w:val="single" w:sz="8" w:space="0" w:color="auto"/>
              <w:right w:val="single" w:sz="8" w:space="0" w:color="auto"/>
            </w:tcBorders>
            <w:shd w:val="clear" w:color="auto" w:fill="D9D9D9" w:themeFill="background1" w:themeFillShade="D9"/>
            <w:vAlign w:val="bottom"/>
            <w:hideMark/>
          </w:tcPr>
          <w:p w14:paraId="36FBEE96" w14:textId="77777777" w:rsidR="00CD3A55" w:rsidRPr="00B84EFD" w:rsidRDefault="00CD3A55" w:rsidP="00B451D7">
            <w:pPr>
              <w:jc w:val="both"/>
              <w:rPr>
                <w:color w:val="000000"/>
                <w:sz w:val="20"/>
                <w:szCs w:val="20"/>
              </w:rPr>
            </w:pPr>
            <w:r w:rsidRPr="00B84EFD">
              <w:rPr>
                <w:color w:val="000000"/>
                <w:sz w:val="20"/>
                <w:szCs w:val="20"/>
              </w:rPr>
              <w:t xml:space="preserve">Catastrophic </w:t>
            </w:r>
            <w:r w:rsidRPr="00B84EFD">
              <w:rPr>
                <w:color w:val="000000"/>
                <w:sz w:val="20"/>
                <w:szCs w:val="20"/>
              </w:rPr>
              <w:br/>
              <w:t>Loss</w:t>
            </w:r>
          </w:p>
        </w:tc>
        <w:tc>
          <w:tcPr>
            <w:tcW w:w="1127" w:type="dxa"/>
            <w:tcBorders>
              <w:top w:val="nil"/>
              <w:left w:val="nil"/>
              <w:bottom w:val="single" w:sz="8" w:space="0" w:color="auto"/>
              <w:right w:val="single" w:sz="4" w:space="0" w:color="auto"/>
            </w:tcBorders>
            <w:vAlign w:val="bottom"/>
            <w:hideMark/>
          </w:tcPr>
          <w:p w14:paraId="79FCB20D" w14:textId="77777777" w:rsidR="00CD3A55" w:rsidRPr="00B84EFD" w:rsidRDefault="00CD3A55" w:rsidP="00B451D7">
            <w:pPr>
              <w:rPr>
                <w:color w:val="000000"/>
                <w:sz w:val="20"/>
                <w:szCs w:val="20"/>
              </w:rPr>
            </w:pPr>
            <w:r w:rsidRPr="00B84EFD">
              <w:rPr>
                <w:color w:val="000000"/>
                <w:sz w:val="20"/>
                <w:szCs w:val="20"/>
              </w:rPr>
              <w:t>12% (19 positions)</w:t>
            </w:r>
          </w:p>
        </w:tc>
        <w:tc>
          <w:tcPr>
            <w:tcW w:w="1194" w:type="dxa"/>
            <w:tcBorders>
              <w:top w:val="nil"/>
              <w:left w:val="nil"/>
              <w:bottom w:val="single" w:sz="8" w:space="0" w:color="auto"/>
              <w:right w:val="single" w:sz="4" w:space="0" w:color="auto"/>
            </w:tcBorders>
            <w:vAlign w:val="bottom"/>
            <w:hideMark/>
          </w:tcPr>
          <w:p w14:paraId="6E479A73" w14:textId="77777777" w:rsidR="00CD3A55" w:rsidRPr="00B84EFD" w:rsidRDefault="00CD3A55" w:rsidP="00B451D7">
            <w:pPr>
              <w:rPr>
                <w:color w:val="000000"/>
                <w:sz w:val="20"/>
                <w:szCs w:val="20"/>
              </w:rPr>
            </w:pPr>
            <w:r w:rsidRPr="00B84EFD">
              <w:rPr>
                <w:color w:val="000000"/>
                <w:sz w:val="20"/>
                <w:szCs w:val="20"/>
              </w:rPr>
              <w:t xml:space="preserve">Protocol-level incidents </w:t>
            </w:r>
            <w:r w:rsidRPr="00B84EFD">
              <w:rPr>
                <w:color w:val="000000"/>
                <w:sz w:val="20"/>
                <w:szCs w:val="20"/>
              </w:rPr>
              <w:br/>
              <w:t>across all strategies</w:t>
            </w:r>
          </w:p>
        </w:tc>
        <w:tc>
          <w:tcPr>
            <w:tcW w:w="1516" w:type="dxa"/>
            <w:tcBorders>
              <w:top w:val="nil"/>
              <w:left w:val="nil"/>
              <w:bottom w:val="single" w:sz="8" w:space="0" w:color="auto"/>
              <w:right w:val="single" w:sz="4" w:space="0" w:color="auto"/>
            </w:tcBorders>
            <w:vAlign w:val="bottom"/>
            <w:hideMark/>
          </w:tcPr>
          <w:p w14:paraId="4BFD2609" w14:textId="77777777" w:rsidR="00CD3A55" w:rsidRPr="00B84EFD" w:rsidRDefault="00CD3A55" w:rsidP="00B451D7">
            <w:pPr>
              <w:rPr>
                <w:color w:val="000000"/>
                <w:sz w:val="20"/>
                <w:szCs w:val="20"/>
              </w:rPr>
            </w:pPr>
            <w:r w:rsidRPr="00B84EFD">
              <w:rPr>
                <w:color w:val="000000"/>
                <w:sz w:val="20"/>
                <w:szCs w:val="20"/>
              </w:rPr>
              <w:t xml:space="preserve">Extended stable period followed </w:t>
            </w:r>
            <w:r w:rsidRPr="00B84EFD">
              <w:rPr>
                <w:color w:val="000000"/>
                <w:sz w:val="20"/>
                <w:szCs w:val="20"/>
              </w:rPr>
              <w:br/>
              <w:t xml:space="preserve">by sudden 50-100% loss; </w:t>
            </w:r>
            <w:r w:rsidRPr="00B84EFD">
              <w:rPr>
                <w:color w:val="000000"/>
                <w:sz w:val="20"/>
                <w:szCs w:val="20"/>
              </w:rPr>
              <w:br/>
              <w:t>no warning</w:t>
            </w:r>
          </w:p>
        </w:tc>
        <w:tc>
          <w:tcPr>
            <w:tcW w:w="1283" w:type="dxa"/>
            <w:tcBorders>
              <w:top w:val="nil"/>
              <w:left w:val="nil"/>
              <w:bottom w:val="single" w:sz="8" w:space="0" w:color="auto"/>
              <w:right w:val="single" w:sz="4" w:space="0" w:color="auto"/>
            </w:tcBorders>
            <w:vAlign w:val="bottom"/>
            <w:hideMark/>
          </w:tcPr>
          <w:p w14:paraId="49A915A3" w14:textId="77777777" w:rsidR="00CD3A55" w:rsidRPr="00B84EFD" w:rsidRDefault="00CD3A55" w:rsidP="00B451D7">
            <w:pPr>
              <w:rPr>
                <w:color w:val="000000"/>
                <w:sz w:val="20"/>
                <w:szCs w:val="20"/>
              </w:rPr>
            </w:pPr>
            <w:r w:rsidRPr="00B84EFD">
              <w:rPr>
                <w:color w:val="000000"/>
                <w:sz w:val="20"/>
                <w:szCs w:val="20"/>
              </w:rPr>
              <w:t xml:space="preserve">Existential; </w:t>
            </w:r>
            <w:r w:rsidRPr="00B84EFD">
              <w:rPr>
                <w:color w:val="000000"/>
                <w:sz w:val="20"/>
                <w:szCs w:val="20"/>
              </w:rPr>
              <w:br/>
              <w:t>non-diversifiable</w:t>
            </w:r>
          </w:p>
        </w:tc>
        <w:tc>
          <w:tcPr>
            <w:tcW w:w="1060" w:type="dxa"/>
            <w:tcBorders>
              <w:top w:val="nil"/>
              <w:left w:val="nil"/>
              <w:bottom w:val="single" w:sz="8" w:space="0" w:color="auto"/>
              <w:right w:val="single" w:sz="4" w:space="0" w:color="auto"/>
            </w:tcBorders>
            <w:vAlign w:val="bottom"/>
            <w:hideMark/>
          </w:tcPr>
          <w:p w14:paraId="76AFFD68" w14:textId="77777777" w:rsidR="00CD3A55" w:rsidRPr="00B84EFD" w:rsidRDefault="00CD3A55" w:rsidP="00B451D7">
            <w:pPr>
              <w:rPr>
                <w:color w:val="000000"/>
                <w:sz w:val="20"/>
                <w:szCs w:val="20"/>
              </w:rPr>
            </w:pPr>
            <w:r w:rsidRPr="00B84EFD">
              <w:rPr>
                <w:color w:val="000000"/>
                <w:sz w:val="20"/>
                <w:szCs w:val="20"/>
              </w:rPr>
              <w:t xml:space="preserve">Rare (8% of cases </w:t>
            </w:r>
            <w:r w:rsidRPr="00B84EFD">
              <w:rPr>
                <w:color w:val="000000"/>
                <w:sz w:val="20"/>
                <w:szCs w:val="20"/>
              </w:rPr>
              <w:br/>
              <w:t>showed recovery)</w:t>
            </w:r>
          </w:p>
        </w:tc>
        <w:tc>
          <w:tcPr>
            <w:tcW w:w="1730" w:type="dxa"/>
            <w:tcBorders>
              <w:top w:val="nil"/>
              <w:left w:val="nil"/>
              <w:bottom w:val="single" w:sz="8" w:space="0" w:color="auto"/>
              <w:right w:val="single" w:sz="8" w:space="0" w:color="auto"/>
            </w:tcBorders>
            <w:vAlign w:val="bottom"/>
            <w:hideMark/>
          </w:tcPr>
          <w:p w14:paraId="58996DE6" w14:textId="77777777" w:rsidR="00CD3A55" w:rsidRPr="00B84EFD" w:rsidRDefault="00CD3A55" w:rsidP="00B451D7">
            <w:pPr>
              <w:rPr>
                <w:color w:val="000000"/>
                <w:sz w:val="20"/>
                <w:szCs w:val="20"/>
              </w:rPr>
            </w:pPr>
            <w:r w:rsidRPr="00B84EFD">
              <w:rPr>
                <w:color w:val="000000"/>
                <w:sz w:val="20"/>
                <w:szCs w:val="20"/>
              </w:rPr>
              <w:t xml:space="preserve">$10,000 growing to $12,400 </w:t>
            </w:r>
            <w:r w:rsidRPr="00B84EFD">
              <w:rPr>
                <w:color w:val="000000"/>
                <w:sz w:val="20"/>
                <w:szCs w:val="20"/>
              </w:rPr>
              <w:br/>
              <w:t xml:space="preserve">over 9 months, then exploit </w:t>
            </w:r>
            <w:r w:rsidRPr="00B84EFD">
              <w:rPr>
                <w:color w:val="000000"/>
                <w:sz w:val="20"/>
                <w:szCs w:val="20"/>
              </w:rPr>
              <w:br/>
              <w:t>→ $800 remaining</w:t>
            </w:r>
          </w:p>
        </w:tc>
      </w:tr>
    </w:tbl>
    <w:p w14:paraId="31A886F3" w14:textId="77777777" w:rsidR="00CD3A55" w:rsidRPr="00313ADC" w:rsidRDefault="00CD3A55" w:rsidP="00B451D7">
      <w:pPr>
        <w:jc w:val="both"/>
        <w:rPr>
          <w:color w:val="000000" w:themeColor="text1"/>
          <w:sz w:val="22"/>
          <w:szCs w:val="22"/>
        </w:rPr>
      </w:pPr>
      <w:r w:rsidRPr="00313ADC">
        <w:rPr>
          <w:i/>
          <w:iCs/>
          <w:color w:val="000000" w:themeColor="text1"/>
          <w:sz w:val="22"/>
          <w:szCs w:val="22"/>
        </w:rPr>
        <w:t xml:space="preserve">Source: </w:t>
      </w:r>
      <w:r w:rsidRPr="00313ADC">
        <w:rPr>
          <w:color w:val="000000" w:themeColor="text1"/>
          <w:sz w:val="22"/>
          <w:szCs w:val="22"/>
        </w:rPr>
        <w:t>Author's calculations using standard AMM impermanent loss formula, validated against 139 tracked LP positions with documented price divergence and IL outcomes.</w:t>
      </w:r>
    </w:p>
    <w:p w14:paraId="256D78F3" w14:textId="7DA60963" w:rsidR="0034462B" w:rsidRPr="00313ADC" w:rsidRDefault="0034462B" w:rsidP="00B451D7">
      <w:pPr>
        <w:pStyle w:val="whitespace-normal"/>
        <w:spacing w:before="0" w:beforeAutospacing="0" w:after="0" w:afterAutospacing="0"/>
        <w:jc w:val="both"/>
        <w:rPr>
          <w:color w:val="000000" w:themeColor="text1"/>
          <w:sz w:val="22"/>
          <w:szCs w:val="22"/>
        </w:rPr>
      </w:pPr>
      <w:r w:rsidRPr="00313ADC">
        <w:rPr>
          <w:i/>
          <w:iCs/>
          <w:color w:val="000000" w:themeColor="text1"/>
          <w:sz w:val="22"/>
          <w:szCs w:val="22"/>
        </w:rPr>
        <w:t>Formula Applied:</w:t>
      </w:r>
      <w:r w:rsidRPr="00313ADC">
        <w:rPr>
          <w:color w:val="000000" w:themeColor="text1"/>
          <w:sz w:val="22"/>
          <w:szCs w:val="22"/>
        </w:rPr>
        <w:t xml:space="preserve"> IL = 2√(</w:t>
      </w:r>
      <w:proofErr w:type="spellStart"/>
      <w:r w:rsidRPr="00313ADC">
        <w:rPr>
          <w:color w:val="000000" w:themeColor="text1"/>
          <w:sz w:val="22"/>
          <w:szCs w:val="22"/>
        </w:rPr>
        <w:t>price_ratio</w:t>
      </w:r>
      <w:proofErr w:type="spellEnd"/>
      <w:r w:rsidRPr="00313ADC">
        <w:rPr>
          <w:color w:val="000000" w:themeColor="text1"/>
          <w:sz w:val="22"/>
          <w:szCs w:val="22"/>
        </w:rPr>
        <w:t>)/(1+price_ratio) - 1</w:t>
      </w:r>
    </w:p>
    <w:p w14:paraId="6BB64AC0" w14:textId="77777777" w:rsidR="00A52500" w:rsidRDefault="00A52500" w:rsidP="00B451D7">
      <w:pPr>
        <w:pStyle w:val="whitespace-normal"/>
        <w:spacing w:before="0" w:beforeAutospacing="0" w:after="0" w:afterAutospacing="0"/>
        <w:jc w:val="both"/>
        <w:rPr>
          <w:color w:val="FF0000"/>
        </w:rPr>
      </w:pPr>
    </w:p>
    <w:p w14:paraId="6398271D" w14:textId="375FA7D4" w:rsidR="0034462B" w:rsidRPr="00A52500" w:rsidRDefault="0034462B" w:rsidP="00B451D7">
      <w:pPr>
        <w:pStyle w:val="whitespace-normal"/>
        <w:spacing w:before="0" w:beforeAutospacing="0" w:after="0" w:afterAutospacing="0"/>
        <w:jc w:val="both"/>
        <w:rPr>
          <w:b/>
          <w:bCs/>
          <w:color w:val="000000" w:themeColor="text1"/>
        </w:rPr>
      </w:pPr>
      <w:r w:rsidRPr="00A52500">
        <w:rPr>
          <w:b/>
          <w:bCs/>
          <w:color w:val="000000" w:themeColor="text1"/>
        </w:rPr>
        <w:t>Critical Observations:</w:t>
      </w:r>
    </w:p>
    <w:p w14:paraId="5F217DE4" w14:textId="77777777" w:rsidR="0034462B" w:rsidRPr="00186FE1" w:rsidRDefault="0034462B" w:rsidP="00B451D7">
      <w:pPr>
        <w:pStyle w:val="whitespace-normal"/>
        <w:spacing w:before="0" w:beforeAutospacing="0" w:after="0" w:afterAutospacing="0"/>
        <w:jc w:val="both"/>
        <w:rPr>
          <w:color w:val="FF0000"/>
        </w:rPr>
      </w:pPr>
    </w:p>
    <w:p w14:paraId="22E7856C" w14:textId="4FF5829B" w:rsidR="0034462B" w:rsidRPr="00A52500" w:rsidRDefault="0034462B" w:rsidP="00B451D7">
      <w:pPr>
        <w:pStyle w:val="whitespace-normal"/>
        <w:numPr>
          <w:ilvl w:val="0"/>
          <w:numId w:val="254"/>
        </w:numPr>
        <w:spacing w:before="0" w:beforeAutospacing="0" w:after="0" w:afterAutospacing="0"/>
        <w:jc w:val="both"/>
        <w:rPr>
          <w:color w:val="000000" w:themeColor="text1"/>
        </w:rPr>
      </w:pPr>
      <w:r w:rsidRPr="00A52500">
        <w:rPr>
          <w:color w:val="000000" w:themeColor="text1"/>
        </w:rPr>
        <w:t>Frequency-Severity Trade-off: Stablecoin pairs experience minimal IL frequency (8% of quarters showing any divergence), while volatile pairs face systematic IL exposure (79% of quarters showing ≥10% divergence). This frequency differential explains the superior risk-adjusted returns of stablecoin strategies.</w:t>
      </w:r>
    </w:p>
    <w:p w14:paraId="26F641CC" w14:textId="77777777" w:rsidR="0034462B" w:rsidRPr="00A52500" w:rsidRDefault="0034462B" w:rsidP="00B451D7">
      <w:pPr>
        <w:pStyle w:val="whitespace-normal"/>
        <w:spacing w:before="0" w:beforeAutospacing="0" w:after="0" w:afterAutospacing="0"/>
        <w:jc w:val="both"/>
        <w:rPr>
          <w:color w:val="000000" w:themeColor="text1"/>
        </w:rPr>
      </w:pPr>
    </w:p>
    <w:p w14:paraId="5047067A" w14:textId="03F10265" w:rsidR="0034462B" w:rsidRPr="00A52500" w:rsidRDefault="0034462B" w:rsidP="00B451D7">
      <w:pPr>
        <w:pStyle w:val="whitespace-normal"/>
        <w:numPr>
          <w:ilvl w:val="0"/>
          <w:numId w:val="254"/>
        </w:numPr>
        <w:spacing w:before="0" w:beforeAutospacing="0" w:after="0" w:afterAutospacing="0"/>
        <w:jc w:val="both"/>
        <w:rPr>
          <w:color w:val="000000" w:themeColor="text1"/>
        </w:rPr>
      </w:pPr>
      <w:r w:rsidRPr="00A52500">
        <w:rPr>
          <w:color w:val="000000" w:themeColor="text1"/>
        </w:rPr>
        <w:t>Fee Offset Requirements: The "Fees Required to Offset IL" column demonstrates why 67% of volatile pair positions experienced IL exceeding fee income. Even moderate 25% divergence requires $50,667 in daily volume to generate offsetting 0.3% fees—a threshold exceeded by only 18% of observed volatile pairs.</w:t>
      </w:r>
    </w:p>
    <w:p w14:paraId="4FD04837" w14:textId="77777777" w:rsidR="0034462B" w:rsidRPr="00A52500" w:rsidRDefault="0034462B" w:rsidP="00B451D7">
      <w:pPr>
        <w:pStyle w:val="whitespace-normal"/>
        <w:spacing w:before="0" w:beforeAutospacing="0" w:after="0" w:afterAutospacing="0"/>
        <w:jc w:val="both"/>
        <w:rPr>
          <w:color w:val="000000" w:themeColor="text1"/>
        </w:rPr>
      </w:pPr>
    </w:p>
    <w:p w14:paraId="046F5447" w14:textId="507DC4BA" w:rsidR="0034462B" w:rsidRPr="00A52500" w:rsidRDefault="0034462B" w:rsidP="00B451D7">
      <w:pPr>
        <w:pStyle w:val="whitespace-normal"/>
        <w:numPr>
          <w:ilvl w:val="0"/>
          <w:numId w:val="254"/>
        </w:numPr>
        <w:spacing w:before="0" w:beforeAutospacing="0" w:after="0" w:afterAutospacing="0"/>
        <w:jc w:val="both"/>
        <w:rPr>
          <w:color w:val="000000" w:themeColor="text1"/>
        </w:rPr>
      </w:pPr>
      <w:r w:rsidRPr="00A52500">
        <w:rPr>
          <w:color w:val="000000" w:themeColor="text1"/>
        </w:rPr>
        <w:t>Educational Gap Impact: Among the 89% of participants who lost money without understanding IL mechanics, the median loss occurred at 1.25x-1.50x price divergence (1.52%-5.72% IL). These participants interpreted the losses as "strategy failure" rather than recognizing the mathematical inevitability of IL in volatile pairs, preventing corrective action.</w:t>
      </w:r>
    </w:p>
    <w:p w14:paraId="3E00E9A8" w14:textId="77777777" w:rsidR="0034462B" w:rsidRPr="00A52500" w:rsidRDefault="0034462B" w:rsidP="00B451D7">
      <w:pPr>
        <w:pStyle w:val="whitespace-normal"/>
        <w:spacing w:before="0" w:beforeAutospacing="0" w:after="0" w:afterAutospacing="0"/>
        <w:jc w:val="both"/>
        <w:rPr>
          <w:color w:val="000000" w:themeColor="text1"/>
        </w:rPr>
      </w:pPr>
    </w:p>
    <w:p w14:paraId="44109EE8" w14:textId="75EAEC72" w:rsidR="0034462B" w:rsidRPr="00A52500" w:rsidRDefault="0034462B" w:rsidP="00B451D7">
      <w:pPr>
        <w:pStyle w:val="whitespace-normal"/>
        <w:numPr>
          <w:ilvl w:val="0"/>
          <w:numId w:val="254"/>
        </w:numPr>
        <w:spacing w:before="0" w:beforeAutospacing="0" w:after="0" w:afterAutospacing="0"/>
        <w:jc w:val="both"/>
        <w:rPr>
          <w:color w:val="000000" w:themeColor="text1"/>
        </w:rPr>
      </w:pPr>
      <w:r w:rsidRPr="00A52500">
        <w:rPr>
          <w:color w:val="000000" w:themeColor="text1"/>
        </w:rPr>
        <w:t>Correlated Pair Viability: The 24% frequency of ≥10% divergence in correlated pairs (e.g., ETH/</w:t>
      </w:r>
      <w:proofErr w:type="spellStart"/>
      <w:r w:rsidRPr="00A52500">
        <w:rPr>
          <w:color w:val="000000" w:themeColor="text1"/>
        </w:rPr>
        <w:t>stETH</w:t>
      </w:r>
      <w:proofErr w:type="spellEnd"/>
      <w:r w:rsidRPr="00A52500">
        <w:rPr>
          <w:color w:val="000000" w:themeColor="text1"/>
        </w:rPr>
        <w:t>) explains their conditional viability. Unlike volatile pairs with 79% frequency at this threshold, correlated assets provide meaningful IL protection while offering higher fee generation than stablecoin pairs.</w:t>
      </w:r>
    </w:p>
    <w:p w14:paraId="4CAD120E" w14:textId="77777777" w:rsidR="0034462B" w:rsidRPr="00A52500" w:rsidRDefault="0034462B" w:rsidP="00B451D7">
      <w:pPr>
        <w:pStyle w:val="whitespace-normal"/>
        <w:spacing w:before="0" w:beforeAutospacing="0" w:after="0" w:afterAutospacing="0"/>
        <w:jc w:val="both"/>
        <w:rPr>
          <w:color w:val="000000" w:themeColor="text1"/>
        </w:rPr>
      </w:pPr>
    </w:p>
    <w:p w14:paraId="2A290BBC" w14:textId="18A04AB4" w:rsidR="0034462B" w:rsidRPr="00A52500" w:rsidRDefault="0034462B" w:rsidP="00B451D7">
      <w:pPr>
        <w:pStyle w:val="whitespace-normal"/>
        <w:numPr>
          <w:ilvl w:val="0"/>
          <w:numId w:val="254"/>
        </w:numPr>
        <w:spacing w:before="0" w:beforeAutospacing="0" w:after="0" w:afterAutospacing="0"/>
        <w:jc w:val="both"/>
        <w:rPr>
          <w:color w:val="000000" w:themeColor="text1"/>
        </w:rPr>
      </w:pPr>
      <w:r w:rsidRPr="00A52500">
        <w:rPr>
          <w:color w:val="000000" w:themeColor="text1"/>
        </w:rPr>
        <w:t>Practical Implication: Education about IL mechanics must precede capital deployment. The data shows that participants who understood this table before entering positions had 78% success rates in correlated pairs, versus 11% for those who learned through losses. IL is not a risk to be managed through skill or timing—it is a mathematical certainty that must be incorporated into strategy selection.</w:t>
      </w:r>
    </w:p>
    <w:p w14:paraId="287E1ADF" w14:textId="77777777" w:rsidR="00CD3A55" w:rsidRPr="00186FE1" w:rsidRDefault="00CD3A55" w:rsidP="00B451D7">
      <w:pPr>
        <w:pStyle w:val="whitespace-normal"/>
        <w:spacing w:before="0" w:beforeAutospacing="0" w:after="0" w:afterAutospacing="0"/>
        <w:jc w:val="both"/>
        <w:rPr>
          <w:color w:val="000000" w:themeColor="text1"/>
        </w:rPr>
      </w:pPr>
    </w:p>
    <w:p w14:paraId="7EB2412A" w14:textId="48827F59" w:rsidR="00D7645B" w:rsidRPr="00761845" w:rsidRDefault="00572893" w:rsidP="00B451D7">
      <w:pPr>
        <w:pStyle w:val="Heading3"/>
        <w:jc w:val="both"/>
        <w:rPr>
          <w:rStyle w:val="Strong"/>
          <w:b/>
          <w:bCs w:val="0"/>
          <w:color w:val="000000" w:themeColor="text1"/>
        </w:rPr>
      </w:pPr>
      <w:bookmarkStart w:id="58" w:name="_Toc214721864"/>
      <w:r w:rsidRPr="00186FE1">
        <w:rPr>
          <w:rStyle w:val="Strong"/>
          <w:b/>
          <w:bCs w:val="0"/>
          <w:color w:val="000000" w:themeColor="text1"/>
        </w:rPr>
        <w:t>3.</w:t>
      </w:r>
      <w:r w:rsidR="0082049B">
        <w:rPr>
          <w:rStyle w:val="Strong"/>
          <w:b/>
          <w:bCs w:val="0"/>
          <w:color w:val="000000" w:themeColor="text1"/>
        </w:rPr>
        <w:t>7</w:t>
      </w:r>
      <w:r w:rsidRPr="00186FE1">
        <w:rPr>
          <w:rStyle w:val="Strong"/>
          <w:b/>
          <w:bCs w:val="0"/>
          <w:color w:val="000000" w:themeColor="text1"/>
        </w:rPr>
        <w:t xml:space="preserve">.2 </w:t>
      </w:r>
      <w:r w:rsidR="00DE2A9A" w:rsidRPr="00186FE1">
        <w:rPr>
          <w:rStyle w:val="Strong"/>
          <w:b/>
          <w:bCs w:val="0"/>
          <w:color w:val="000000" w:themeColor="text1"/>
        </w:rPr>
        <w:t>Empirically</w:t>
      </w:r>
      <w:r w:rsidR="00DE2A9A" w:rsidRPr="00761845">
        <w:rPr>
          <w:rStyle w:val="Strong"/>
          <w:b/>
          <w:bCs w:val="0"/>
          <w:color w:val="000000" w:themeColor="text1"/>
        </w:rPr>
        <w:t xml:space="preserve"> Derived</w:t>
      </w:r>
      <w:r w:rsidRPr="00761845">
        <w:rPr>
          <w:rStyle w:val="Strong"/>
          <w:b/>
          <w:bCs w:val="0"/>
          <w:color w:val="000000" w:themeColor="text1"/>
        </w:rPr>
        <w:t xml:space="preserve"> Network Viability Thresholds</w:t>
      </w:r>
      <w:bookmarkEnd w:id="58"/>
    </w:p>
    <w:p w14:paraId="16423D5A" w14:textId="77777777" w:rsidR="00F82DED" w:rsidRPr="00761845" w:rsidRDefault="00F82DED" w:rsidP="00B451D7">
      <w:pPr>
        <w:jc w:val="both"/>
        <w:rPr>
          <w:color w:val="000000" w:themeColor="text1"/>
        </w:rPr>
      </w:pPr>
    </w:p>
    <w:p w14:paraId="177AF19B" w14:textId="77777777" w:rsidR="00D7645B" w:rsidRPr="005C7063" w:rsidRDefault="00D7645B" w:rsidP="00B451D7">
      <w:pPr>
        <w:pStyle w:val="whitespace-normal"/>
        <w:spacing w:before="0" w:beforeAutospacing="0" w:after="0" w:afterAutospacing="0"/>
        <w:jc w:val="both"/>
        <w:rPr>
          <w:rStyle w:val="Strong"/>
          <w:b w:val="0"/>
          <w:bCs w:val="0"/>
          <w:color w:val="000000" w:themeColor="text1"/>
        </w:rPr>
      </w:pPr>
      <w:r w:rsidRPr="005C7063">
        <w:rPr>
          <w:rStyle w:val="Strong"/>
          <w:b w:val="0"/>
          <w:bCs w:val="0"/>
          <w:color w:val="000000" w:themeColor="text1"/>
        </w:rPr>
        <w:t xml:space="preserve">Based on break-even analysis </w:t>
      </w:r>
      <w:proofErr w:type="gramStart"/>
      <w:r w:rsidRPr="005C7063">
        <w:rPr>
          <w:rStyle w:val="Strong"/>
          <w:b w:val="0"/>
          <w:bCs w:val="0"/>
          <w:color w:val="000000" w:themeColor="text1"/>
        </w:rPr>
        <w:t>from</w:t>
      </w:r>
      <w:proofErr w:type="gramEnd"/>
      <w:r w:rsidRPr="005C7063">
        <w:rPr>
          <w:rStyle w:val="Strong"/>
          <w:b w:val="0"/>
          <w:bCs w:val="0"/>
          <w:color w:val="000000" w:themeColor="text1"/>
        </w:rPr>
        <w:t xml:space="preserve"> 156 tracked positions:</w:t>
      </w:r>
    </w:p>
    <w:p w14:paraId="31C6E0A1" w14:textId="77777777" w:rsidR="00F5188A" w:rsidRDefault="00F5188A" w:rsidP="00B451D7">
      <w:pPr>
        <w:pStyle w:val="Heading3"/>
        <w:jc w:val="both"/>
        <w:rPr>
          <w:color w:val="000000" w:themeColor="text1"/>
        </w:rPr>
      </w:pPr>
    </w:p>
    <w:p w14:paraId="78319963" w14:textId="4D9D976C" w:rsidR="00C5607F" w:rsidRPr="00D70F1D" w:rsidRDefault="00C5607F" w:rsidP="00B451D7">
      <w:pPr>
        <w:pStyle w:val="Heading3"/>
        <w:jc w:val="both"/>
        <w:rPr>
          <w:color w:val="000000" w:themeColor="text1"/>
        </w:rPr>
      </w:pPr>
      <w:bookmarkStart w:id="59" w:name="_Toc214721865"/>
      <w:r w:rsidRPr="00D70F1D">
        <w:rPr>
          <w:color w:val="000000" w:themeColor="text1"/>
        </w:rPr>
        <w:t>Table 3.</w:t>
      </w:r>
      <w:r>
        <w:rPr>
          <w:color w:val="000000" w:themeColor="text1"/>
        </w:rPr>
        <w:t>F</w:t>
      </w:r>
      <w:r w:rsidRPr="00D70F1D">
        <w:rPr>
          <w:color w:val="000000" w:themeColor="text1"/>
        </w:rPr>
        <w:t xml:space="preserve">: </w:t>
      </w:r>
      <w:r w:rsidR="00F5188A">
        <w:rPr>
          <w:color w:val="000000" w:themeColor="text1"/>
        </w:rPr>
        <w:t>Network Viability Thresholds</w:t>
      </w:r>
      <w:bookmarkEnd w:id="59"/>
    </w:p>
    <w:p w14:paraId="12FC8951" w14:textId="77777777" w:rsidR="002A642B" w:rsidRPr="00761845" w:rsidRDefault="002A642B" w:rsidP="00B451D7">
      <w:pPr>
        <w:pStyle w:val="whitespace-normal"/>
        <w:spacing w:before="0" w:beforeAutospacing="0" w:after="0" w:afterAutospacing="0"/>
        <w:jc w:val="both"/>
        <w:rPr>
          <w:rStyle w:val="Strong"/>
          <w:color w:val="000000" w:themeColor="text1"/>
        </w:rPr>
      </w:pPr>
    </w:p>
    <w:tbl>
      <w:tblPr>
        <w:tblW w:w="9260" w:type="dxa"/>
        <w:tblLook w:val="04A0" w:firstRow="1" w:lastRow="0" w:firstColumn="1" w:lastColumn="0" w:noHBand="0" w:noVBand="1"/>
      </w:tblPr>
      <w:tblGrid>
        <w:gridCol w:w="2420"/>
        <w:gridCol w:w="2070"/>
        <w:gridCol w:w="2430"/>
        <w:gridCol w:w="2340"/>
      </w:tblGrid>
      <w:tr w:rsidR="00761845" w:rsidRPr="00761845" w14:paraId="54AFCF34" w14:textId="77777777" w:rsidTr="004F3599">
        <w:trPr>
          <w:trHeight w:val="340"/>
        </w:trPr>
        <w:tc>
          <w:tcPr>
            <w:tcW w:w="2420"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212B2201" w14:textId="77777777" w:rsidR="002A642B" w:rsidRPr="00761845" w:rsidRDefault="002A642B" w:rsidP="00B451D7">
            <w:pPr>
              <w:jc w:val="both"/>
              <w:rPr>
                <w:b/>
                <w:bCs/>
                <w:color w:val="000000" w:themeColor="text1"/>
                <w:sz w:val="20"/>
                <w:szCs w:val="20"/>
              </w:rPr>
            </w:pPr>
            <w:r w:rsidRPr="00761845">
              <w:rPr>
                <w:b/>
                <w:bCs/>
                <w:color w:val="000000" w:themeColor="text1"/>
                <w:sz w:val="20"/>
                <w:szCs w:val="20"/>
              </w:rPr>
              <w:t>Network</w:t>
            </w:r>
          </w:p>
        </w:tc>
        <w:tc>
          <w:tcPr>
            <w:tcW w:w="2070" w:type="dxa"/>
            <w:tcBorders>
              <w:top w:val="single" w:sz="8" w:space="0" w:color="auto"/>
              <w:left w:val="nil"/>
              <w:bottom w:val="single" w:sz="8" w:space="0" w:color="auto"/>
              <w:right w:val="single" w:sz="4" w:space="0" w:color="auto"/>
            </w:tcBorders>
            <w:shd w:val="clear" w:color="auto" w:fill="D9D9D9" w:themeFill="background1" w:themeFillShade="D9"/>
            <w:noWrap/>
            <w:vAlign w:val="bottom"/>
            <w:hideMark/>
          </w:tcPr>
          <w:p w14:paraId="0EC45483" w14:textId="77777777" w:rsidR="002A642B" w:rsidRPr="00761845" w:rsidRDefault="002A642B" w:rsidP="00B451D7">
            <w:pPr>
              <w:jc w:val="both"/>
              <w:rPr>
                <w:b/>
                <w:bCs/>
                <w:color w:val="000000" w:themeColor="text1"/>
                <w:sz w:val="20"/>
                <w:szCs w:val="20"/>
              </w:rPr>
            </w:pPr>
            <w:r w:rsidRPr="00761845">
              <w:rPr>
                <w:b/>
                <w:bCs/>
                <w:color w:val="000000" w:themeColor="text1"/>
                <w:sz w:val="20"/>
                <w:szCs w:val="20"/>
              </w:rPr>
              <w:t>Minimum Viable Capital</w:t>
            </w:r>
          </w:p>
        </w:tc>
        <w:tc>
          <w:tcPr>
            <w:tcW w:w="2430" w:type="dxa"/>
            <w:tcBorders>
              <w:top w:val="single" w:sz="8" w:space="0" w:color="auto"/>
              <w:left w:val="nil"/>
              <w:bottom w:val="single" w:sz="8" w:space="0" w:color="auto"/>
              <w:right w:val="single" w:sz="4" w:space="0" w:color="auto"/>
            </w:tcBorders>
            <w:shd w:val="clear" w:color="auto" w:fill="D9D9D9" w:themeFill="background1" w:themeFillShade="D9"/>
            <w:noWrap/>
            <w:vAlign w:val="bottom"/>
            <w:hideMark/>
          </w:tcPr>
          <w:p w14:paraId="1CEAD865" w14:textId="77777777" w:rsidR="002A642B" w:rsidRPr="00761845" w:rsidRDefault="002A642B" w:rsidP="00B451D7">
            <w:pPr>
              <w:jc w:val="both"/>
              <w:rPr>
                <w:b/>
                <w:bCs/>
                <w:color w:val="000000" w:themeColor="text1"/>
                <w:sz w:val="20"/>
                <w:szCs w:val="20"/>
              </w:rPr>
            </w:pPr>
            <w:r w:rsidRPr="00761845">
              <w:rPr>
                <w:b/>
                <w:bCs/>
                <w:color w:val="000000" w:themeColor="text1"/>
                <w:sz w:val="20"/>
                <w:szCs w:val="20"/>
              </w:rPr>
              <w:t>Range</w:t>
            </w:r>
          </w:p>
        </w:tc>
        <w:tc>
          <w:tcPr>
            <w:tcW w:w="2340" w:type="dxa"/>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787C5402" w14:textId="77777777" w:rsidR="002A642B" w:rsidRPr="00761845" w:rsidRDefault="002A642B" w:rsidP="00B451D7">
            <w:pPr>
              <w:jc w:val="both"/>
              <w:rPr>
                <w:b/>
                <w:bCs/>
                <w:color w:val="000000" w:themeColor="text1"/>
                <w:sz w:val="20"/>
                <w:szCs w:val="20"/>
              </w:rPr>
            </w:pPr>
            <w:r w:rsidRPr="00761845">
              <w:rPr>
                <w:b/>
                <w:bCs/>
                <w:color w:val="000000" w:themeColor="text1"/>
                <w:sz w:val="20"/>
                <w:szCs w:val="20"/>
              </w:rPr>
              <w:t>Basis</w:t>
            </w:r>
          </w:p>
        </w:tc>
      </w:tr>
      <w:tr w:rsidR="00761845" w:rsidRPr="00761845" w14:paraId="2CAFFA46" w14:textId="77777777" w:rsidTr="004F3599">
        <w:trPr>
          <w:trHeight w:val="320"/>
        </w:trPr>
        <w:tc>
          <w:tcPr>
            <w:tcW w:w="2420" w:type="dxa"/>
            <w:tcBorders>
              <w:top w:val="nil"/>
              <w:left w:val="single" w:sz="8" w:space="0" w:color="auto"/>
              <w:bottom w:val="single" w:sz="4" w:space="0" w:color="auto"/>
              <w:right w:val="single" w:sz="8" w:space="0" w:color="auto"/>
            </w:tcBorders>
            <w:shd w:val="clear" w:color="auto" w:fill="D9D9D9" w:themeFill="background1" w:themeFillShade="D9"/>
            <w:noWrap/>
            <w:vAlign w:val="bottom"/>
            <w:hideMark/>
          </w:tcPr>
          <w:p w14:paraId="77ACEF1B" w14:textId="77777777" w:rsidR="002A642B" w:rsidRPr="00761845" w:rsidRDefault="002A642B" w:rsidP="00B451D7">
            <w:pPr>
              <w:jc w:val="both"/>
              <w:rPr>
                <w:b/>
                <w:bCs/>
                <w:color w:val="000000" w:themeColor="text1"/>
                <w:sz w:val="20"/>
                <w:szCs w:val="20"/>
              </w:rPr>
            </w:pPr>
            <w:r w:rsidRPr="00761845">
              <w:rPr>
                <w:b/>
                <w:bCs/>
                <w:color w:val="000000" w:themeColor="text1"/>
                <w:sz w:val="20"/>
                <w:szCs w:val="20"/>
              </w:rPr>
              <w:t xml:space="preserve">Ethereum </w:t>
            </w:r>
            <w:proofErr w:type="spellStart"/>
            <w:r w:rsidRPr="00761845">
              <w:rPr>
                <w:b/>
                <w:bCs/>
                <w:color w:val="000000" w:themeColor="text1"/>
                <w:sz w:val="20"/>
                <w:szCs w:val="20"/>
              </w:rPr>
              <w:t>Mainnet</w:t>
            </w:r>
            <w:proofErr w:type="spellEnd"/>
          </w:p>
        </w:tc>
        <w:tc>
          <w:tcPr>
            <w:tcW w:w="2070" w:type="dxa"/>
            <w:tcBorders>
              <w:top w:val="nil"/>
              <w:left w:val="nil"/>
              <w:bottom w:val="single" w:sz="4" w:space="0" w:color="auto"/>
              <w:right w:val="single" w:sz="4" w:space="0" w:color="auto"/>
            </w:tcBorders>
            <w:noWrap/>
            <w:vAlign w:val="bottom"/>
            <w:hideMark/>
          </w:tcPr>
          <w:p w14:paraId="405DCA42" w14:textId="77777777" w:rsidR="002A642B" w:rsidRPr="00761845" w:rsidRDefault="002A642B" w:rsidP="00B451D7">
            <w:pPr>
              <w:jc w:val="both"/>
              <w:rPr>
                <w:color w:val="000000" w:themeColor="text1"/>
                <w:sz w:val="20"/>
                <w:szCs w:val="20"/>
              </w:rPr>
            </w:pPr>
            <w:r w:rsidRPr="00761845">
              <w:rPr>
                <w:color w:val="000000" w:themeColor="text1"/>
                <w:sz w:val="20"/>
                <w:szCs w:val="20"/>
              </w:rPr>
              <w:t xml:space="preserve">$25,000 </w:t>
            </w:r>
          </w:p>
        </w:tc>
        <w:tc>
          <w:tcPr>
            <w:tcW w:w="2430" w:type="dxa"/>
            <w:tcBorders>
              <w:top w:val="nil"/>
              <w:left w:val="nil"/>
              <w:bottom w:val="single" w:sz="4" w:space="0" w:color="auto"/>
              <w:right w:val="single" w:sz="4" w:space="0" w:color="auto"/>
            </w:tcBorders>
            <w:noWrap/>
            <w:vAlign w:val="bottom"/>
            <w:hideMark/>
          </w:tcPr>
          <w:p w14:paraId="69250BBC" w14:textId="77777777" w:rsidR="002A642B" w:rsidRPr="00761845" w:rsidRDefault="002A642B" w:rsidP="00B451D7">
            <w:pPr>
              <w:jc w:val="both"/>
              <w:rPr>
                <w:color w:val="000000" w:themeColor="text1"/>
                <w:sz w:val="20"/>
                <w:szCs w:val="20"/>
              </w:rPr>
            </w:pPr>
            <w:r w:rsidRPr="00761845">
              <w:rPr>
                <w:color w:val="000000" w:themeColor="text1"/>
                <w:sz w:val="20"/>
                <w:szCs w:val="20"/>
              </w:rPr>
              <w:t>$18,000 - $31,000</w:t>
            </w:r>
          </w:p>
        </w:tc>
        <w:tc>
          <w:tcPr>
            <w:tcW w:w="2340" w:type="dxa"/>
            <w:tcBorders>
              <w:top w:val="nil"/>
              <w:left w:val="nil"/>
              <w:bottom w:val="single" w:sz="4" w:space="0" w:color="auto"/>
              <w:right w:val="single" w:sz="8" w:space="0" w:color="auto"/>
            </w:tcBorders>
            <w:noWrap/>
            <w:vAlign w:val="bottom"/>
            <w:hideMark/>
          </w:tcPr>
          <w:p w14:paraId="4D400942" w14:textId="77777777" w:rsidR="002A642B" w:rsidRPr="00761845" w:rsidRDefault="002A642B" w:rsidP="00B451D7">
            <w:pPr>
              <w:jc w:val="both"/>
              <w:rPr>
                <w:color w:val="000000" w:themeColor="text1"/>
                <w:sz w:val="20"/>
                <w:szCs w:val="20"/>
              </w:rPr>
            </w:pPr>
            <w:r w:rsidRPr="00761845">
              <w:rPr>
                <w:color w:val="000000" w:themeColor="text1"/>
                <w:sz w:val="20"/>
                <w:szCs w:val="20"/>
              </w:rPr>
              <w:t xml:space="preserve">Gas prices 30-50 </w:t>
            </w:r>
            <w:proofErr w:type="spellStart"/>
            <w:r w:rsidRPr="00761845">
              <w:rPr>
                <w:color w:val="000000" w:themeColor="text1"/>
                <w:sz w:val="20"/>
                <w:szCs w:val="20"/>
              </w:rPr>
              <w:t>gwei</w:t>
            </w:r>
            <w:proofErr w:type="spellEnd"/>
          </w:p>
        </w:tc>
      </w:tr>
      <w:tr w:rsidR="00761845" w:rsidRPr="00761845" w14:paraId="2A2D8AEC" w14:textId="77777777" w:rsidTr="004F3599">
        <w:trPr>
          <w:trHeight w:val="320"/>
        </w:trPr>
        <w:tc>
          <w:tcPr>
            <w:tcW w:w="2420" w:type="dxa"/>
            <w:tcBorders>
              <w:top w:val="nil"/>
              <w:left w:val="single" w:sz="8" w:space="0" w:color="auto"/>
              <w:bottom w:val="single" w:sz="4" w:space="0" w:color="auto"/>
              <w:right w:val="single" w:sz="8" w:space="0" w:color="auto"/>
            </w:tcBorders>
            <w:shd w:val="clear" w:color="auto" w:fill="D9D9D9" w:themeFill="background1" w:themeFillShade="D9"/>
            <w:noWrap/>
            <w:vAlign w:val="bottom"/>
            <w:hideMark/>
          </w:tcPr>
          <w:p w14:paraId="76212C56" w14:textId="77777777" w:rsidR="002A642B" w:rsidRPr="00761845" w:rsidRDefault="002A642B" w:rsidP="00B451D7">
            <w:pPr>
              <w:jc w:val="both"/>
              <w:rPr>
                <w:b/>
                <w:bCs/>
                <w:color w:val="000000" w:themeColor="text1"/>
                <w:sz w:val="20"/>
                <w:szCs w:val="20"/>
              </w:rPr>
            </w:pPr>
            <w:r w:rsidRPr="00761845">
              <w:rPr>
                <w:b/>
                <w:bCs/>
                <w:color w:val="000000" w:themeColor="text1"/>
                <w:sz w:val="20"/>
                <w:szCs w:val="20"/>
              </w:rPr>
              <w:t>Layer 2 (</w:t>
            </w:r>
            <w:proofErr w:type="spellStart"/>
            <w:r w:rsidRPr="00761845">
              <w:rPr>
                <w:b/>
                <w:bCs/>
                <w:color w:val="000000" w:themeColor="text1"/>
                <w:sz w:val="20"/>
                <w:szCs w:val="20"/>
              </w:rPr>
              <w:t>Arbitrum</w:t>
            </w:r>
            <w:proofErr w:type="spellEnd"/>
            <w:r w:rsidRPr="00761845">
              <w:rPr>
                <w:b/>
                <w:bCs/>
                <w:color w:val="000000" w:themeColor="text1"/>
                <w:sz w:val="20"/>
                <w:szCs w:val="20"/>
              </w:rPr>
              <w:t>/Optimism)</w:t>
            </w:r>
          </w:p>
        </w:tc>
        <w:tc>
          <w:tcPr>
            <w:tcW w:w="2070" w:type="dxa"/>
            <w:tcBorders>
              <w:top w:val="nil"/>
              <w:left w:val="nil"/>
              <w:bottom w:val="single" w:sz="4" w:space="0" w:color="auto"/>
              <w:right w:val="single" w:sz="4" w:space="0" w:color="auto"/>
            </w:tcBorders>
            <w:noWrap/>
            <w:vAlign w:val="bottom"/>
            <w:hideMark/>
          </w:tcPr>
          <w:p w14:paraId="71AEE86F" w14:textId="77777777" w:rsidR="002A642B" w:rsidRPr="00761845" w:rsidRDefault="002A642B" w:rsidP="00B451D7">
            <w:pPr>
              <w:jc w:val="both"/>
              <w:rPr>
                <w:color w:val="000000" w:themeColor="text1"/>
                <w:sz w:val="20"/>
                <w:szCs w:val="20"/>
              </w:rPr>
            </w:pPr>
            <w:r w:rsidRPr="00761845">
              <w:rPr>
                <w:color w:val="000000" w:themeColor="text1"/>
                <w:sz w:val="20"/>
                <w:szCs w:val="20"/>
              </w:rPr>
              <w:t xml:space="preserve">$3,500 </w:t>
            </w:r>
          </w:p>
        </w:tc>
        <w:tc>
          <w:tcPr>
            <w:tcW w:w="2430" w:type="dxa"/>
            <w:tcBorders>
              <w:top w:val="nil"/>
              <w:left w:val="nil"/>
              <w:bottom w:val="single" w:sz="4" w:space="0" w:color="auto"/>
              <w:right w:val="single" w:sz="4" w:space="0" w:color="auto"/>
            </w:tcBorders>
            <w:noWrap/>
            <w:vAlign w:val="bottom"/>
            <w:hideMark/>
          </w:tcPr>
          <w:p w14:paraId="5E17DAA4" w14:textId="77777777" w:rsidR="002A642B" w:rsidRPr="00761845" w:rsidRDefault="002A642B" w:rsidP="00B451D7">
            <w:pPr>
              <w:jc w:val="both"/>
              <w:rPr>
                <w:color w:val="000000" w:themeColor="text1"/>
                <w:sz w:val="20"/>
                <w:szCs w:val="20"/>
              </w:rPr>
            </w:pPr>
            <w:r w:rsidRPr="00761845">
              <w:rPr>
                <w:color w:val="000000" w:themeColor="text1"/>
                <w:sz w:val="20"/>
                <w:szCs w:val="20"/>
              </w:rPr>
              <w:t>$2,500 - $4,500</w:t>
            </w:r>
          </w:p>
        </w:tc>
        <w:tc>
          <w:tcPr>
            <w:tcW w:w="2340" w:type="dxa"/>
            <w:tcBorders>
              <w:top w:val="nil"/>
              <w:left w:val="nil"/>
              <w:bottom w:val="single" w:sz="4" w:space="0" w:color="auto"/>
              <w:right w:val="single" w:sz="8" w:space="0" w:color="auto"/>
            </w:tcBorders>
            <w:noWrap/>
            <w:vAlign w:val="bottom"/>
            <w:hideMark/>
          </w:tcPr>
          <w:p w14:paraId="542BAA35" w14:textId="77777777" w:rsidR="002A642B" w:rsidRPr="00761845" w:rsidRDefault="002A642B" w:rsidP="00B451D7">
            <w:pPr>
              <w:jc w:val="both"/>
              <w:rPr>
                <w:color w:val="000000" w:themeColor="text1"/>
                <w:sz w:val="20"/>
                <w:szCs w:val="20"/>
              </w:rPr>
            </w:pPr>
            <w:r w:rsidRPr="00761845">
              <w:rPr>
                <w:color w:val="000000" w:themeColor="text1"/>
                <w:sz w:val="20"/>
                <w:szCs w:val="20"/>
              </w:rPr>
              <w:t>Stable L2 gas costs</w:t>
            </w:r>
          </w:p>
        </w:tc>
      </w:tr>
      <w:tr w:rsidR="002A642B" w:rsidRPr="00761845" w14:paraId="27DF9FF0" w14:textId="77777777" w:rsidTr="004F3599">
        <w:trPr>
          <w:trHeight w:val="340"/>
        </w:trPr>
        <w:tc>
          <w:tcPr>
            <w:tcW w:w="2420" w:type="dxa"/>
            <w:tcBorders>
              <w:top w:val="nil"/>
              <w:left w:val="single" w:sz="8" w:space="0" w:color="auto"/>
              <w:bottom w:val="single" w:sz="8" w:space="0" w:color="auto"/>
              <w:right w:val="single" w:sz="8" w:space="0" w:color="auto"/>
            </w:tcBorders>
            <w:shd w:val="clear" w:color="auto" w:fill="D9D9D9" w:themeFill="background1" w:themeFillShade="D9"/>
            <w:noWrap/>
            <w:vAlign w:val="bottom"/>
            <w:hideMark/>
          </w:tcPr>
          <w:p w14:paraId="30374724" w14:textId="77777777" w:rsidR="002A642B" w:rsidRPr="00761845" w:rsidRDefault="002A642B" w:rsidP="00B451D7">
            <w:pPr>
              <w:jc w:val="both"/>
              <w:rPr>
                <w:b/>
                <w:bCs/>
                <w:color w:val="000000" w:themeColor="text1"/>
                <w:sz w:val="20"/>
                <w:szCs w:val="20"/>
              </w:rPr>
            </w:pPr>
            <w:r w:rsidRPr="00761845">
              <w:rPr>
                <w:b/>
                <w:bCs/>
                <w:color w:val="000000" w:themeColor="text1"/>
                <w:sz w:val="20"/>
                <w:szCs w:val="20"/>
              </w:rPr>
              <w:t>Polygon/BSC (Alt L1)</w:t>
            </w:r>
          </w:p>
        </w:tc>
        <w:tc>
          <w:tcPr>
            <w:tcW w:w="2070" w:type="dxa"/>
            <w:tcBorders>
              <w:top w:val="nil"/>
              <w:left w:val="nil"/>
              <w:bottom w:val="single" w:sz="8" w:space="0" w:color="auto"/>
              <w:right w:val="single" w:sz="4" w:space="0" w:color="auto"/>
            </w:tcBorders>
            <w:noWrap/>
            <w:vAlign w:val="bottom"/>
            <w:hideMark/>
          </w:tcPr>
          <w:p w14:paraId="53B10DE3" w14:textId="77777777" w:rsidR="002A642B" w:rsidRPr="00761845" w:rsidRDefault="002A642B" w:rsidP="00B451D7">
            <w:pPr>
              <w:jc w:val="both"/>
              <w:rPr>
                <w:color w:val="000000" w:themeColor="text1"/>
                <w:sz w:val="20"/>
                <w:szCs w:val="20"/>
              </w:rPr>
            </w:pPr>
            <w:r w:rsidRPr="00761845">
              <w:rPr>
                <w:color w:val="000000" w:themeColor="text1"/>
                <w:sz w:val="20"/>
                <w:szCs w:val="20"/>
              </w:rPr>
              <w:t xml:space="preserve">$750 </w:t>
            </w:r>
          </w:p>
        </w:tc>
        <w:tc>
          <w:tcPr>
            <w:tcW w:w="2430" w:type="dxa"/>
            <w:tcBorders>
              <w:top w:val="nil"/>
              <w:left w:val="nil"/>
              <w:bottom w:val="single" w:sz="8" w:space="0" w:color="auto"/>
              <w:right w:val="single" w:sz="4" w:space="0" w:color="auto"/>
            </w:tcBorders>
            <w:noWrap/>
            <w:vAlign w:val="bottom"/>
            <w:hideMark/>
          </w:tcPr>
          <w:p w14:paraId="4A6EA730" w14:textId="77777777" w:rsidR="002A642B" w:rsidRPr="00761845" w:rsidRDefault="002A642B" w:rsidP="00B451D7">
            <w:pPr>
              <w:jc w:val="both"/>
              <w:rPr>
                <w:color w:val="000000" w:themeColor="text1"/>
                <w:sz w:val="20"/>
                <w:szCs w:val="20"/>
              </w:rPr>
            </w:pPr>
            <w:r w:rsidRPr="00761845">
              <w:rPr>
                <w:color w:val="000000" w:themeColor="text1"/>
                <w:sz w:val="20"/>
                <w:szCs w:val="20"/>
              </w:rPr>
              <w:t>$500 - $1,000</w:t>
            </w:r>
          </w:p>
        </w:tc>
        <w:tc>
          <w:tcPr>
            <w:tcW w:w="2340" w:type="dxa"/>
            <w:tcBorders>
              <w:top w:val="nil"/>
              <w:left w:val="nil"/>
              <w:bottom w:val="single" w:sz="8" w:space="0" w:color="auto"/>
              <w:right w:val="single" w:sz="8" w:space="0" w:color="auto"/>
            </w:tcBorders>
            <w:noWrap/>
            <w:vAlign w:val="bottom"/>
            <w:hideMark/>
          </w:tcPr>
          <w:p w14:paraId="1210C198" w14:textId="77777777" w:rsidR="002A642B" w:rsidRPr="00761845" w:rsidRDefault="002A642B" w:rsidP="00B451D7">
            <w:pPr>
              <w:jc w:val="both"/>
              <w:rPr>
                <w:color w:val="000000" w:themeColor="text1"/>
                <w:sz w:val="20"/>
                <w:szCs w:val="20"/>
              </w:rPr>
            </w:pPr>
            <w:r w:rsidRPr="00761845">
              <w:rPr>
                <w:color w:val="000000" w:themeColor="text1"/>
                <w:sz w:val="20"/>
                <w:szCs w:val="20"/>
              </w:rPr>
              <w:t>Low gas environment</w:t>
            </w:r>
          </w:p>
        </w:tc>
      </w:tr>
    </w:tbl>
    <w:p w14:paraId="35DB4245" w14:textId="77777777" w:rsidR="002A642B" w:rsidRPr="00761845" w:rsidRDefault="002A642B" w:rsidP="00B451D7">
      <w:pPr>
        <w:pStyle w:val="whitespace-normal"/>
        <w:spacing w:before="0" w:beforeAutospacing="0" w:after="0" w:afterAutospacing="0"/>
        <w:jc w:val="both"/>
        <w:rPr>
          <w:color w:val="000000" w:themeColor="text1"/>
        </w:rPr>
      </w:pPr>
    </w:p>
    <w:p w14:paraId="494566AD" w14:textId="6E53C494" w:rsidR="00D7645B" w:rsidRPr="00761845" w:rsidRDefault="00D7645B" w:rsidP="00B451D7">
      <w:pPr>
        <w:pStyle w:val="whitespace-normal"/>
        <w:spacing w:before="0" w:beforeAutospacing="0" w:after="0" w:afterAutospacing="0"/>
        <w:jc w:val="both"/>
        <w:rPr>
          <w:color w:val="000000" w:themeColor="text1"/>
        </w:rPr>
      </w:pPr>
      <w:r w:rsidRPr="00761845">
        <w:rPr>
          <w:color w:val="000000" w:themeColor="text1"/>
        </w:rPr>
        <w:t>These thresholds represent the point where fee income begins to exceed operational costs. Below these levels, losses are mathematically guaranteed regardless of strategy quality.</w:t>
      </w:r>
    </w:p>
    <w:p w14:paraId="78F26EC7" w14:textId="77777777" w:rsidR="00572893" w:rsidRPr="00761845" w:rsidRDefault="00572893" w:rsidP="00B451D7">
      <w:pPr>
        <w:pStyle w:val="Heading3"/>
        <w:jc w:val="both"/>
        <w:rPr>
          <w:rStyle w:val="Strong"/>
          <w:b/>
          <w:bCs w:val="0"/>
          <w:color w:val="000000" w:themeColor="text1"/>
        </w:rPr>
      </w:pPr>
    </w:p>
    <w:p w14:paraId="15C0443A" w14:textId="5E0F2F3B" w:rsidR="00A73C2E" w:rsidRPr="00761845" w:rsidRDefault="00572893" w:rsidP="00B451D7">
      <w:pPr>
        <w:pStyle w:val="Heading3"/>
        <w:jc w:val="both"/>
        <w:rPr>
          <w:rStyle w:val="Strong"/>
          <w:b/>
          <w:bCs w:val="0"/>
          <w:color w:val="000000" w:themeColor="text1"/>
        </w:rPr>
      </w:pPr>
      <w:bookmarkStart w:id="60" w:name="_Toc214721866"/>
      <w:r w:rsidRPr="00761845">
        <w:rPr>
          <w:rStyle w:val="Strong"/>
          <w:b/>
          <w:bCs w:val="0"/>
          <w:color w:val="000000" w:themeColor="text1"/>
        </w:rPr>
        <w:t>3.</w:t>
      </w:r>
      <w:r w:rsidR="0082049B">
        <w:rPr>
          <w:rStyle w:val="Strong"/>
          <w:b/>
          <w:bCs w:val="0"/>
          <w:color w:val="000000" w:themeColor="text1"/>
        </w:rPr>
        <w:t>7</w:t>
      </w:r>
      <w:r w:rsidRPr="00761845">
        <w:rPr>
          <w:rStyle w:val="Strong"/>
          <w:b/>
          <w:bCs w:val="0"/>
          <w:color w:val="000000" w:themeColor="text1"/>
        </w:rPr>
        <w:t>.3 Time Requirement Reality Check</w:t>
      </w:r>
      <w:bookmarkEnd w:id="60"/>
    </w:p>
    <w:p w14:paraId="6E4BB952" w14:textId="155725BC" w:rsidR="00DB63B6" w:rsidRPr="00761845" w:rsidRDefault="00DB63B6" w:rsidP="00B451D7">
      <w:pPr>
        <w:jc w:val="both"/>
        <w:rPr>
          <w:rFonts w:eastAsiaTheme="majorEastAsia"/>
          <w:bCs/>
          <w:color w:val="000000" w:themeColor="text1"/>
        </w:rPr>
      </w:pPr>
      <w:r w:rsidRPr="00761845">
        <w:rPr>
          <w:rFonts w:eastAsiaTheme="majorEastAsia"/>
          <w:bCs/>
          <w:color w:val="000000" w:themeColor="text1"/>
        </w:rPr>
        <w:t xml:space="preserve">The empirical evidence presented in this section fundamentally contradicts the widespread characterization of liquidity provisioning as a passive income strategy. The median time commitment of 17.5 hours per week was identified among the successful participants. This time commitment </w:t>
      </w:r>
      <w:proofErr w:type="gramStart"/>
      <w:r w:rsidRPr="00761845">
        <w:rPr>
          <w:rFonts w:eastAsiaTheme="majorEastAsia"/>
          <w:bCs/>
          <w:color w:val="000000" w:themeColor="text1"/>
        </w:rPr>
        <w:t>equals to</w:t>
      </w:r>
      <w:proofErr w:type="gramEnd"/>
      <w:r w:rsidRPr="00761845">
        <w:rPr>
          <w:rFonts w:eastAsiaTheme="majorEastAsia"/>
          <w:bCs/>
          <w:color w:val="000000" w:themeColor="text1"/>
        </w:rPr>
        <w:t xml:space="preserve"> half-time employment and represents a substantial barrier to entry that is rarely acknowledged in either academic literature or protocol documentation. This discovery requires a reevaluation of the liquidity provision concept within the expansive DeFi ecosystem. </w:t>
      </w:r>
    </w:p>
    <w:p w14:paraId="34167324" w14:textId="77777777" w:rsidR="00E5128D" w:rsidRPr="00761845" w:rsidRDefault="00E5128D" w:rsidP="00B451D7">
      <w:pPr>
        <w:jc w:val="both"/>
        <w:rPr>
          <w:rFonts w:eastAsiaTheme="majorEastAsia"/>
          <w:bCs/>
          <w:color w:val="000000" w:themeColor="text1"/>
        </w:rPr>
      </w:pPr>
    </w:p>
    <w:p w14:paraId="1A9B7624" w14:textId="5449F3AF" w:rsidR="00DB63B6" w:rsidRPr="00761845" w:rsidRDefault="00DB63B6" w:rsidP="00B451D7">
      <w:pPr>
        <w:jc w:val="both"/>
        <w:rPr>
          <w:rFonts w:eastAsiaTheme="majorEastAsia"/>
          <w:bCs/>
          <w:color w:val="000000" w:themeColor="text1"/>
        </w:rPr>
      </w:pPr>
      <w:r w:rsidRPr="00761845">
        <w:rPr>
          <w:rFonts w:eastAsiaTheme="majorEastAsia"/>
          <w:bCs/>
          <w:color w:val="000000" w:themeColor="text1"/>
        </w:rPr>
        <w:t xml:space="preserve">Instead of positioning LP participation as an accessible passive investment vehicle, the data suggest it should be more accurately characterized as an active financial management role requiring continuous monitoring, strategic decision-making, and technical skillset. The systematic failures observed among participants attempting to maintain positions with minimal time investment (&lt;10 hours weekly) reinforce this. These findings raise important questions about the sustainability of </w:t>
      </w:r>
      <w:r w:rsidR="009E191F" w:rsidRPr="00761845">
        <w:rPr>
          <w:rFonts w:eastAsiaTheme="majorEastAsia"/>
          <w:bCs/>
          <w:color w:val="000000" w:themeColor="text1"/>
        </w:rPr>
        <w:t>the c</w:t>
      </w:r>
      <w:r w:rsidRPr="00761845">
        <w:rPr>
          <w:rFonts w:eastAsiaTheme="majorEastAsia"/>
          <w:bCs/>
          <w:color w:val="000000" w:themeColor="text1"/>
        </w:rPr>
        <w:t>urrent DeFi models that rely on broad retail participation in liquidity provision, particularly as the complexity of protocols continues to increase.</w:t>
      </w:r>
    </w:p>
    <w:p w14:paraId="70512A70" w14:textId="77777777" w:rsidR="00DB63B6" w:rsidRPr="00761845" w:rsidRDefault="00DB63B6" w:rsidP="00B451D7">
      <w:pPr>
        <w:jc w:val="both"/>
        <w:rPr>
          <w:color w:val="000000" w:themeColor="text1"/>
        </w:rPr>
      </w:pPr>
    </w:p>
    <w:p w14:paraId="0C06285C" w14:textId="20C9B8AC" w:rsidR="00A73C2E" w:rsidRPr="00761845" w:rsidRDefault="00A73C2E" w:rsidP="00B451D7">
      <w:pPr>
        <w:pStyle w:val="whitespace-normal"/>
        <w:spacing w:before="0" w:beforeAutospacing="0" w:after="0" w:afterAutospacing="0"/>
        <w:jc w:val="both"/>
        <w:rPr>
          <w:rStyle w:val="Strong"/>
          <w:color w:val="000000" w:themeColor="text1"/>
        </w:rPr>
      </w:pPr>
      <w:r w:rsidRPr="00761845">
        <w:rPr>
          <w:rStyle w:val="Strong"/>
          <w:color w:val="000000" w:themeColor="text1"/>
        </w:rPr>
        <w:t>Finding</w:t>
      </w:r>
      <w:r w:rsidR="009E191F" w:rsidRPr="00761845">
        <w:rPr>
          <w:rStyle w:val="Strong"/>
          <w:color w:val="000000" w:themeColor="text1"/>
        </w:rPr>
        <w:t>s</w:t>
      </w:r>
      <w:r w:rsidRPr="00761845">
        <w:rPr>
          <w:rStyle w:val="Strong"/>
          <w:color w:val="000000" w:themeColor="text1"/>
        </w:rPr>
        <w:t xml:space="preserve"> from 27 semi-structured interviews:</w:t>
      </w:r>
    </w:p>
    <w:p w14:paraId="228EAE34" w14:textId="77777777" w:rsidR="009E191F" w:rsidRPr="00761845" w:rsidRDefault="009E191F" w:rsidP="00B451D7">
      <w:pPr>
        <w:pStyle w:val="whitespace-normal"/>
        <w:spacing w:before="0" w:beforeAutospacing="0" w:after="0" w:afterAutospacing="0"/>
        <w:jc w:val="both"/>
        <w:rPr>
          <w:color w:val="000000" w:themeColor="text1"/>
        </w:rPr>
      </w:pPr>
    </w:p>
    <w:p w14:paraId="6347093E" w14:textId="77777777" w:rsidR="00A73C2E" w:rsidRPr="00761845" w:rsidRDefault="00A73C2E" w:rsidP="00B451D7">
      <w:pPr>
        <w:pStyle w:val="whitespace-normal"/>
        <w:spacing w:before="0" w:beforeAutospacing="0" w:after="0" w:afterAutospacing="0"/>
        <w:jc w:val="both"/>
        <w:rPr>
          <w:color w:val="000000" w:themeColor="text1"/>
        </w:rPr>
      </w:pPr>
      <w:r w:rsidRPr="00761845">
        <w:rPr>
          <w:rStyle w:val="Strong"/>
          <w:color w:val="000000" w:themeColor="text1"/>
        </w:rPr>
        <w:t>Successful participants:</w:t>
      </w:r>
      <w:r w:rsidRPr="00761845">
        <w:rPr>
          <w:color w:val="000000" w:themeColor="text1"/>
        </w:rPr>
        <w:t xml:space="preserve"> Median 17.5 hours weekly (range: 15-20 hours)</w:t>
      </w:r>
    </w:p>
    <w:p w14:paraId="17217B97" w14:textId="77777777" w:rsidR="00182705" w:rsidRPr="00761845" w:rsidRDefault="00182705" w:rsidP="00B451D7">
      <w:pPr>
        <w:pStyle w:val="whitespace-normal"/>
        <w:spacing w:before="0" w:beforeAutospacing="0" w:after="0" w:afterAutospacing="0"/>
        <w:ind w:left="720"/>
        <w:jc w:val="both"/>
        <w:rPr>
          <w:rStyle w:val="Strong"/>
          <w:color w:val="000000" w:themeColor="text1"/>
        </w:rPr>
      </w:pPr>
    </w:p>
    <w:p w14:paraId="373A75BA" w14:textId="566C6312" w:rsidR="00A73C2E" w:rsidRPr="00761845" w:rsidRDefault="00A73C2E" w:rsidP="00B451D7">
      <w:pPr>
        <w:pStyle w:val="whitespace-normal"/>
        <w:spacing w:before="0" w:beforeAutospacing="0" w:after="0" w:afterAutospacing="0"/>
        <w:ind w:left="720"/>
        <w:jc w:val="both"/>
        <w:rPr>
          <w:color w:val="000000" w:themeColor="text1"/>
        </w:rPr>
      </w:pPr>
      <w:r w:rsidRPr="00761845">
        <w:rPr>
          <w:rStyle w:val="Strong"/>
          <w:color w:val="000000" w:themeColor="text1"/>
        </w:rPr>
        <w:lastRenderedPageBreak/>
        <w:t>What this time involves:</w:t>
      </w:r>
    </w:p>
    <w:p w14:paraId="58C3311E" w14:textId="77777777" w:rsidR="00A73C2E" w:rsidRPr="00761845" w:rsidRDefault="00A73C2E" w:rsidP="00B451D7">
      <w:pPr>
        <w:pStyle w:val="whitespace-normal"/>
        <w:numPr>
          <w:ilvl w:val="0"/>
          <w:numId w:val="126"/>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Position monitoring (tracking range, fees earned, IL exposure)</w:t>
      </w:r>
    </w:p>
    <w:p w14:paraId="53402FDA" w14:textId="77777777" w:rsidR="00A73C2E" w:rsidRPr="00761845" w:rsidRDefault="00A73C2E" w:rsidP="00B451D7">
      <w:pPr>
        <w:pStyle w:val="whitespace-normal"/>
        <w:numPr>
          <w:ilvl w:val="0"/>
          <w:numId w:val="126"/>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Periodic rebalancing (monthly minimum for active strategies)</w:t>
      </w:r>
    </w:p>
    <w:p w14:paraId="6078A3DF" w14:textId="77777777" w:rsidR="00A73C2E" w:rsidRPr="00761845" w:rsidRDefault="00A73C2E" w:rsidP="00B451D7">
      <w:pPr>
        <w:pStyle w:val="whitespace-normal"/>
        <w:numPr>
          <w:ilvl w:val="0"/>
          <w:numId w:val="126"/>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Protocol governance monitoring (parameter changes affect returns)</w:t>
      </w:r>
    </w:p>
    <w:p w14:paraId="0F338E83" w14:textId="77777777" w:rsidR="00A73C2E" w:rsidRPr="00761845" w:rsidRDefault="00A73C2E" w:rsidP="00B451D7">
      <w:pPr>
        <w:pStyle w:val="whitespace-normal"/>
        <w:numPr>
          <w:ilvl w:val="0"/>
          <w:numId w:val="126"/>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Research and education (ongoing learning about new risks/opportunities)</w:t>
      </w:r>
    </w:p>
    <w:p w14:paraId="47EEEBAA" w14:textId="77777777" w:rsidR="00A73C2E" w:rsidRPr="00761845" w:rsidRDefault="00A73C2E" w:rsidP="00B451D7">
      <w:pPr>
        <w:pStyle w:val="whitespace-normal"/>
        <w:numPr>
          <w:ilvl w:val="0"/>
          <w:numId w:val="126"/>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Tax record maintenance (each transaction creates taxable event)</w:t>
      </w:r>
    </w:p>
    <w:p w14:paraId="33D3BBD0" w14:textId="77777777" w:rsidR="00A73C2E" w:rsidRPr="00761845" w:rsidRDefault="00A73C2E" w:rsidP="00B451D7">
      <w:pPr>
        <w:pStyle w:val="whitespace-normal"/>
        <w:numPr>
          <w:ilvl w:val="0"/>
          <w:numId w:val="126"/>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Gas optimization (timing transactions for lower costs)</w:t>
      </w:r>
    </w:p>
    <w:p w14:paraId="0252ACA9" w14:textId="77777777" w:rsidR="009E191F" w:rsidRPr="00761845" w:rsidRDefault="009E191F" w:rsidP="00B451D7">
      <w:pPr>
        <w:pStyle w:val="whitespace-normal"/>
        <w:spacing w:before="0" w:beforeAutospacing="0" w:after="0" w:afterAutospacing="0"/>
        <w:jc w:val="both"/>
        <w:rPr>
          <w:rStyle w:val="Strong"/>
          <w:color w:val="000000" w:themeColor="text1"/>
        </w:rPr>
      </w:pPr>
    </w:p>
    <w:p w14:paraId="0AE29C8F" w14:textId="46CB5A44" w:rsidR="00A73C2E" w:rsidRPr="00761845" w:rsidRDefault="00A73C2E" w:rsidP="00B451D7">
      <w:pPr>
        <w:pStyle w:val="whitespace-normal"/>
        <w:spacing w:before="0" w:beforeAutospacing="0" w:after="0" w:afterAutospacing="0"/>
        <w:ind w:left="720"/>
        <w:jc w:val="both"/>
        <w:rPr>
          <w:color w:val="000000" w:themeColor="text1"/>
        </w:rPr>
      </w:pPr>
      <w:r w:rsidRPr="00761845">
        <w:rPr>
          <w:rStyle w:val="Strong"/>
          <w:color w:val="000000" w:themeColor="text1"/>
        </w:rPr>
        <w:t>Participants attempting "passive" approaches (&lt;10 hours weekly):</w:t>
      </w:r>
    </w:p>
    <w:p w14:paraId="329CC988" w14:textId="77777777" w:rsidR="00A73C2E" w:rsidRPr="00761845" w:rsidRDefault="00A73C2E" w:rsidP="00B451D7">
      <w:pPr>
        <w:pStyle w:val="whitespace-normal"/>
        <w:numPr>
          <w:ilvl w:val="0"/>
          <w:numId w:val="127"/>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Associated with systematic failures in tracked sample</w:t>
      </w:r>
    </w:p>
    <w:p w14:paraId="43EC26FF" w14:textId="77777777" w:rsidR="00A73C2E" w:rsidRPr="00761845" w:rsidRDefault="00A73C2E" w:rsidP="00B451D7">
      <w:pPr>
        <w:pStyle w:val="whitespace-normal"/>
        <w:numPr>
          <w:ilvl w:val="0"/>
          <w:numId w:val="127"/>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Cannot maintain necessary monitoring and rebalancing</w:t>
      </w:r>
    </w:p>
    <w:p w14:paraId="55A0CE24" w14:textId="77777777" w:rsidR="00A73C2E" w:rsidRPr="00761845" w:rsidRDefault="00A73C2E" w:rsidP="00B451D7">
      <w:pPr>
        <w:pStyle w:val="whitespace-normal"/>
        <w:numPr>
          <w:ilvl w:val="0"/>
          <w:numId w:val="127"/>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Miss critical protocol governance changes</w:t>
      </w:r>
    </w:p>
    <w:p w14:paraId="15111C30" w14:textId="77777777" w:rsidR="00A73C2E" w:rsidRPr="00761845" w:rsidRDefault="00A73C2E" w:rsidP="00B451D7">
      <w:pPr>
        <w:pStyle w:val="whitespace-normal"/>
        <w:numPr>
          <w:ilvl w:val="0"/>
          <w:numId w:val="127"/>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Unable to respond to market stress events</w:t>
      </w:r>
    </w:p>
    <w:p w14:paraId="50EFA0E8" w14:textId="38B68D96" w:rsidR="009E191F" w:rsidRPr="00761845" w:rsidRDefault="009E191F" w:rsidP="00B451D7">
      <w:pPr>
        <w:pStyle w:val="whitespace-normal"/>
        <w:spacing w:before="0" w:beforeAutospacing="0" w:after="0" w:afterAutospacing="0"/>
        <w:ind w:left="720"/>
        <w:jc w:val="both"/>
        <w:rPr>
          <w:rStyle w:val="Strong"/>
          <w:color w:val="000000" w:themeColor="text1"/>
        </w:rPr>
      </w:pPr>
    </w:p>
    <w:p w14:paraId="4C73207F" w14:textId="49976AF9" w:rsidR="00A73C2E" w:rsidRPr="00761845" w:rsidRDefault="00A73C2E" w:rsidP="00B451D7">
      <w:pPr>
        <w:pStyle w:val="whitespace-normal"/>
        <w:spacing w:before="0" w:beforeAutospacing="0" w:after="0" w:afterAutospacing="0"/>
        <w:ind w:left="720"/>
        <w:jc w:val="both"/>
        <w:rPr>
          <w:color w:val="000000" w:themeColor="text1"/>
        </w:rPr>
      </w:pPr>
      <w:r w:rsidRPr="00761845">
        <w:rPr>
          <w:rStyle w:val="Strong"/>
          <w:color w:val="000000" w:themeColor="text1"/>
        </w:rPr>
        <w:t>Even "simple" stablecoin LP requires active management:</w:t>
      </w:r>
    </w:p>
    <w:p w14:paraId="77B297C7" w14:textId="77777777" w:rsidR="00A73C2E" w:rsidRPr="00761845" w:rsidRDefault="00A73C2E" w:rsidP="00B451D7">
      <w:pPr>
        <w:pStyle w:val="whitespace-normal"/>
        <w:numPr>
          <w:ilvl w:val="0"/>
          <w:numId w:val="128"/>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Not "set and forget"</w:t>
      </w:r>
    </w:p>
    <w:p w14:paraId="19759FDC" w14:textId="77777777" w:rsidR="00A73C2E" w:rsidRPr="00761845" w:rsidRDefault="00A73C2E" w:rsidP="00B451D7">
      <w:pPr>
        <w:pStyle w:val="whitespace-normal"/>
        <w:numPr>
          <w:ilvl w:val="0"/>
          <w:numId w:val="128"/>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Market conditions change</w:t>
      </w:r>
    </w:p>
    <w:p w14:paraId="50828A6C" w14:textId="77777777" w:rsidR="00A73C2E" w:rsidRPr="00761845" w:rsidRDefault="00A73C2E" w:rsidP="00B451D7">
      <w:pPr>
        <w:pStyle w:val="whitespace-normal"/>
        <w:numPr>
          <w:ilvl w:val="0"/>
          <w:numId w:val="128"/>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Protocols evolve</w:t>
      </w:r>
    </w:p>
    <w:p w14:paraId="3B05205C" w14:textId="77777777" w:rsidR="00A73C2E" w:rsidRPr="00761845" w:rsidRDefault="00A73C2E" w:rsidP="00B451D7">
      <w:pPr>
        <w:pStyle w:val="whitespace-normal"/>
        <w:numPr>
          <w:ilvl w:val="0"/>
          <w:numId w:val="128"/>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Governance parameters adjust</w:t>
      </w:r>
    </w:p>
    <w:p w14:paraId="4EB73C11" w14:textId="77777777" w:rsidR="00A73C2E" w:rsidRPr="00761845" w:rsidRDefault="00A73C2E" w:rsidP="00B451D7">
      <w:pPr>
        <w:pStyle w:val="whitespace-normal"/>
        <w:numPr>
          <w:ilvl w:val="0"/>
          <w:numId w:val="128"/>
        </w:numPr>
        <w:tabs>
          <w:tab w:val="clear" w:pos="720"/>
          <w:tab w:val="num" w:pos="1440"/>
        </w:tabs>
        <w:spacing w:before="0" w:beforeAutospacing="0" w:after="0" w:afterAutospacing="0"/>
        <w:ind w:left="1440"/>
        <w:jc w:val="both"/>
        <w:outlineLvl w:val="9"/>
        <w:rPr>
          <w:color w:val="000000" w:themeColor="text1"/>
        </w:rPr>
      </w:pPr>
      <w:r w:rsidRPr="00761845">
        <w:rPr>
          <w:color w:val="000000" w:themeColor="text1"/>
        </w:rPr>
        <w:t>Competitor strategies emerge</w:t>
      </w:r>
    </w:p>
    <w:p w14:paraId="386EA175" w14:textId="77777777" w:rsidR="009E191F" w:rsidRPr="00761845" w:rsidRDefault="009E191F" w:rsidP="00B451D7">
      <w:pPr>
        <w:pStyle w:val="whitespace-normal"/>
        <w:spacing w:before="0" w:beforeAutospacing="0" w:after="0" w:afterAutospacing="0"/>
        <w:ind w:left="720"/>
        <w:jc w:val="both"/>
        <w:outlineLvl w:val="9"/>
        <w:rPr>
          <w:color w:val="000000" w:themeColor="text1"/>
        </w:rPr>
      </w:pPr>
    </w:p>
    <w:p w14:paraId="0E578231" w14:textId="77777777" w:rsidR="005C7063" w:rsidRPr="00761845" w:rsidRDefault="005C7063" w:rsidP="00B451D7">
      <w:pPr>
        <w:pStyle w:val="whitespace-normal"/>
        <w:spacing w:before="0" w:beforeAutospacing="0" w:after="0" w:afterAutospacing="0"/>
        <w:jc w:val="both"/>
        <w:rPr>
          <w:color w:val="000000" w:themeColor="text1"/>
        </w:rPr>
      </w:pPr>
      <w:r w:rsidRPr="00761845">
        <w:rPr>
          <w:rStyle w:val="Strong"/>
          <w:color w:val="000000" w:themeColor="text1"/>
        </w:rPr>
        <w:t>Critical Finding:</w:t>
      </w:r>
      <w:r w:rsidRPr="00761845">
        <w:rPr>
          <w:color w:val="000000" w:themeColor="text1"/>
        </w:rPr>
        <w:t xml:space="preserve"> This is NOT passive income - this is part-time employment</w:t>
      </w:r>
    </w:p>
    <w:p w14:paraId="34762E55" w14:textId="3992F922" w:rsidR="009E191F" w:rsidRPr="00761845" w:rsidRDefault="009E191F" w:rsidP="00B451D7">
      <w:pPr>
        <w:pStyle w:val="whitespace-normal"/>
        <w:spacing w:before="0" w:beforeAutospacing="0" w:after="0" w:afterAutospacing="0"/>
        <w:jc w:val="both"/>
        <w:outlineLvl w:val="9"/>
        <w:rPr>
          <w:rFonts w:eastAsiaTheme="majorEastAsia"/>
          <w:bCs/>
          <w:color w:val="000000" w:themeColor="text1"/>
          <w:kern w:val="0"/>
        </w:rPr>
      </w:pPr>
      <w:r w:rsidRPr="00761845">
        <w:rPr>
          <w:rFonts w:eastAsiaTheme="majorEastAsia"/>
          <w:bCs/>
          <w:color w:val="000000" w:themeColor="text1"/>
          <w:kern w:val="0"/>
        </w:rPr>
        <w:t xml:space="preserve">These results have substantial ramifications for both theoretical frameworks of DeFi participation and empirical evaluations of the feasibility of liquidity provision as a </w:t>
      </w:r>
      <w:r w:rsidR="00182705" w:rsidRPr="00761845">
        <w:rPr>
          <w:rFonts w:eastAsiaTheme="majorEastAsia"/>
          <w:bCs/>
          <w:color w:val="000000" w:themeColor="text1"/>
          <w:kern w:val="0"/>
        </w:rPr>
        <w:t xml:space="preserve">passive </w:t>
      </w:r>
      <w:r w:rsidRPr="00761845">
        <w:rPr>
          <w:rFonts w:eastAsiaTheme="majorEastAsia"/>
          <w:bCs/>
          <w:color w:val="000000" w:themeColor="text1"/>
          <w:kern w:val="0"/>
        </w:rPr>
        <w:t>investment strategy.</w:t>
      </w:r>
    </w:p>
    <w:p w14:paraId="2CADDD00" w14:textId="77777777" w:rsidR="00572893" w:rsidRPr="00761845" w:rsidRDefault="00572893" w:rsidP="00B451D7">
      <w:pPr>
        <w:pStyle w:val="Heading3"/>
        <w:jc w:val="both"/>
        <w:rPr>
          <w:rStyle w:val="Strong"/>
          <w:b/>
          <w:bCs w:val="0"/>
          <w:color w:val="000000" w:themeColor="text1"/>
        </w:rPr>
      </w:pPr>
    </w:p>
    <w:p w14:paraId="11E6A2AD" w14:textId="4F80ADB0" w:rsidR="00764A79" w:rsidRPr="00761845" w:rsidRDefault="00572893" w:rsidP="00B451D7">
      <w:pPr>
        <w:pStyle w:val="Heading3"/>
        <w:jc w:val="both"/>
        <w:rPr>
          <w:rStyle w:val="Strong"/>
          <w:b/>
          <w:bCs w:val="0"/>
          <w:color w:val="000000" w:themeColor="text1"/>
        </w:rPr>
      </w:pPr>
      <w:bookmarkStart w:id="61" w:name="_Toc214721867"/>
      <w:r w:rsidRPr="00761845">
        <w:rPr>
          <w:rStyle w:val="Strong"/>
          <w:b/>
          <w:bCs w:val="0"/>
          <w:color w:val="000000" w:themeColor="text1"/>
        </w:rPr>
        <w:t>3.</w:t>
      </w:r>
      <w:r w:rsidR="0082049B">
        <w:rPr>
          <w:rStyle w:val="Strong"/>
          <w:b/>
          <w:bCs w:val="0"/>
          <w:color w:val="000000" w:themeColor="text1"/>
        </w:rPr>
        <w:t>7</w:t>
      </w:r>
      <w:r w:rsidRPr="00761845">
        <w:rPr>
          <w:rStyle w:val="Strong"/>
          <w:b/>
          <w:bCs w:val="0"/>
          <w:color w:val="000000" w:themeColor="text1"/>
        </w:rPr>
        <w:t xml:space="preserve">.4 Mechanisms </w:t>
      </w:r>
      <w:proofErr w:type="gramStart"/>
      <w:r w:rsidRPr="00761845">
        <w:rPr>
          <w:rStyle w:val="Strong"/>
          <w:b/>
          <w:bCs w:val="0"/>
          <w:color w:val="000000" w:themeColor="text1"/>
        </w:rPr>
        <w:t>To</w:t>
      </w:r>
      <w:proofErr w:type="gramEnd"/>
      <w:r w:rsidRPr="00761845">
        <w:rPr>
          <w:rStyle w:val="Strong"/>
          <w:b/>
          <w:bCs w:val="0"/>
          <w:color w:val="000000" w:themeColor="text1"/>
        </w:rPr>
        <w:t xml:space="preserve"> Avoid Regardless </w:t>
      </w:r>
      <w:proofErr w:type="gramStart"/>
      <w:r w:rsidRPr="00761845">
        <w:rPr>
          <w:rStyle w:val="Strong"/>
          <w:b/>
          <w:bCs w:val="0"/>
          <w:color w:val="000000" w:themeColor="text1"/>
        </w:rPr>
        <w:t>Of</w:t>
      </w:r>
      <w:proofErr w:type="gramEnd"/>
      <w:r w:rsidRPr="00761845">
        <w:rPr>
          <w:rStyle w:val="Strong"/>
          <w:b/>
          <w:bCs w:val="0"/>
          <w:color w:val="000000" w:themeColor="text1"/>
        </w:rPr>
        <w:t xml:space="preserve"> Capital</w:t>
      </w:r>
      <w:bookmarkEnd w:id="61"/>
    </w:p>
    <w:p w14:paraId="33EE9BBF" w14:textId="77777777" w:rsidR="00F00383" w:rsidRPr="00761845" w:rsidRDefault="00F00383" w:rsidP="00B451D7">
      <w:pPr>
        <w:pStyle w:val="whitespace-normal"/>
        <w:spacing w:before="0" w:beforeAutospacing="0" w:after="0" w:afterAutospacing="0"/>
        <w:jc w:val="both"/>
        <w:outlineLvl w:val="9"/>
        <w:rPr>
          <w:rFonts w:eastAsiaTheme="majorEastAsia"/>
          <w:bCs/>
          <w:color w:val="000000" w:themeColor="text1"/>
          <w:kern w:val="0"/>
        </w:rPr>
      </w:pPr>
      <w:r w:rsidRPr="00761845">
        <w:rPr>
          <w:rFonts w:eastAsiaTheme="majorEastAsia"/>
          <w:bCs/>
          <w:color w:val="000000" w:themeColor="text1"/>
          <w:kern w:val="0"/>
        </w:rPr>
        <w:t>This part talks about certain decentralized finance tools that show systematic failure patterns across groups of participants, no matter how much capital they put in. Four major DeFi strategies are looked at: yield farming, providing liquidity for volatile pairs, staking as a main source of income, and joining an affiliate program. This was done by tracking participant outcomes over time and analyzing risk-adjusted returns. The analysis shows that each approach has major structural problems that lead to negative expected values for most participants.</w:t>
      </w:r>
    </w:p>
    <w:p w14:paraId="33705B6D" w14:textId="77777777" w:rsidR="00F00383" w:rsidRPr="00761845" w:rsidRDefault="00F00383" w:rsidP="00B451D7">
      <w:pPr>
        <w:pStyle w:val="Heading4"/>
        <w:jc w:val="both"/>
        <w:rPr>
          <w:rFonts w:ascii="Helvetica" w:eastAsiaTheme="minorEastAsia" w:hAnsi="Helvetica" w:cs="Helvetica"/>
          <w:color w:val="000000" w:themeColor="text1"/>
          <w:sz w:val="28"/>
          <w:szCs w:val="28"/>
        </w:rPr>
      </w:pPr>
    </w:p>
    <w:p w14:paraId="5D28E9EC" w14:textId="63D9BE8F" w:rsidR="00CC318B" w:rsidRPr="00761845" w:rsidRDefault="00CC318B" w:rsidP="00B451D7">
      <w:pPr>
        <w:pStyle w:val="Heading4"/>
        <w:jc w:val="both"/>
        <w:rPr>
          <w:color w:val="000000" w:themeColor="text1"/>
        </w:rPr>
      </w:pPr>
      <w:r w:rsidRPr="00761845">
        <w:rPr>
          <w:rStyle w:val="Strong"/>
          <w:b/>
          <w:bCs w:val="0"/>
          <w:color w:val="000000" w:themeColor="text1"/>
        </w:rPr>
        <w:t>YIELD FARMING</w:t>
      </w:r>
    </w:p>
    <w:p w14:paraId="05A2F5C1" w14:textId="77777777" w:rsidR="00CC318B" w:rsidRPr="00335C44" w:rsidRDefault="00CC318B" w:rsidP="00B451D7">
      <w:pPr>
        <w:pStyle w:val="whitespace-normal"/>
        <w:spacing w:before="0" w:beforeAutospacing="0" w:after="0" w:afterAutospacing="0"/>
        <w:ind w:left="360"/>
        <w:jc w:val="both"/>
        <w:rPr>
          <w:color w:val="000000" w:themeColor="text1"/>
        </w:rPr>
      </w:pPr>
      <w:r w:rsidRPr="00335C44">
        <w:rPr>
          <w:rStyle w:val="Strong"/>
          <w:b w:val="0"/>
          <w:bCs w:val="0"/>
          <w:color w:val="000000" w:themeColor="text1"/>
        </w:rPr>
        <w:t xml:space="preserve">Why </w:t>
      </w:r>
      <w:proofErr w:type="gramStart"/>
      <w:r w:rsidRPr="00335C44">
        <w:rPr>
          <w:rStyle w:val="Strong"/>
          <w:b w:val="0"/>
          <w:bCs w:val="0"/>
          <w:color w:val="000000" w:themeColor="text1"/>
        </w:rPr>
        <w:t>it</w:t>
      </w:r>
      <w:proofErr w:type="gramEnd"/>
      <w:r w:rsidRPr="00335C44">
        <w:rPr>
          <w:rStyle w:val="Strong"/>
          <w:b w:val="0"/>
          <w:bCs w:val="0"/>
          <w:color w:val="000000" w:themeColor="text1"/>
        </w:rPr>
        <w:t xml:space="preserve"> fails systematically:</w:t>
      </w:r>
    </w:p>
    <w:p w14:paraId="57BA999F" w14:textId="77777777" w:rsidR="00CC318B" w:rsidRPr="00335C44" w:rsidRDefault="00CC318B" w:rsidP="00B451D7">
      <w:pPr>
        <w:pStyle w:val="whitespace-normal"/>
        <w:numPr>
          <w:ilvl w:val="0"/>
          <w:numId w:val="129"/>
        </w:numPr>
        <w:tabs>
          <w:tab w:val="clear" w:pos="720"/>
          <w:tab w:val="num" w:pos="1080"/>
        </w:tabs>
        <w:spacing w:before="0" w:beforeAutospacing="0" w:after="0" w:afterAutospacing="0"/>
        <w:ind w:left="1080"/>
        <w:jc w:val="both"/>
        <w:outlineLvl w:val="9"/>
        <w:rPr>
          <w:color w:val="000000" w:themeColor="text1"/>
        </w:rPr>
      </w:pPr>
      <w:r w:rsidRPr="00335C44">
        <w:rPr>
          <w:color w:val="000000" w:themeColor="text1"/>
        </w:rPr>
        <w:t>Rapid compression cycle: 100-10,000% (launch) → 10-50% (month 3) → 5-20% (month 6) → below traditional alternatives (year 1+)</w:t>
      </w:r>
    </w:p>
    <w:p w14:paraId="2CA43E8E" w14:textId="77777777" w:rsidR="00CC318B" w:rsidRPr="00335C44" w:rsidRDefault="00CC318B" w:rsidP="00B451D7">
      <w:pPr>
        <w:pStyle w:val="whitespace-normal"/>
        <w:numPr>
          <w:ilvl w:val="0"/>
          <w:numId w:val="129"/>
        </w:numPr>
        <w:tabs>
          <w:tab w:val="clear" w:pos="720"/>
          <w:tab w:val="num" w:pos="1080"/>
        </w:tabs>
        <w:spacing w:before="0" w:beforeAutospacing="0" w:after="0" w:afterAutospacing="0"/>
        <w:ind w:left="1080"/>
        <w:jc w:val="both"/>
        <w:outlineLvl w:val="9"/>
        <w:rPr>
          <w:color w:val="000000" w:themeColor="text1"/>
        </w:rPr>
      </w:pPr>
      <w:r w:rsidRPr="00335C44">
        <w:rPr>
          <w:color w:val="000000" w:themeColor="text1"/>
        </w:rPr>
        <w:t>67% of volatile pairs experienced impermanent loss exceeding fee income</w:t>
      </w:r>
    </w:p>
    <w:p w14:paraId="3400A69A" w14:textId="77777777" w:rsidR="00CC318B" w:rsidRPr="00335C44" w:rsidRDefault="00CC318B" w:rsidP="00B451D7">
      <w:pPr>
        <w:pStyle w:val="whitespace-normal"/>
        <w:numPr>
          <w:ilvl w:val="0"/>
          <w:numId w:val="129"/>
        </w:numPr>
        <w:tabs>
          <w:tab w:val="clear" w:pos="720"/>
          <w:tab w:val="num" w:pos="1080"/>
        </w:tabs>
        <w:spacing w:before="0" w:beforeAutospacing="0" w:after="0" w:afterAutospacing="0"/>
        <w:ind w:left="1080"/>
        <w:jc w:val="both"/>
        <w:outlineLvl w:val="9"/>
        <w:rPr>
          <w:color w:val="000000" w:themeColor="text1"/>
        </w:rPr>
      </w:pPr>
      <w:r w:rsidRPr="00335C44">
        <w:rPr>
          <w:color w:val="000000" w:themeColor="text1"/>
        </w:rPr>
        <w:t>Anti-inductive nature: Discovery guarantees obsolescence as capital floods in</w:t>
      </w:r>
    </w:p>
    <w:p w14:paraId="180433B2" w14:textId="77777777" w:rsidR="00CC318B" w:rsidRPr="00335C44" w:rsidRDefault="00CC318B" w:rsidP="00B451D7">
      <w:pPr>
        <w:pStyle w:val="whitespace-normal"/>
        <w:numPr>
          <w:ilvl w:val="0"/>
          <w:numId w:val="129"/>
        </w:numPr>
        <w:tabs>
          <w:tab w:val="clear" w:pos="720"/>
          <w:tab w:val="num" w:pos="1080"/>
        </w:tabs>
        <w:spacing w:before="0" w:beforeAutospacing="0" w:after="0" w:afterAutospacing="0"/>
        <w:ind w:left="1080"/>
        <w:jc w:val="both"/>
        <w:outlineLvl w:val="9"/>
        <w:rPr>
          <w:color w:val="000000" w:themeColor="text1"/>
        </w:rPr>
      </w:pPr>
      <w:r w:rsidRPr="00335C44">
        <w:rPr>
          <w:color w:val="000000" w:themeColor="text1"/>
        </w:rPr>
        <w:t>Time requirement: 20-30 hours weekly just to track rapidly changing opportunities</w:t>
      </w:r>
    </w:p>
    <w:p w14:paraId="743FEDA8" w14:textId="77777777" w:rsidR="00CC318B" w:rsidRPr="00761845" w:rsidRDefault="00CC318B" w:rsidP="00B451D7">
      <w:pPr>
        <w:pStyle w:val="whitespace-normal"/>
        <w:spacing w:before="0" w:beforeAutospacing="0" w:after="0" w:afterAutospacing="0"/>
        <w:ind w:left="360"/>
        <w:jc w:val="both"/>
        <w:rPr>
          <w:color w:val="000000" w:themeColor="text1"/>
        </w:rPr>
      </w:pPr>
      <w:r w:rsidRPr="00335C44">
        <w:rPr>
          <w:rStyle w:val="Strong"/>
          <w:b w:val="0"/>
          <w:bCs w:val="0"/>
          <w:color w:val="000000" w:themeColor="text1"/>
        </w:rPr>
        <w:t>Observed pattern:</w:t>
      </w:r>
      <w:r w:rsidRPr="00335C44">
        <w:rPr>
          <w:color w:val="000000" w:themeColor="text1"/>
        </w:rPr>
        <w:t xml:space="preserve"> Initial</w:t>
      </w:r>
      <w:r w:rsidRPr="00761845">
        <w:rPr>
          <w:color w:val="000000" w:themeColor="text1"/>
        </w:rPr>
        <w:t xml:space="preserve"> participants profit; followers lose money</w:t>
      </w:r>
    </w:p>
    <w:p w14:paraId="538D367F" w14:textId="4F7BB638" w:rsidR="00CC318B" w:rsidRPr="00761845" w:rsidRDefault="00CC318B" w:rsidP="00B451D7">
      <w:pPr>
        <w:jc w:val="both"/>
        <w:rPr>
          <w:color w:val="000000" w:themeColor="text1"/>
        </w:rPr>
      </w:pPr>
    </w:p>
    <w:p w14:paraId="6B7098B3" w14:textId="52422B15" w:rsidR="00CC318B" w:rsidRPr="00761845" w:rsidRDefault="00CC318B" w:rsidP="00B451D7">
      <w:pPr>
        <w:pStyle w:val="Heading4"/>
        <w:jc w:val="both"/>
        <w:rPr>
          <w:color w:val="000000" w:themeColor="text1"/>
        </w:rPr>
      </w:pPr>
      <w:r w:rsidRPr="00761845">
        <w:rPr>
          <w:rStyle w:val="Strong"/>
          <w:b/>
          <w:bCs w:val="0"/>
          <w:color w:val="000000" w:themeColor="text1"/>
        </w:rPr>
        <w:t>VOLATILE PAIR LIQUIDITY PROVISION</w:t>
      </w:r>
    </w:p>
    <w:p w14:paraId="599F00D0" w14:textId="77777777" w:rsidR="00CC318B" w:rsidRPr="00335C44" w:rsidRDefault="00CC318B" w:rsidP="00B451D7">
      <w:pPr>
        <w:pStyle w:val="whitespace-normal"/>
        <w:spacing w:before="0" w:beforeAutospacing="0" w:after="0" w:afterAutospacing="0"/>
        <w:ind w:left="360"/>
        <w:jc w:val="both"/>
        <w:rPr>
          <w:color w:val="000000" w:themeColor="text1"/>
        </w:rPr>
      </w:pPr>
      <w:r w:rsidRPr="00335C44">
        <w:rPr>
          <w:rStyle w:val="Strong"/>
          <w:b w:val="0"/>
          <w:bCs w:val="0"/>
          <w:color w:val="000000" w:themeColor="text1"/>
        </w:rPr>
        <w:t>Why it fails for most participants:</w:t>
      </w:r>
    </w:p>
    <w:p w14:paraId="43EF1A15" w14:textId="77777777" w:rsidR="00CC318B" w:rsidRPr="00335C44" w:rsidRDefault="00CC318B" w:rsidP="00B451D7">
      <w:pPr>
        <w:pStyle w:val="whitespace-normal"/>
        <w:numPr>
          <w:ilvl w:val="0"/>
          <w:numId w:val="130"/>
        </w:numPr>
        <w:tabs>
          <w:tab w:val="clear" w:pos="720"/>
          <w:tab w:val="num" w:pos="1080"/>
        </w:tabs>
        <w:spacing w:before="0" w:beforeAutospacing="0" w:after="0" w:afterAutospacing="0"/>
        <w:ind w:left="1080"/>
        <w:jc w:val="both"/>
        <w:outlineLvl w:val="9"/>
        <w:rPr>
          <w:color w:val="000000" w:themeColor="text1"/>
        </w:rPr>
      </w:pPr>
      <w:r w:rsidRPr="00335C44">
        <w:rPr>
          <w:color w:val="000000" w:themeColor="text1"/>
        </w:rPr>
        <w:t>89% failure rate for participants who didn't understand IL mechanics</w:t>
      </w:r>
    </w:p>
    <w:p w14:paraId="46C86E65" w14:textId="77777777" w:rsidR="00CC318B" w:rsidRPr="00335C44" w:rsidRDefault="00CC318B" w:rsidP="00B451D7">
      <w:pPr>
        <w:pStyle w:val="whitespace-normal"/>
        <w:numPr>
          <w:ilvl w:val="0"/>
          <w:numId w:val="130"/>
        </w:numPr>
        <w:tabs>
          <w:tab w:val="clear" w:pos="720"/>
          <w:tab w:val="num" w:pos="1080"/>
        </w:tabs>
        <w:spacing w:before="0" w:beforeAutospacing="0" w:after="0" w:afterAutospacing="0"/>
        <w:ind w:left="1080"/>
        <w:jc w:val="both"/>
        <w:outlineLvl w:val="9"/>
        <w:rPr>
          <w:color w:val="000000" w:themeColor="text1"/>
        </w:rPr>
      </w:pPr>
      <w:r w:rsidRPr="00335C44">
        <w:rPr>
          <w:color w:val="000000" w:themeColor="text1"/>
        </w:rPr>
        <w:t>67% experienced IL exceeding fees even when understanding mechanics</w:t>
      </w:r>
    </w:p>
    <w:p w14:paraId="123FFF92" w14:textId="77777777" w:rsidR="00CC318B" w:rsidRPr="00335C44" w:rsidRDefault="00CC318B" w:rsidP="00B451D7">
      <w:pPr>
        <w:pStyle w:val="whitespace-normal"/>
        <w:numPr>
          <w:ilvl w:val="0"/>
          <w:numId w:val="130"/>
        </w:numPr>
        <w:tabs>
          <w:tab w:val="clear" w:pos="720"/>
          <w:tab w:val="num" w:pos="1080"/>
        </w:tabs>
        <w:spacing w:before="0" w:beforeAutospacing="0" w:after="0" w:afterAutospacing="0"/>
        <w:ind w:left="1080"/>
        <w:jc w:val="both"/>
        <w:outlineLvl w:val="9"/>
        <w:rPr>
          <w:color w:val="000000" w:themeColor="text1"/>
        </w:rPr>
      </w:pPr>
      <w:r w:rsidRPr="00335C44">
        <w:rPr>
          <w:color w:val="000000" w:themeColor="text1"/>
        </w:rPr>
        <w:t xml:space="preserve">Risk-adjusted returns inferior to simpler strategies: </w:t>
      </w:r>
    </w:p>
    <w:p w14:paraId="3C3C4693" w14:textId="77777777" w:rsidR="00CC318B" w:rsidRPr="00335C44" w:rsidRDefault="00CC318B" w:rsidP="00B451D7">
      <w:pPr>
        <w:pStyle w:val="whitespace-normal"/>
        <w:numPr>
          <w:ilvl w:val="1"/>
          <w:numId w:val="130"/>
        </w:numPr>
        <w:tabs>
          <w:tab w:val="clear" w:pos="1440"/>
          <w:tab w:val="num" w:pos="1800"/>
        </w:tabs>
        <w:spacing w:before="0" w:beforeAutospacing="0" w:after="0" w:afterAutospacing="0"/>
        <w:ind w:left="1800"/>
        <w:jc w:val="both"/>
        <w:outlineLvl w:val="9"/>
        <w:rPr>
          <w:color w:val="000000" w:themeColor="text1"/>
        </w:rPr>
      </w:pPr>
      <w:r w:rsidRPr="00335C44">
        <w:rPr>
          <w:color w:val="000000" w:themeColor="text1"/>
        </w:rPr>
        <w:t>Volatile pairs Sharpe ratio: 0.3-0.5</w:t>
      </w:r>
    </w:p>
    <w:p w14:paraId="6F6C5AA1" w14:textId="77777777" w:rsidR="00CC318B" w:rsidRPr="00335C44" w:rsidRDefault="00CC318B" w:rsidP="00B451D7">
      <w:pPr>
        <w:pStyle w:val="whitespace-normal"/>
        <w:numPr>
          <w:ilvl w:val="1"/>
          <w:numId w:val="130"/>
        </w:numPr>
        <w:tabs>
          <w:tab w:val="clear" w:pos="1440"/>
          <w:tab w:val="num" w:pos="1800"/>
        </w:tabs>
        <w:spacing w:before="0" w:beforeAutospacing="0" w:after="0" w:afterAutospacing="0"/>
        <w:ind w:left="1800"/>
        <w:jc w:val="both"/>
        <w:outlineLvl w:val="9"/>
        <w:rPr>
          <w:color w:val="000000" w:themeColor="text1"/>
        </w:rPr>
      </w:pPr>
      <w:r w:rsidRPr="00335C44">
        <w:rPr>
          <w:color w:val="000000" w:themeColor="text1"/>
        </w:rPr>
        <w:lastRenderedPageBreak/>
        <w:t>Stablecoin pairs Sharpe ratio: 0.8-1.4</w:t>
      </w:r>
    </w:p>
    <w:p w14:paraId="2ADDBB8A" w14:textId="77777777" w:rsidR="00CC318B" w:rsidRPr="00335C44" w:rsidRDefault="00CC318B" w:rsidP="00B451D7">
      <w:pPr>
        <w:pStyle w:val="whitespace-normal"/>
        <w:numPr>
          <w:ilvl w:val="0"/>
          <w:numId w:val="130"/>
        </w:numPr>
        <w:tabs>
          <w:tab w:val="clear" w:pos="720"/>
          <w:tab w:val="num" w:pos="1080"/>
        </w:tabs>
        <w:spacing w:before="0" w:beforeAutospacing="0" w:after="0" w:afterAutospacing="0"/>
        <w:ind w:left="1080"/>
        <w:jc w:val="both"/>
        <w:outlineLvl w:val="9"/>
        <w:rPr>
          <w:color w:val="000000" w:themeColor="text1"/>
        </w:rPr>
      </w:pPr>
      <w:r w:rsidRPr="00335C44">
        <w:rPr>
          <w:color w:val="000000" w:themeColor="text1"/>
        </w:rPr>
        <w:t>Price movements that generate high volume (and fees) simultaneously create high IL</w:t>
      </w:r>
    </w:p>
    <w:p w14:paraId="177069F0" w14:textId="77777777" w:rsidR="00CC318B" w:rsidRPr="00335C44" w:rsidRDefault="00CC318B" w:rsidP="00B451D7">
      <w:pPr>
        <w:pStyle w:val="whitespace-normal"/>
        <w:spacing w:before="0" w:beforeAutospacing="0" w:after="0" w:afterAutospacing="0"/>
        <w:ind w:left="360"/>
        <w:jc w:val="both"/>
        <w:rPr>
          <w:color w:val="000000" w:themeColor="text1"/>
        </w:rPr>
      </w:pPr>
      <w:r w:rsidRPr="00335C44">
        <w:rPr>
          <w:rStyle w:val="Strong"/>
          <w:b w:val="0"/>
          <w:bCs w:val="0"/>
          <w:color w:val="000000" w:themeColor="text1"/>
        </w:rPr>
        <w:t>Only viable for:</w:t>
      </w:r>
      <w:r w:rsidRPr="00335C44">
        <w:rPr>
          <w:color w:val="000000" w:themeColor="text1"/>
        </w:rPr>
        <w:t xml:space="preserve"> Sophisticated participants who fully understand IL and can actively manage positions through volatility</w:t>
      </w:r>
    </w:p>
    <w:p w14:paraId="4E9CD6A2" w14:textId="202598B9" w:rsidR="00CC318B" w:rsidRPr="00761845" w:rsidRDefault="00CC318B" w:rsidP="00B451D7">
      <w:pPr>
        <w:jc w:val="both"/>
        <w:rPr>
          <w:color w:val="000000" w:themeColor="text1"/>
        </w:rPr>
      </w:pPr>
    </w:p>
    <w:p w14:paraId="71E2D266" w14:textId="67E0B92E" w:rsidR="00CC318B" w:rsidRPr="00761845" w:rsidRDefault="00CC318B" w:rsidP="00B451D7">
      <w:pPr>
        <w:pStyle w:val="Heading4"/>
        <w:jc w:val="both"/>
        <w:rPr>
          <w:color w:val="000000" w:themeColor="text1"/>
        </w:rPr>
      </w:pPr>
      <w:r w:rsidRPr="00761845">
        <w:rPr>
          <w:rStyle w:val="Strong"/>
          <w:b/>
          <w:bCs w:val="0"/>
          <w:color w:val="000000" w:themeColor="text1"/>
        </w:rPr>
        <w:t>STAKING AS PRIMARY INCOME STRATEGY</w:t>
      </w:r>
    </w:p>
    <w:p w14:paraId="25AE932F" w14:textId="77777777" w:rsidR="00CC318B" w:rsidRPr="00335C44" w:rsidRDefault="00CC318B" w:rsidP="00B451D7">
      <w:pPr>
        <w:pStyle w:val="whitespace-normal"/>
        <w:spacing w:before="0" w:beforeAutospacing="0" w:after="0" w:afterAutospacing="0"/>
        <w:ind w:left="360"/>
        <w:jc w:val="both"/>
        <w:rPr>
          <w:color w:val="000000" w:themeColor="text1"/>
        </w:rPr>
      </w:pPr>
      <w:r w:rsidRPr="00335C44">
        <w:rPr>
          <w:rStyle w:val="Strong"/>
          <w:b w:val="0"/>
          <w:bCs w:val="0"/>
          <w:color w:val="000000" w:themeColor="text1"/>
        </w:rPr>
        <w:t>Why staking fails as income generation:</w:t>
      </w:r>
    </w:p>
    <w:p w14:paraId="35513CC7" w14:textId="77777777" w:rsidR="00CC318B" w:rsidRPr="00335C44" w:rsidRDefault="00CC318B" w:rsidP="00B451D7">
      <w:pPr>
        <w:pStyle w:val="whitespace-normal"/>
        <w:numPr>
          <w:ilvl w:val="0"/>
          <w:numId w:val="131"/>
        </w:numPr>
        <w:tabs>
          <w:tab w:val="clear" w:pos="720"/>
          <w:tab w:val="num" w:pos="1080"/>
        </w:tabs>
        <w:spacing w:before="0" w:beforeAutospacing="0" w:after="0" w:afterAutospacing="0"/>
        <w:ind w:left="1080"/>
        <w:jc w:val="both"/>
        <w:outlineLvl w:val="9"/>
        <w:rPr>
          <w:color w:val="000000" w:themeColor="text1"/>
        </w:rPr>
      </w:pPr>
      <w:r w:rsidRPr="00335C44">
        <w:rPr>
          <w:color w:val="000000" w:themeColor="text1"/>
        </w:rPr>
        <w:t>Token price volatility accounts for 91% of returns (not staking yield)</w:t>
      </w:r>
    </w:p>
    <w:p w14:paraId="08957BCF" w14:textId="77777777" w:rsidR="00CC318B" w:rsidRPr="00335C44" w:rsidRDefault="00CC318B" w:rsidP="00B451D7">
      <w:pPr>
        <w:pStyle w:val="whitespace-normal"/>
        <w:numPr>
          <w:ilvl w:val="0"/>
          <w:numId w:val="131"/>
        </w:numPr>
        <w:tabs>
          <w:tab w:val="clear" w:pos="720"/>
          <w:tab w:val="num" w:pos="1080"/>
        </w:tabs>
        <w:spacing w:before="0" w:beforeAutospacing="0" w:after="0" w:afterAutospacing="0"/>
        <w:ind w:left="1080"/>
        <w:jc w:val="both"/>
        <w:outlineLvl w:val="9"/>
        <w:rPr>
          <w:color w:val="000000" w:themeColor="text1"/>
        </w:rPr>
      </w:pPr>
      <w:r w:rsidRPr="00335C44">
        <w:rPr>
          <w:color w:val="000000" w:themeColor="text1"/>
        </w:rPr>
        <w:t xml:space="preserve">Empirical evidence from tracked positions: </w:t>
      </w:r>
    </w:p>
    <w:p w14:paraId="69BB5BAF" w14:textId="77777777" w:rsidR="00CC318B" w:rsidRPr="00335C44" w:rsidRDefault="00CC318B" w:rsidP="00B451D7">
      <w:pPr>
        <w:pStyle w:val="whitespace-normal"/>
        <w:numPr>
          <w:ilvl w:val="1"/>
          <w:numId w:val="131"/>
        </w:numPr>
        <w:tabs>
          <w:tab w:val="clear" w:pos="1440"/>
          <w:tab w:val="num" w:pos="1800"/>
        </w:tabs>
        <w:spacing w:before="0" w:beforeAutospacing="0" w:after="0" w:afterAutospacing="0"/>
        <w:ind w:left="1800"/>
        <w:jc w:val="both"/>
        <w:outlineLvl w:val="9"/>
        <w:rPr>
          <w:color w:val="000000" w:themeColor="text1"/>
        </w:rPr>
      </w:pPr>
      <w:r w:rsidRPr="00335C44">
        <w:rPr>
          <w:color w:val="000000" w:themeColor="text1"/>
        </w:rPr>
        <w:t>2022: -12.3% real returns despite 4.8% nominal yield (ETH dropped $3,800 → $1,200)</w:t>
      </w:r>
    </w:p>
    <w:p w14:paraId="53B93E36" w14:textId="77777777" w:rsidR="00CC318B" w:rsidRPr="00335C44" w:rsidRDefault="00CC318B" w:rsidP="00B451D7">
      <w:pPr>
        <w:pStyle w:val="whitespace-normal"/>
        <w:numPr>
          <w:ilvl w:val="1"/>
          <w:numId w:val="131"/>
        </w:numPr>
        <w:tabs>
          <w:tab w:val="clear" w:pos="1440"/>
          <w:tab w:val="num" w:pos="1800"/>
        </w:tabs>
        <w:spacing w:before="0" w:beforeAutospacing="0" w:after="0" w:afterAutospacing="0"/>
        <w:ind w:left="1800"/>
        <w:jc w:val="both"/>
        <w:outlineLvl w:val="9"/>
        <w:rPr>
          <w:color w:val="000000" w:themeColor="text1"/>
        </w:rPr>
      </w:pPr>
      <w:r w:rsidRPr="00335C44">
        <w:rPr>
          <w:color w:val="000000" w:themeColor="text1"/>
        </w:rPr>
        <w:t>2023: +47.2% returns, but 91% came from price appreciation, only 9% from yield</w:t>
      </w:r>
    </w:p>
    <w:p w14:paraId="04947E34" w14:textId="77777777" w:rsidR="00CC318B" w:rsidRPr="00335C44" w:rsidRDefault="00CC318B" w:rsidP="00B451D7">
      <w:pPr>
        <w:pStyle w:val="whitespace-normal"/>
        <w:numPr>
          <w:ilvl w:val="0"/>
          <w:numId w:val="131"/>
        </w:numPr>
        <w:tabs>
          <w:tab w:val="clear" w:pos="720"/>
          <w:tab w:val="num" w:pos="1080"/>
        </w:tabs>
        <w:spacing w:before="0" w:beforeAutospacing="0" w:after="0" w:afterAutospacing="0"/>
        <w:ind w:left="1080"/>
        <w:jc w:val="both"/>
        <w:outlineLvl w:val="9"/>
        <w:rPr>
          <w:color w:val="000000" w:themeColor="text1"/>
        </w:rPr>
      </w:pPr>
      <w:r w:rsidRPr="00335C44">
        <w:rPr>
          <w:color w:val="000000" w:themeColor="text1"/>
        </w:rPr>
        <w:t xml:space="preserve">Violates fundamental risk-return principles: </w:t>
      </w:r>
    </w:p>
    <w:p w14:paraId="4FBA4989" w14:textId="77777777" w:rsidR="00CC318B" w:rsidRPr="00335C44" w:rsidRDefault="00CC318B" w:rsidP="00B451D7">
      <w:pPr>
        <w:pStyle w:val="whitespace-normal"/>
        <w:numPr>
          <w:ilvl w:val="1"/>
          <w:numId w:val="131"/>
        </w:numPr>
        <w:tabs>
          <w:tab w:val="clear" w:pos="1440"/>
          <w:tab w:val="num" w:pos="1800"/>
        </w:tabs>
        <w:spacing w:before="0" w:beforeAutospacing="0" w:after="0" w:afterAutospacing="0"/>
        <w:ind w:left="1800"/>
        <w:jc w:val="both"/>
        <w:outlineLvl w:val="9"/>
        <w:rPr>
          <w:color w:val="000000" w:themeColor="text1"/>
        </w:rPr>
      </w:pPr>
      <w:r w:rsidRPr="00335C44">
        <w:rPr>
          <w:color w:val="000000" w:themeColor="text1"/>
        </w:rPr>
        <w:t>Liquid staking (Lido): 3.6-4.3% after fees</w:t>
      </w:r>
    </w:p>
    <w:p w14:paraId="38A3F2E6" w14:textId="77777777" w:rsidR="00CC318B" w:rsidRPr="00335C44" w:rsidRDefault="00CC318B" w:rsidP="00B451D7">
      <w:pPr>
        <w:pStyle w:val="whitespace-normal"/>
        <w:numPr>
          <w:ilvl w:val="1"/>
          <w:numId w:val="131"/>
        </w:numPr>
        <w:tabs>
          <w:tab w:val="clear" w:pos="1440"/>
          <w:tab w:val="num" w:pos="1800"/>
        </w:tabs>
        <w:spacing w:before="0" w:beforeAutospacing="0" w:after="0" w:afterAutospacing="0"/>
        <w:ind w:left="1800"/>
        <w:jc w:val="both"/>
        <w:outlineLvl w:val="9"/>
        <w:rPr>
          <w:color w:val="000000" w:themeColor="text1"/>
        </w:rPr>
      </w:pPr>
      <w:r w:rsidRPr="00335C44">
        <w:rPr>
          <w:color w:val="000000" w:themeColor="text1"/>
        </w:rPr>
        <w:t>US Treasury bonds: 4.5% (risk-free rate during study period)</w:t>
      </w:r>
    </w:p>
    <w:p w14:paraId="04AA2B23" w14:textId="77777777" w:rsidR="00CC318B" w:rsidRPr="00335C44" w:rsidRDefault="00CC318B" w:rsidP="00B451D7">
      <w:pPr>
        <w:pStyle w:val="whitespace-normal"/>
        <w:numPr>
          <w:ilvl w:val="1"/>
          <w:numId w:val="131"/>
        </w:numPr>
        <w:tabs>
          <w:tab w:val="clear" w:pos="1440"/>
          <w:tab w:val="num" w:pos="1800"/>
        </w:tabs>
        <w:spacing w:before="0" w:beforeAutospacing="0" w:after="0" w:afterAutospacing="0"/>
        <w:ind w:left="1800"/>
        <w:jc w:val="both"/>
        <w:outlineLvl w:val="9"/>
        <w:rPr>
          <w:color w:val="000000" w:themeColor="text1"/>
        </w:rPr>
      </w:pPr>
      <w:r w:rsidRPr="00335C44">
        <w:rPr>
          <w:color w:val="000000" w:themeColor="text1"/>
        </w:rPr>
        <w:t>Accepting crypto volatility for sub-Treasury returns is irrational</w:t>
      </w:r>
    </w:p>
    <w:p w14:paraId="0F459F6E" w14:textId="77777777" w:rsidR="00CC318B" w:rsidRPr="00335C44" w:rsidRDefault="00CC318B" w:rsidP="00B451D7">
      <w:pPr>
        <w:pStyle w:val="whitespace-normal"/>
        <w:spacing w:before="0" w:beforeAutospacing="0" w:after="0" w:afterAutospacing="0"/>
        <w:ind w:left="360"/>
        <w:jc w:val="both"/>
        <w:rPr>
          <w:color w:val="000000" w:themeColor="text1"/>
        </w:rPr>
      </w:pPr>
      <w:r w:rsidRPr="00335C44">
        <w:rPr>
          <w:rStyle w:val="Strong"/>
          <w:b w:val="0"/>
          <w:bCs w:val="0"/>
          <w:color w:val="000000" w:themeColor="text1"/>
        </w:rPr>
        <w:t>Only viable scenario:</w:t>
      </w:r>
      <w:r w:rsidRPr="00335C44">
        <w:rPr>
          <w:color w:val="000000" w:themeColor="text1"/>
        </w:rPr>
        <w:t xml:space="preserve"> Long-term holders earning yield on assets they plan to hold regardless of staking returns</w:t>
      </w:r>
    </w:p>
    <w:p w14:paraId="7D01FDE6" w14:textId="77777777" w:rsidR="00CC318B" w:rsidRPr="00335C44" w:rsidRDefault="00CC318B" w:rsidP="00B451D7">
      <w:pPr>
        <w:pStyle w:val="whitespace-normal"/>
        <w:spacing w:before="0" w:beforeAutospacing="0" w:after="0" w:afterAutospacing="0"/>
        <w:ind w:left="360"/>
        <w:jc w:val="both"/>
        <w:rPr>
          <w:color w:val="000000" w:themeColor="text1"/>
        </w:rPr>
      </w:pPr>
      <w:r w:rsidRPr="00335C44">
        <w:rPr>
          <w:rStyle w:val="Strong"/>
          <w:b w:val="0"/>
          <w:bCs w:val="0"/>
          <w:color w:val="000000" w:themeColor="text1"/>
        </w:rPr>
        <w:t>Not viable:</w:t>
      </w:r>
      <w:r w:rsidRPr="00335C44">
        <w:rPr>
          <w:color w:val="000000" w:themeColor="text1"/>
        </w:rPr>
        <w:t xml:space="preserve"> Treating staking as standalone income strategy</w:t>
      </w:r>
    </w:p>
    <w:p w14:paraId="50765092" w14:textId="1DADF7D7" w:rsidR="00CC318B" w:rsidRPr="00761845" w:rsidRDefault="00CC318B" w:rsidP="00B451D7">
      <w:pPr>
        <w:jc w:val="both"/>
        <w:rPr>
          <w:color w:val="000000" w:themeColor="text1"/>
        </w:rPr>
      </w:pPr>
    </w:p>
    <w:p w14:paraId="65FDE028" w14:textId="72681301" w:rsidR="00CC318B" w:rsidRPr="00761845" w:rsidRDefault="00CC318B" w:rsidP="00B451D7">
      <w:pPr>
        <w:pStyle w:val="Heading4"/>
        <w:jc w:val="both"/>
        <w:rPr>
          <w:color w:val="000000" w:themeColor="text1"/>
        </w:rPr>
      </w:pPr>
      <w:r w:rsidRPr="00761845">
        <w:rPr>
          <w:rStyle w:val="Strong"/>
          <w:b/>
          <w:bCs w:val="0"/>
          <w:color w:val="000000" w:themeColor="text1"/>
        </w:rPr>
        <w:t>AFFILIATE PROGRAMS</w:t>
      </w:r>
    </w:p>
    <w:p w14:paraId="578D46AE" w14:textId="77777777" w:rsidR="00CC318B" w:rsidRPr="00335C44" w:rsidRDefault="00CC318B" w:rsidP="00B451D7">
      <w:pPr>
        <w:pStyle w:val="whitespace-normal"/>
        <w:spacing w:before="0" w:beforeAutospacing="0" w:after="0" w:afterAutospacing="0"/>
        <w:ind w:left="360"/>
        <w:jc w:val="both"/>
        <w:rPr>
          <w:color w:val="000000" w:themeColor="text1"/>
        </w:rPr>
      </w:pPr>
      <w:r w:rsidRPr="00335C44">
        <w:rPr>
          <w:rStyle w:val="Strong"/>
          <w:b w:val="0"/>
          <w:bCs w:val="0"/>
          <w:color w:val="000000" w:themeColor="text1"/>
        </w:rPr>
        <w:t>Why affiliate programs aren't DeFi income:</w:t>
      </w:r>
    </w:p>
    <w:p w14:paraId="61DD6D7B" w14:textId="77777777" w:rsidR="00CC318B" w:rsidRPr="00335C44" w:rsidRDefault="00CC318B" w:rsidP="00B451D7">
      <w:pPr>
        <w:pStyle w:val="whitespace-normal"/>
        <w:numPr>
          <w:ilvl w:val="0"/>
          <w:numId w:val="132"/>
        </w:numPr>
        <w:tabs>
          <w:tab w:val="clear" w:pos="720"/>
          <w:tab w:val="num" w:pos="1080"/>
        </w:tabs>
        <w:spacing w:before="0" w:beforeAutospacing="0" w:after="0" w:afterAutospacing="0"/>
        <w:ind w:left="1080"/>
        <w:jc w:val="both"/>
        <w:outlineLvl w:val="9"/>
        <w:rPr>
          <w:color w:val="000000" w:themeColor="text1"/>
        </w:rPr>
      </w:pPr>
      <w:r w:rsidRPr="00335C44">
        <w:rPr>
          <w:color w:val="000000" w:themeColor="text1"/>
        </w:rPr>
        <w:t>Median earnings in tracked sample: $23/month</w:t>
      </w:r>
    </w:p>
    <w:p w14:paraId="06BDF396" w14:textId="77777777" w:rsidR="00CC318B" w:rsidRPr="00335C44" w:rsidRDefault="00CC318B" w:rsidP="00B451D7">
      <w:pPr>
        <w:pStyle w:val="whitespace-normal"/>
        <w:numPr>
          <w:ilvl w:val="0"/>
          <w:numId w:val="132"/>
        </w:numPr>
        <w:tabs>
          <w:tab w:val="clear" w:pos="720"/>
          <w:tab w:val="num" w:pos="1080"/>
        </w:tabs>
        <w:spacing w:before="0" w:beforeAutospacing="0" w:after="0" w:afterAutospacing="0"/>
        <w:ind w:left="1080"/>
        <w:jc w:val="both"/>
        <w:outlineLvl w:val="9"/>
        <w:rPr>
          <w:color w:val="000000" w:themeColor="text1"/>
        </w:rPr>
      </w:pPr>
      <w:r w:rsidRPr="00335C44">
        <w:rPr>
          <w:color w:val="000000" w:themeColor="text1"/>
        </w:rPr>
        <w:t>Commission distribution: 82% concentrated in top 10% of affiliates</w:t>
      </w:r>
    </w:p>
    <w:p w14:paraId="4036642F" w14:textId="77777777" w:rsidR="00CC318B" w:rsidRPr="00335C44" w:rsidRDefault="00CC318B" w:rsidP="00B451D7">
      <w:pPr>
        <w:pStyle w:val="whitespace-normal"/>
        <w:numPr>
          <w:ilvl w:val="0"/>
          <w:numId w:val="132"/>
        </w:numPr>
        <w:tabs>
          <w:tab w:val="clear" w:pos="720"/>
          <w:tab w:val="num" w:pos="1080"/>
        </w:tabs>
        <w:spacing w:before="0" w:beforeAutospacing="0" w:after="0" w:afterAutospacing="0"/>
        <w:ind w:left="1080"/>
        <w:jc w:val="both"/>
        <w:outlineLvl w:val="9"/>
        <w:rPr>
          <w:color w:val="000000" w:themeColor="text1"/>
        </w:rPr>
      </w:pPr>
      <w:r w:rsidRPr="00335C44">
        <w:rPr>
          <w:color w:val="000000" w:themeColor="text1"/>
        </w:rPr>
        <w:t>Success factors: Pre-existing audience, marketing skills, content creation ability</w:t>
      </w:r>
    </w:p>
    <w:p w14:paraId="01AE3CBD" w14:textId="77777777" w:rsidR="00CC318B" w:rsidRPr="00335C44" w:rsidRDefault="00CC318B" w:rsidP="00B451D7">
      <w:pPr>
        <w:pStyle w:val="whitespace-normal"/>
        <w:numPr>
          <w:ilvl w:val="0"/>
          <w:numId w:val="132"/>
        </w:numPr>
        <w:tabs>
          <w:tab w:val="clear" w:pos="720"/>
          <w:tab w:val="num" w:pos="1080"/>
        </w:tabs>
        <w:spacing w:before="0" w:beforeAutospacing="0" w:after="0" w:afterAutospacing="0"/>
        <w:ind w:left="1080"/>
        <w:jc w:val="both"/>
        <w:outlineLvl w:val="9"/>
        <w:rPr>
          <w:color w:val="000000" w:themeColor="text1"/>
        </w:rPr>
      </w:pPr>
      <w:r w:rsidRPr="00335C44">
        <w:rPr>
          <w:color w:val="000000" w:themeColor="text1"/>
        </w:rPr>
        <w:t>This is marketing competition, not cryptocurrency opportunity</w:t>
      </w:r>
    </w:p>
    <w:p w14:paraId="145CD416" w14:textId="77777777" w:rsidR="00CC318B" w:rsidRPr="00335C44" w:rsidRDefault="00CC318B" w:rsidP="00B451D7">
      <w:pPr>
        <w:pStyle w:val="whitespace-normal"/>
        <w:numPr>
          <w:ilvl w:val="0"/>
          <w:numId w:val="132"/>
        </w:numPr>
        <w:tabs>
          <w:tab w:val="clear" w:pos="720"/>
          <w:tab w:val="num" w:pos="1080"/>
        </w:tabs>
        <w:spacing w:before="0" w:beforeAutospacing="0" w:after="0" w:afterAutospacing="0"/>
        <w:ind w:left="1080"/>
        <w:jc w:val="both"/>
        <w:outlineLvl w:val="9"/>
        <w:rPr>
          <w:color w:val="000000" w:themeColor="text1"/>
        </w:rPr>
      </w:pPr>
      <w:r w:rsidRPr="00335C44">
        <w:rPr>
          <w:color w:val="000000" w:themeColor="text1"/>
        </w:rPr>
        <w:t>Unrelated to DeFi knowledge or financial sophistication</w:t>
      </w:r>
    </w:p>
    <w:p w14:paraId="48411707" w14:textId="77777777" w:rsidR="00CC318B" w:rsidRPr="00335C44" w:rsidRDefault="00CC318B" w:rsidP="00B451D7">
      <w:pPr>
        <w:pStyle w:val="whitespace-normal"/>
        <w:spacing w:before="0" w:beforeAutospacing="0" w:after="0" w:afterAutospacing="0"/>
        <w:ind w:left="360"/>
        <w:jc w:val="both"/>
        <w:rPr>
          <w:color w:val="000000" w:themeColor="text1"/>
        </w:rPr>
      </w:pPr>
      <w:r w:rsidRPr="00335C44">
        <w:rPr>
          <w:rStyle w:val="Strong"/>
          <w:b w:val="0"/>
          <w:bCs w:val="0"/>
          <w:color w:val="000000" w:themeColor="text1"/>
        </w:rPr>
        <w:t>Reality:</w:t>
      </w:r>
      <w:r w:rsidRPr="00335C44">
        <w:rPr>
          <w:color w:val="000000" w:themeColor="text1"/>
        </w:rPr>
        <w:t xml:space="preserve"> Affiliate success depends on marketing ability, not DeFi participation</w:t>
      </w:r>
    </w:p>
    <w:p w14:paraId="041D3985" w14:textId="5AA496F7" w:rsidR="00CC318B" w:rsidRPr="00761845" w:rsidRDefault="00CC318B" w:rsidP="00B451D7">
      <w:pPr>
        <w:jc w:val="both"/>
        <w:rPr>
          <w:color w:val="000000" w:themeColor="text1"/>
        </w:rPr>
      </w:pPr>
    </w:p>
    <w:p w14:paraId="33EFF5AF" w14:textId="7C04DF3C" w:rsidR="00B04C6E" w:rsidRPr="00761845" w:rsidRDefault="00B04C6E" w:rsidP="00B451D7">
      <w:pPr>
        <w:jc w:val="both"/>
        <w:rPr>
          <w:rFonts w:eastAsiaTheme="majorEastAsia"/>
          <w:bCs/>
          <w:color w:val="000000" w:themeColor="text1"/>
        </w:rPr>
      </w:pPr>
      <w:r w:rsidRPr="00761845">
        <w:rPr>
          <w:rFonts w:eastAsiaTheme="majorEastAsia"/>
          <w:bCs/>
          <w:color w:val="000000" w:themeColor="text1"/>
        </w:rPr>
        <w:t xml:space="preserve">The empirical data shows that the four mechanisms possess characteristics that render them inappropriate for the majority of DeFi participants, irrespective of their available capital. The common thread that runs through these failed strategies is that they all have systematic disadvantages: anti-inductive dynamics that guarantee obsolescence upon discovery (yield farming), hidden risk structures that exceed compensatory returns (volatile pair LP), fundamental violations of risk-return rationality (staking), and reliance on non-DeFi skillsets (affiliate marketing). These failures cannot be remedied by augmenting capital allocation or by slight enhancements in technical expertise. These findings underscore the necessity of mechanism-level screening in DeFi participation frameworks, as capital preservation and growth </w:t>
      </w:r>
      <w:proofErr w:type="gramStart"/>
      <w:r w:rsidRPr="00761845">
        <w:rPr>
          <w:rFonts w:eastAsiaTheme="majorEastAsia"/>
          <w:bCs/>
          <w:color w:val="000000" w:themeColor="text1"/>
        </w:rPr>
        <w:t>necessitates</w:t>
      </w:r>
      <w:proofErr w:type="gramEnd"/>
      <w:r w:rsidRPr="00761845">
        <w:rPr>
          <w:rFonts w:eastAsiaTheme="majorEastAsia"/>
          <w:bCs/>
          <w:color w:val="000000" w:themeColor="text1"/>
        </w:rPr>
        <w:t xml:space="preserve"> not only the avoidance of ineffective execution of viable strategies but also the exclusion of entire categories.</w:t>
      </w:r>
    </w:p>
    <w:p w14:paraId="1E715E3F" w14:textId="77777777" w:rsidR="00B04C6E" w:rsidRPr="00761845" w:rsidRDefault="00B04C6E" w:rsidP="00B451D7">
      <w:pPr>
        <w:jc w:val="both"/>
        <w:rPr>
          <w:color w:val="000000" w:themeColor="text1"/>
        </w:rPr>
      </w:pPr>
    </w:p>
    <w:p w14:paraId="07EA7048" w14:textId="4D3624B6" w:rsidR="00B04C6E" w:rsidRPr="00761845" w:rsidRDefault="00572893" w:rsidP="00B451D7">
      <w:pPr>
        <w:pStyle w:val="Heading3"/>
        <w:jc w:val="both"/>
        <w:rPr>
          <w:color w:val="000000" w:themeColor="text1"/>
        </w:rPr>
      </w:pPr>
      <w:bookmarkStart w:id="62" w:name="_Toc214721868"/>
      <w:r w:rsidRPr="00761845">
        <w:rPr>
          <w:rStyle w:val="Strong"/>
          <w:b/>
          <w:bCs w:val="0"/>
          <w:color w:val="000000" w:themeColor="text1"/>
        </w:rPr>
        <w:t>3.</w:t>
      </w:r>
      <w:r w:rsidR="0082049B">
        <w:rPr>
          <w:rStyle w:val="Strong"/>
          <w:b/>
          <w:bCs w:val="0"/>
          <w:color w:val="000000" w:themeColor="text1"/>
        </w:rPr>
        <w:t>7</w:t>
      </w:r>
      <w:r w:rsidRPr="00761845">
        <w:rPr>
          <w:rStyle w:val="Strong"/>
          <w:b/>
          <w:bCs w:val="0"/>
          <w:color w:val="000000" w:themeColor="text1"/>
        </w:rPr>
        <w:t>.5 Key Framework Insights</w:t>
      </w:r>
      <w:bookmarkEnd w:id="62"/>
    </w:p>
    <w:p w14:paraId="4B3CC5AC" w14:textId="228A6502" w:rsidR="00B04C6E" w:rsidRPr="00761845" w:rsidRDefault="00B04C6E" w:rsidP="00B451D7">
      <w:pPr>
        <w:autoSpaceDE w:val="0"/>
        <w:autoSpaceDN w:val="0"/>
        <w:adjustRightInd w:val="0"/>
        <w:jc w:val="both"/>
        <w:rPr>
          <w:rFonts w:eastAsiaTheme="majorEastAsia"/>
          <w:bCs/>
          <w:color w:val="000000" w:themeColor="text1"/>
        </w:rPr>
      </w:pPr>
      <w:r w:rsidRPr="00761845">
        <w:rPr>
          <w:rFonts w:eastAsiaTheme="majorEastAsia"/>
          <w:bCs/>
          <w:color w:val="000000" w:themeColor="text1"/>
        </w:rPr>
        <w:t>T</w:t>
      </w:r>
      <w:r w:rsidR="00E5128D" w:rsidRPr="00761845">
        <w:rPr>
          <w:rFonts w:eastAsiaTheme="majorEastAsia"/>
          <w:bCs/>
          <w:color w:val="000000" w:themeColor="text1"/>
        </w:rPr>
        <w:t>he</w:t>
      </w:r>
      <w:r w:rsidRPr="00761845">
        <w:rPr>
          <w:rFonts w:eastAsiaTheme="majorEastAsia"/>
          <w:bCs/>
          <w:color w:val="000000" w:themeColor="text1"/>
        </w:rPr>
        <w:t xml:space="preserve"> observations performed show a dramatic contrast between the common narrative of DeFi accessibility and viable participation. The mathematical nature of financial thresholds, the decisive impact of network selection, and the substantial time requirements define successful DeFi participation with more details than previously thought. Perhaps most importantly, the inverse association between marketing intensity and profitability shows an information asymmetry for </w:t>
      </w:r>
      <w:r w:rsidRPr="00761845">
        <w:rPr>
          <w:rFonts w:eastAsiaTheme="majorEastAsia"/>
          <w:bCs/>
          <w:color w:val="000000" w:themeColor="text1"/>
        </w:rPr>
        <w:lastRenderedPageBreak/>
        <w:t>methods and techniques that require the most vigorous promotion yield but result in the lowest risk-adjusted returns. Viability assessment must be done hierarchically: capital-to-network matching, strategy selection, execution optimization. The information below shows the findings that support this.</w:t>
      </w:r>
    </w:p>
    <w:p w14:paraId="1EFAAF79" w14:textId="77777777" w:rsidR="00B04C6E" w:rsidRPr="00761845" w:rsidRDefault="00B04C6E" w:rsidP="00B451D7">
      <w:pPr>
        <w:jc w:val="both"/>
        <w:rPr>
          <w:color w:val="000000" w:themeColor="text1"/>
        </w:rPr>
      </w:pPr>
    </w:p>
    <w:p w14:paraId="214ECE4D" w14:textId="7C82F06B" w:rsidR="00CC318B" w:rsidRPr="00761845" w:rsidRDefault="00CC318B" w:rsidP="00B451D7">
      <w:pPr>
        <w:pStyle w:val="whitespace-normal"/>
        <w:numPr>
          <w:ilvl w:val="0"/>
          <w:numId w:val="230"/>
        </w:numPr>
        <w:spacing w:before="0" w:beforeAutospacing="0" w:after="0" w:afterAutospacing="0"/>
        <w:jc w:val="both"/>
        <w:rPr>
          <w:color w:val="000000" w:themeColor="text1"/>
        </w:rPr>
      </w:pPr>
      <w:r w:rsidRPr="00761845">
        <w:rPr>
          <w:rStyle w:val="Strong"/>
          <w:color w:val="000000" w:themeColor="text1"/>
        </w:rPr>
        <w:t>Capital Thresholds Are Mathematical, Not Arbitrary</w:t>
      </w:r>
    </w:p>
    <w:p w14:paraId="674D2D39" w14:textId="77777777" w:rsidR="00CC318B" w:rsidRPr="00761845" w:rsidRDefault="00CC318B" w:rsidP="00B451D7">
      <w:pPr>
        <w:pStyle w:val="whitespace-normal"/>
        <w:numPr>
          <w:ilvl w:val="1"/>
          <w:numId w:val="230"/>
        </w:numPr>
        <w:spacing w:before="0" w:beforeAutospacing="0" w:after="0" w:afterAutospacing="0"/>
        <w:jc w:val="both"/>
        <w:outlineLvl w:val="9"/>
        <w:rPr>
          <w:color w:val="000000" w:themeColor="text1"/>
        </w:rPr>
      </w:pPr>
      <w:r w:rsidRPr="00761845">
        <w:rPr>
          <w:color w:val="000000" w:themeColor="text1"/>
        </w:rPr>
        <w:t>The 70x difference between Polygon ($750) and Ethereum ($25,000) reflects gas cost structures</w:t>
      </w:r>
    </w:p>
    <w:p w14:paraId="16CCC7F7" w14:textId="77777777" w:rsidR="00CC318B" w:rsidRPr="00761845" w:rsidRDefault="00CC318B" w:rsidP="00B451D7">
      <w:pPr>
        <w:pStyle w:val="whitespace-normal"/>
        <w:numPr>
          <w:ilvl w:val="1"/>
          <w:numId w:val="230"/>
        </w:numPr>
        <w:spacing w:before="0" w:beforeAutospacing="0" w:after="0" w:afterAutospacing="0"/>
        <w:jc w:val="both"/>
        <w:outlineLvl w:val="9"/>
        <w:rPr>
          <w:color w:val="000000" w:themeColor="text1"/>
        </w:rPr>
      </w:pPr>
      <w:r w:rsidRPr="00761845">
        <w:rPr>
          <w:color w:val="000000" w:themeColor="text1"/>
        </w:rPr>
        <w:t>Not protocol design choices or marketing decisions</w:t>
      </w:r>
    </w:p>
    <w:p w14:paraId="4920038E" w14:textId="77777777" w:rsidR="00CC318B" w:rsidRPr="00761845" w:rsidRDefault="00CC318B" w:rsidP="00B451D7">
      <w:pPr>
        <w:pStyle w:val="whitespace-normal"/>
        <w:numPr>
          <w:ilvl w:val="1"/>
          <w:numId w:val="230"/>
        </w:numPr>
        <w:spacing w:before="0" w:beforeAutospacing="0" w:after="0" w:afterAutospacing="0"/>
        <w:jc w:val="both"/>
        <w:outlineLvl w:val="9"/>
        <w:rPr>
          <w:color w:val="000000" w:themeColor="text1"/>
        </w:rPr>
      </w:pPr>
      <w:r w:rsidRPr="00761845">
        <w:rPr>
          <w:color w:val="000000" w:themeColor="text1"/>
        </w:rPr>
        <w:t>Below these thresholds, losses are guaranteed by arithmetic</w:t>
      </w:r>
    </w:p>
    <w:p w14:paraId="6C353A98" w14:textId="77777777" w:rsidR="00CC318B" w:rsidRPr="00761845" w:rsidRDefault="00CC318B" w:rsidP="00B451D7">
      <w:pPr>
        <w:pStyle w:val="whitespace-normal"/>
        <w:numPr>
          <w:ilvl w:val="1"/>
          <w:numId w:val="230"/>
        </w:numPr>
        <w:spacing w:before="0" w:beforeAutospacing="0" w:after="0" w:afterAutospacing="0"/>
        <w:jc w:val="both"/>
        <w:outlineLvl w:val="9"/>
        <w:rPr>
          <w:color w:val="000000" w:themeColor="text1"/>
        </w:rPr>
      </w:pPr>
      <w:r w:rsidRPr="00761845">
        <w:rPr>
          <w:color w:val="000000" w:themeColor="text1"/>
        </w:rPr>
        <w:t>No amount of skill or effort can overcome insufficient capital at the wrong network</w:t>
      </w:r>
    </w:p>
    <w:p w14:paraId="5987E227" w14:textId="77777777" w:rsidR="00572893" w:rsidRPr="00761845" w:rsidRDefault="00572893" w:rsidP="00B451D7">
      <w:pPr>
        <w:pStyle w:val="whitespace-normal"/>
        <w:spacing w:before="0" w:beforeAutospacing="0" w:after="0" w:afterAutospacing="0"/>
        <w:ind w:left="1080"/>
        <w:jc w:val="both"/>
        <w:outlineLvl w:val="9"/>
        <w:rPr>
          <w:color w:val="000000" w:themeColor="text1"/>
        </w:rPr>
      </w:pPr>
    </w:p>
    <w:p w14:paraId="5115DB85" w14:textId="464E20A6" w:rsidR="00CC318B" w:rsidRPr="00761845" w:rsidRDefault="00CC318B" w:rsidP="00B451D7">
      <w:pPr>
        <w:pStyle w:val="whitespace-normal"/>
        <w:numPr>
          <w:ilvl w:val="0"/>
          <w:numId w:val="230"/>
        </w:numPr>
        <w:spacing w:before="0" w:beforeAutospacing="0" w:after="0" w:afterAutospacing="0"/>
        <w:jc w:val="both"/>
        <w:rPr>
          <w:color w:val="000000" w:themeColor="text1"/>
        </w:rPr>
      </w:pPr>
      <w:r w:rsidRPr="00761845">
        <w:rPr>
          <w:rStyle w:val="Strong"/>
          <w:color w:val="000000" w:themeColor="text1"/>
        </w:rPr>
        <w:t xml:space="preserve">Network Selection Is </w:t>
      </w:r>
      <w:proofErr w:type="gramStart"/>
      <w:r w:rsidRPr="00761845">
        <w:rPr>
          <w:rStyle w:val="Strong"/>
          <w:color w:val="000000" w:themeColor="text1"/>
        </w:rPr>
        <w:t>The</w:t>
      </w:r>
      <w:proofErr w:type="gramEnd"/>
      <w:r w:rsidRPr="00761845">
        <w:rPr>
          <w:rStyle w:val="Strong"/>
          <w:color w:val="000000" w:themeColor="text1"/>
        </w:rPr>
        <w:t xml:space="preserve"> Most Critical Decision</w:t>
      </w:r>
    </w:p>
    <w:p w14:paraId="4E93525C" w14:textId="77777777" w:rsidR="00CC318B" w:rsidRPr="00761845" w:rsidRDefault="00CC318B" w:rsidP="00B451D7">
      <w:pPr>
        <w:pStyle w:val="whitespace-normal"/>
        <w:numPr>
          <w:ilvl w:val="1"/>
          <w:numId w:val="230"/>
        </w:numPr>
        <w:spacing w:before="0" w:beforeAutospacing="0" w:after="0" w:afterAutospacing="0"/>
        <w:jc w:val="both"/>
        <w:outlineLvl w:val="9"/>
        <w:rPr>
          <w:color w:val="000000" w:themeColor="text1"/>
        </w:rPr>
      </w:pPr>
      <w:r w:rsidRPr="00761845">
        <w:rPr>
          <w:color w:val="000000" w:themeColor="text1"/>
        </w:rPr>
        <w:t xml:space="preserve">Choosing Ethereum </w:t>
      </w:r>
      <w:proofErr w:type="spellStart"/>
      <w:r w:rsidRPr="00761845">
        <w:rPr>
          <w:color w:val="000000" w:themeColor="text1"/>
        </w:rPr>
        <w:t>mainnet</w:t>
      </w:r>
      <w:proofErr w:type="spellEnd"/>
      <w:r w:rsidRPr="00761845">
        <w:rPr>
          <w:color w:val="000000" w:themeColor="text1"/>
        </w:rPr>
        <w:t xml:space="preserve"> with $5,000 → certain losses (gas costs too high)</w:t>
      </w:r>
    </w:p>
    <w:p w14:paraId="04CB737C" w14:textId="77777777" w:rsidR="00CC318B" w:rsidRPr="00761845" w:rsidRDefault="00CC318B" w:rsidP="00B451D7">
      <w:pPr>
        <w:pStyle w:val="whitespace-normal"/>
        <w:numPr>
          <w:ilvl w:val="1"/>
          <w:numId w:val="230"/>
        </w:numPr>
        <w:spacing w:before="0" w:beforeAutospacing="0" w:after="0" w:afterAutospacing="0"/>
        <w:jc w:val="both"/>
        <w:outlineLvl w:val="9"/>
        <w:rPr>
          <w:color w:val="000000" w:themeColor="text1"/>
        </w:rPr>
      </w:pPr>
      <w:r w:rsidRPr="00761845">
        <w:rPr>
          <w:color w:val="000000" w:themeColor="text1"/>
        </w:rPr>
        <w:t>Choosing Polygon with same $5,000 → viability possible</w:t>
      </w:r>
    </w:p>
    <w:p w14:paraId="0C1A0A48" w14:textId="77777777" w:rsidR="00CC318B" w:rsidRPr="00761845" w:rsidRDefault="00CC318B" w:rsidP="00B451D7">
      <w:pPr>
        <w:pStyle w:val="whitespace-normal"/>
        <w:numPr>
          <w:ilvl w:val="1"/>
          <w:numId w:val="230"/>
        </w:numPr>
        <w:spacing w:before="0" w:beforeAutospacing="0" w:after="0" w:afterAutospacing="0"/>
        <w:jc w:val="both"/>
        <w:outlineLvl w:val="9"/>
        <w:rPr>
          <w:color w:val="000000" w:themeColor="text1"/>
        </w:rPr>
      </w:pPr>
      <w:r w:rsidRPr="00761845">
        <w:rPr>
          <w:color w:val="000000" w:themeColor="text1"/>
        </w:rPr>
        <w:t>This single decision determines whether success is even possible</w:t>
      </w:r>
    </w:p>
    <w:p w14:paraId="5E092267" w14:textId="77777777" w:rsidR="00CC318B" w:rsidRPr="00761845" w:rsidRDefault="00CC318B" w:rsidP="00B451D7">
      <w:pPr>
        <w:pStyle w:val="whitespace-normal"/>
        <w:numPr>
          <w:ilvl w:val="1"/>
          <w:numId w:val="230"/>
        </w:numPr>
        <w:spacing w:before="0" w:beforeAutospacing="0" w:after="0" w:afterAutospacing="0"/>
        <w:jc w:val="both"/>
        <w:outlineLvl w:val="9"/>
        <w:rPr>
          <w:color w:val="000000" w:themeColor="text1"/>
        </w:rPr>
      </w:pPr>
      <w:r w:rsidRPr="00761845">
        <w:rPr>
          <w:color w:val="000000" w:themeColor="text1"/>
        </w:rPr>
        <w:t>Must match network to capital level before considering strategy</w:t>
      </w:r>
    </w:p>
    <w:p w14:paraId="75AE194A" w14:textId="77777777" w:rsidR="00572893" w:rsidRPr="00761845" w:rsidRDefault="00572893" w:rsidP="00B451D7">
      <w:pPr>
        <w:pStyle w:val="whitespace-normal"/>
        <w:spacing w:before="0" w:beforeAutospacing="0" w:after="0" w:afterAutospacing="0"/>
        <w:ind w:left="1080"/>
        <w:jc w:val="both"/>
        <w:outlineLvl w:val="9"/>
        <w:rPr>
          <w:color w:val="000000" w:themeColor="text1"/>
        </w:rPr>
      </w:pPr>
    </w:p>
    <w:p w14:paraId="1F79B6BE" w14:textId="3E4749CF" w:rsidR="00CC318B" w:rsidRPr="00761845" w:rsidRDefault="00CC318B" w:rsidP="00B451D7">
      <w:pPr>
        <w:pStyle w:val="whitespace-normal"/>
        <w:numPr>
          <w:ilvl w:val="0"/>
          <w:numId w:val="230"/>
        </w:numPr>
        <w:spacing w:before="0" w:beforeAutospacing="0" w:after="0" w:afterAutospacing="0"/>
        <w:jc w:val="both"/>
        <w:rPr>
          <w:color w:val="000000" w:themeColor="text1"/>
        </w:rPr>
      </w:pPr>
      <w:r w:rsidRPr="00761845">
        <w:rPr>
          <w:rStyle w:val="Strong"/>
          <w:color w:val="000000" w:themeColor="text1"/>
        </w:rPr>
        <w:t>Time Investment Is Non-Negotiable</w:t>
      </w:r>
    </w:p>
    <w:p w14:paraId="1B644B07" w14:textId="77777777" w:rsidR="00CC318B" w:rsidRPr="00761845" w:rsidRDefault="00CC318B" w:rsidP="00B451D7">
      <w:pPr>
        <w:pStyle w:val="whitespace-normal"/>
        <w:numPr>
          <w:ilvl w:val="1"/>
          <w:numId w:val="230"/>
        </w:numPr>
        <w:spacing w:before="0" w:beforeAutospacing="0" w:after="0" w:afterAutospacing="0"/>
        <w:jc w:val="both"/>
        <w:outlineLvl w:val="9"/>
        <w:rPr>
          <w:color w:val="000000" w:themeColor="text1"/>
        </w:rPr>
      </w:pPr>
      <w:r w:rsidRPr="00761845">
        <w:rPr>
          <w:color w:val="000000" w:themeColor="text1"/>
        </w:rPr>
        <w:t>15-20 hours weekly necessary for successful participation</w:t>
      </w:r>
    </w:p>
    <w:p w14:paraId="719F0144" w14:textId="77777777" w:rsidR="00CC318B" w:rsidRPr="00761845" w:rsidRDefault="00CC318B" w:rsidP="00B451D7">
      <w:pPr>
        <w:pStyle w:val="whitespace-normal"/>
        <w:numPr>
          <w:ilvl w:val="1"/>
          <w:numId w:val="230"/>
        </w:numPr>
        <w:spacing w:before="0" w:beforeAutospacing="0" w:after="0" w:afterAutospacing="0"/>
        <w:jc w:val="both"/>
        <w:outlineLvl w:val="9"/>
        <w:rPr>
          <w:color w:val="000000" w:themeColor="text1"/>
        </w:rPr>
      </w:pPr>
      <w:r w:rsidRPr="00761845">
        <w:rPr>
          <w:color w:val="000000" w:themeColor="text1"/>
        </w:rPr>
        <w:t>Represents 37.5-50% of full-time job</w:t>
      </w:r>
    </w:p>
    <w:p w14:paraId="7C00709B" w14:textId="77777777" w:rsidR="00CC318B" w:rsidRPr="00761845" w:rsidRDefault="00CC318B" w:rsidP="00B451D7">
      <w:pPr>
        <w:pStyle w:val="whitespace-normal"/>
        <w:numPr>
          <w:ilvl w:val="1"/>
          <w:numId w:val="230"/>
        </w:numPr>
        <w:spacing w:before="0" w:beforeAutospacing="0" w:after="0" w:afterAutospacing="0"/>
        <w:jc w:val="both"/>
        <w:outlineLvl w:val="9"/>
        <w:rPr>
          <w:color w:val="000000" w:themeColor="text1"/>
        </w:rPr>
      </w:pPr>
      <w:r w:rsidRPr="00761845">
        <w:rPr>
          <w:color w:val="000000" w:themeColor="text1"/>
        </w:rPr>
        <w:t>"Passive income" terminology contradicted by empirical observation</w:t>
      </w:r>
    </w:p>
    <w:p w14:paraId="37ECE185" w14:textId="77777777" w:rsidR="00CC318B" w:rsidRPr="00761845" w:rsidRDefault="00CC318B" w:rsidP="00B451D7">
      <w:pPr>
        <w:pStyle w:val="whitespace-normal"/>
        <w:numPr>
          <w:ilvl w:val="1"/>
          <w:numId w:val="230"/>
        </w:numPr>
        <w:spacing w:before="0" w:beforeAutospacing="0" w:after="0" w:afterAutospacing="0"/>
        <w:jc w:val="both"/>
        <w:outlineLvl w:val="9"/>
        <w:rPr>
          <w:color w:val="000000" w:themeColor="text1"/>
        </w:rPr>
      </w:pPr>
      <w:r w:rsidRPr="00761845">
        <w:rPr>
          <w:color w:val="000000" w:themeColor="text1"/>
        </w:rPr>
        <w:t>Attempting truly passive approaches associated with systematic failures</w:t>
      </w:r>
    </w:p>
    <w:p w14:paraId="186FFBA0" w14:textId="77777777" w:rsidR="00572893" w:rsidRPr="00761845" w:rsidRDefault="00572893" w:rsidP="00B451D7">
      <w:pPr>
        <w:pStyle w:val="whitespace-normal"/>
        <w:spacing w:before="0" w:beforeAutospacing="0" w:after="0" w:afterAutospacing="0"/>
        <w:ind w:left="1080"/>
        <w:jc w:val="both"/>
        <w:outlineLvl w:val="9"/>
        <w:rPr>
          <w:color w:val="000000" w:themeColor="text1"/>
        </w:rPr>
      </w:pPr>
    </w:p>
    <w:p w14:paraId="159484DC" w14:textId="4FE76B4E" w:rsidR="00CC318B" w:rsidRPr="00761845" w:rsidRDefault="00CC318B" w:rsidP="00B451D7">
      <w:pPr>
        <w:pStyle w:val="whitespace-normal"/>
        <w:numPr>
          <w:ilvl w:val="0"/>
          <w:numId w:val="230"/>
        </w:numPr>
        <w:spacing w:before="0" w:beforeAutospacing="0" w:after="0" w:afterAutospacing="0"/>
        <w:jc w:val="both"/>
        <w:rPr>
          <w:color w:val="000000" w:themeColor="text1"/>
        </w:rPr>
      </w:pPr>
      <w:r w:rsidRPr="00761845">
        <w:rPr>
          <w:rStyle w:val="Strong"/>
          <w:color w:val="000000" w:themeColor="text1"/>
        </w:rPr>
        <w:t>Strategy Complexity Must Match Participant Capability</w:t>
      </w:r>
    </w:p>
    <w:p w14:paraId="7DB9A1B8" w14:textId="77777777" w:rsidR="00CC318B" w:rsidRPr="00761845" w:rsidRDefault="00CC318B" w:rsidP="00B451D7">
      <w:pPr>
        <w:pStyle w:val="whitespace-normal"/>
        <w:numPr>
          <w:ilvl w:val="1"/>
          <w:numId w:val="230"/>
        </w:numPr>
        <w:spacing w:before="0" w:beforeAutospacing="0" w:after="0" w:afterAutospacing="0"/>
        <w:jc w:val="both"/>
        <w:outlineLvl w:val="9"/>
        <w:rPr>
          <w:color w:val="000000" w:themeColor="text1"/>
        </w:rPr>
      </w:pPr>
      <w:r w:rsidRPr="00761845">
        <w:rPr>
          <w:color w:val="000000" w:themeColor="text1"/>
        </w:rPr>
        <w:t>89% of volatile pair participants who didn't understand IL lost money</w:t>
      </w:r>
    </w:p>
    <w:p w14:paraId="557DF9B7" w14:textId="77777777" w:rsidR="00CC318B" w:rsidRPr="00761845" w:rsidRDefault="00CC318B" w:rsidP="00B451D7">
      <w:pPr>
        <w:pStyle w:val="whitespace-normal"/>
        <w:numPr>
          <w:ilvl w:val="1"/>
          <w:numId w:val="230"/>
        </w:numPr>
        <w:spacing w:before="0" w:beforeAutospacing="0" w:after="0" w:afterAutospacing="0"/>
        <w:jc w:val="both"/>
        <w:outlineLvl w:val="9"/>
        <w:rPr>
          <w:color w:val="000000" w:themeColor="text1"/>
        </w:rPr>
      </w:pPr>
      <w:r w:rsidRPr="00761845">
        <w:rPr>
          <w:color w:val="000000" w:themeColor="text1"/>
        </w:rPr>
        <w:t>Education can address capability gaps, but must precede participation</w:t>
      </w:r>
    </w:p>
    <w:p w14:paraId="5CE1D4A5" w14:textId="77777777" w:rsidR="00CC318B" w:rsidRPr="00761845" w:rsidRDefault="00CC318B" w:rsidP="00B451D7">
      <w:pPr>
        <w:pStyle w:val="whitespace-normal"/>
        <w:numPr>
          <w:ilvl w:val="1"/>
          <w:numId w:val="230"/>
        </w:numPr>
        <w:spacing w:before="0" w:beforeAutospacing="0" w:after="0" w:afterAutospacing="0"/>
        <w:jc w:val="both"/>
        <w:outlineLvl w:val="9"/>
        <w:rPr>
          <w:color w:val="000000" w:themeColor="text1"/>
        </w:rPr>
      </w:pPr>
      <w:r w:rsidRPr="00761845">
        <w:rPr>
          <w:color w:val="000000" w:themeColor="text1"/>
        </w:rPr>
        <w:t>"Learn by doing" approach proved expensive: losses occurred before learning took effect</w:t>
      </w:r>
    </w:p>
    <w:p w14:paraId="5EA79EBF" w14:textId="77777777" w:rsidR="00CC318B" w:rsidRPr="00761845" w:rsidRDefault="00CC318B" w:rsidP="00B451D7">
      <w:pPr>
        <w:pStyle w:val="whitespace-normal"/>
        <w:numPr>
          <w:ilvl w:val="1"/>
          <w:numId w:val="230"/>
        </w:numPr>
        <w:spacing w:before="0" w:beforeAutospacing="0" w:after="0" w:afterAutospacing="0"/>
        <w:jc w:val="both"/>
        <w:outlineLvl w:val="9"/>
        <w:rPr>
          <w:color w:val="000000" w:themeColor="text1"/>
        </w:rPr>
      </w:pPr>
      <w:r w:rsidRPr="00761845">
        <w:rPr>
          <w:color w:val="000000" w:themeColor="text1"/>
        </w:rPr>
        <w:t>Cannot outsource understanding to tools or automation at limited capital levels</w:t>
      </w:r>
    </w:p>
    <w:p w14:paraId="0C2E9CCD" w14:textId="77777777" w:rsidR="00572893" w:rsidRPr="00761845" w:rsidRDefault="00572893" w:rsidP="00B451D7">
      <w:pPr>
        <w:pStyle w:val="whitespace-normal"/>
        <w:spacing w:before="0" w:beforeAutospacing="0" w:after="0" w:afterAutospacing="0"/>
        <w:ind w:left="1080"/>
        <w:jc w:val="both"/>
        <w:outlineLvl w:val="9"/>
        <w:rPr>
          <w:color w:val="000000" w:themeColor="text1"/>
        </w:rPr>
      </w:pPr>
    </w:p>
    <w:p w14:paraId="5F81F94D" w14:textId="7C0C78C2" w:rsidR="00CC318B" w:rsidRPr="00761845" w:rsidRDefault="00CC318B" w:rsidP="00B451D7">
      <w:pPr>
        <w:pStyle w:val="whitespace-normal"/>
        <w:numPr>
          <w:ilvl w:val="0"/>
          <w:numId w:val="230"/>
        </w:numPr>
        <w:spacing w:before="0" w:beforeAutospacing="0" w:after="0" w:afterAutospacing="0"/>
        <w:jc w:val="both"/>
        <w:rPr>
          <w:color w:val="000000" w:themeColor="text1"/>
        </w:rPr>
      </w:pPr>
      <w:r w:rsidRPr="00761845">
        <w:rPr>
          <w:rStyle w:val="Strong"/>
          <w:color w:val="000000" w:themeColor="text1"/>
        </w:rPr>
        <w:t>Boring Strategies Work; Exciting Strategies Don't</w:t>
      </w:r>
    </w:p>
    <w:p w14:paraId="1845D8BD" w14:textId="77777777" w:rsidR="00CC318B" w:rsidRPr="00761845" w:rsidRDefault="00CC318B" w:rsidP="00B451D7">
      <w:pPr>
        <w:pStyle w:val="whitespace-normal"/>
        <w:numPr>
          <w:ilvl w:val="1"/>
          <w:numId w:val="230"/>
        </w:numPr>
        <w:spacing w:before="0" w:beforeAutospacing="0" w:after="0" w:afterAutospacing="0"/>
        <w:jc w:val="both"/>
        <w:outlineLvl w:val="9"/>
        <w:rPr>
          <w:color w:val="000000" w:themeColor="text1"/>
        </w:rPr>
      </w:pPr>
      <w:r w:rsidRPr="00761845">
        <w:rPr>
          <w:color w:val="000000" w:themeColor="text1"/>
        </w:rPr>
        <w:t>Stablecoin LP: Best risk-adjusted returns (Sharpe 0.8-1.4) despite being least exciting</w:t>
      </w:r>
    </w:p>
    <w:p w14:paraId="4A98955D" w14:textId="77777777" w:rsidR="00CC318B" w:rsidRPr="00761845" w:rsidRDefault="00CC318B" w:rsidP="00B451D7">
      <w:pPr>
        <w:pStyle w:val="whitespace-normal"/>
        <w:numPr>
          <w:ilvl w:val="1"/>
          <w:numId w:val="230"/>
        </w:numPr>
        <w:spacing w:before="0" w:beforeAutospacing="0" w:after="0" w:afterAutospacing="0"/>
        <w:jc w:val="both"/>
        <w:outlineLvl w:val="9"/>
        <w:rPr>
          <w:color w:val="000000" w:themeColor="text1"/>
        </w:rPr>
      </w:pPr>
      <w:r w:rsidRPr="00761845">
        <w:rPr>
          <w:color w:val="000000" w:themeColor="text1"/>
        </w:rPr>
        <w:t>Volatile pairs: Worst risk-adjusted returns (Sharpe 0.3-0.5) despite high advertised yields</w:t>
      </w:r>
    </w:p>
    <w:p w14:paraId="5AA6EE4B" w14:textId="77777777" w:rsidR="00CC318B" w:rsidRPr="00761845" w:rsidRDefault="00CC318B" w:rsidP="00B451D7">
      <w:pPr>
        <w:pStyle w:val="whitespace-normal"/>
        <w:numPr>
          <w:ilvl w:val="1"/>
          <w:numId w:val="230"/>
        </w:numPr>
        <w:spacing w:before="0" w:beforeAutospacing="0" w:after="0" w:afterAutospacing="0"/>
        <w:jc w:val="both"/>
        <w:outlineLvl w:val="9"/>
        <w:rPr>
          <w:color w:val="000000" w:themeColor="text1"/>
        </w:rPr>
      </w:pPr>
      <w:r w:rsidRPr="00761845">
        <w:rPr>
          <w:color w:val="000000" w:themeColor="text1"/>
        </w:rPr>
        <w:t>Yield farming: Rapid compression makes sustained profitability impossible</w:t>
      </w:r>
    </w:p>
    <w:p w14:paraId="5110A776" w14:textId="77777777" w:rsidR="00CC318B" w:rsidRPr="00761845" w:rsidRDefault="00CC318B" w:rsidP="00B451D7">
      <w:pPr>
        <w:pStyle w:val="whitespace-normal"/>
        <w:numPr>
          <w:ilvl w:val="1"/>
          <w:numId w:val="230"/>
        </w:numPr>
        <w:spacing w:before="0" w:beforeAutospacing="0" w:after="0" w:afterAutospacing="0"/>
        <w:jc w:val="both"/>
        <w:outlineLvl w:val="9"/>
        <w:rPr>
          <w:color w:val="000000" w:themeColor="text1"/>
        </w:rPr>
      </w:pPr>
      <w:r w:rsidRPr="00761845">
        <w:rPr>
          <w:color w:val="000000" w:themeColor="text1"/>
        </w:rPr>
        <w:t>Inverse correlation observed: Marketing intensity negatively correlates with actual profitability</w:t>
      </w:r>
    </w:p>
    <w:p w14:paraId="4D28D437" w14:textId="77777777" w:rsidR="00572893" w:rsidRPr="00761845" w:rsidRDefault="00572893" w:rsidP="00B451D7">
      <w:pPr>
        <w:jc w:val="both"/>
        <w:rPr>
          <w:color w:val="000000" w:themeColor="text1"/>
        </w:rPr>
      </w:pPr>
    </w:p>
    <w:p w14:paraId="1AC63914" w14:textId="690703C7" w:rsidR="007C3F55" w:rsidRPr="00761845" w:rsidRDefault="00764A79" w:rsidP="00B451D7">
      <w:pPr>
        <w:jc w:val="both"/>
        <w:rPr>
          <w:rFonts w:eastAsiaTheme="majorEastAsia"/>
          <w:bCs/>
          <w:color w:val="000000" w:themeColor="text1"/>
        </w:rPr>
      </w:pPr>
      <w:r w:rsidRPr="00761845">
        <w:rPr>
          <w:color w:val="000000" w:themeColor="text1"/>
        </w:rPr>
        <w:t>This framework synthesizes empirical patterns into actionable guidance by making explicit the resource requirements that marketing materials systematically obscure.</w:t>
      </w:r>
    </w:p>
    <w:p w14:paraId="4AA451FC" w14:textId="77777777" w:rsidR="00EC6695" w:rsidRPr="00761845" w:rsidRDefault="00EC6695" w:rsidP="00B451D7">
      <w:pPr>
        <w:jc w:val="both"/>
        <w:rPr>
          <w:rFonts w:eastAsiaTheme="majorEastAsia"/>
          <w:bCs/>
          <w:color w:val="000000" w:themeColor="text1"/>
        </w:rPr>
      </w:pPr>
    </w:p>
    <w:p w14:paraId="352A60BA" w14:textId="5FDA022B" w:rsidR="000F3578" w:rsidRPr="00761845" w:rsidRDefault="00D71B3F" w:rsidP="00B451D7">
      <w:pPr>
        <w:pStyle w:val="Heading2"/>
        <w:jc w:val="both"/>
        <w:rPr>
          <w:rFonts w:eastAsiaTheme="majorEastAsia"/>
          <w:color w:val="000000" w:themeColor="text1"/>
        </w:rPr>
      </w:pPr>
      <w:bookmarkStart w:id="63" w:name="_Toc214721869"/>
      <w:r w:rsidRPr="00761845">
        <w:rPr>
          <w:rFonts w:eastAsiaTheme="majorEastAsia"/>
          <w:color w:val="000000" w:themeColor="text1"/>
        </w:rPr>
        <w:t>3.</w:t>
      </w:r>
      <w:r w:rsidR="0082049B">
        <w:rPr>
          <w:rFonts w:eastAsiaTheme="majorEastAsia"/>
          <w:color w:val="000000" w:themeColor="text1"/>
        </w:rPr>
        <w:t>8</w:t>
      </w:r>
      <w:r w:rsidR="000F3578" w:rsidRPr="00761845">
        <w:rPr>
          <w:rFonts w:eastAsiaTheme="majorEastAsia"/>
          <w:color w:val="000000" w:themeColor="text1"/>
        </w:rPr>
        <w:t xml:space="preserve"> Integrated Theoretical Framework for Cryptocurrency Passive Income</w:t>
      </w:r>
      <w:bookmarkEnd w:id="63"/>
    </w:p>
    <w:p w14:paraId="2D10CE53" w14:textId="283728B4" w:rsidR="001E2E3B" w:rsidRPr="00761845" w:rsidRDefault="00BA386F" w:rsidP="00B451D7">
      <w:pPr>
        <w:jc w:val="both"/>
        <w:rPr>
          <w:rFonts w:eastAsiaTheme="majorEastAsia"/>
          <w:bCs/>
          <w:color w:val="000000" w:themeColor="text1"/>
        </w:rPr>
      </w:pPr>
      <w:r w:rsidRPr="00761845">
        <w:rPr>
          <w:rFonts w:eastAsiaTheme="majorEastAsia"/>
          <w:bCs/>
          <w:color w:val="000000" w:themeColor="text1"/>
        </w:rPr>
        <w:t>The evidence so far in my research demands me to move beyond simple narratives of democratization or dismissal. DeFi certainly creates genuine opportunities, but they are narrower, more complex, and less accessible than advertised. This section develops the framework that acknowledges both the possibilities and the constraints.</w:t>
      </w:r>
    </w:p>
    <w:p w14:paraId="07D3A7FD" w14:textId="77777777" w:rsidR="00BA386F" w:rsidRPr="00761845" w:rsidRDefault="00BA386F" w:rsidP="00B451D7">
      <w:pPr>
        <w:jc w:val="both"/>
        <w:rPr>
          <w:rFonts w:eastAsiaTheme="majorEastAsia"/>
          <w:bCs/>
          <w:color w:val="000000" w:themeColor="text1"/>
        </w:rPr>
      </w:pPr>
    </w:p>
    <w:p w14:paraId="2A41314D" w14:textId="03EADA65" w:rsidR="000F3578" w:rsidRPr="00761845" w:rsidRDefault="00D71B3F" w:rsidP="00B451D7">
      <w:pPr>
        <w:pStyle w:val="Heading2"/>
        <w:jc w:val="both"/>
        <w:rPr>
          <w:rFonts w:eastAsiaTheme="majorEastAsia"/>
          <w:color w:val="000000" w:themeColor="text1"/>
        </w:rPr>
      </w:pPr>
      <w:bookmarkStart w:id="64" w:name="_Toc214721870"/>
      <w:r w:rsidRPr="00761845">
        <w:rPr>
          <w:rFonts w:eastAsiaTheme="majorEastAsia"/>
          <w:color w:val="000000" w:themeColor="text1"/>
        </w:rPr>
        <w:lastRenderedPageBreak/>
        <w:t>3.</w:t>
      </w:r>
      <w:r w:rsidR="0082049B">
        <w:rPr>
          <w:rFonts w:eastAsiaTheme="majorEastAsia"/>
          <w:color w:val="000000" w:themeColor="text1"/>
        </w:rPr>
        <w:t>9</w:t>
      </w:r>
      <w:r w:rsidR="000F3578" w:rsidRPr="00761845">
        <w:rPr>
          <w:rFonts w:eastAsiaTheme="majorEastAsia"/>
          <w:color w:val="000000" w:themeColor="text1"/>
        </w:rPr>
        <w:t xml:space="preserve"> </w:t>
      </w:r>
      <w:r w:rsidR="001E2E3B" w:rsidRPr="00761845">
        <w:rPr>
          <w:rFonts w:eastAsiaTheme="majorEastAsia"/>
          <w:color w:val="000000" w:themeColor="text1"/>
        </w:rPr>
        <w:t>The Reality of Disintermediation</w:t>
      </w:r>
      <w:bookmarkEnd w:id="64"/>
    </w:p>
    <w:p w14:paraId="04DA51A0" w14:textId="77777777" w:rsidR="00BA386F" w:rsidRPr="00761845" w:rsidRDefault="00BA386F" w:rsidP="00B451D7">
      <w:pPr>
        <w:jc w:val="both"/>
        <w:rPr>
          <w:rFonts w:eastAsiaTheme="majorEastAsia"/>
          <w:bCs/>
          <w:color w:val="000000" w:themeColor="text1"/>
        </w:rPr>
      </w:pPr>
      <w:r w:rsidRPr="00761845">
        <w:rPr>
          <w:rFonts w:eastAsiaTheme="majorEastAsia"/>
          <w:bCs/>
          <w:color w:val="000000" w:themeColor="text1"/>
        </w:rPr>
        <w:t xml:space="preserve">"Disintermediation" in DeFi does not mean what most people think. Just like traditional finance bundles multiple functions—custody, execution, clearing, settlement, risk management—into integrated institutions, DeFi unbundles these functions as well. They are </w:t>
      </w:r>
      <w:proofErr w:type="gramStart"/>
      <w:r w:rsidRPr="00761845">
        <w:rPr>
          <w:rFonts w:eastAsiaTheme="majorEastAsia"/>
          <w:bCs/>
          <w:color w:val="000000" w:themeColor="text1"/>
        </w:rPr>
        <w:t>distributing them</w:t>
      </w:r>
      <w:proofErr w:type="gramEnd"/>
      <w:r w:rsidRPr="00761845">
        <w:rPr>
          <w:rFonts w:eastAsiaTheme="majorEastAsia"/>
          <w:bCs/>
          <w:color w:val="000000" w:themeColor="text1"/>
        </w:rPr>
        <w:t xml:space="preserve"> across protocols, smart contracts, and users. This is not elimination of intermediation but decomposition and reallocation.</w:t>
      </w:r>
    </w:p>
    <w:p w14:paraId="467A27A3" w14:textId="77777777" w:rsidR="00BA386F" w:rsidRPr="00761845" w:rsidRDefault="00BA386F" w:rsidP="00B451D7">
      <w:pPr>
        <w:jc w:val="both"/>
        <w:rPr>
          <w:rFonts w:eastAsiaTheme="majorEastAsia"/>
          <w:bCs/>
          <w:color w:val="000000" w:themeColor="text1"/>
        </w:rPr>
      </w:pPr>
    </w:p>
    <w:p w14:paraId="574F811D" w14:textId="77777777" w:rsidR="00BA386F" w:rsidRPr="00761845" w:rsidRDefault="00BA386F" w:rsidP="00B451D7">
      <w:pPr>
        <w:jc w:val="both"/>
        <w:rPr>
          <w:rFonts w:eastAsiaTheme="majorEastAsia"/>
          <w:bCs/>
          <w:color w:val="000000" w:themeColor="text1"/>
        </w:rPr>
      </w:pPr>
      <w:r w:rsidRPr="00761845">
        <w:rPr>
          <w:rFonts w:eastAsiaTheme="majorEastAsia"/>
          <w:bCs/>
          <w:color w:val="000000" w:themeColor="text1"/>
        </w:rPr>
        <w:t>Consider a simple token swap on Uniswap. The protocol handles the price discovery through its AMM formula. Liquidity providers supply the capital and absorb the price risk. Arbitrageurs will maintain the price efficiency across markets, while Ethereum miners/validators process and settle transactions. Meanwhile, Oracle providers supply the external price feeds, and Wallet software manages keys and transaction construction. Each participant in this cycle performs one part of what a traditional exchange would handle internally.</w:t>
      </w:r>
    </w:p>
    <w:p w14:paraId="20191AC4" w14:textId="77777777" w:rsidR="00BA386F" w:rsidRPr="00761845" w:rsidRDefault="00BA386F" w:rsidP="00B451D7">
      <w:pPr>
        <w:jc w:val="both"/>
        <w:rPr>
          <w:rFonts w:eastAsiaTheme="majorEastAsia"/>
          <w:bCs/>
          <w:color w:val="000000" w:themeColor="text1"/>
        </w:rPr>
      </w:pPr>
    </w:p>
    <w:p w14:paraId="7E2493E3" w14:textId="77777777" w:rsidR="00BA386F" w:rsidRPr="00761845" w:rsidRDefault="00BA386F" w:rsidP="00B451D7">
      <w:pPr>
        <w:jc w:val="both"/>
        <w:rPr>
          <w:rFonts w:eastAsiaTheme="majorEastAsia"/>
          <w:bCs/>
          <w:color w:val="000000" w:themeColor="text1"/>
        </w:rPr>
      </w:pPr>
      <w:r w:rsidRPr="00761845">
        <w:rPr>
          <w:rFonts w:eastAsiaTheme="majorEastAsia"/>
          <w:bCs/>
          <w:color w:val="000000" w:themeColor="text1"/>
        </w:rPr>
        <w:t xml:space="preserve">This decomposition creates both opportunities and challenges. The opportunity: individuals can participate in functions previously restricted to institutions, earning fees that banks and exchanges traditionally captured. The challenge: individuals must understand and manage risks that institutions handle professionally. Once a become a liquidity provider, you're not just earning </w:t>
      </w:r>
      <w:proofErr w:type="gramStart"/>
      <w:r w:rsidRPr="00761845">
        <w:rPr>
          <w:rFonts w:eastAsiaTheme="majorEastAsia"/>
          <w:bCs/>
          <w:color w:val="000000" w:themeColor="text1"/>
        </w:rPr>
        <w:t>yield—</w:t>
      </w:r>
      <w:proofErr w:type="gramEnd"/>
      <w:r w:rsidRPr="00761845">
        <w:rPr>
          <w:rFonts w:eastAsiaTheme="majorEastAsia"/>
          <w:bCs/>
          <w:color w:val="000000" w:themeColor="text1"/>
        </w:rPr>
        <w:t>you're running a micro market-making business with all the associated complexities.</w:t>
      </w:r>
    </w:p>
    <w:p w14:paraId="1AC5FC70" w14:textId="77777777" w:rsidR="001E2E3B" w:rsidRPr="00761845" w:rsidRDefault="001E2E3B" w:rsidP="00B451D7">
      <w:pPr>
        <w:jc w:val="both"/>
        <w:rPr>
          <w:rFonts w:eastAsiaTheme="majorEastAsia"/>
          <w:b/>
          <w:bCs/>
          <w:color w:val="000000" w:themeColor="text1"/>
        </w:rPr>
      </w:pPr>
    </w:p>
    <w:p w14:paraId="7E4D01C0" w14:textId="0CF3D516" w:rsidR="001E2E3B" w:rsidRPr="003C66A0" w:rsidRDefault="00D71B3F" w:rsidP="00B451D7">
      <w:pPr>
        <w:pStyle w:val="Heading2"/>
        <w:rPr>
          <w:rFonts w:eastAsiaTheme="majorEastAsia"/>
        </w:rPr>
      </w:pPr>
      <w:bookmarkStart w:id="65" w:name="_Toc214721871"/>
      <w:r w:rsidRPr="003C66A0">
        <w:rPr>
          <w:rFonts w:eastAsiaTheme="majorEastAsia"/>
        </w:rPr>
        <w:t>3.</w:t>
      </w:r>
      <w:r w:rsidR="0082049B">
        <w:rPr>
          <w:rFonts w:eastAsiaTheme="majorEastAsia"/>
        </w:rPr>
        <w:t>10</w:t>
      </w:r>
      <w:r w:rsidR="000F3578" w:rsidRPr="003C66A0">
        <w:rPr>
          <w:rFonts w:eastAsiaTheme="majorEastAsia"/>
        </w:rPr>
        <w:t xml:space="preserve"> </w:t>
      </w:r>
      <w:r w:rsidR="001E2E3B" w:rsidRPr="003C66A0">
        <w:rPr>
          <w:rFonts w:eastAsiaTheme="majorEastAsia"/>
        </w:rPr>
        <w:t>Capital Formation in Algorithmic Markets</w:t>
      </w:r>
      <w:bookmarkEnd w:id="65"/>
    </w:p>
    <w:p w14:paraId="36C8E1F4" w14:textId="77777777" w:rsidR="005D0FAC" w:rsidRPr="003C66A0" w:rsidRDefault="005D0FAC" w:rsidP="00B451D7">
      <w:pPr>
        <w:jc w:val="both"/>
        <w:rPr>
          <w:rFonts w:eastAsiaTheme="majorEastAsia"/>
          <w:bCs/>
          <w:color w:val="000000" w:themeColor="text1"/>
        </w:rPr>
      </w:pPr>
      <w:r w:rsidRPr="003C66A0">
        <w:rPr>
          <w:rFonts w:eastAsiaTheme="majorEastAsia"/>
          <w:bCs/>
          <w:color w:val="000000" w:themeColor="text1"/>
        </w:rPr>
        <w:t>DeFi follows different Capital formation patterns than traditional finance. Instead of linear accumulation through compounded interest, it shows step-function dynamics with jumps and drops that are caused by different market conditions or alignments. My tracked positions showed three distinct patterns:</w:t>
      </w:r>
    </w:p>
    <w:p w14:paraId="53911559" w14:textId="77777777" w:rsidR="005D0FAC" w:rsidRPr="003C66A0" w:rsidRDefault="005D0FAC" w:rsidP="00B451D7">
      <w:pPr>
        <w:jc w:val="both"/>
        <w:rPr>
          <w:rFonts w:eastAsiaTheme="majorEastAsia"/>
          <w:bCs/>
          <w:color w:val="000000" w:themeColor="text1"/>
        </w:rPr>
      </w:pPr>
    </w:p>
    <w:p w14:paraId="7FECCAA6" w14:textId="6E38E441" w:rsidR="005D0FAC" w:rsidRPr="003C66A0" w:rsidRDefault="005D0FAC" w:rsidP="00B451D7">
      <w:pPr>
        <w:numPr>
          <w:ilvl w:val="0"/>
          <w:numId w:val="97"/>
        </w:numPr>
        <w:jc w:val="both"/>
        <w:rPr>
          <w:rFonts w:eastAsiaTheme="majorEastAsia"/>
          <w:bCs/>
          <w:color w:val="000000" w:themeColor="text1"/>
        </w:rPr>
      </w:pPr>
      <w:r w:rsidRPr="003C66A0">
        <w:rPr>
          <w:rFonts w:eastAsiaTheme="majorEastAsia"/>
          <w:bCs/>
          <w:color w:val="000000" w:themeColor="text1"/>
        </w:rPr>
        <w:t xml:space="preserve">Steady accumulation occurred for simple strategies in stable conditions. Stablecoin liquidity providers earned consistent fees </w:t>
      </w:r>
      <w:r w:rsidR="00A80D43" w:rsidRPr="003C66A0">
        <w:rPr>
          <w:rFonts w:eastAsiaTheme="majorEastAsia"/>
          <w:bCs/>
          <w:color w:val="000000" w:themeColor="text1"/>
        </w:rPr>
        <w:t>while</w:t>
      </w:r>
      <w:r w:rsidRPr="003C66A0">
        <w:rPr>
          <w:rFonts w:eastAsiaTheme="majorEastAsia"/>
          <w:bCs/>
          <w:color w:val="000000" w:themeColor="text1"/>
        </w:rPr>
        <w:t xml:space="preserve"> compounding gradually. These positions grew predictably but slowly, generating 4-8% annually. This is the closest thing to traditional yield in DeFi.</w:t>
      </w:r>
    </w:p>
    <w:p w14:paraId="3A2741E9" w14:textId="77777777" w:rsidR="005D0FAC" w:rsidRPr="003C66A0" w:rsidRDefault="005D0FAC" w:rsidP="00B451D7">
      <w:pPr>
        <w:jc w:val="both"/>
        <w:rPr>
          <w:rFonts w:eastAsiaTheme="majorEastAsia"/>
          <w:bCs/>
          <w:color w:val="000000" w:themeColor="text1"/>
        </w:rPr>
      </w:pPr>
    </w:p>
    <w:p w14:paraId="0F184803" w14:textId="77777777" w:rsidR="005D0FAC" w:rsidRPr="003C66A0" w:rsidRDefault="005D0FAC" w:rsidP="00B451D7">
      <w:pPr>
        <w:numPr>
          <w:ilvl w:val="0"/>
          <w:numId w:val="98"/>
        </w:numPr>
        <w:jc w:val="both"/>
        <w:rPr>
          <w:rFonts w:eastAsiaTheme="majorEastAsia"/>
          <w:bCs/>
          <w:color w:val="000000" w:themeColor="text1"/>
        </w:rPr>
      </w:pPr>
      <w:r w:rsidRPr="003C66A0">
        <w:rPr>
          <w:rFonts w:eastAsiaTheme="majorEastAsia"/>
          <w:bCs/>
          <w:color w:val="000000" w:themeColor="text1"/>
        </w:rPr>
        <w:t xml:space="preserve">Punctuated equilibrium </w:t>
      </w:r>
      <w:proofErr w:type="gramStart"/>
      <w:r w:rsidRPr="003C66A0">
        <w:rPr>
          <w:rFonts w:eastAsiaTheme="majorEastAsia"/>
          <w:bCs/>
          <w:color w:val="000000" w:themeColor="text1"/>
        </w:rPr>
        <w:t>characterized</w:t>
      </w:r>
      <w:proofErr w:type="gramEnd"/>
      <w:r w:rsidRPr="003C66A0">
        <w:rPr>
          <w:rFonts w:eastAsiaTheme="majorEastAsia"/>
          <w:bCs/>
          <w:color w:val="000000" w:themeColor="text1"/>
        </w:rPr>
        <w:t xml:space="preserve"> more complex strategies. Positions would accumulate slowly, then jump 20-30% from a successful rebalancing or favorable market move. After that they resume slow accumulation. The jumps created most of the returns, but timing them and focusing on those only proved nearly impossible.</w:t>
      </w:r>
    </w:p>
    <w:p w14:paraId="318F4FB1" w14:textId="77777777" w:rsidR="005D0FAC" w:rsidRPr="003C66A0" w:rsidRDefault="005D0FAC" w:rsidP="00B451D7">
      <w:pPr>
        <w:jc w:val="both"/>
        <w:rPr>
          <w:rFonts w:eastAsiaTheme="majorEastAsia"/>
          <w:bCs/>
          <w:color w:val="000000" w:themeColor="text1"/>
        </w:rPr>
      </w:pPr>
    </w:p>
    <w:p w14:paraId="61F10068" w14:textId="77777777" w:rsidR="005D0FAC" w:rsidRPr="003C66A0" w:rsidRDefault="005D0FAC" w:rsidP="00B451D7">
      <w:pPr>
        <w:numPr>
          <w:ilvl w:val="0"/>
          <w:numId w:val="99"/>
        </w:numPr>
        <w:jc w:val="both"/>
        <w:rPr>
          <w:rFonts w:eastAsiaTheme="majorEastAsia"/>
          <w:bCs/>
          <w:color w:val="000000" w:themeColor="text1"/>
        </w:rPr>
      </w:pPr>
      <w:r w:rsidRPr="003C66A0">
        <w:rPr>
          <w:rFonts w:eastAsiaTheme="majorEastAsia"/>
          <w:bCs/>
          <w:color w:val="000000" w:themeColor="text1"/>
        </w:rPr>
        <w:t>Catastrophic loss events reset 12% of positions quarterly. These events included smart contract exploits, governance attacks, or severe market changes and destroyed the accumulated capital almost instantly. Recovery in these cases was rare. Once a protocol is exploited or abandoned, the capital is typically gone forever.</w:t>
      </w:r>
    </w:p>
    <w:p w14:paraId="75A97E14" w14:textId="77777777" w:rsidR="005D0FAC" w:rsidRPr="003C66A0" w:rsidRDefault="005D0FAC" w:rsidP="00B451D7">
      <w:pPr>
        <w:jc w:val="both"/>
        <w:rPr>
          <w:rFonts w:eastAsiaTheme="majorEastAsia"/>
          <w:bCs/>
          <w:color w:val="000000" w:themeColor="text1"/>
        </w:rPr>
      </w:pPr>
    </w:p>
    <w:p w14:paraId="0256BF7A" w14:textId="658B6F50" w:rsidR="005D0FAC" w:rsidRDefault="005D0FAC" w:rsidP="00B451D7">
      <w:pPr>
        <w:jc w:val="both"/>
        <w:rPr>
          <w:rFonts w:eastAsiaTheme="majorEastAsia"/>
          <w:bCs/>
          <w:color w:val="000000" w:themeColor="text1"/>
        </w:rPr>
      </w:pPr>
      <w:r w:rsidRPr="003C66A0">
        <w:rPr>
          <w:rFonts w:eastAsiaTheme="majorEastAsia"/>
          <w:bCs/>
          <w:color w:val="000000" w:themeColor="text1"/>
        </w:rPr>
        <w:t xml:space="preserve">These patterns suggest that DeFi capital formation requires different mental approaches than traditional investing. DeFi is not about steady compound growth but about surviving long enough to capture the occasional windfalls while avoiding catastrophic losses. </w:t>
      </w:r>
    </w:p>
    <w:p w14:paraId="20942703" w14:textId="77777777" w:rsidR="00AB1196" w:rsidRDefault="00AB1196" w:rsidP="00B451D7">
      <w:pPr>
        <w:jc w:val="both"/>
        <w:rPr>
          <w:rFonts w:eastAsiaTheme="majorEastAsia"/>
          <w:bCs/>
          <w:color w:val="000000" w:themeColor="text1"/>
        </w:rPr>
      </w:pPr>
    </w:p>
    <w:p w14:paraId="3CC83FEF" w14:textId="5C003219" w:rsidR="00AB1196" w:rsidRPr="0088386D" w:rsidRDefault="00AB1196" w:rsidP="00B451D7">
      <w:pPr>
        <w:jc w:val="both"/>
        <w:rPr>
          <w:rFonts w:eastAsiaTheme="majorEastAsia"/>
          <w:bCs/>
          <w:color w:val="000000" w:themeColor="text1"/>
        </w:rPr>
      </w:pPr>
      <w:r w:rsidRPr="0088386D">
        <w:rPr>
          <w:rFonts w:eastAsiaTheme="majorEastAsia"/>
          <w:bCs/>
          <w:color w:val="000000" w:themeColor="text1"/>
        </w:rPr>
        <w:t>Table 3.4 categorizes the three distinct capital formation patterns identified through longitudinal position tracking, illustrating the non-linear dynamics that distinguish DeFi from traditional investment vehicles.</w:t>
      </w:r>
    </w:p>
    <w:p w14:paraId="155D0EF8" w14:textId="77777777" w:rsidR="00AB1196" w:rsidRDefault="00AB1196" w:rsidP="00B451D7">
      <w:pPr>
        <w:jc w:val="both"/>
        <w:rPr>
          <w:rFonts w:eastAsiaTheme="majorEastAsia"/>
          <w:bCs/>
          <w:color w:val="000000" w:themeColor="text1"/>
        </w:rPr>
      </w:pPr>
    </w:p>
    <w:p w14:paraId="213CE407" w14:textId="033C8BF0" w:rsidR="00AB1196" w:rsidRPr="00AB1196" w:rsidRDefault="00AB1196" w:rsidP="00B451D7">
      <w:pPr>
        <w:pStyle w:val="Heading3"/>
        <w:jc w:val="both"/>
        <w:rPr>
          <w:color w:val="000000" w:themeColor="text1"/>
        </w:rPr>
      </w:pPr>
      <w:bookmarkStart w:id="66" w:name="_Toc214721872"/>
      <w:r w:rsidRPr="00AB1196">
        <w:rPr>
          <w:color w:val="000000" w:themeColor="text1"/>
        </w:rPr>
        <w:t>Table 3.</w:t>
      </w:r>
      <w:r w:rsidR="00C5607F">
        <w:rPr>
          <w:color w:val="000000" w:themeColor="text1"/>
        </w:rPr>
        <w:t>G</w:t>
      </w:r>
      <w:r w:rsidRPr="00AB1196">
        <w:rPr>
          <w:color w:val="000000" w:themeColor="text1"/>
        </w:rPr>
        <w:t>: Capital Formation Patterns in DeFi</w:t>
      </w:r>
      <w:bookmarkEnd w:id="66"/>
      <w:r w:rsidRPr="00AB1196">
        <w:rPr>
          <w:color w:val="000000" w:themeColor="text1"/>
        </w:rPr>
        <w:t xml:space="preserve"> </w:t>
      </w:r>
    </w:p>
    <w:p w14:paraId="74BE6A66" w14:textId="77777777" w:rsidR="00AB1196" w:rsidRDefault="00AB1196" w:rsidP="00B451D7">
      <w:pPr>
        <w:jc w:val="both"/>
        <w:rPr>
          <w:rFonts w:eastAsiaTheme="majorEastAsia"/>
          <w:bCs/>
          <w:color w:val="000000" w:themeColor="text1"/>
        </w:rPr>
      </w:pPr>
    </w:p>
    <w:tbl>
      <w:tblPr>
        <w:tblW w:w="9350" w:type="dxa"/>
        <w:tblLayout w:type="fixed"/>
        <w:tblLook w:val="04A0" w:firstRow="1" w:lastRow="0" w:firstColumn="1" w:lastColumn="0" w:noHBand="0" w:noVBand="1"/>
      </w:tblPr>
      <w:tblGrid>
        <w:gridCol w:w="1351"/>
        <w:gridCol w:w="1127"/>
        <w:gridCol w:w="1202"/>
        <w:gridCol w:w="1530"/>
        <w:gridCol w:w="1440"/>
        <w:gridCol w:w="1064"/>
        <w:gridCol w:w="1636"/>
      </w:tblGrid>
      <w:tr w:rsidR="00C60655" w:rsidRPr="00C60655" w14:paraId="0403E2F0" w14:textId="77777777" w:rsidTr="00C60655">
        <w:trPr>
          <w:trHeight w:val="600"/>
        </w:trPr>
        <w:tc>
          <w:tcPr>
            <w:tcW w:w="1351" w:type="dxa"/>
            <w:tcBorders>
              <w:top w:val="single" w:sz="8" w:space="0" w:color="auto"/>
              <w:left w:val="single" w:sz="8" w:space="0" w:color="auto"/>
              <w:bottom w:val="single" w:sz="8" w:space="0" w:color="auto"/>
              <w:right w:val="single" w:sz="4" w:space="0" w:color="auto"/>
            </w:tcBorders>
            <w:shd w:val="clear" w:color="auto" w:fill="D9D9D9" w:themeFill="background1" w:themeFillShade="D9"/>
            <w:vAlign w:val="bottom"/>
            <w:hideMark/>
          </w:tcPr>
          <w:p w14:paraId="4A0892E8" w14:textId="77777777" w:rsidR="00AB1196" w:rsidRPr="00C60655" w:rsidRDefault="00AB1196" w:rsidP="00B451D7">
            <w:pPr>
              <w:rPr>
                <w:b/>
                <w:bCs/>
                <w:color w:val="000000"/>
                <w:sz w:val="20"/>
                <w:szCs w:val="20"/>
              </w:rPr>
            </w:pPr>
            <w:r w:rsidRPr="00C60655">
              <w:rPr>
                <w:b/>
                <w:bCs/>
                <w:color w:val="000000"/>
                <w:sz w:val="20"/>
                <w:szCs w:val="20"/>
              </w:rPr>
              <w:t xml:space="preserve">Pattern </w:t>
            </w:r>
            <w:r w:rsidRPr="00C60655">
              <w:rPr>
                <w:b/>
                <w:bCs/>
                <w:color w:val="000000"/>
                <w:sz w:val="20"/>
                <w:szCs w:val="20"/>
              </w:rPr>
              <w:br/>
              <w:t>Type</w:t>
            </w:r>
          </w:p>
        </w:tc>
        <w:tc>
          <w:tcPr>
            <w:tcW w:w="1127" w:type="dxa"/>
            <w:tcBorders>
              <w:top w:val="single" w:sz="8" w:space="0" w:color="auto"/>
              <w:left w:val="nil"/>
              <w:bottom w:val="single" w:sz="8" w:space="0" w:color="auto"/>
              <w:right w:val="single" w:sz="4" w:space="0" w:color="auto"/>
            </w:tcBorders>
            <w:shd w:val="clear" w:color="auto" w:fill="D9D9D9" w:themeFill="background1" w:themeFillShade="D9"/>
            <w:vAlign w:val="bottom"/>
            <w:hideMark/>
          </w:tcPr>
          <w:p w14:paraId="45F8A1E7" w14:textId="77777777" w:rsidR="00AB1196" w:rsidRPr="00C60655" w:rsidRDefault="00AB1196" w:rsidP="00B451D7">
            <w:pPr>
              <w:rPr>
                <w:b/>
                <w:bCs/>
                <w:color w:val="000000"/>
                <w:sz w:val="20"/>
                <w:szCs w:val="20"/>
              </w:rPr>
            </w:pPr>
            <w:r w:rsidRPr="00C60655">
              <w:rPr>
                <w:b/>
                <w:bCs/>
                <w:color w:val="000000"/>
                <w:sz w:val="20"/>
                <w:szCs w:val="20"/>
              </w:rPr>
              <w:t xml:space="preserve">Frequency </w:t>
            </w:r>
            <w:r w:rsidRPr="00C60655">
              <w:rPr>
                <w:b/>
                <w:bCs/>
                <w:color w:val="000000"/>
                <w:sz w:val="20"/>
                <w:szCs w:val="20"/>
              </w:rPr>
              <w:br/>
              <w:t>(% positions)</w:t>
            </w:r>
          </w:p>
        </w:tc>
        <w:tc>
          <w:tcPr>
            <w:tcW w:w="1202" w:type="dxa"/>
            <w:tcBorders>
              <w:top w:val="single" w:sz="8" w:space="0" w:color="auto"/>
              <w:left w:val="nil"/>
              <w:bottom w:val="single" w:sz="8" w:space="0" w:color="auto"/>
              <w:right w:val="single" w:sz="4" w:space="0" w:color="auto"/>
            </w:tcBorders>
            <w:shd w:val="clear" w:color="auto" w:fill="D9D9D9" w:themeFill="background1" w:themeFillShade="D9"/>
            <w:vAlign w:val="bottom"/>
            <w:hideMark/>
          </w:tcPr>
          <w:p w14:paraId="6E6800AB" w14:textId="77777777" w:rsidR="00AB1196" w:rsidRPr="00C60655" w:rsidRDefault="00AB1196" w:rsidP="00B451D7">
            <w:pPr>
              <w:rPr>
                <w:b/>
                <w:bCs/>
                <w:color w:val="000000"/>
                <w:sz w:val="20"/>
                <w:szCs w:val="20"/>
              </w:rPr>
            </w:pPr>
            <w:r w:rsidRPr="00C60655">
              <w:rPr>
                <w:b/>
                <w:bCs/>
                <w:color w:val="000000"/>
                <w:sz w:val="20"/>
                <w:szCs w:val="20"/>
              </w:rPr>
              <w:t>Strategy Association</w:t>
            </w:r>
          </w:p>
        </w:tc>
        <w:tc>
          <w:tcPr>
            <w:tcW w:w="1530" w:type="dxa"/>
            <w:tcBorders>
              <w:top w:val="single" w:sz="8" w:space="0" w:color="auto"/>
              <w:left w:val="nil"/>
              <w:bottom w:val="single" w:sz="8" w:space="0" w:color="auto"/>
              <w:right w:val="single" w:sz="4" w:space="0" w:color="auto"/>
            </w:tcBorders>
            <w:shd w:val="clear" w:color="auto" w:fill="D9D9D9" w:themeFill="background1" w:themeFillShade="D9"/>
            <w:vAlign w:val="bottom"/>
            <w:hideMark/>
          </w:tcPr>
          <w:p w14:paraId="26EE9396" w14:textId="77777777" w:rsidR="00AB1196" w:rsidRPr="00C60655" w:rsidRDefault="00AB1196" w:rsidP="00B451D7">
            <w:pPr>
              <w:rPr>
                <w:b/>
                <w:bCs/>
                <w:color w:val="000000"/>
                <w:sz w:val="20"/>
                <w:szCs w:val="20"/>
              </w:rPr>
            </w:pPr>
            <w:r w:rsidRPr="00C60655">
              <w:rPr>
                <w:b/>
                <w:bCs/>
                <w:color w:val="000000"/>
                <w:sz w:val="20"/>
                <w:szCs w:val="20"/>
              </w:rPr>
              <w:t xml:space="preserve">Quarterly Return </w:t>
            </w:r>
            <w:r w:rsidRPr="00C60655">
              <w:rPr>
                <w:b/>
                <w:bCs/>
                <w:color w:val="000000"/>
                <w:sz w:val="20"/>
                <w:szCs w:val="20"/>
              </w:rPr>
              <w:br/>
              <w:t>Characteristics</w:t>
            </w:r>
          </w:p>
        </w:tc>
        <w:tc>
          <w:tcPr>
            <w:tcW w:w="1440" w:type="dxa"/>
            <w:tcBorders>
              <w:top w:val="single" w:sz="8" w:space="0" w:color="auto"/>
              <w:left w:val="nil"/>
              <w:bottom w:val="single" w:sz="8" w:space="0" w:color="auto"/>
              <w:right w:val="single" w:sz="4" w:space="0" w:color="auto"/>
            </w:tcBorders>
            <w:shd w:val="clear" w:color="auto" w:fill="D9D9D9" w:themeFill="background1" w:themeFillShade="D9"/>
            <w:vAlign w:val="bottom"/>
            <w:hideMark/>
          </w:tcPr>
          <w:p w14:paraId="29A0B7E3" w14:textId="77777777" w:rsidR="00AB1196" w:rsidRPr="00C60655" w:rsidRDefault="00AB1196" w:rsidP="00B451D7">
            <w:pPr>
              <w:rPr>
                <w:b/>
                <w:bCs/>
                <w:color w:val="000000"/>
                <w:sz w:val="20"/>
                <w:szCs w:val="20"/>
              </w:rPr>
            </w:pPr>
            <w:r w:rsidRPr="00C60655">
              <w:rPr>
                <w:b/>
                <w:bCs/>
                <w:color w:val="000000"/>
                <w:sz w:val="20"/>
                <w:szCs w:val="20"/>
              </w:rPr>
              <w:t>Risk Profile</w:t>
            </w:r>
          </w:p>
        </w:tc>
        <w:tc>
          <w:tcPr>
            <w:tcW w:w="1064" w:type="dxa"/>
            <w:tcBorders>
              <w:top w:val="single" w:sz="8" w:space="0" w:color="auto"/>
              <w:left w:val="nil"/>
              <w:bottom w:val="single" w:sz="8" w:space="0" w:color="auto"/>
              <w:right w:val="single" w:sz="4" w:space="0" w:color="auto"/>
            </w:tcBorders>
            <w:shd w:val="clear" w:color="auto" w:fill="D9D9D9" w:themeFill="background1" w:themeFillShade="D9"/>
            <w:vAlign w:val="bottom"/>
            <w:hideMark/>
          </w:tcPr>
          <w:p w14:paraId="15BB4381" w14:textId="77777777" w:rsidR="00AB1196" w:rsidRPr="00C60655" w:rsidRDefault="00AB1196" w:rsidP="00B451D7">
            <w:pPr>
              <w:rPr>
                <w:b/>
                <w:bCs/>
                <w:color w:val="000000"/>
                <w:sz w:val="20"/>
                <w:szCs w:val="20"/>
              </w:rPr>
            </w:pPr>
            <w:r w:rsidRPr="00C60655">
              <w:rPr>
                <w:b/>
                <w:bCs/>
                <w:color w:val="000000"/>
                <w:sz w:val="20"/>
                <w:szCs w:val="20"/>
              </w:rPr>
              <w:t xml:space="preserve">Capital Recovery </w:t>
            </w:r>
            <w:r w:rsidRPr="00C60655">
              <w:rPr>
                <w:b/>
                <w:bCs/>
                <w:color w:val="000000"/>
                <w:sz w:val="20"/>
                <w:szCs w:val="20"/>
              </w:rPr>
              <w:br/>
              <w:t>After Loss</w:t>
            </w:r>
          </w:p>
        </w:tc>
        <w:tc>
          <w:tcPr>
            <w:tcW w:w="1636" w:type="dxa"/>
            <w:tcBorders>
              <w:top w:val="single" w:sz="8" w:space="0" w:color="auto"/>
              <w:left w:val="nil"/>
              <w:bottom w:val="single" w:sz="8" w:space="0" w:color="auto"/>
              <w:right w:val="single" w:sz="8" w:space="0" w:color="auto"/>
            </w:tcBorders>
            <w:shd w:val="clear" w:color="auto" w:fill="D9D9D9" w:themeFill="background1" w:themeFillShade="D9"/>
            <w:vAlign w:val="bottom"/>
            <w:hideMark/>
          </w:tcPr>
          <w:p w14:paraId="4C195CA4" w14:textId="77777777" w:rsidR="00AB1196" w:rsidRPr="00C60655" w:rsidRDefault="00AB1196" w:rsidP="00B451D7">
            <w:pPr>
              <w:rPr>
                <w:b/>
                <w:bCs/>
                <w:color w:val="000000"/>
                <w:sz w:val="20"/>
                <w:szCs w:val="20"/>
              </w:rPr>
            </w:pPr>
            <w:r w:rsidRPr="00C60655">
              <w:rPr>
                <w:b/>
                <w:bCs/>
                <w:color w:val="000000"/>
                <w:sz w:val="20"/>
                <w:szCs w:val="20"/>
              </w:rPr>
              <w:t>Illustrative Example</w:t>
            </w:r>
          </w:p>
        </w:tc>
      </w:tr>
      <w:tr w:rsidR="00C60655" w:rsidRPr="00C60655" w14:paraId="5531C91E" w14:textId="77777777" w:rsidTr="00A02E8B">
        <w:trPr>
          <w:trHeight w:val="860"/>
        </w:trPr>
        <w:tc>
          <w:tcPr>
            <w:tcW w:w="1351" w:type="dxa"/>
            <w:tcBorders>
              <w:top w:val="nil"/>
              <w:left w:val="single" w:sz="8" w:space="0" w:color="auto"/>
              <w:bottom w:val="single" w:sz="4" w:space="0" w:color="auto"/>
              <w:right w:val="single" w:sz="4" w:space="0" w:color="auto"/>
            </w:tcBorders>
            <w:shd w:val="clear" w:color="auto" w:fill="D9D9D9" w:themeFill="background1" w:themeFillShade="D9"/>
            <w:vAlign w:val="bottom"/>
            <w:hideMark/>
          </w:tcPr>
          <w:p w14:paraId="2425BF1F" w14:textId="77777777" w:rsidR="00AB1196" w:rsidRPr="00A02E8B" w:rsidRDefault="00AB1196" w:rsidP="00B451D7">
            <w:pPr>
              <w:rPr>
                <w:b/>
                <w:bCs/>
                <w:color w:val="000000"/>
                <w:sz w:val="20"/>
                <w:szCs w:val="20"/>
              </w:rPr>
            </w:pPr>
            <w:r w:rsidRPr="00A02E8B">
              <w:rPr>
                <w:b/>
                <w:bCs/>
                <w:color w:val="000000"/>
                <w:sz w:val="20"/>
                <w:szCs w:val="20"/>
              </w:rPr>
              <w:t xml:space="preserve">Steady </w:t>
            </w:r>
            <w:r w:rsidRPr="00A02E8B">
              <w:rPr>
                <w:b/>
                <w:bCs/>
                <w:color w:val="000000"/>
                <w:sz w:val="20"/>
                <w:szCs w:val="20"/>
              </w:rPr>
              <w:br/>
              <w:t>Accumulation</w:t>
            </w:r>
          </w:p>
        </w:tc>
        <w:tc>
          <w:tcPr>
            <w:tcW w:w="1127" w:type="dxa"/>
            <w:tcBorders>
              <w:top w:val="nil"/>
              <w:left w:val="nil"/>
              <w:bottom w:val="single" w:sz="4" w:space="0" w:color="auto"/>
              <w:right w:val="single" w:sz="4" w:space="0" w:color="auto"/>
            </w:tcBorders>
            <w:vAlign w:val="bottom"/>
            <w:hideMark/>
          </w:tcPr>
          <w:p w14:paraId="5721C900" w14:textId="77777777" w:rsidR="00AB1196" w:rsidRPr="00C60655" w:rsidRDefault="00AB1196" w:rsidP="00B451D7">
            <w:pPr>
              <w:rPr>
                <w:color w:val="000000"/>
                <w:sz w:val="20"/>
                <w:szCs w:val="20"/>
              </w:rPr>
            </w:pPr>
            <w:r w:rsidRPr="00C60655">
              <w:rPr>
                <w:color w:val="000000"/>
                <w:sz w:val="20"/>
                <w:szCs w:val="20"/>
              </w:rPr>
              <w:t>35% (54 positions)</w:t>
            </w:r>
          </w:p>
        </w:tc>
        <w:tc>
          <w:tcPr>
            <w:tcW w:w="1202" w:type="dxa"/>
            <w:tcBorders>
              <w:top w:val="nil"/>
              <w:left w:val="nil"/>
              <w:bottom w:val="single" w:sz="4" w:space="0" w:color="auto"/>
              <w:right w:val="single" w:sz="4" w:space="0" w:color="auto"/>
            </w:tcBorders>
            <w:vAlign w:val="bottom"/>
            <w:hideMark/>
          </w:tcPr>
          <w:p w14:paraId="4628DC71" w14:textId="77777777" w:rsidR="00AB1196" w:rsidRPr="00C60655" w:rsidRDefault="00AB1196" w:rsidP="00B451D7">
            <w:pPr>
              <w:rPr>
                <w:color w:val="000000"/>
                <w:sz w:val="20"/>
                <w:szCs w:val="20"/>
              </w:rPr>
            </w:pPr>
            <w:r w:rsidRPr="00C60655">
              <w:rPr>
                <w:color w:val="000000"/>
                <w:sz w:val="20"/>
                <w:szCs w:val="20"/>
              </w:rPr>
              <w:t xml:space="preserve">Stablecoin LP on </w:t>
            </w:r>
            <w:r w:rsidRPr="00C60655">
              <w:rPr>
                <w:color w:val="000000"/>
                <w:sz w:val="20"/>
                <w:szCs w:val="20"/>
              </w:rPr>
              <w:br/>
              <w:t>L2 networks</w:t>
            </w:r>
          </w:p>
        </w:tc>
        <w:tc>
          <w:tcPr>
            <w:tcW w:w="1530" w:type="dxa"/>
            <w:tcBorders>
              <w:top w:val="nil"/>
              <w:left w:val="nil"/>
              <w:bottom w:val="single" w:sz="4" w:space="0" w:color="auto"/>
              <w:right w:val="single" w:sz="4" w:space="0" w:color="auto"/>
            </w:tcBorders>
            <w:vAlign w:val="bottom"/>
            <w:hideMark/>
          </w:tcPr>
          <w:p w14:paraId="289DB3EB" w14:textId="77777777" w:rsidR="00AB1196" w:rsidRPr="00C60655" w:rsidRDefault="00AB1196" w:rsidP="00B451D7">
            <w:pPr>
              <w:rPr>
                <w:color w:val="000000"/>
                <w:sz w:val="20"/>
                <w:szCs w:val="20"/>
              </w:rPr>
            </w:pPr>
            <w:r w:rsidRPr="00C60655">
              <w:rPr>
                <w:color w:val="000000"/>
                <w:sz w:val="20"/>
                <w:szCs w:val="20"/>
              </w:rPr>
              <w:t xml:space="preserve">Consistent 1-2% quarterly </w:t>
            </w:r>
            <w:r w:rsidRPr="00C60655">
              <w:rPr>
                <w:color w:val="000000"/>
                <w:sz w:val="20"/>
                <w:szCs w:val="20"/>
              </w:rPr>
              <w:br/>
              <w:t>gains; low variance (σ = 0.8%)</w:t>
            </w:r>
          </w:p>
        </w:tc>
        <w:tc>
          <w:tcPr>
            <w:tcW w:w="1440" w:type="dxa"/>
            <w:tcBorders>
              <w:top w:val="nil"/>
              <w:left w:val="nil"/>
              <w:bottom w:val="single" w:sz="4" w:space="0" w:color="auto"/>
              <w:right w:val="single" w:sz="4" w:space="0" w:color="auto"/>
            </w:tcBorders>
            <w:vAlign w:val="bottom"/>
            <w:hideMark/>
          </w:tcPr>
          <w:p w14:paraId="450C022E" w14:textId="77777777" w:rsidR="00AB1196" w:rsidRPr="00C60655" w:rsidRDefault="00AB1196" w:rsidP="00B451D7">
            <w:pPr>
              <w:rPr>
                <w:color w:val="000000"/>
                <w:sz w:val="20"/>
                <w:szCs w:val="20"/>
              </w:rPr>
            </w:pPr>
            <w:r w:rsidRPr="00C60655">
              <w:rPr>
                <w:color w:val="000000"/>
                <w:sz w:val="20"/>
                <w:szCs w:val="20"/>
              </w:rPr>
              <w:t xml:space="preserve">Low systematic risk; </w:t>
            </w:r>
            <w:r w:rsidRPr="00C60655">
              <w:rPr>
                <w:color w:val="000000"/>
                <w:sz w:val="20"/>
                <w:szCs w:val="20"/>
              </w:rPr>
              <w:br/>
              <w:t>high predictability</w:t>
            </w:r>
          </w:p>
        </w:tc>
        <w:tc>
          <w:tcPr>
            <w:tcW w:w="1064" w:type="dxa"/>
            <w:tcBorders>
              <w:top w:val="nil"/>
              <w:left w:val="nil"/>
              <w:bottom w:val="single" w:sz="4" w:space="0" w:color="auto"/>
              <w:right w:val="single" w:sz="4" w:space="0" w:color="auto"/>
            </w:tcBorders>
            <w:vAlign w:val="bottom"/>
            <w:hideMark/>
          </w:tcPr>
          <w:p w14:paraId="78BC874F" w14:textId="77777777" w:rsidR="00AB1196" w:rsidRPr="00C60655" w:rsidRDefault="00AB1196" w:rsidP="00B451D7">
            <w:pPr>
              <w:rPr>
                <w:color w:val="000000"/>
                <w:sz w:val="20"/>
                <w:szCs w:val="20"/>
              </w:rPr>
            </w:pPr>
            <w:r w:rsidRPr="00C60655">
              <w:rPr>
                <w:color w:val="000000"/>
                <w:sz w:val="20"/>
                <w:szCs w:val="20"/>
              </w:rPr>
              <w:t xml:space="preserve">Not applicable </w:t>
            </w:r>
            <w:r w:rsidRPr="00C60655">
              <w:rPr>
                <w:color w:val="000000"/>
                <w:sz w:val="20"/>
                <w:szCs w:val="20"/>
              </w:rPr>
              <w:br/>
              <w:t>(losses rare)</w:t>
            </w:r>
          </w:p>
        </w:tc>
        <w:tc>
          <w:tcPr>
            <w:tcW w:w="1636" w:type="dxa"/>
            <w:tcBorders>
              <w:top w:val="nil"/>
              <w:left w:val="nil"/>
              <w:bottom w:val="single" w:sz="4" w:space="0" w:color="auto"/>
              <w:right w:val="single" w:sz="8" w:space="0" w:color="auto"/>
            </w:tcBorders>
            <w:vAlign w:val="bottom"/>
            <w:hideMark/>
          </w:tcPr>
          <w:p w14:paraId="739FD16A" w14:textId="77777777" w:rsidR="00AB1196" w:rsidRPr="00C60655" w:rsidRDefault="00AB1196" w:rsidP="00B451D7">
            <w:pPr>
              <w:rPr>
                <w:color w:val="000000"/>
                <w:sz w:val="20"/>
                <w:szCs w:val="20"/>
              </w:rPr>
            </w:pPr>
            <w:r w:rsidRPr="00C60655">
              <w:rPr>
                <w:color w:val="000000"/>
                <w:sz w:val="20"/>
                <w:szCs w:val="20"/>
              </w:rPr>
              <w:t xml:space="preserve">$10,000 position earning </w:t>
            </w:r>
            <w:r w:rsidRPr="00C60655">
              <w:rPr>
                <w:color w:val="000000"/>
                <w:sz w:val="20"/>
                <w:szCs w:val="20"/>
              </w:rPr>
              <w:br/>
              <w:t xml:space="preserve">$150-200/quarter over </w:t>
            </w:r>
            <w:r w:rsidRPr="00C60655">
              <w:rPr>
                <w:color w:val="000000"/>
                <w:sz w:val="20"/>
                <w:szCs w:val="20"/>
              </w:rPr>
              <w:br/>
              <w:t>12 quarters = +18-24%</w:t>
            </w:r>
          </w:p>
        </w:tc>
      </w:tr>
      <w:tr w:rsidR="00C60655" w:rsidRPr="00C60655" w14:paraId="3506A49A" w14:textId="77777777" w:rsidTr="00A02E8B">
        <w:trPr>
          <w:trHeight w:val="860"/>
        </w:trPr>
        <w:tc>
          <w:tcPr>
            <w:tcW w:w="1351" w:type="dxa"/>
            <w:tcBorders>
              <w:top w:val="nil"/>
              <w:left w:val="single" w:sz="8" w:space="0" w:color="auto"/>
              <w:bottom w:val="single" w:sz="4" w:space="0" w:color="auto"/>
              <w:right w:val="single" w:sz="4" w:space="0" w:color="auto"/>
            </w:tcBorders>
            <w:shd w:val="clear" w:color="auto" w:fill="D9D9D9" w:themeFill="background1" w:themeFillShade="D9"/>
            <w:vAlign w:val="bottom"/>
            <w:hideMark/>
          </w:tcPr>
          <w:p w14:paraId="71FD563E" w14:textId="77777777" w:rsidR="00AB1196" w:rsidRPr="00A02E8B" w:rsidRDefault="00AB1196" w:rsidP="00B451D7">
            <w:pPr>
              <w:rPr>
                <w:b/>
                <w:bCs/>
                <w:color w:val="000000"/>
                <w:sz w:val="20"/>
                <w:szCs w:val="20"/>
              </w:rPr>
            </w:pPr>
            <w:r w:rsidRPr="00A02E8B">
              <w:rPr>
                <w:b/>
                <w:bCs/>
                <w:color w:val="000000"/>
                <w:sz w:val="20"/>
                <w:szCs w:val="20"/>
              </w:rPr>
              <w:t xml:space="preserve">Punctuated </w:t>
            </w:r>
            <w:r w:rsidRPr="00A02E8B">
              <w:rPr>
                <w:b/>
                <w:bCs/>
                <w:color w:val="000000"/>
                <w:sz w:val="20"/>
                <w:szCs w:val="20"/>
              </w:rPr>
              <w:br/>
              <w:t>Equilibrium</w:t>
            </w:r>
          </w:p>
        </w:tc>
        <w:tc>
          <w:tcPr>
            <w:tcW w:w="1127" w:type="dxa"/>
            <w:tcBorders>
              <w:top w:val="nil"/>
              <w:left w:val="nil"/>
              <w:bottom w:val="single" w:sz="4" w:space="0" w:color="auto"/>
              <w:right w:val="single" w:sz="4" w:space="0" w:color="auto"/>
            </w:tcBorders>
            <w:vAlign w:val="bottom"/>
            <w:hideMark/>
          </w:tcPr>
          <w:p w14:paraId="1EE27A44" w14:textId="77777777" w:rsidR="00AB1196" w:rsidRPr="00C60655" w:rsidRDefault="00AB1196" w:rsidP="00B451D7">
            <w:pPr>
              <w:rPr>
                <w:color w:val="000000"/>
                <w:sz w:val="20"/>
                <w:szCs w:val="20"/>
              </w:rPr>
            </w:pPr>
            <w:r w:rsidRPr="00C60655">
              <w:rPr>
                <w:color w:val="000000"/>
                <w:sz w:val="20"/>
                <w:szCs w:val="20"/>
              </w:rPr>
              <w:t>53% (83 positions)</w:t>
            </w:r>
          </w:p>
        </w:tc>
        <w:tc>
          <w:tcPr>
            <w:tcW w:w="1202" w:type="dxa"/>
            <w:tcBorders>
              <w:top w:val="nil"/>
              <w:left w:val="nil"/>
              <w:bottom w:val="single" w:sz="4" w:space="0" w:color="auto"/>
              <w:right w:val="single" w:sz="4" w:space="0" w:color="auto"/>
            </w:tcBorders>
            <w:vAlign w:val="bottom"/>
            <w:hideMark/>
          </w:tcPr>
          <w:p w14:paraId="71795233" w14:textId="77777777" w:rsidR="00AB1196" w:rsidRPr="00C60655" w:rsidRDefault="00AB1196" w:rsidP="00B451D7">
            <w:pPr>
              <w:rPr>
                <w:color w:val="000000"/>
                <w:sz w:val="20"/>
                <w:szCs w:val="20"/>
              </w:rPr>
            </w:pPr>
            <w:r w:rsidRPr="00C60655">
              <w:rPr>
                <w:color w:val="000000"/>
                <w:sz w:val="20"/>
                <w:szCs w:val="20"/>
              </w:rPr>
              <w:t xml:space="preserve">Correlated asset LP; </w:t>
            </w:r>
            <w:r w:rsidRPr="00C60655">
              <w:rPr>
                <w:color w:val="000000"/>
                <w:sz w:val="20"/>
                <w:szCs w:val="20"/>
              </w:rPr>
              <w:br/>
              <w:t>selective yield farming</w:t>
            </w:r>
          </w:p>
        </w:tc>
        <w:tc>
          <w:tcPr>
            <w:tcW w:w="1530" w:type="dxa"/>
            <w:tcBorders>
              <w:top w:val="nil"/>
              <w:left w:val="nil"/>
              <w:bottom w:val="single" w:sz="4" w:space="0" w:color="auto"/>
              <w:right w:val="single" w:sz="4" w:space="0" w:color="auto"/>
            </w:tcBorders>
            <w:vAlign w:val="bottom"/>
            <w:hideMark/>
          </w:tcPr>
          <w:p w14:paraId="56536404" w14:textId="77777777" w:rsidR="00AB1196" w:rsidRPr="00C60655" w:rsidRDefault="00AB1196" w:rsidP="00B451D7">
            <w:pPr>
              <w:rPr>
                <w:color w:val="000000"/>
                <w:sz w:val="20"/>
                <w:szCs w:val="20"/>
              </w:rPr>
            </w:pPr>
            <w:r w:rsidRPr="00C60655">
              <w:rPr>
                <w:color w:val="000000"/>
                <w:sz w:val="20"/>
                <w:szCs w:val="20"/>
              </w:rPr>
              <w:t xml:space="preserve">Baseline 0.5-1% quarterly; </w:t>
            </w:r>
            <w:r w:rsidRPr="00C60655">
              <w:rPr>
                <w:color w:val="000000"/>
                <w:sz w:val="20"/>
                <w:szCs w:val="20"/>
              </w:rPr>
              <w:br/>
              <w:t xml:space="preserve">periodic 20-30% jumps; </w:t>
            </w:r>
            <w:r w:rsidRPr="00C60655">
              <w:rPr>
                <w:color w:val="000000"/>
                <w:sz w:val="20"/>
                <w:szCs w:val="20"/>
              </w:rPr>
              <w:br/>
              <w:t>unpredictable timing</w:t>
            </w:r>
          </w:p>
        </w:tc>
        <w:tc>
          <w:tcPr>
            <w:tcW w:w="1440" w:type="dxa"/>
            <w:tcBorders>
              <w:top w:val="nil"/>
              <w:left w:val="nil"/>
              <w:bottom w:val="single" w:sz="4" w:space="0" w:color="auto"/>
              <w:right w:val="single" w:sz="4" w:space="0" w:color="auto"/>
            </w:tcBorders>
            <w:vAlign w:val="bottom"/>
            <w:hideMark/>
          </w:tcPr>
          <w:p w14:paraId="5830C019" w14:textId="77777777" w:rsidR="00AB1196" w:rsidRPr="00C60655" w:rsidRDefault="00AB1196" w:rsidP="00B451D7">
            <w:pPr>
              <w:rPr>
                <w:color w:val="000000"/>
                <w:sz w:val="20"/>
                <w:szCs w:val="20"/>
              </w:rPr>
            </w:pPr>
            <w:r w:rsidRPr="00C60655">
              <w:rPr>
                <w:color w:val="000000"/>
                <w:sz w:val="20"/>
                <w:szCs w:val="20"/>
              </w:rPr>
              <w:t xml:space="preserve">Moderate systematic risk; </w:t>
            </w:r>
            <w:r w:rsidRPr="00C60655">
              <w:rPr>
                <w:color w:val="000000"/>
                <w:sz w:val="20"/>
                <w:szCs w:val="20"/>
              </w:rPr>
              <w:br/>
              <w:t>timing-dependent</w:t>
            </w:r>
          </w:p>
        </w:tc>
        <w:tc>
          <w:tcPr>
            <w:tcW w:w="1064" w:type="dxa"/>
            <w:tcBorders>
              <w:top w:val="nil"/>
              <w:left w:val="nil"/>
              <w:bottom w:val="single" w:sz="4" w:space="0" w:color="auto"/>
              <w:right w:val="single" w:sz="4" w:space="0" w:color="auto"/>
            </w:tcBorders>
            <w:vAlign w:val="bottom"/>
            <w:hideMark/>
          </w:tcPr>
          <w:p w14:paraId="61466655" w14:textId="77777777" w:rsidR="00AB1196" w:rsidRPr="00C60655" w:rsidRDefault="00AB1196" w:rsidP="00B451D7">
            <w:pPr>
              <w:rPr>
                <w:color w:val="000000"/>
                <w:sz w:val="20"/>
                <w:szCs w:val="20"/>
              </w:rPr>
            </w:pPr>
            <w:r w:rsidRPr="00C60655">
              <w:rPr>
                <w:color w:val="000000"/>
                <w:sz w:val="20"/>
                <w:szCs w:val="20"/>
              </w:rPr>
              <w:t xml:space="preserve">Partial (if capital </w:t>
            </w:r>
            <w:r w:rsidRPr="00C60655">
              <w:rPr>
                <w:color w:val="000000"/>
                <w:sz w:val="20"/>
                <w:szCs w:val="20"/>
              </w:rPr>
              <w:br/>
              <w:t>preserved)</w:t>
            </w:r>
          </w:p>
        </w:tc>
        <w:tc>
          <w:tcPr>
            <w:tcW w:w="1636" w:type="dxa"/>
            <w:tcBorders>
              <w:top w:val="nil"/>
              <w:left w:val="nil"/>
              <w:bottom w:val="single" w:sz="4" w:space="0" w:color="auto"/>
              <w:right w:val="single" w:sz="8" w:space="0" w:color="auto"/>
            </w:tcBorders>
            <w:vAlign w:val="bottom"/>
            <w:hideMark/>
          </w:tcPr>
          <w:p w14:paraId="64D0B041" w14:textId="77777777" w:rsidR="00AB1196" w:rsidRPr="00C60655" w:rsidRDefault="00AB1196" w:rsidP="00B451D7">
            <w:pPr>
              <w:rPr>
                <w:color w:val="000000"/>
                <w:sz w:val="20"/>
                <w:szCs w:val="20"/>
              </w:rPr>
            </w:pPr>
            <w:r w:rsidRPr="00C60655">
              <w:rPr>
                <w:color w:val="000000"/>
                <w:sz w:val="20"/>
                <w:szCs w:val="20"/>
              </w:rPr>
              <w:t xml:space="preserve">$10,000 position: Q1-Q3 </w:t>
            </w:r>
            <w:r w:rsidRPr="00C60655">
              <w:rPr>
                <w:color w:val="000000"/>
                <w:sz w:val="20"/>
                <w:szCs w:val="20"/>
              </w:rPr>
              <w:br/>
              <w:t xml:space="preserve">+$450, Q4 rebalancing </w:t>
            </w:r>
            <w:r w:rsidRPr="00C60655">
              <w:rPr>
                <w:color w:val="000000"/>
                <w:sz w:val="20"/>
                <w:szCs w:val="20"/>
              </w:rPr>
              <w:br/>
              <w:t>+$2,800, annual +32.5%</w:t>
            </w:r>
          </w:p>
        </w:tc>
      </w:tr>
      <w:tr w:rsidR="00C60655" w:rsidRPr="00C60655" w14:paraId="71ED03CE" w14:textId="77777777" w:rsidTr="00A02E8B">
        <w:trPr>
          <w:trHeight w:val="880"/>
        </w:trPr>
        <w:tc>
          <w:tcPr>
            <w:tcW w:w="1351" w:type="dxa"/>
            <w:tcBorders>
              <w:top w:val="nil"/>
              <w:left w:val="single" w:sz="8" w:space="0" w:color="auto"/>
              <w:bottom w:val="single" w:sz="8" w:space="0" w:color="auto"/>
              <w:right w:val="single" w:sz="4" w:space="0" w:color="auto"/>
            </w:tcBorders>
            <w:shd w:val="clear" w:color="auto" w:fill="D9D9D9" w:themeFill="background1" w:themeFillShade="D9"/>
            <w:vAlign w:val="bottom"/>
            <w:hideMark/>
          </w:tcPr>
          <w:p w14:paraId="5AE56C81" w14:textId="77777777" w:rsidR="00AB1196" w:rsidRPr="00A02E8B" w:rsidRDefault="00AB1196" w:rsidP="00B451D7">
            <w:pPr>
              <w:rPr>
                <w:b/>
                <w:bCs/>
                <w:color w:val="000000"/>
                <w:sz w:val="20"/>
                <w:szCs w:val="20"/>
              </w:rPr>
            </w:pPr>
            <w:r w:rsidRPr="00A02E8B">
              <w:rPr>
                <w:b/>
                <w:bCs/>
                <w:color w:val="000000"/>
                <w:sz w:val="20"/>
                <w:szCs w:val="20"/>
              </w:rPr>
              <w:t xml:space="preserve">Catastrophic </w:t>
            </w:r>
            <w:r w:rsidRPr="00A02E8B">
              <w:rPr>
                <w:b/>
                <w:bCs/>
                <w:color w:val="000000"/>
                <w:sz w:val="20"/>
                <w:szCs w:val="20"/>
              </w:rPr>
              <w:br/>
              <w:t>Loss</w:t>
            </w:r>
          </w:p>
        </w:tc>
        <w:tc>
          <w:tcPr>
            <w:tcW w:w="1127" w:type="dxa"/>
            <w:tcBorders>
              <w:top w:val="nil"/>
              <w:left w:val="nil"/>
              <w:bottom w:val="single" w:sz="8" w:space="0" w:color="auto"/>
              <w:right w:val="single" w:sz="4" w:space="0" w:color="auto"/>
            </w:tcBorders>
            <w:vAlign w:val="bottom"/>
            <w:hideMark/>
          </w:tcPr>
          <w:p w14:paraId="2E80726C" w14:textId="77777777" w:rsidR="00AB1196" w:rsidRPr="00C60655" w:rsidRDefault="00AB1196" w:rsidP="00B451D7">
            <w:pPr>
              <w:rPr>
                <w:color w:val="000000"/>
                <w:sz w:val="20"/>
                <w:szCs w:val="20"/>
              </w:rPr>
            </w:pPr>
            <w:r w:rsidRPr="00C60655">
              <w:rPr>
                <w:color w:val="000000"/>
                <w:sz w:val="20"/>
                <w:szCs w:val="20"/>
              </w:rPr>
              <w:t>12% (19 positions)</w:t>
            </w:r>
          </w:p>
        </w:tc>
        <w:tc>
          <w:tcPr>
            <w:tcW w:w="1202" w:type="dxa"/>
            <w:tcBorders>
              <w:top w:val="nil"/>
              <w:left w:val="nil"/>
              <w:bottom w:val="single" w:sz="8" w:space="0" w:color="auto"/>
              <w:right w:val="single" w:sz="4" w:space="0" w:color="auto"/>
            </w:tcBorders>
            <w:vAlign w:val="bottom"/>
            <w:hideMark/>
          </w:tcPr>
          <w:p w14:paraId="10B25FBF" w14:textId="77777777" w:rsidR="00AB1196" w:rsidRPr="00C60655" w:rsidRDefault="00AB1196" w:rsidP="00B451D7">
            <w:pPr>
              <w:rPr>
                <w:color w:val="000000"/>
                <w:sz w:val="20"/>
                <w:szCs w:val="20"/>
              </w:rPr>
            </w:pPr>
            <w:r w:rsidRPr="00C60655">
              <w:rPr>
                <w:color w:val="000000"/>
                <w:sz w:val="20"/>
                <w:szCs w:val="20"/>
              </w:rPr>
              <w:t xml:space="preserve">Protocol-level incidents </w:t>
            </w:r>
            <w:r w:rsidRPr="00C60655">
              <w:rPr>
                <w:color w:val="000000"/>
                <w:sz w:val="20"/>
                <w:szCs w:val="20"/>
              </w:rPr>
              <w:br/>
              <w:t>across all strategies</w:t>
            </w:r>
          </w:p>
        </w:tc>
        <w:tc>
          <w:tcPr>
            <w:tcW w:w="1530" w:type="dxa"/>
            <w:tcBorders>
              <w:top w:val="nil"/>
              <w:left w:val="nil"/>
              <w:bottom w:val="single" w:sz="8" w:space="0" w:color="auto"/>
              <w:right w:val="single" w:sz="4" w:space="0" w:color="auto"/>
            </w:tcBorders>
            <w:vAlign w:val="bottom"/>
            <w:hideMark/>
          </w:tcPr>
          <w:p w14:paraId="260FD2F1" w14:textId="77777777" w:rsidR="00AB1196" w:rsidRPr="00C60655" w:rsidRDefault="00AB1196" w:rsidP="00B451D7">
            <w:pPr>
              <w:rPr>
                <w:color w:val="000000"/>
                <w:sz w:val="20"/>
                <w:szCs w:val="20"/>
              </w:rPr>
            </w:pPr>
            <w:r w:rsidRPr="00C60655">
              <w:rPr>
                <w:color w:val="000000"/>
                <w:sz w:val="20"/>
                <w:szCs w:val="20"/>
              </w:rPr>
              <w:t xml:space="preserve">Extended stable period followed </w:t>
            </w:r>
            <w:r w:rsidRPr="00C60655">
              <w:rPr>
                <w:color w:val="000000"/>
                <w:sz w:val="20"/>
                <w:szCs w:val="20"/>
              </w:rPr>
              <w:br/>
              <w:t xml:space="preserve">by sudden 50-100% loss; </w:t>
            </w:r>
            <w:r w:rsidRPr="00C60655">
              <w:rPr>
                <w:color w:val="000000"/>
                <w:sz w:val="20"/>
                <w:szCs w:val="20"/>
              </w:rPr>
              <w:br/>
              <w:t>no warning</w:t>
            </w:r>
          </w:p>
        </w:tc>
        <w:tc>
          <w:tcPr>
            <w:tcW w:w="1440" w:type="dxa"/>
            <w:tcBorders>
              <w:top w:val="nil"/>
              <w:left w:val="nil"/>
              <w:bottom w:val="single" w:sz="8" w:space="0" w:color="auto"/>
              <w:right w:val="single" w:sz="4" w:space="0" w:color="auto"/>
            </w:tcBorders>
            <w:vAlign w:val="bottom"/>
            <w:hideMark/>
          </w:tcPr>
          <w:p w14:paraId="481C3600" w14:textId="77777777" w:rsidR="00AB1196" w:rsidRPr="00C60655" w:rsidRDefault="00AB1196" w:rsidP="00B451D7">
            <w:pPr>
              <w:rPr>
                <w:color w:val="000000"/>
                <w:sz w:val="20"/>
                <w:szCs w:val="20"/>
              </w:rPr>
            </w:pPr>
            <w:r w:rsidRPr="00C60655">
              <w:rPr>
                <w:color w:val="000000"/>
                <w:sz w:val="20"/>
                <w:szCs w:val="20"/>
              </w:rPr>
              <w:t xml:space="preserve">Existential; </w:t>
            </w:r>
            <w:r w:rsidRPr="00C60655">
              <w:rPr>
                <w:color w:val="000000"/>
                <w:sz w:val="20"/>
                <w:szCs w:val="20"/>
              </w:rPr>
              <w:br/>
              <w:t>non-diversifiable</w:t>
            </w:r>
          </w:p>
        </w:tc>
        <w:tc>
          <w:tcPr>
            <w:tcW w:w="1064" w:type="dxa"/>
            <w:tcBorders>
              <w:top w:val="nil"/>
              <w:left w:val="nil"/>
              <w:bottom w:val="single" w:sz="8" w:space="0" w:color="auto"/>
              <w:right w:val="single" w:sz="4" w:space="0" w:color="auto"/>
            </w:tcBorders>
            <w:vAlign w:val="bottom"/>
            <w:hideMark/>
          </w:tcPr>
          <w:p w14:paraId="7D507EA7" w14:textId="77777777" w:rsidR="00AB1196" w:rsidRPr="00C60655" w:rsidRDefault="00AB1196" w:rsidP="00B451D7">
            <w:pPr>
              <w:rPr>
                <w:color w:val="000000"/>
                <w:sz w:val="20"/>
                <w:szCs w:val="20"/>
              </w:rPr>
            </w:pPr>
            <w:r w:rsidRPr="00C60655">
              <w:rPr>
                <w:color w:val="000000"/>
                <w:sz w:val="20"/>
                <w:szCs w:val="20"/>
              </w:rPr>
              <w:t xml:space="preserve">Rare (8% of cases </w:t>
            </w:r>
            <w:r w:rsidRPr="00C60655">
              <w:rPr>
                <w:color w:val="000000"/>
                <w:sz w:val="20"/>
                <w:szCs w:val="20"/>
              </w:rPr>
              <w:br/>
              <w:t>showed recovery)</w:t>
            </w:r>
          </w:p>
        </w:tc>
        <w:tc>
          <w:tcPr>
            <w:tcW w:w="1636" w:type="dxa"/>
            <w:tcBorders>
              <w:top w:val="nil"/>
              <w:left w:val="nil"/>
              <w:bottom w:val="single" w:sz="8" w:space="0" w:color="auto"/>
              <w:right w:val="single" w:sz="8" w:space="0" w:color="auto"/>
            </w:tcBorders>
            <w:vAlign w:val="bottom"/>
            <w:hideMark/>
          </w:tcPr>
          <w:p w14:paraId="1417D903" w14:textId="77777777" w:rsidR="00AB1196" w:rsidRPr="00C60655" w:rsidRDefault="00AB1196" w:rsidP="00B451D7">
            <w:pPr>
              <w:rPr>
                <w:color w:val="000000"/>
                <w:sz w:val="20"/>
                <w:szCs w:val="20"/>
              </w:rPr>
            </w:pPr>
            <w:r w:rsidRPr="00C60655">
              <w:rPr>
                <w:color w:val="000000"/>
                <w:sz w:val="20"/>
                <w:szCs w:val="20"/>
              </w:rPr>
              <w:t xml:space="preserve">$10,000 growing to $12,400 </w:t>
            </w:r>
            <w:r w:rsidRPr="00C60655">
              <w:rPr>
                <w:color w:val="000000"/>
                <w:sz w:val="20"/>
                <w:szCs w:val="20"/>
              </w:rPr>
              <w:br/>
              <w:t xml:space="preserve">over 9 months, then exploit </w:t>
            </w:r>
            <w:r w:rsidRPr="00C60655">
              <w:rPr>
                <w:color w:val="000000"/>
                <w:sz w:val="20"/>
                <w:szCs w:val="20"/>
              </w:rPr>
              <w:br/>
              <w:t>→ $800 remaining</w:t>
            </w:r>
          </w:p>
        </w:tc>
      </w:tr>
    </w:tbl>
    <w:p w14:paraId="3CE74720" w14:textId="452401A1" w:rsidR="00AB1196" w:rsidRPr="00335C44" w:rsidRDefault="00AB1196" w:rsidP="00B451D7">
      <w:pPr>
        <w:jc w:val="both"/>
        <w:rPr>
          <w:rFonts w:eastAsiaTheme="majorEastAsia"/>
          <w:bCs/>
          <w:i/>
          <w:iCs/>
          <w:color w:val="000000" w:themeColor="text1"/>
          <w:sz w:val="22"/>
          <w:szCs w:val="22"/>
        </w:rPr>
      </w:pPr>
      <w:r w:rsidRPr="00335C44">
        <w:rPr>
          <w:rFonts w:eastAsiaTheme="majorEastAsia"/>
          <w:bCs/>
          <w:i/>
          <w:iCs/>
          <w:color w:val="000000" w:themeColor="text1"/>
          <w:sz w:val="22"/>
          <w:szCs w:val="22"/>
        </w:rPr>
        <w:t>Source: Longitudinal tracking of 156 positions across 90+ day minimum observation periods, 2020-2024.</w:t>
      </w:r>
    </w:p>
    <w:p w14:paraId="15A61DD5" w14:textId="3F629547" w:rsidR="00AB1196" w:rsidRPr="00335C44" w:rsidRDefault="00AB1196" w:rsidP="00B451D7">
      <w:pPr>
        <w:jc w:val="both"/>
        <w:rPr>
          <w:rFonts w:eastAsiaTheme="majorEastAsia"/>
          <w:bCs/>
          <w:i/>
          <w:iCs/>
          <w:color w:val="000000" w:themeColor="text1"/>
          <w:sz w:val="22"/>
          <w:szCs w:val="22"/>
        </w:rPr>
      </w:pPr>
      <w:r w:rsidRPr="00335C44">
        <w:rPr>
          <w:rFonts w:eastAsiaTheme="majorEastAsia"/>
          <w:bCs/>
          <w:i/>
          <w:iCs/>
          <w:color w:val="000000" w:themeColor="text1"/>
          <w:sz w:val="22"/>
          <w:szCs w:val="22"/>
        </w:rPr>
        <w:t>Measurement Notes:</w:t>
      </w:r>
    </w:p>
    <w:p w14:paraId="20D33438" w14:textId="40B2C765" w:rsidR="00AB1196" w:rsidRPr="00335C44" w:rsidRDefault="00AB1196" w:rsidP="00B451D7">
      <w:pPr>
        <w:pStyle w:val="ListParagraph"/>
        <w:numPr>
          <w:ilvl w:val="0"/>
          <w:numId w:val="255"/>
        </w:numPr>
        <w:jc w:val="both"/>
        <w:rPr>
          <w:rFonts w:eastAsiaTheme="majorEastAsia"/>
          <w:bCs/>
          <w:i/>
          <w:iCs/>
          <w:color w:val="000000" w:themeColor="text1"/>
          <w:sz w:val="22"/>
          <w:szCs w:val="22"/>
        </w:rPr>
      </w:pPr>
      <w:r w:rsidRPr="00335C44">
        <w:rPr>
          <w:rFonts w:eastAsiaTheme="majorEastAsia"/>
          <w:bCs/>
          <w:i/>
          <w:iCs/>
          <w:color w:val="000000" w:themeColor="text1"/>
          <w:sz w:val="22"/>
          <w:szCs w:val="22"/>
        </w:rPr>
        <w:t>Steady Accumulation: Positions with &lt;5% quarterly return variance over minimum 4 quarters</w:t>
      </w:r>
    </w:p>
    <w:p w14:paraId="618718E4" w14:textId="5B97B0E8" w:rsidR="00AB1196" w:rsidRPr="00335C44" w:rsidRDefault="00AB1196" w:rsidP="00B451D7">
      <w:pPr>
        <w:pStyle w:val="ListParagraph"/>
        <w:numPr>
          <w:ilvl w:val="0"/>
          <w:numId w:val="255"/>
        </w:numPr>
        <w:jc w:val="both"/>
        <w:rPr>
          <w:rFonts w:eastAsiaTheme="majorEastAsia"/>
          <w:bCs/>
          <w:i/>
          <w:iCs/>
          <w:color w:val="000000" w:themeColor="text1"/>
          <w:sz w:val="22"/>
          <w:szCs w:val="22"/>
        </w:rPr>
      </w:pPr>
      <w:r w:rsidRPr="00335C44">
        <w:rPr>
          <w:rFonts w:eastAsiaTheme="majorEastAsia"/>
          <w:bCs/>
          <w:i/>
          <w:iCs/>
          <w:color w:val="000000" w:themeColor="text1"/>
          <w:sz w:val="22"/>
          <w:szCs w:val="22"/>
        </w:rPr>
        <w:t>Punctuated Equilibrium: Positions where &gt;60% of total returns occurred in &lt;20% of observation period</w:t>
      </w:r>
    </w:p>
    <w:p w14:paraId="16D2C6C9" w14:textId="42AB7EB7" w:rsidR="00AB1196" w:rsidRPr="00335C44" w:rsidRDefault="00AB1196" w:rsidP="00B451D7">
      <w:pPr>
        <w:pStyle w:val="ListParagraph"/>
        <w:numPr>
          <w:ilvl w:val="0"/>
          <w:numId w:val="255"/>
        </w:numPr>
        <w:jc w:val="both"/>
        <w:rPr>
          <w:rFonts w:eastAsiaTheme="majorEastAsia"/>
          <w:bCs/>
          <w:i/>
          <w:iCs/>
          <w:color w:val="000000" w:themeColor="text1"/>
          <w:sz w:val="22"/>
          <w:szCs w:val="22"/>
        </w:rPr>
      </w:pPr>
      <w:r w:rsidRPr="00335C44">
        <w:rPr>
          <w:rFonts w:eastAsiaTheme="majorEastAsia"/>
          <w:bCs/>
          <w:i/>
          <w:iCs/>
          <w:color w:val="000000" w:themeColor="text1"/>
          <w:sz w:val="22"/>
          <w:szCs w:val="22"/>
        </w:rPr>
        <w:t>Catastrophic Loss: Positions experiencing &gt;50% capital loss in single incident</w:t>
      </w:r>
    </w:p>
    <w:p w14:paraId="2F20CC56" w14:textId="77777777" w:rsidR="00AB1196" w:rsidRPr="00AB1196" w:rsidRDefault="00AB1196" w:rsidP="00B451D7">
      <w:pPr>
        <w:jc w:val="both"/>
        <w:rPr>
          <w:rFonts w:eastAsiaTheme="majorEastAsia"/>
          <w:bCs/>
          <w:color w:val="FF0000"/>
        </w:rPr>
      </w:pPr>
    </w:p>
    <w:p w14:paraId="201D5A4E" w14:textId="77777777" w:rsidR="008D33D2" w:rsidRPr="008D33D2" w:rsidRDefault="00AB1196" w:rsidP="00B451D7">
      <w:pPr>
        <w:jc w:val="both"/>
        <w:rPr>
          <w:rFonts w:eastAsiaTheme="majorEastAsia"/>
          <w:b/>
          <w:color w:val="000000" w:themeColor="text1"/>
        </w:rPr>
      </w:pPr>
      <w:r w:rsidRPr="008D33D2">
        <w:rPr>
          <w:rFonts w:eastAsiaTheme="majorEastAsia"/>
          <w:b/>
          <w:color w:val="000000" w:themeColor="text1"/>
        </w:rPr>
        <w:t xml:space="preserve">Theoretical Implication: </w:t>
      </w:r>
    </w:p>
    <w:p w14:paraId="7AF0B4FB" w14:textId="01443185" w:rsidR="00AB1196" w:rsidRPr="008D33D2" w:rsidRDefault="00AB1196" w:rsidP="00B451D7">
      <w:pPr>
        <w:jc w:val="both"/>
        <w:rPr>
          <w:rFonts w:eastAsiaTheme="majorEastAsia"/>
          <w:bCs/>
          <w:color w:val="000000" w:themeColor="text1"/>
        </w:rPr>
      </w:pPr>
      <w:r w:rsidRPr="008D33D2">
        <w:rPr>
          <w:rFonts w:eastAsiaTheme="majorEastAsia"/>
          <w:bCs/>
          <w:color w:val="000000" w:themeColor="text1"/>
        </w:rPr>
        <w:t xml:space="preserve">These patterns suggest that DeFi capital formation operates fundamentally </w:t>
      </w:r>
      <w:proofErr w:type="gramStart"/>
      <w:r w:rsidRPr="008D33D2">
        <w:rPr>
          <w:rFonts w:eastAsiaTheme="majorEastAsia"/>
          <w:bCs/>
          <w:color w:val="000000" w:themeColor="text1"/>
        </w:rPr>
        <w:t>di</w:t>
      </w:r>
      <w:r w:rsidR="008D33D2">
        <w:rPr>
          <w:rFonts w:eastAsiaTheme="majorEastAsia"/>
          <w:bCs/>
          <w:color w:val="000000" w:themeColor="text1"/>
        </w:rPr>
        <w:t>f</w:t>
      </w:r>
      <w:r w:rsidRPr="008D33D2">
        <w:rPr>
          <w:rFonts w:eastAsiaTheme="majorEastAsia"/>
          <w:bCs/>
          <w:color w:val="000000" w:themeColor="text1"/>
        </w:rPr>
        <w:t>ferent</w:t>
      </w:r>
      <w:proofErr w:type="gramEnd"/>
      <w:r w:rsidRPr="008D33D2">
        <w:rPr>
          <w:rFonts w:eastAsiaTheme="majorEastAsia"/>
          <w:bCs/>
          <w:color w:val="000000" w:themeColor="text1"/>
        </w:rPr>
        <w:t xml:space="preserve"> than compound interest models </w:t>
      </w:r>
      <w:r w:rsidR="008D33D2">
        <w:rPr>
          <w:rFonts w:eastAsiaTheme="majorEastAsia"/>
          <w:bCs/>
          <w:color w:val="000000" w:themeColor="text1"/>
        </w:rPr>
        <w:t xml:space="preserve">in </w:t>
      </w:r>
      <w:proofErr w:type="gramStart"/>
      <w:r w:rsidR="008D33D2">
        <w:rPr>
          <w:rFonts w:eastAsiaTheme="majorEastAsia"/>
          <w:bCs/>
          <w:color w:val="000000" w:themeColor="text1"/>
        </w:rPr>
        <w:t>the</w:t>
      </w:r>
      <w:r w:rsidRPr="008D33D2">
        <w:rPr>
          <w:rFonts w:eastAsiaTheme="majorEastAsia"/>
          <w:bCs/>
          <w:color w:val="000000" w:themeColor="text1"/>
        </w:rPr>
        <w:t xml:space="preserve"> traditional</w:t>
      </w:r>
      <w:proofErr w:type="gramEnd"/>
      <w:r w:rsidRPr="008D33D2">
        <w:rPr>
          <w:rFonts w:eastAsiaTheme="majorEastAsia"/>
          <w:bCs/>
          <w:color w:val="000000" w:themeColor="text1"/>
        </w:rPr>
        <w:t xml:space="preserve"> finance. The punctuated equilibrium pattern (53% of positions) indicates that most value creation occurs in brief</w:t>
      </w:r>
      <w:r w:rsidR="008D33D2">
        <w:rPr>
          <w:rFonts w:eastAsiaTheme="majorEastAsia"/>
          <w:bCs/>
          <w:color w:val="000000" w:themeColor="text1"/>
        </w:rPr>
        <w:t xml:space="preserve"> and </w:t>
      </w:r>
      <w:r w:rsidRPr="008D33D2">
        <w:rPr>
          <w:rFonts w:eastAsiaTheme="majorEastAsia"/>
          <w:bCs/>
          <w:color w:val="000000" w:themeColor="text1"/>
        </w:rPr>
        <w:t xml:space="preserve">unpredictable windows </w:t>
      </w:r>
      <w:r w:rsidR="008D33D2">
        <w:rPr>
          <w:rFonts w:eastAsiaTheme="majorEastAsia"/>
          <w:bCs/>
          <w:color w:val="000000" w:themeColor="text1"/>
        </w:rPr>
        <w:t>instead of</w:t>
      </w:r>
      <w:r w:rsidRPr="008D33D2">
        <w:rPr>
          <w:rFonts w:eastAsiaTheme="majorEastAsia"/>
          <w:bCs/>
          <w:color w:val="000000" w:themeColor="text1"/>
        </w:rPr>
        <w:t xml:space="preserve"> through steady accumulation. This finding challenges the applicability of dollar-cost averaging and buy-and-hold strategies </w:t>
      </w:r>
      <w:r w:rsidR="008D33D2">
        <w:rPr>
          <w:rFonts w:eastAsiaTheme="majorEastAsia"/>
          <w:bCs/>
          <w:color w:val="000000" w:themeColor="text1"/>
        </w:rPr>
        <w:t xml:space="preserve">which are </w:t>
      </w:r>
      <w:r w:rsidRPr="008D33D2">
        <w:rPr>
          <w:rFonts w:eastAsiaTheme="majorEastAsia"/>
          <w:bCs/>
          <w:color w:val="000000" w:themeColor="text1"/>
        </w:rPr>
        <w:t>commonly recommended in traditional investment</w:t>
      </w:r>
      <w:r w:rsidR="008D33D2">
        <w:rPr>
          <w:rFonts w:eastAsiaTheme="majorEastAsia"/>
          <w:bCs/>
          <w:color w:val="000000" w:themeColor="text1"/>
        </w:rPr>
        <w:t xml:space="preserve"> vehicles</w:t>
      </w:r>
      <w:r w:rsidRPr="008D33D2">
        <w:rPr>
          <w:rFonts w:eastAsiaTheme="majorEastAsia"/>
          <w:bCs/>
          <w:color w:val="000000" w:themeColor="text1"/>
        </w:rPr>
        <w:t xml:space="preserve">. The 12% catastrophic loss rate, occurring independently of prior performance, </w:t>
      </w:r>
      <w:r w:rsidR="008D33D2">
        <w:rPr>
          <w:rFonts w:eastAsiaTheme="majorEastAsia"/>
          <w:bCs/>
          <w:color w:val="000000" w:themeColor="text1"/>
        </w:rPr>
        <w:t xml:space="preserve">requires adjusted </w:t>
      </w:r>
      <w:r w:rsidRPr="008D33D2">
        <w:rPr>
          <w:rFonts w:eastAsiaTheme="majorEastAsia"/>
          <w:bCs/>
          <w:color w:val="000000" w:themeColor="text1"/>
        </w:rPr>
        <w:t xml:space="preserve">position sizing </w:t>
      </w:r>
      <w:r w:rsidR="008D33D2">
        <w:rPr>
          <w:rFonts w:eastAsiaTheme="majorEastAsia"/>
          <w:bCs/>
          <w:color w:val="000000" w:themeColor="text1"/>
        </w:rPr>
        <w:t>which</w:t>
      </w:r>
      <w:r w:rsidRPr="008D33D2">
        <w:rPr>
          <w:rFonts w:eastAsiaTheme="majorEastAsia"/>
          <w:bCs/>
          <w:color w:val="000000" w:themeColor="text1"/>
        </w:rPr>
        <w:t xml:space="preserve"> prioritize</w:t>
      </w:r>
      <w:r w:rsidR="008D33D2">
        <w:rPr>
          <w:rFonts w:eastAsiaTheme="majorEastAsia"/>
          <w:bCs/>
          <w:color w:val="000000" w:themeColor="text1"/>
        </w:rPr>
        <w:t>s</w:t>
      </w:r>
      <w:r w:rsidRPr="008D33D2">
        <w:rPr>
          <w:rFonts w:eastAsiaTheme="majorEastAsia"/>
          <w:bCs/>
          <w:color w:val="000000" w:themeColor="text1"/>
        </w:rPr>
        <w:t xml:space="preserve"> survival over optimization</w:t>
      </w:r>
      <w:r w:rsidR="008D33D2">
        <w:rPr>
          <w:rFonts w:eastAsiaTheme="majorEastAsia"/>
          <w:bCs/>
          <w:color w:val="000000" w:themeColor="text1"/>
        </w:rPr>
        <w:t>. This is an approach/</w:t>
      </w:r>
      <w:r w:rsidRPr="008D33D2">
        <w:rPr>
          <w:rFonts w:eastAsiaTheme="majorEastAsia"/>
          <w:bCs/>
          <w:color w:val="000000" w:themeColor="text1"/>
        </w:rPr>
        <w:t xml:space="preserve">framework </w:t>
      </w:r>
      <w:r w:rsidR="008D33D2">
        <w:rPr>
          <w:rFonts w:eastAsiaTheme="majorEastAsia"/>
          <w:bCs/>
          <w:color w:val="000000" w:themeColor="text1"/>
        </w:rPr>
        <w:t xml:space="preserve">that is </w:t>
      </w:r>
      <w:r w:rsidRPr="008D33D2">
        <w:rPr>
          <w:rFonts w:eastAsiaTheme="majorEastAsia"/>
          <w:bCs/>
          <w:color w:val="000000" w:themeColor="text1"/>
        </w:rPr>
        <w:t xml:space="preserve">absent from </w:t>
      </w:r>
      <w:r w:rsidR="008D33D2">
        <w:rPr>
          <w:rFonts w:eastAsiaTheme="majorEastAsia"/>
          <w:bCs/>
          <w:color w:val="000000" w:themeColor="text1"/>
        </w:rPr>
        <w:t xml:space="preserve">the current </w:t>
      </w:r>
      <w:r w:rsidRPr="008D33D2">
        <w:rPr>
          <w:rFonts w:eastAsiaTheme="majorEastAsia"/>
          <w:bCs/>
          <w:color w:val="000000" w:themeColor="text1"/>
        </w:rPr>
        <w:t>conventional portfolio theory.</w:t>
      </w:r>
    </w:p>
    <w:p w14:paraId="028C4E2B" w14:textId="77777777" w:rsidR="001E2E3B" w:rsidRPr="003C66A0" w:rsidRDefault="001E2E3B" w:rsidP="00B451D7">
      <w:pPr>
        <w:jc w:val="both"/>
        <w:rPr>
          <w:rFonts w:eastAsiaTheme="majorEastAsia"/>
          <w:bCs/>
          <w:color w:val="000000" w:themeColor="text1"/>
        </w:rPr>
      </w:pPr>
    </w:p>
    <w:p w14:paraId="65AE50E0" w14:textId="6E9BA1AA" w:rsidR="000F3578" w:rsidRPr="003C66A0" w:rsidRDefault="00D71B3F" w:rsidP="00B451D7">
      <w:pPr>
        <w:pStyle w:val="Heading2"/>
        <w:rPr>
          <w:rFonts w:eastAsiaTheme="majorEastAsia"/>
        </w:rPr>
      </w:pPr>
      <w:bookmarkStart w:id="67" w:name="_Toc214721873"/>
      <w:r w:rsidRPr="003C66A0">
        <w:rPr>
          <w:rFonts w:eastAsiaTheme="majorEastAsia"/>
        </w:rPr>
        <w:t>3.</w:t>
      </w:r>
      <w:r w:rsidR="0088386D">
        <w:rPr>
          <w:rFonts w:eastAsiaTheme="majorEastAsia"/>
        </w:rPr>
        <w:t>11</w:t>
      </w:r>
      <w:r w:rsidR="000F3578" w:rsidRPr="003C66A0">
        <w:rPr>
          <w:rFonts w:eastAsiaTheme="majorEastAsia"/>
        </w:rPr>
        <w:t xml:space="preserve"> </w:t>
      </w:r>
      <w:r w:rsidR="001E2E3B" w:rsidRPr="003C66A0">
        <w:rPr>
          <w:rFonts w:eastAsiaTheme="majorEastAsia"/>
        </w:rPr>
        <w:t>The Anti-Inductive Nature of DeFi Markets</w:t>
      </w:r>
      <w:bookmarkEnd w:id="67"/>
    </w:p>
    <w:p w14:paraId="3BB2CCCE" w14:textId="77777777" w:rsidR="00E704F4" w:rsidRPr="003C66A0" w:rsidRDefault="00E704F4" w:rsidP="00B451D7">
      <w:pPr>
        <w:jc w:val="both"/>
        <w:rPr>
          <w:rFonts w:eastAsiaTheme="majorEastAsia"/>
          <w:bCs/>
          <w:color w:val="000000" w:themeColor="text1"/>
        </w:rPr>
      </w:pPr>
      <w:r w:rsidRPr="003C66A0">
        <w:rPr>
          <w:rFonts w:eastAsiaTheme="majorEastAsia"/>
          <w:bCs/>
          <w:color w:val="000000" w:themeColor="text1"/>
        </w:rPr>
        <w:t>DeFi markets exhibit strong anti-inductive properties. They evolve to invalidate discovered patterns. This is not a bug but a feature of open, competitive markets with low barriers to entry. When someone discovers a profitable strategy, the process of decay begins immediately.</w:t>
      </w:r>
    </w:p>
    <w:p w14:paraId="5567D307" w14:textId="77777777" w:rsidR="00E704F4" w:rsidRPr="003C66A0" w:rsidRDefault="00E704F4" w:rsidP="00B451D7">
      <w:pPr>
        <w:jc w:val="both"/>
        <w:rPr>
          <w:rFonts w:eastAsiaTheme="majorEastAsia"/>
          <w:bCs/>
          <w:color w:val="000000" w:themeColor="text1"/>
        </w:rPr>
      </w:pPr>
    </w:p>
    <w:p w14:paraId="0B17855E" w14:textId="77777777" w:rsidR="00E704F4" w:rsidRPr="003C66A0" w:rsidRDefault="00E704F4" w:rsidP="00B451D7">
      <w:pPr>
        <w:jc w:val="both"/>
        <w:rPr>
          <w:rFonts w:eastAsiaTheme="majorEastAsia"/>
          <w:bCs/>
          <w:color w:val="000000" w:themeColor="text1"/>
        </w:rPr>
      </w:pPr>
      <w:r w:rsidRPr="003C66A0">
        <w:rPr>
          <w:rFonts w:eastAsiaTheme="majorEastAsia"/>
          <w:bCs/>
          <w:color w:val="000000" w:themeColor="text1"/>
        </w:rPr>
        <w:t xml:space="preserve">The cycle is predictable: Discovery occurs when someone identifies an inefficiency or opportunity. During my study, these windows </w:t>
      </w:r>
      <w:proofErr w:type="gramStart"/>
      <w:r w:rsidRPr="003C66A0">
        <w:rPr>
          <w:rFonts w:eastAsiaTheme="majorEastAsia"/>
          <w:bCs/>
          <w:color w:val="000000" w:themeColor="text1"/>
        </w:rPr>
        <w:t>lasted</w:t>
      </w:r>
      <w:proofErr w:type="gramEnd"/>
      <w:r w:rsidRPr="003C66A0">
        <w:rPr>
          <w:rFonts w:eastAsiaTheme="majorEastAsia"/>
          <w:bCs/>
          <w:color w:val="000000" w:themeColor="text1"/>
        </w:rPr>
        <w:t xml:space="preserve"> days to weeks before detection. Exploitation follows as early adopters capitalize on the opportunity, generating attractive returns that create social media buzz. Saturation happens rapidly as capital floods in, minimizing returns through competition. Decay sets in as returns fall below costs, making the strategy unprofitable.</w:t>
      </w:r>
    </w:p>
    <w:p w14:paraId="2064281D" w14:textId="77777777" w:rsidR="00E704F4" w:rsidRPr="003C66A0" w:rsidRDefault="00E704F4" w:rsidP="00B451D7">
      <w:pPr>
        <w:jc w:val="both"/>
        <w:rPr>
          <w:rFonts w:eastAsiaTheme="majorEastAsia"/>
          <w:bCs/>
          <w:color w:val="000000" w:themeColor="text1"/>
        </w:rPr>
      </w:pPr>
    </w:p>
    <w:p w14:paraId="3D63A685" w14:textId="77777777" w:rsidR="00E704F4" w:rsidRPr="003C66A0" w:rsidRDefault="00E704F4" w:rsidP="00B451D7">
      <w:pPr>
        <w:jc w:val="both"/>
        <w:rPr>
          <w:rFonts w:eastAsiaTheme="majorEastAsia"/>
          <w:bCs/>
          <w:color w:val="000000" w:themeColor="text1"/>
        </w:rPr>
      </w:pPr>
      <w:r w:rsidRPr="003C66A0">
        <w:rPr>
          <w:rFonts w:eastAsiaTheme="majorEastAsia"/>
          <w:bCs/>
          <w:color w:val="000000" w:themeColor="text1"/>
        </w:rPr>
        <w:t>I observed this pattern repeatedly. Curve's 3pool dominated stablecoin liquidity provision with 15% APYs in early 2021. By late 2021, yields had declined to 5% and by 2022, they were at 2-3%, which is below Treasury rates. The opportunity window lasted approximately eight months from discovery to obsolescence.</w:t>
      </w:r>
    </w:p>
    <w:p w14:paraId="32F808D2" w14:textId="77777777" w:rsidR="00E704F4" w:rsidRPr="003C66A0" w:rsidRDefault="00E704F4" w:rsidP="00B451D7">
      <w:pPr>
        <w:jc w:val="both"/>
        <w:rPr>
          <w:rFonts w:eastAsiaTheme="majorEastAsia"/>
          <w:bCs/>
          <w:color w:val="000000" w:themeColor="text1"/>
        </w:rPr>
      </w:pPr>
    </w:p>
    <w:p w14:paraId="70772538" w14:textId="77777777" w:rsidR="00E704F4" w:rsidRPr="003C66A0" w:rsidRDefault="00E704F4" w:rsidP="00B451D7">
      <w:pPr>
        <w:jc w:val="both"/>
        <w:rPr>
          <w:rFonts w:eastAsiaTheme="majorEastAsia"/>
          <w:bCs/>
          <w:color w:val="000000" w:themeColor="text1"/>
        </w:rPr>
      </w:pPr>
      <w:r w:rsidRPr="003C66A0">
        <w:rPr>
          <w:rFonts w:eastAsiaTheme="majorEastAsia"/>
          <w:bCs/>
          <w:color w:val="000000" w:themeColor="text1"/>
        </w:rPr>
        <w:t xml:space="preserve">This anti-inductivity has profound implications. It means that any specific strategy I document will likely be less profitable by the time this document is </w:t>
      </w:r>
      <w:proofErr w:type="gramStart"/>
      <w:r w:rsidRPr="003C66A0">
        <w:rPr>
          <w:rFonts w:eastAsiaTheme="majorEastAsia"/>
          <w:bCs/>
          <w:color w:val="000000" w:themeColor="text1"/>
        </w:rPr>
        <w:t>read</w:t>
      </w:r>
      <w:proofErr w:type="gramEnd"/>
      <w:r w:rsidRPr="003C66A0">
        <w:rPr>
          <w:rFonts w:eastAsiaTheme="majorEastAsia"/>
          <w:bCs/>
          <w:color w:val="000000" w:themeColor="text1"/>
        </w:rPr>
        <w:t>. The value is not in the specific strategies but in understanding the patterns and principles that determine what works, when, and why. Success in this case requires not finding the perfect strategy that works but continuously adapting as markets evolve.</w:t>
      </w:r>
    </w:p>
    <w:p w14:paraId="076A245F" w14:textId="77777777" w:rsidR="001E2E3B" w:rsidRPr="003C66A0" w:rsidRDefault="001E2E3B" w:rsidP="00B451D7">
      <w:pPr>
        <w:jc w:val="both"/>
        <w:rPr>
          <w:rFonts w:eastAsiaTheme="majorEastAsia"/>
          <w:b/>
          <w:bCs/>
          <w:color w:val="000000" w:themeColor="text1"/>
        </w:rPr>
      </w:pPr>
    </w:p>
    <w:p w14:paraId="51FC2FA0" w14:textId="078CB705" w:rsidR="000F3578" w:rsidRPr="003C66A0" w:rsidRDefault="00D71B3F" w:rsidP="00B451D7">
      <w:pPr>
        <w:pStyle w:val="Heading2"/>
        <w:rPr>
          <w:rFonts w:eastAsiaTheme="majorEastAsia"/>
        </w:rPr>
      </w:pPr>
      <w:bookmarkStart w:id="68" w:name="_Toc214721874"/>
      <w:r w:rsidRPr="003C66A0">
        <w:rPr>
          <w:rFonts w:eastAsiaTheme="majorEastAsia"/>
        </w:rPr>
        <w:t>3.1</w:t>
      </w:r>
      <w:r w:rsidR="0088386D">
        <w:rPr>
          <w:rFonts w:eastAsiaTheme="majorEastAsia"/>
        </w:rPr>
        <w:t>2</w:t>
      </w:r>
      <w:r w:rsidR="002916AC" w:rsidRPr="003C66A0">
        <w:rPr>
          <w:rFonts w:eastAsiaTheme="majorEastAsia"/>
        </w:rPr>
        <w:t xml:space="preserve"> The Gap Between Technical Possibility and Economic Viability</w:t>
      </w:r>
      <w:bookmarkEnd w:id="68"/>
    </w:p>
    <w:p w14:paraId="3663F021" w14:textId="77777777" w:rsidR="00C31DDB" w:rsidRPr="003C66A0" w:rsidRDefault="00C31DDB" w:rsidP="00B451D7">
      <w:pPr>
        <w:jc w:val="both"/>
        <w:rPr>
          <w:rFonts w:eastAsiaTheme="majorEastAsia"/>
          <w:bCs/>
          <w:color w:val="000000" w:themeColor="text1"/>
        </w:rPr>
      </w:pPr>
      <w:r w:rsidRPr="003C66A0">
        <w:rPr>
          <w:rFonts w:eastAsiaTheme="majorEastAsia"/>
          <w:bCs/>
          <w:color w:val="000000" w:themeColor="text1"/>
        </w:rPr>
        <w:t xml:space="preserve">The evidence from the positions I tracked in my research shows a very clear pattern: even though DeFi protocols technically make financial services more accessible, the way the economy </w:t>
      </w:r>
      <w:proofErr w:type="gramStart"/>
      <w:r w:rsidRPr="003C66A0">
        <w:rPr>
          <w:rFonts w:eastAsiaTheme="majorEastAsia"/>
          <w:bCs/>
          <w:color w:val="000000" w:themeColor="text1"/>
        </w:rPr>
        <w:t>works, it</w:t>
      </w:r>
      <w:proofErr w:type="gramEnd"/>
      <w:r w:rsidRPr="003C66A0">
        <w:rPr>
          <w:rFonts w:eastAsiaTheme="majorEastAsia"/>
          <w:bCs/>
          <w:color w:val="000000" w:themeColor="text1"/>
        </w:rPr>
        <w:t xml:space="preserve"> creates new barriers that keep most people from participating. This difference between what can be done technically and what makes sense from an economic point of view is an important finding that </w:t>
      </w:r>
      <w:proofErr w:type="gramStart"/>
      <w:r w:rsidRPr="003C66A0">
        <w:rPr>
          <w:rFonts w:eastAsiaTheme="majorEastAsia"/>
          <w:bCs/>
          <w:color w:val="000000" w:themeColor="text1"/>
        </w:rPr>
        <w:t>helps</w:t>
      </w:r>
      <w:proofErr w:type="gramEnd"/>
      <w:r w:rsidRPr="003C66A0">
        <w:rPr>
          <w:rFonts w:eastAsiaTheme="majorEastAsia"/>
          <w:bCs/>
          <w:color w:val="000000" w:themeColor="text1"/>
        </w:rPr>
        <w:t xml:space="preserve"> understand DeFi's claims about democratization.</w:t>
      </w:r>
    </w:p>
    <w:p w14:paraId="32FFEE57" w14:textId="77777777" w:rsidR="00C31DDB" w:rsidRPr="003C66A0" w:rsidRDefault="00C31DDB" w:rsidP="00B451D7">
      <w:pPr>
        <w:jc w:val="both"/>
        <w:rPr>
          <w:rFonts w:eastAsiaTheme="majorEastAsia"/>
          <w:bCs/>
          <w:color w:val="000000" w:themeColor="text1"/>
        </w:rPr>
      </w:pPr>
    </w:p>
    <w:p w14:paraId="1F675CF8" w14:textId="77777777" w:rsidR="00C31DDB" w:rsidRPr="003C66A0" w:rsidRDefault="00C31DDB" w:rsidP="00B451D7">
      <w:pPr>
        <w:jc w:val="both"/>
        <w:rPr>
          <w:rFonts w:eastAsiaTheme="majorEastAsia"/>
          <w:bCs/>
          <w:color w:val="000000" w:themeColor="text1"/>
        </w:rPr>
      </w:pPr>
      <w:r w:rsidRPr="003C66A0">
        <w:rPr>
          <w:rFonts w:eastAsiaTheme="majorEastAsia"/>
          <w:bCs/>
          <w:color w:val="000000" w:themeColor="text1"/>
        </w:rPr>
        <w:t xml:space="preserve">Protocols have lower nominal capital requirements than traditional market making. For example, Uniswap will accept any amount of money, but traditional market making needs millions. But my data shows that the practical minimum for making money on the Ethereum </w:t>
      </w:r>
      <w:proofErr w:type="spellStart"/>
      <w:r w:rsidRPr="003C66A0">
        <w:rPr>
          <w:rFonts w:eastAsiaTheme="majorEastAsia"/>
          <w:bCs/>
          <w:color w:val="000000" w:themeColor="text1"/>
        </w:rPr>
        <w:t>mainnet</w:t>
      </w:r>
      <w:proofErr w:type="spellEnd"/>
      <w:r w:rsidRPr="003C66A0">
        <w:rPr>
          <w:rFonts w:eastAsiaTheme="majorEastAsia"/>
          <w:bCs/>
          <w:color w:val="000000" w:themeColor="text1"/>
        </w:rPr>
        <w:t xml:space="preserve"> is about $25,000, which is much higher than the technical minimum. The protocol will accept your $100, but gas fees will make sure you lose money. Just because something is technically accessible doesn't mean it will work in the economy.</w:t>
      </w:r>
    </w:p>
    <w:p w14:paraId="5B665602" w14:textId="77777777" w:rsidR="00C31DDB" w:rsidRPr="003C66A0" w:rsidRDefault="00C31DDB" w:rsidP="00B451D7">
      <w:pPr>
        <w:jc w:val="both"/>
        <w:rPr>
          <w:rFonts w:eastAsiaTheme="majorEastAsia"/>
          <w:bCs/>
          <w:color w:val="000000" w:themeColor="text1"/>
        </w:rPr>
      </w:pPr>
    </w:p>
    <w:p w14:paraId="7FFE623D" w14:textId="77777777" w:rsidR="00C31DDB" w:rsidRPr="003C66A0" w:rsidRDefault="00C31DDB" w:rsidP="00B451D7">
      <w:pPr>
        <w:jc w:val="both"/>
        <w:rPr>
          <w:rFonts w:eastAsiaTheme="majorEastAsia"/>
          <w:bCs/>
          <w:color w:val="000000" w:themeColor="text1"/>
        </w:rPr>
      </w:pPr>
      <w:r w:rsidRPr="003C66A0">
        <w:rPr>
          <w:rFonts w:eastAsiaTheme="majorEastAsia"/>
          <w:bCs/>
          <w:color w:val="000000" w:themeColor="text1"/>
        </w:rPr>
        <w:t xml:space="preserve">Similarly, smart contracts do automate complex operations, theoretically reducing skill requirements. The protocol handles </w:t>
      </w:r>
      <w:proofErr w:type="gramStart"/>
      <w:r w:rsidRPr="003C66A0">
        <w:rPr>
          <w:rFonts w:eastAsiaTheme="majorEastAsia"/>
          <w:bCs/>
          <w:color w:val="000000" w:themeColor="text1"/>
        </w:rPr>
        <w:t>the price</w:t>
      </w:r>
      <w:proofErr w:type="gramEnd"/>
      <w:r w:rsidRPr="003C66A0">
        <w:rPr>
          <w:rFonts w:eastAsiaTheme="majorEastAsia"/>
          <w:bCs/>
          <w:color w:val="000000" w:themeColor="text1"/>
        </w:rPr>
        <w:t xml:space="preserve"> discovery, trade execution, and settlement automatically. Yet my tracked positions show that participants who didn't understand impermanent loss mechanics </w:t>
      </w:r>
      <w:proofErr w:type="gramStart"/>
      <w:r w:rsidRPr="003C66A0">
        <w:rPr>
          <w:rFonts w:eastAsiaTheme="majorEastAsia"/>
          <w:bCs/>
          <w:color w:val="000000" w:themeColor="text1"/>
        </w:rPr>
        <w:t>lost money</w:t>
      </w:r>
      <w:proofErr w:type="gramEnd"/>
      <w:r w:rsidRPr="003C66A0">
        <w:rPr>
          <w:rFonts w:eastAsiaTheme="majorEastAsia"/>
          <w:bCs/>
          <w:color w:val="000000" w:themeColor="text1"/>
        </w:rPr>
        <w:t xml:space="preserve"> 89% of the time, regardless of protocol sophistication. The automation handles the execution but not strategy selection, risk assessment, or position </w:t>
      </w:r>
      <w:proofErr w:type="gramStart"/>
      <w:r w:rsidRPr="003C66A0">
        <w:rPr>
          <w:rFonts w:eastAsiaTheme="majorEastAsia"/>
          <w:bCs/>
          <w:color w:val="000000" w:themeColor="text1"/>
        </w:rPr>
        <w:t>management—arguably</w:t>
      </w:r>
      <w:proofErr w:type="gramEnd"/>
      <w:r w:rsidRPr="003C66A0">
        <w:rPr>
          <w:rFonts w:eastAsiaTheme="majorEastAsia"/>
          <w:bCs/>
          <w:color w:val="000000" w:themeColor="text1"/>
        </w:rPr>
        <w:t xml:space="preserve"> the more difficult aspects that determine success or failure.</w:t>
      </w:r>
    </w:p>
    <w:p w14:paraId="5D0BC45B" w14:textId="77777777" w:rsidR="00C31DDB" w:rsidRPr="003C66A0" w:rsidRDefault="00C31DDB" w:rsidP="00B451D7">
      <w:pPr>
        <w:jc w:val="both"/>
        <w:rPr>
          <w:rFonts w:eastAsiaTheme="majorEastAsia"/>
          <w:bCs/>
          <w:color w:val="000000" w:themeColor="text1"/>
        </w:rPr>
      </w:pPr>
    </w:p>
    <w:p w14:paraId="2778BD30" w14:textId="77777777" w:rsidR="00C31DDB" w:rsidRPr="003C66A0" w:rsidRDefault="00C31DDB" w:rsidP="00B451D7">
      <w:pPr>
        <w:jc w:val="both"/>
        <w:rPr>
          <w:rFonts w:eastAsiaTheme="majorEastAsia"/>
          <w:bCs/>
          <w:color w:val="000000" w:themeColor="text1"/>
        </w:rPr>
      </w:pPr>
      <w:r w:rsidRPr="003C66A0">
        <w:rPr>
          <w:rFonts w:eastAsiaTheme="majorEastAsia"/>
          <w:bCs/>
          <w:color w:val="000000" w:themeColor="text1"/>
        </w:rPr>
        <w:t xml:space="preserve">Blockchain transparency provides another example of this pattern. All transactions are publicly auditable, which should theoretically improve risk assessment and level the playing field. In practice, however, transparency without comprehension of the data offers very little value. Among my interview participants, only 3 of 27 could accurately calculate their impermanent loss exposure, despite all information being publicly available on-chain. The bottleneck is not information availability but interpretation </w:t>
      </w:r>
      <w:proofErr w:type="gramStart"/>
      <w:r w:rsidRPr="003C66A0">
        <w:rPr>
          <w:rFonts w:eastAsiaTheme="majorEastAsia"/>
          <w:bCs/>
          <w:color w:val="000000" w:themeColor="text1"/>
        </w:rPr>
        <w:t>capability—</w:t>
      </w:r>
      <w:proofErr w:type="gramEnd"/>
      <w:r w:rsidRPr="003C66A0">
        <w:rPr>
          <w:rFonts w:eastAsiaTheme="majorEastAsia"/>
          <w:bCs/>
          <w:color w:val="000000" w:themeColor="text1"/>
        </w:rPr>
        <w:t>a form of technical literacy that functions as a barrier just as effectively as restricted information access.</w:t>
      </w:r>
    </w:p>
    <w:p w14:paraId="5DFEA404" w14:textId="77777777" w:rsidR="00C31DDB" w:rsidRPr="003C66A0" w:rsidRDefault="00C31DDB" w:rsidP="00B451D7">
      <w:pPr>
        <w:jc w:val="both"/>
        <w:rPr>
          <w:rFonts w:eastAsiaTheme="majorEastAsia"/>
          <w:bCs/>
          <w:color w:val="000000" w:themeColor="text1"/>
        </w:rPr>
      </w:pPr>
    </w:p>
    <w:p w14:paraId="0CE71588" w14:textId="77777777" w:rsidR="00C31DDB" w:rsidRPr="003C66A0" w:rsidRDefault="00C31DDB" w:rsidP="00B451D7">
      <w:pPr>
        <w:jc w:val="both"/>
        <w:rPr>
          <w:rFonts w:eastAsiaTheme="majorEastAsia"/>
          <w:bCs/>
          <w:color w:val="000000" w:themeColor="text1"/>
        </w:rPr>
      </w:pPr>
      <w:r w:rsidRPr="003C66A0">
        <w:rPr>
          <w:rFonts w:eastAsiaTheme="majorEastAsia"/>
          <w:bCs/>
          <w:color w:val="000000" w:themeColor="text1"/>
        </w:rPr>
        <w:t xml:space="preserve">This pattern—technical democratization coupled with economic exclusion—appears consistently across DeFi. Even though the protocols enable direct fee </w:t>
      </w:r>
      <w:proofErr w:type="gramStart"/>
      <w:r w:rsidRPr="003C66A0">
        <w:rPr>
          <w:rFonts w:eastAsiaTheme="majorEastAsia"/>
          <w:bCs/>
          <w:color w:val="000000" w:themeColor="text1"/>
        </w:rPr>
        <w:t>capture</w:t>
      </w:r>
      <w:proofErr w:type="gramEnd"/>
      <w:r w:rsidRPr="003C66A0">
        <w:rPr>
          <w:rFonts w:eastAsiaTheme="majorEastAsia"/>
          <w:bCs/>
          <w:color w:val="000000" w:themeColor="text1"/>
        </w:rPr>
        <w:t xml:space="preserve"> without intermediary extraction, operational costs often exceed those fees for small positions. Although the regulatory barriers are absent, the operational barriers (gas optimization, MEV protection, tax compliance) create an equally effective exclusion. </w:t>
      </w:r>
    </w:p>
    <w:p w14:paraId="2AFE36A9" w14:textId="77777777" w:rsidR="001230E5" w:rsidRPr="003C66A0" w:rsidRDefault="001230E5" w:rsidP="00B451D7">
      <w:pPr>
        <w:jc w:val="both"/>
        <w:rPr>
          <w:rFonts w:eastAsiaTheme="majorEastAsia"/>
          <w:bCs/>
          <w:color w:val="000000" w:themeColor="text1"/>
        </w:rPr>
      </w:pPr>
    </w:p>
    <w:p w14:paraId="6C95067E" w14:textId="77777777" w:rsidR="00AF007E" w:rsidRPr="003C66A0" w:rsidRDefault="00AF007E" w:rsidP="00B451D7">
      <w:pPr>
        <w:jc w:val="both"/>
        <w:rPr>
          <w:rFonts w:eastAsiaTheme="majorEastAsia"/>
          <w:bCs/>
          <w:color w:val="000000" w:themeColor="text1"/>
        </w:rPr>
      </w:pPr>
      <w:r w:rsidRPr="003C66A0">
        <w:rPr>
          <w:rFonts w:eastAsiaTheme="majorEastAsia"/>
          <w:bCs/>
          <w:color w:val="000000" w:themeColor="text1"/>
        </w:rPr>
        <w:lastRenderedPageBreak/>
        <w:t>The implication is profound: DeFi does not eliminate barriers to financial participation so much as transform them. Traditional finance uses clear ways to keep people out, like minimum balances, accreditation requirements, and institutional gatekeeping. DeFi, on the other hand, keeps people out in more subtle ways, like through technical complexity, operational costs, and knowledge requirements. Instead of going away, the barriers changed shape. They went from being institutional to technical, from regulatory to operational, and from social to mathematical.</w:t>
      </w:r>
    </w:p>
    <w:p w14:paraId="2C270B8E" w14:textId="77777777" w:rsidR="00AF007E" w:rsidRPr="003C66A0" w:rsidRDefault="00AF007E" w:rsidP="00B451D7">
      <w:pPr>
        <w:jc w:val="both"/>
        <w:rPr>
          <w:rFonts w:eastAsiaTheme="majorEastAsia"/>
          <w:bCs/>
          <w:color w:val="000000" w:themeColor="text1"/>
        </w:rPr>
      </w:pPr>
    </w:p>
    <w:p w14:paraId="70F3231F" w14:textId="77777777" w:rsidR="00AF007E" w:rsidRPr="003C66A0" w:rsidRDefault="00AF007E" w:rsidP="00B451D7">
      <w:pPr>
        <w:jc w:val="both"/>
        <w:rPr>
          <w:rFonts w:eastAsiaTheme="majorEastAsia"/>
          <w:bCs/>
          <w:color w:val="000000" w:themeColor="text1"/>
        </w:rPr>
      </w:pPr>
      <w:r w:rsidRPr="003C66A0">
        <w:rPr>
          <w:rFonts w:eastAsiaTheme="majorEastAsia"/>
          <w:bCs/>
          <w:color w:val="000000" w:themeColor="text1"/>
        </w:rPr>
        <w:t xml:space="preserve">This change in barriers instead of their removal suggests that financial complexity can't be completely removed; it can only be reorganized. In DeFi, the intermediary functions that traditional finance </w:t>
      </w:r>
      <w:proofErr w:type="gramStart"/>
      <w:r w:rsidRPr="003C66A0">
        <w:rPr>
          <w:rFonts w:eastAsiaTheme="majorEastAsia"/>
          <w:bCs/>
          <w:color w:val="000000" w:themeColor="text1"/>
        </w:rPr>
        <w:t>bundles</w:t>
      </w:r>
      <w:proofErr w:type="gramEnd"/>
      <w:r w:rsidRPr="003C66A0">
        <w:rPr>
          <w:rFonts w:eastAsiaTheme="majorEastAsia"/>
          <w:bCs/>
          <w:color w:val="000000" w:themeColor="text1"/>
        </w:rPr>
        <w:t xml:space="preserve"> into institutions (like risk assessment, position management, and market analysis) don't go away. Instead, they are given to individual participants who </w:t>
      </w:r>
      <w:proofErr w:type="gramStart"/>
      <w:r w:rsidRPr="003C66A0">
        <w:rPr>
          <w:rFonts w:eastAsiaTheme="majorEastAsia"/>
          <w:bCs/>
          <w:color w:val="000000" w:themeColor="text1"/>
        </w:rPr>
        <w:t>have to</w:t>
      </w:r>
      <w:proofErr w:type="gramEnd"/>
      <w:r w:rsidRPr="003C66A0">
        <w:rPr>
          <w:rFonts w:eastAsiaTheme="majorEastAsia"/>
          <w:bCs/>
          <w:color w:val="000000" w:themeColor="text1"/>
        </w:rPr>
        <w:t xml:space="preserve"> do them without the help of institutions. This creates real opportunities for the small number of people who have the right mix of money, knowledge, and time. It gives most people the impression that it is easy to get to, but this impression goes away when they look more closely.</w:t>
      </w:r>
    </w:p>
    <w:p w14:paraId="3ABD54DC" w14:textId="77777777" w:rsidR="000F3578" w:rsidRPr="003C66A0" w:rsidRDefault="000F3578" w:rsidP="00B451D7">
      <w:pPr>
        <w:jc w:val="both"/>
        <w:rPr>
          <w:rFonts w:eastAsiaTheme="majorEastAsia"/>
          <w:bCs/>
          <w:color w:val="000000" w:themeColor="text1"/>
        </w:rPr>
      </w:pPr>
    </w:p>
    <w:p w14:paraId="203C91F6" w14:textId="477E2699" w:rsidR="00B03186" w:rsidRPr="003C66A0" w:rsidRDefault="00D71B3F" w:rsidP="00B451D7">
      <w:pPr>
        <w:pStyle w:val="Heading2"/>
        <w:rPr>
          <w:rFonts w:eastAsiaTheme="majorEastAsia"/>
        </w:rPr>
      </w:pPr>
      <w:bookmarkStart w:id="69" w:name="_Toc214721875"/>
      <w:r w:rsidRPr="003C66A0">
        <w:rPr>
          <w:rFonts w:eastAsiaTheme="majorEastAsia"/>
        </w:rPr>
        <w:t>3.1</w:t>
      </w:r>
      <w:r w:rsidR="0088386D">
        <w:rPr>
          <w:rFonts w:eastAsiaTheme="majorEastAsia"/>
        </w:rPr>
        <w:t>3</w:t>
      </w:r>
      <w:r w:rsidR="00B03186" w:rsidRPr="003C66A0">
        <w:rPr>
          <w:rFonts w:eastAsiaTheme="majorEastAsia"/>
        </w:rPr>
        <w:t xml:space="preserve"> </w:t>
      </w:r>
      <w:r w:rsidRPr="003C66A0">
        <w:rPr>
          <w:rFonts w:eastAsiaTheme="majorEastAsia"/>
        </w:rPr>
        <w:t>Theoretical Development Needs</w:t>
      </w:r>
      <w:bookmarkEnd w:id="69"/>
    </w:p>
    <w:p w14:paraId="699E8BC8" w14:textId="4804796B" w:rsidR="00D71B3F" w:rsidRPr="003C66A0" w:rsidRDefault="00385414" w:rsidP="00B451D7">
      <w:pPr>
        <w:jc w:val="both"/>
        <w:rPr>
          <w:rFonts w:eastAsiaTheme="majorEastAsia"/>
          <w:bCs/>
          <w:color w:val="000000" w:themeColor="text1"/>
        </w:rPr>
      </w:pPr>
      <w:r w:rsidRPr="003C66A0">
        <w:rPr>
          <w:rFonts w:eastAsiaTheme="majorEastAsia"/>
          <w:bCs/>
          <w:color w:val="000000" w:themeColor="text1"/>
        </w:rPr>
        <w:t>The existing literature reveals a need for theoretical frameworks that can accommodate DeFi's unique characteristics. Traditional finance theories assume institutional structures, regulatory oversight, and market mechanisms are in place, however the same may not exist yet or may operate differently in the DeFi space.</w:t>
      </w:r>
    </w:p>
    <w:p w14:paraId="0C7C3DF1" w14:textId="77777777" w:rsidR="00385414" w:rsidRPr="003C66A0" w:rsidRDefault="00385414" w:rsidP="00B451D7">
      <w:pPr>
        <w:jc w:val="both"/>
        <w:rPr>
          <w:rFonts w:eastAsiaTheme="majorEastAsia"/>
          <w:bCs/>
          <w:color w:val="000000" w:themeColor="text1"/>
        </w:rPr>
      </w:pPr>
    </w:p>
    <w:p w14:paraId="360D3AAC" w14:textId="77777777" w:rsidR="00D71B3F" w:rsidRPr="003C66A0" w:rsidRDefault="00D71B3F" w:rsidP="00B451D7">
      <w:pPr>
        <w:jc w:val="both"/>
        <w:rPr>
          <w:rFonts w:eastAsiaTheme="majorEastAsia"/>
          <w:bCs/>
          <w:color w:val="000000" w:themeColor="text1"/>
        </w:rPr>
      </w:pPr>
      <w:r w:rsidRPr="003C66A0">
        <w:rPr>
          <w:rFonts w:eastAsiaTheme="majorEastAsia"/>
          <w:bCs/>
          <w:color w:val="000000" w:themeColor="text1"/>
        </w:rPr>
        <w:t>New frameworks need to account for:</w:t>
      </w:r>
    </w:p>
    <w:p w14:paraId="34909CF8" w14:textId="77777777" w:rsidR="00D71B3F" w:rsidRPr="003C66A0" w:rsidRDefault="00D71B3F" w:rsidP="00B451D7">
      <w:pPr>
        <w:numPr>
          <w:ilvl w:val="0"/>
          <w:numId w:val="96"/>
        </w:numPr>
        <w:jc w:val="both"/>
        <w:rPr>
          <w:rFonts w:eastAsiaTheme="majorEastAsia"/>
          <w:bCs/>
          <w:color w:val="000000" w:themeColor="text1"/>
        </w:rPr>
      </w:pPr>
      <w:r w:rsidRPr="003C66A0">
        <w:rPr>
          <w:rFonts w:eastAsiaTheme="majorEastAsia"/>
          <w:bCs/>
          <w:color w:val="000000" w:themeColor="text1"/>
        </w:rPr>
        <w:t>The transformation rather than elimination of intermediation</w:t>
      </w:r>
    </w:p>
    <w:p w14:paraId="2AE2B0AF" w14:textId="77777777" w:rsidR="00D71B3F" w:rsidRPr="003C66A0" w:rsidRDefault="00D71B3F" w:rsidP="00B451D7">
      <w:pPr>
        <w:numPr>
          <w:ilvl w:val="0"/>
          <w:numId w:val="96"/>
        </w:numPr>
        <w:jc w:val="both"/>
        <w:rPr>
          <w:rFonts w:eastAsiaTheme="majorEastAsia"/>
          <w:bCs/>
          <w:color w:val="000000" w:themeColor="text1"/>
        </w:rPr>
      </w:pPr>
      <w:r w:rsidRPr="003C66A0">
        <w:rPr>
          <w:rFonts w:eastAsiaTheme="majorEastAsia"/>
          <w:bCs/>
          <w:color w:val="000000" w:themeColor="text1"/>
        </w:rPr>
        <w:t>Novel risk types without historical precedent</w:t>
      </w:r>
    </w:p>
    <w:p w14:paraId="55A0F434" w14:textId="77777777" w:rsidR="00D71B3F" w:rsidRPr="003C66A0" w:rsidRDefault="00D71B3F" w:rsidP="00B451D7">
      <w:pPr>
        <w:numPr>
          <w:ilvl w:val="0"/>
          <w:numId w:val="96"/>
        </w:numPr>
        <w:jc w:val="both"/>
        <w:rPr>
          <w:rFonts w:eastAsiaTheme="majorEastAsia"/>
          <w:bCs/>
          <w:color w:val="000000" w:themeColor="text1"/>
        </w:rPr>
      </w:pPr>
      <w:r w:rsidRPr="003C66A0">
        <w:rPr>
          <w:rFonts w:eastAsiaTheme="majorEastAsia"/>
          <w:bCs/>
          <w:color w:val="000000" w:themeColor="text1"/>
        </w:rPr>
        <w:t xml:space="preserve">Anti-inductive dynamics </w:t>
      </w:r>
      <w:proofErr w:type="gramStart"/>
      <w:r w:rsidRPr="003C66A0">
        <w:rPr>
          <w:rFonts w:eastAsiaTheme="majorEastAsia"/>
          <w:bCs/>
          <w:color w:val="000000" w:themeColor="text1"/>
        </w:rPr>
        <w:t>where</w:t>
      </w:r>
      <w:proofErr w:type="gramEnd"/>
      <w:r w:rsidRPr="003C66A0">
        <w:rPr>
          <w:rFonts w:eastAsiaTheme="majorEastAsia"/>
          <w:bCs/>
          <w:color w:val="000000" w:themeColor="text1"/>
        </w:rPr>
        <w:t xml:space="preserve"> strategies self-destruct through adoption</w:t>
      </w:r>
    </w:p>
    <w:p w14:paraId="1AC5456F" w14:textId="77777777" w:rsidR="00D71B3F" w:rsidRPr="003C66A0" w:rsidRDefault="00D71B3F" w:rsidP="00B451D7">
      <w:pPr>
        <w:numPr>
          <w:ilvl w:val="0"/>
          <w:numId w:val="96"/>
        </w:numPr>
        <w:jc w:val="both"/>
        <w:rPr>
          <w:rFonts w:eastAsiaTheme="majorEastAsia"/>
          <w:bCs/>
          <w:color w:val="000000" w:themeColor="text1"/>
        </w:rPr>
      </w:pPr>
      <w:r w:rsidRPr="003C66A0">
        <w:rPr>
          <w:rFonts w:eastAsiaTheme="majorEastAsia"/>
          <w:bCs/>
          <w:color w:val="000000" w:themeColor="text1"/>
        </w:rPr>
        <w:t>Behavioral factors in 24/7 markets without circuit breakers</w:t>
      </w:r>
    </w:p>
    <w:p w14:paraId="1D05854C" w14:textId="77777777" w:rsidR="00D71B3F" w:rsidRPr="003C66A0" w:rsidRDefault="00D71B3F" w:rsidP="00B451D7">
      <w:pPr>
        <w:numPr>
          <w:ilvl w:val="0"/>
          <w:numId w:val="96"/>
        </w:numPr>
        <w:jc w:val="both"/>
        <w:rPr>
          <w:rFonts w:eastAsiaTheme="majorEastAsia"/>
          <w:bCs/>
          <w:color w:val="000000" w:themeColor="text1"/>
        </w:rPr>
      </w:pPr>
      <w:r w:rsidRPr="003C66A0">
        <w:rPr>
          <w:rFonts w:eastAsiaTheme="majorEastAsia"/>
          <w:bCs/>
          <w:color w:val="000000" w:themeColor="text1"/>
        </w:rPr>
        <w:t>The intersection of technical and financial literacy requirements</w:t>
      </w:r>
    </w:p>
    <w:p w14:paraId="075B63F4" w14:textId="77777777" w:rsidR="00D71B3F" w:rsidRPr="003C66A0" w:rsidRDefault="00D71B3F" w:rsidP="00B451D7">
      <w:pPr>
        <w:jc w:val="both"/>
        <w:rPr>
          <w:rFonts w:eastAsiaTheme="majorEastAsia"/>
          <w:bCs/>
          <w:color w:val="000000" w:themeColor="text1"/>
        </w:rPr>
      </w:pPr>
    </w:p>
    <w:p w14:paraId="1B5CD3AD" w14:textId="77777777" w:rsidR="00A764E2" w:rsidRPr="003C66A0" w:rsidRDefault="00A764E2" w:rsidP="00B451D7">
      <w:pPr>
        <w:jc w:val="both"/>
        <w:rPr>
          <w:rFonts w:eastAsiaTheme="majorEastAsia"/>
          <w:bCs/>
          <w:color w:val="000000" w:themeColor="text1"/>
        </w:rPr>
      </w:pPr>
      <w:r w:rsidRPr="003C66A0">
        <w:rPr>
          <w:rFonts w:eastAsiaTheme="majorEastAsia"/>
          <w:bCs/>
          <w:color w:val="000000" w:themeColor="text1"/>
        </w:rPr>
        <w:t xml:space="preserve">These theoretical deficiencies show that a straightforward application of current frameworks will not work. DeFi may require its own theoretical underpinnings, </w:t>
      </w:r>
      <w:proofErr w:type="gramStart"/>
      <w:r w:rsidRPr="003C66A0">
        <w:rPr>
          <w:rFonts w:eastAsiaTheme="majorEastAsia"/>
          <w:bCs/>
          <w:color w:val="000000" w:themeColor="text1"/>
        </w:rPr>
        <w:t>similar to</w:t>
      </w:r>
      <w:proofErr w:type="gramEnd"/>
      <w:r w:rsidRPr="003C66A0">
        <w:rPr>
          <w:rFonts w:eastAsiaTheme="majorEastAsia"/>
          <w:bCs/>
          <w:color w:val="000000" w:themeColor="text1"/>
        </w:rPr>
        <w:t xml:space="preserve"> the emergence of behavioral finance when inadequacies of traditional finance were identified.</w:t>
      </w:r>
    </w:p>
    <w:p w14:paraId="5331581B" w14:textId="77777777" w:rsidR="00A764E2" w:rsidRPr="003C66A0" w:rsidRDefault="00A764E2" w:rsidP="00B451D7">
      <w:pPr>
        <w:jc w:val="both"/>
        <w:rPr>
          <w:rFonts w:eastAsiaTheme="majorEastAsia"/>
          <w:bCs/>
          <w:color w:val="000000" w:themeColor="text1"/>
        </w:rPr>
      </w:pPr>
    </w:p>
    <w:p w14:paraId="270DEFDB" w14:textId="2B6E80F8" w:rsidR="00A764E2" w:rsidRPr="003C66A0" w:rsidRDefault="00F75DF8" w:rsidP="00B451D7">
      <w:pPr>
        <w:jc w:val="both"/>
        <w:rPr>
          <w:rFonts w:eastAsiaTheme="majorEastAsia"/>
          <w:bCs/>
          <w:color w:val="000000" w:themeColor="text1"/>
        </w:rPr>
      </w:pPr>
      <w:r w:rsidRPr="003C66A0">
        <w:rPr>
          <w:rFonts w:eastAsiaTheme="majorEastAsia"/>
          <w:bCs/>
          <w:color w:val="000000" w:themeColor="text1"/>
        </w:rPr>
        <w:t xml:space="preserve">The theoretical gaps </w:t>
      </w:r>
      <w:r w:rsidR="00112C52" w:rsidRPr="003C66A0">
        <w:rPr>
          <w:rFonts w:eastAsiaTheme="majorEastAsia"/>
          <w:bCs/>
          <w:color w:val="000000" w:themeColor="text1"/>
        </w:rPr>
        <w:t xml:space="preserve">which have been </w:t>
      </w:r>
      <w:r w:rsidRPr="003C66A0">
        <w:rPr>
          <w:rFonts w:eastAsiaTheme="majorEastAsia"/>
          <w:bCs/>
          <w:color w:val="000000" w:themeColor="text1"/>
        </w:rPr>
        <w:t>identified here establish the foundation for the empirical investigation that follows</w:t>
      </w:r>
      <w:r w:rsidR="00112C52" w:rsidRPr="003C66A0">
        <w:rPr>
          <w:rFonts w:eastAsiaTheme="majorEastAsia"/>
          <w:bCs/>
          <w:color w:val="000000" w:themeColor="text1"/>
        </w:rPr>
        <w:t xml:space="preserve">, </w:t>
      </w:r>
      <w:proofErr w:type="gramStart"/>
      <w:r w:rsidR="00112C52" w:rsidRPr="003C66A0">
        <w:rPr>
          <w:rFonts w:eastAsiaTheme="majorEastAsia"/>
          <w:bCs/>
          <w:color w:val="000000" w:themeColor="text1"/>
        </w:rPr>
        <w:t>It</w:t>
      </w:r>
      <w:proofErr w:type="gramEnd"/>
      <w:r w:rsidR="00112C52" w:rsidRPr="003C66A0">
        <w:rPr>
          <w:rFonts w:eastAsiaTheme="majorEastAsia"/>
          <w:bCs/>
          <w:color w:val="000000" w:themeColor="text1"/>
        </w:rPr>
        <w:t xml:space="preserve"> addresses </w:t>
      </w:r>
      <w:r w:rsidRPr="003C66A0">
        <w:rPr>
          <w:rFonts w:eastAsiaTheme="majorEastAsia"/>
          <w:bCs/>
          <w:color w:val="000000" w:themeColor="text1"/>
        </w:rPr>
        <w:t>particularly the need to document actual participant experiences rather than theoretical possibilities</w:t>
      </w:r>
      <w:r w:rsidR="00A764E2" w:rsidRPr="003C66A0">
        <w:rPr>
          <w:rFonts w:eastAsiaTheme="majorEastAsia"/>
          <w:bCs/>
          <w:color w:val="000000" w:themeColor="text1"/>
        </w:rPr>
        <w:t>.</w:t>
      </w:r>
    </w:p>
    <w:p w14:paraId="2683901E" w14:textId="77777777" w:rsidR="00B03186" w:rsidRPr="003C66A0" w:rsidRDefault="00B03186" w:rsidP="00B451D7">
      <w:pPr>
        <w:jc w:val="both"/>
        <w:rPr>
          <w:rFonts w:eastAsiaTheme="majorEastAsia"/>
          <w:bCs/>
          <w:color w:val="000000" w:themeColor="text1"/>
        </w:rPr>
      </w:pPr>
    </w:p>
    <w:p w14:paraId="708993AB" w14:textId="77777777" w:rsidR="000F3578" w:rsidRPr="003C66A0" w:rsidRDefault="000F3578" w:rsidP="00B451D7">
      <w:pPr>
        <w:jc w:val="both"/>
        <w:rPr>
          <w:rFonts w:eastAsiaTheme="majorEastAsia"/>
          <w:bCs/>
          <w:color w:val="000000" w:themeColor="text1"/>
        </w:rPr>
      </w:pPr>
    </w:p>
    <w:p w14:paraId="2649CF52" w14:textId="77777777" w:rsidR="001826A1" w:rsidRDefault="001826A1">
      <w:pPr>
        <w:spacing w:after="200" w:line="276" w:lineRule="auto"/>
        <w:rPr>
          <w:rFonts w:eastAsiaTheme="majorEastAsia"/>
          <w:b/>
          <w:kern w:val="2"/>
          <w:sz w:val="32"/>
        </w:rPr>
      </w:pPr>
      <w:bookmarkStart w:id="70" w:name="_Toc214721876"/>
      <w:r>
        <w:rPr>
          <w:rFonts w:eastAsiaTheme="majorEastAsia"/>
        </w:rPr>
        <w:br w:type="page"/>
      </w:r>
    </w:p>
    <w:p w14:paraId="13075973" w14:textId="1E7C6C0C" w:rsidR="00174BE9" w:rsidRDefault="005E6E62" w:rsidP="00B451D7">
      <w:pPr>
        <w:pStyle w:val="Heading1"/>
        <w:jc w:val="center"/>
        <w:rPr>
          <w:rFonts w:eastAsiaTheme="majorEastAsia"/>
        </w:rPr>
      </w:pPr>
      <w:r>
        <w:rPr>
          <w:rFonts w:eastAsiaTheme="majorEastAsia"/>
        </w:rPr>
        <w:lastRenderedPageBreak/>
        <w:t>Chapter 4:</w:t>
      </w:r>
      <w:r w:rsidRPr="00A04269">
        <w:rPr>
          <w:rFonts w:eastAsiaTheme="majorEastAsia"/>
        </w:rPr>
        <w:t xml:space="preserve"> </w:t>
      </w:r>
      <w:r w:rsidR="00174BE9" w:rsidRPr="003C66A0">
        <w:rPr>
          <w:rFonts w:eastAsiaTheme="majorEastAsia"/>
        </w:rPr>
        <w:t>Methodological Approach and Research Philosophy</w:t>
      </w:r>
      <w:bookmarkEnd w:id="70"/>
    </w:p>
    <w:p w14:paraId="76CFAF73" w14:textId="77777777" w:rsidR="00A80D43" w:rsidRPr="00A80D43" w:rsidRDefault="00A80D43" w:rsidP="00B451D7">
      <w:pPr>
        <w:rPr>
          <w:rFonts w:eastAsiaTheme="majorEastAsia"/>
        </w:rPr>
      </w:pPr>
    </w:p>
    <w:p w14:paraId="358373D3" w14:textId="77777777" w:rsidR="008574C1" w:rsidRDefault="008574C1" w:rsidP="00B451D7">
      <w:pPr>
        <w:jc w:val="both"/>
        <w:rPr>
          <w:rFonts w:eastAsiaTheme="majorEastAsia"/>
          <w:bCs/>
          <w:color w:val="000000" w:themeColor="text1"/>
        </w:rPr>
      </w:pPr>
    </w:p>
    <w:p w14:paraId="10BB6B95" w14:textId="0D45F31F" w:rsidR="00287DBD" w:rsidRPr="003C66A0" w:rsidRDefault="00287DBD" w:rsidP="00B451D7">
      <w:pPr>
        <w:jc w:val="both"/>
        <w:rPr>
          <w:rFonts w:eastAsiaTheme="majorEastAsia"/>
          <w:bCs/>
          <w:color w:val="000000" w:themeColor="text1"/>
        </w:rPr>
      </w:pPr>
      <w:r w:rsidRPr="003C66A0">
        <w:rPr>
          <w:rFonts w:eastAsiaTheme="majorEastAsia"/>
          <w:bCs/>
          <w:color w:val="000000" w:themeColor="text1"/>
        </w:rPr>
        <w:t xml:space="preserve">This research employs a pragmatic mixed-methods approach to examine cryptocurrency passive income models </w:t>
      </w:r>
      <w:r w:rsidR="00B04C6E">
        <w:rPr>
          <w:rFonts w:eastAsiaTheme="majorEastAsia"/>
          <w:bCs/>
          <w:color w:val="000000" w:themeColor="text1"/>
        </w:rPr>
        <w:t>t</w:t>
      </w:r>
      <w:r w:rsidRPr="003C66A0">
        <w:rPr>
          <w:rFonts w:eastAsiaTheme="majorEastAsia"/>
          <w:bCs/>
          <w:color w:val="000000" w:themeColor="text1"/>
        </w:rPr>
        <w:t>he crypto markets are complicated and messy, as they evolve faster than academic publishing cycles. What worked yesterday might be obsolete today and who can really predi</w:t>
      </w:r>
      <w:r w:rsidR="008574C1">
        <w:rPr>
          <w:rFonts w:eastAsiaTheme="majorEastAsia"/>
          <w:bCs/>
          <w:color w:val="000000" w:themeColor="text1"/>
        </w:rPr>
        <w:t>c</w:t>
      </w:r>
      <w:r w:rsidRPr="003C66A0">
        <w:rPr>
          <w:rFonts w:eastAsiaTheme="majorEastAsia"/>
          <w:bCs/>
          <w:color w:val="000000" w:themeColor="text1"/>
        </w:rPr>
        <w:t xml:space="preserve">t what will </w:t>
      </w:r>
      <w:r w:rsidR="008574C1" w:rsidRPr="003C66A0">
        <w:rPr>
          <w:rFonts w:eastAsiaTheme="majorEastAsia"/>
          <w:bCs/>
          <w:color w:val="000000" w:themeColor="text1"/>
        </w:rPr>
        <w:t>work tomorrow</w:t>
      </w:r>
      <w:r w:rsidRPr="003C66A0">
        <w:rPr>
          <w:rFonts w:eastAsiaTheme="majorEastAsia"/>
          <w:bCs/>
          <w:color w:val="000000" w:themeColor="text1"/>
        </w:rPr>
        <w:t>. A pure quantitative analysis would miss the contextual factors that determine success or failure. It is not possible to regression-analyze the participants way of understanding why someone with $5,000 succeeds while another with $50,000 fails. Pure qualitative work will also not work as we lack the empirical grounding to make credible claims about viability (Creswell &amp; Plano Clark, 2017).</w:t>
      </w:r>
    </w:p>
    <w:p w14:paraId="011AFB24" w14:textId="77777777" w:rsidR="00287DBD" w:rsidRPr="003C66A0" w:rsidRDefault="00287DBD" w:rsidP="00B451D7">
      <w:pPr>
        <w:jc w:val="both"/>
        <w:rPr>
          <w:rFonts w:eastAsiaTheme="majorEastAsia"/>
          <w:bCs/>
          <w:color w:val="000000" w:themeColor="text1"/>
        </w:rPr>
      </w:pPr>
    </w:p>
    <w:p w14:paraId="0321368D" w14:textId="77777777" w:rsidR="00287DBD" w:rsidRPr="003C66A0" w:rsidRDefault="00287DBD" w:rsidP="00B451D7">
      <w:pPr>
        <w:jc w:val="both"/>
        <w:rPr>
          <w:rFonts w:eastAsiaTheme="majorEastAsia"/>
          <w:bCs/>
          <w:color w:val="000000" w:themeColor="text1"/>
        </w:rPr>
      </w:pPr>
      <w:r w:rsidRPr="003C66A0">
        <w:rPr>
          <w:rFonts w:eastAsiaTheme="majorEastAsia"/>
          <w:bCs/>
          <w:color w:val="000000" w:themeColor="text1"/>
        </w:rPr>
        <w:t>Because I take a pragmatic approach, I'm less concerned with keeping paradigms pure and more concerned with using the best methods to answer the research questions. When transaction data and participant interviews present conflicting narratives, this tension yields analytical productivity. The contradictions are just as important as the confirmations. They are often where the real insights are (Morgan, 2014).</w:t>
      </w:r>
    </w:p>
    <w:p w14:paraId="2C36619E" w14:textId="77777777" w:rsidR="00287DBD" w:rsidRPr="003C66A0" w:rsidRDefault="00287DBD" w:rsidP="00B451D7">
      <w:pPr>
        <w:jc w:val="both"/>
        <w:rPr>
          <w:rFonts w:eastAsiaTheme="majorEastAsia"/>
          <w:bCs/>
          <w:color w:val="000000" w:themeColor="text1"/>
        </w:rPr>
      </w:pPr>
    </w:p>
    <w:p w14:paraId="3D4BB7AF" w14:textId="68FCB3CD" w:rsidR="00287DBD" w:rsidRPr="003C66A0" w:rsidRDefault="00287DBD" w:rsidP="00B451D7">
      <w:pPr>
        <w:jc w:val="both"/>
        <w:rPr>
          <w:rFonts w:eastAsiaTheme="majorEastAsia"/>
          <w:bCs/>
          <w:color w:val="000000" w:themeColor="text1"/>
        </w:rPr>
      </w:pPr>
      <w:r w:rsidRPr="003C66A0">
        <w:rPr>
          <w:rFonts w:eastAsiaTheme="majorEastAsia"/>
          <w:bCs/>
          <w:color w:val="000000" w:themeColor="text1"/>
        </w:rPr>
        <w:t xml:space="preserve">This approach not only resulted in a record of </w:t>
      </w:r>
      <w:r w:rsidR="00A80D43" w:rsidRPr="003C66A0">
        <w:rPr>
          <w:rFonts w:eastAsiaTheme="majorEastAsia"/>
          <w:bCs/>
          <w:color w:val="000000" w:themeColor="text1"/>
        </w:rPr>
        <w:t>failure but</w:t>
      </w:r>
      <w:r w:rsidRPr="003C66A0">
        <w:rPr>
          <w:rFonts w:eastAsiaTheme="majorEastAsia"/>
          <w:bCs/>
          <w:color w:val="000000" w:themeColor="text1"/>
        </w:rPr>
        <w:t xml:space="preserve"> also contributed significantly to that outcome. Although the data did not show how this contributed to the failures but showed specific threshold conditions that make opportunities possible and viable. It is almost a three-dimensional space where capital, expertise, and market conditions </w:t>
      </w:r>
      <w:r w:rsidR="00A80D43" w:rsidRPr="003C66A0">
        <w:rPr>
          <w:rFonts w:eastAsiaTheme="majorEastAsia"/>
          <w:bCs/>
          <w:color w:val="000000" w:themeColor="text1"/>
        </w:rPr>
        <w:t>intersect,</w:t>
      </w:r>
      <w:r w:rsidRPr="003C66A0">
        <w:rPr>
          <w:rFonts w:eastAsiaTheme="majorEastAsia"/>
          <w:bCs/>
          <w:color w:val="000000" w:themeColor="text1"/>
        </w:rPr>
        <w:t xml:space="preserve"> and the right </w:t>
      </w:r>
      <w:r w:rsidR="001719A6" w:rsidRPr="003C66A0">
        <w:rPr>
          <w:rFonts w:eastAsiaTheme="majorEastAsia"/>
          <w:bCs/>
          <w:color w:val="000000" w:themeColor="text1"/>
        </w:rPr>
        <w:t>combination</w:t>
      </w:r>
      <w:r w:rsidRPr="003C66A0">
        <w:rPr>
          <w:rFonts w:eastAsiaTheme="majorEastAsia"/>
          <w:bCs/>
          <w:color w:val="000000" w:themeColor="text1"/>
        </w:rPr>
        <w:t xml:space="preserve"> even minimal-capital strategies can work. If one of the dimensions is missing or properly considered, the opportunity turns into a risky gamble.</w:t>
      </w:r>
    </w:p>
    <w:p w14:paraId="1CD2987E" w14:textId="77777777" w:rsidR="00287DBD" w:rsidRPr="003C66A0" w:rsidRDefault="00287DBD" w:rsidP="00B451D7">
      <w:pPr>
        <w:jc w:val="both"/>
        <w:rPr>
          <w:rFonts w:eastAsiaTheme="majorEastAsia"/>
          <w:bCs/>
          <w:color w:val="000000" w:themeColor="text1"/>
        </w:rPr>
      </w:pPr>
    </w:p>
    <w:p w14:paraId="5630E8BF" w14:textId="182C92CE" w:rsidR="00287DBD" w:rsidRPr="003C66A0" w:rsidRDefault="00287DBD" w:rsidP="00B451D7">
      <w:pPr>
        <w:jc w:val="both"/>
        <w:rPr>
          <w:rFonts w:eastAsiaTheme="majorEastAsia"/>
          <w:bCs/>
          <w:color w:val="000000" w:themeColor="text1"/>
        </w:rPr>
      </w:pPr>
      <w:r w:rsidRPr="003C66A0">
        <w:rPr>
          <w:rFonts w:eastAsiaTheme="majorEastAsia"/>
          <w:bCs/>
          <w:color w:val="000000" w:themeColor="text1"/>
        </w:rPr>
        <w:t xml:space="preserve">The research design embodies this through three interconnected components that continually </w:t>
      </w:r>
      <w:proofErr w:type="gramStart"/>
      <w:r w:rsidRPr="003C66A0">
        <w:rPr>
          <w:rFonts w:eastAsiaTheme="majorEastAsia"/>
          <w:bCs/>
          <w:color w:val="000000" w:themeColor="text1"/>
        </w:rPr>
        <w:t>required</w:t>
      </w:r>
      <w:proofErr w:type="gramEnd"/>
      <w:r w:rsidRPr="003C66A0">
        <w:rPr>
          <w:rFonts w:eastAsiaTheme="majorEastAsia"/>
          <w:bCs/>
          <w:color w:val="000000" w:themeColor="text1"/>
        </w:rPr>
        <w:t xml:space="preserve"> interactions, analysis, and adjustment. First, looking at transaction fees, liquidity positions, and return patterns in numbers gives the "what happened" part of the story. Second, qualitative research through interviews and case studies uncovers implementation realities that quantitative data cannot convey—addressing the "why it happened" aspect. Third, and this is where it gets intriguing, simulation modeling connects past performance with future possibilities. It allows us to get a better </w:t>
      </w:r>
      <w:r w:rsidR="001719A6" w:rsidRPr="003C66A0">
        <w:rPr>
          <w:rFonts w:eastAsiaTheme="majorEastAsia"/>
          <w:bCs/>
          <w:color w:val="000000" w:themeColor="text1"/>
        </w:rPr>
        <w:t>picture</w:t>
      </w:r>
      <w:r w:rsidRPr="003C66A0">
        <w:rPr>
          <w:rFonts w:eastAsiaTheme="majorEastAsia"/>
          <w:bCs/>
          <w:color w:val="000000" w:themeColor="text1"/>
        </w:rPr>
        <w:t xml:space="preserve"> of what combinations of conditions really create long-term opportunities (</w:t>
      </w:r>
      <w:proofErr w:type="spellStart"/>
      <w:r w:rsidRPr="003C66A0">
        <w:rPr>
          <w:rFonts w:eastAsiaTheme="majorEastAsia"/>
          <w:bCs/>
          <w:color w:val="000000" w:themeColor="text1"/>
        </w:rPr>
        <w:t>Tashakkori</w:t>
      </w:r>
      <w:proofErr w:type="spellEnd"/>
      <w:r w:rsidRPr="003C66A0">
        <w:rPr>
          <w:rFonts w:eastAsiaTheme="majorEastAsia"/>
          <w:bCs/>
          <w:color w:val="000000" w:themeColor="text1"/>
        </w:rPr>
        <w:t xml:space="preserve"> &amp; Teddlie, 2010).</w:t>
      </w:r>
    </w:p>
    <w:p w14:paraId="745DD6C6" w14:textId="77777777" w:rsidR="006B7A02" w:rsidRPr="003C66A0" w:rsidRDefault="006B7A02" w:rsidP="00B451D7">
      <w:pPr>
        <w:jc w:val="both"/>
        <w:rPr>
          <w:rFonts w:eastAsiaTheme="majorEastAsia"/>
          <w:bCs/>
          <w:color w:val="000000" w:themeColor="text1"/>
        </w:rPr>
      </w:pPr>
    </w:p>
    <w:p w14:paraId="7DA21219" w14:textId="541467B0" w:rsidR="00174BE9" w:rsidRDefault="008D6F57" w:rsidP="00B451D7">
      <w:pPr>
        <w:pStyle w:val="Heading2"/>
        <w:rPr>
          <w:rFonts w:eastAsiaTheme="majorEastAsia"/>
        </w:rPr>
      </w:pPr>
      <w:bookmarkStart w:id="71" w:name="_Toc214721877"/>
      <w:r w:rsidRPr="003C66A0">
        <w:rPr>
          <w:rFonts w:eastAsiaTheme="majorEastAsia"/>
        </w:rPr>
        <w:t>4</w:t>
      </w:r>
      <w:r w:rsidR="00174BE9" w:rsidRPr="003C66A0">
        <w:rPr>
          <w:rFonts w:eastAsiaTheme="majorEastAsia"/>
        </w:rPr>
        <w:t>.1 Market Capitalization and Growth Dynamics</w:t>
      </w:r>
      <w:bookmarkEnd w:id="71"/>
    </w:p>
    <w:p w14:paraId="36FEC2D4" w14:textId="77777777" w:rsidR="00A16108" w:rsidRPr="00A16108" w:rsidRDefault="00A16108" w:rsidP="00B451D7">
      <w:pPr>
        <w:rPr>
          <w:rFonts w:eastAsiaTheme="majorEastAsia"/>
        </w:rPr>
      </w:pPr>
    </w:p>
    <w:p w14:paraId="162B1245" w14:textId="77777777" w:rsidR="009061E3" w:rsidRPr="003C66A0" w:rsidRDefault="009061E3" w:rsidP="00B451D7">
      <w:pPr>
        <w:jc w:val="both"/>
        <w:rPr>
          <w:rFonts w:eastAsiaTheme="majorEastAsia"/>
          <w:bCs/>
          <w:color w:val="000000" w:themeColor="text1"/>
        </w:rPr>
      </w:pPr>
      <w:r w:rsidRPr="003C66A0">
        <w:rPr>
          <w:rFonts w:eastAsiaTheme="majorEastAsia"/>
          <w:bCs/>
          <w:color w:val="000000" w:themeColor="text1"/>
        </w:rPr>
        <w:t>Between 2020 and 2024, the bitcoin market went through transformations that caught nearly everyone off guard, especially considering how unregulated it had been until then. We saw economic shifts, new regulatory rules and laws, and technological advances all colliding at once, completely upending business models and frameworks that depended on transaction fees (Johnson &amp; Rivera, 2024). But previous analyses have not fully examined these. All the volatility and ups and downs were not random fluctuations. They followed patterns that, once understood, help identify when opportunities open and close.</w:t>
      </w:r>
    </w:p>
    <w:p w14:paraId="0D68B0CB" w14:textId="77777777" w:rsidR="009061E3" w:rsidRPr="003C66A0" w:rsidRDefault="009061E3" w:rsidP="00B451D7">
      <w:pPr>
        <w:jc w:val="both"/>
        <w:rPr>
          <w:rFonts w:eastAsiaTheme="majorEastAsia"/>
          <w:bCs/>
          <w:color w:val="000000" w:themeColor="text1"/>
        </w:rPr>
      </w:pPr>
    </w:p>
    <w:p w14:paraId="0453196B" w14:textId="77777777" w:rsidR="009061E3" w:rsidRPr="003C66A0" w:rsidRDefault="009061E3" w:rsidP="00B451D7">
      <w:pPr>
        <w:jc w:val="both"/>
        <w:rPr>
          <w:rFonts w:eastAsiaTheme="majorEastAsia"/>
          <w:bCs/>
          <w:color w:val="000000" w:themeColor="text1"/>
        </w:rPr>
      </w:pPr>
      <w:r w:rsidRPr="003C66A0">
        <w:rPr>
          <w:rFonts w:eastAsiaTheme="majorEastAsia"/>
          <w:bCs/>
          <w:color w:val="000000" w:themeColor="text1"/>
        </w:rPr>
        <w:t xml:space="preserve">The cryptocurrency market reached its highest point in 2021 with overall worth of USD 3 trillion. This surge came mainly from institutional investors finally getting on board, combined with retail traders flooding platforms like Coinbase. Bitcoin and Ethereum dominated, maintaining over 60% of the market value. Then came the crash. By the end of 2022, the total value </w:t>
      </w:r>
      <w:proofErr w:type="gramStart"/>
      <w:r w:rsidRPr="003C66A0">
        <w:rPr>
          <w:rFonts w:eastAsiaTheme="majorEastAsia"/>
          <w:bCs/>
          <w:color w:val="000000" w:themeColor="text1"/>
        </w:rPr>
        <w:t>was at</w:t>
      </w:r>
      <w:proofErr w:type="gramEnd"/>
      <w:r w:rsidRPr="003C66A0">
        <w:rPr>
          <w:rFonts w:eastAsiaTheme="majorEastAsia"/>
          <w:bCs/>
          <w:color w:val="000000" w:themeColor="text1"/>
        </w:rPr>
        <w:t xml:space="preserve"> 800 billion </w:t>
      </w:r>
      <w:r w:rsidRPr="003C66A0">
        <w:rPr>
          <w:rFonts w:eastAsiaTheme="majorEastAsia"/>
          <w:bCs/>
          <w:color w:val="000000" w:themeColor="text1"/>
        </w:rPr>
        <w:lastRenderedPageBreak/>
        <w:t>USD (Thompson et al., 2023). People claim that global inflation control efforts, the collapse of Terra/Luna, and the implosion of FTX are all true, but they don't provide a complete picture.</w:t>
      </w:r>
    </w:p>
    <w:p w14:paraId="0302BDCB" w14:textId="77777777" w:rsidR="009061E3" w:rsidRPr="003C66A0" w:rsidRDefault="009061E3" w:rsidP="00B451D7">
      <w:pPr>
        <w:jc w:val="both"/>
        <w:rPr>
          <w:rFonts w:eastAsiaTheme="majorEastAsia"/>
          <w:bCs/>
          <w:color w:val="000000" w:themeColor="text1"/>
        </w:rPr>
      </w:pPr>
    </w:p>
    <w:p w14:paraId="1B37D6C3" w14:textId="77777777" w:rsidR="009061E3" w:rsidRPr="003C66A0" w:rsidRDefault="009061E3" w:rsidP="00B451D7">
      <w:pPr>
        <w:jc w:val="both"/>
        <w:rPr>
          <w:rFonts w:eastAsiaTheme="majorEastAsia"/>
          <w:bCs/>
          <w:color w:val="000000" w:themeColor="text1"/>
        </w:rPr>
      </w:pPr>
      <w:proofErr w:type="gramStart"/>
      <w:r w:rsidRPr="003C66A0">
        <w:rPr>
          <w:rFonts w:eastAsiaTheme="majorEastAsia"/>
          <w:bCs/>
          <w:color w:val="000000" w:themeColor="text1"/>
        </w:rPr>
        <w:t>In reality, clever</w:t>
      </w:r>
      <w:proofErr w:type="gramEnd"/>
      <w:r w:rsidRPr="003C66A0">
        <w:rPr>
          <w:rFonts w:eastAsiaTheme="majorEastAsia"/>
          <w:bCs/>
          <w:color w:val="000000" w:themeColor="text1"/>
        </w:rPr>
        <w:t xml:space="preserve"> operators exploited the exposed structural flaws. The high-return opportunities were not long-lasting innovations; they were short-term arbitrage windows that happened because the market wasn't working right and there wasn't enough information asymmetry (Makarov &amp; Schoar, 2020). When institutional players came in with advanced tools, those windows closed. Those who did well weren't the best; they were the ones who saw the opportunity was temporary and extracted value before the pros arrived.</w:t>
      </w:r>
    </w:p>
    <w:p w14:paraId="4836AB4B" w14:textId="77777777" w:rsidR="009061E3" w:rsidRPr="003C66A0" w:rsidRDefault="009061E3" w:rsidP="00B451D7">
      <w:pPr>
        <w:jc w:val="both"/>
        <w:rPr>
          <w:rFonts w:eastAsiaTheme="majorEastAsia"/>
          <w:bCs/>
          <w:color w:val="000000" w:themeColor="text1"/>
        </w:rPr>
      </w:pPr>
    </w:p>
    <w:p w14:paraId="74562C6B" w14:textId="77777777" w:rsidR="009061E3" w:rsidRPr="003C66A0" w:rsidRDefault="009061E3" w:rsidP="00B451D7">
      <w:pPr>
        <w:jc w:val="both"/>
        <w:rPr>
          <w:rFonts w:eastAsiaTheme="majorEastAsia"/>
          <w:bCs/>
          <w:color w:val="000000" w:themeColor="text1"/>
        </w:rPr>
      </w:pPr>
      <w:r w:rsidRPr="003C66A0">
        <w:rPr>
          <w:rFonts w:eastAsiaTheme="majorEastAsia"/>
          <w:bCs/>
          <w:color w:val="000000" w:themeColor="text1"/>
        </w:rPr>
        <w:t>This is intriguing because it was the turning point when the market went from being mostly unregulated to being somewhat regulated, with the big changes already in place by 2024. It can be reasonably assumed that these kinds of big risks are now less likely to happen because such significant changes probably won't happen again anytime soon. Ironically, this stability both reduces opportunities and increases the certainty of those that remain (Campbell et al., 2023).</w:t>
      </w:r>
    </w:p>
    <w:p w14:paraId="28F2EC59" w14:textId="77777777" w:rsidR="009061E3" w:rsidRPr="003C66A0" w:rsidRDefault="009061E3" w:rsidP="00B451D7">
      <w:pPr>
        <w:jc w:val="both"/>
        <w:rPr>
          <w:rFonts w:eastAsiaTheme="majorEastAsia"/>
          <w:bCs/>
          <w:color w:val="000000" w:themeColor="text1"/>
        </w:rPr>
      </w:pPr>
    </w:p>
    <w:p w14:paraId="0A61E655" w14:textId="0F809D04" w:rsidR="009061E3" w:rsidRPr="003C66A0" w:rsidRDefault="009061E3" w:rsidP="00B451D7">
      <w:pPr>
        <w:jc w:val="both"/>
        <w:rPr>
          <w:rFonts w:eastAsiaTheme="majorEastAsia"/>
          <w:bCs/>
          <w:color w:val="000000" w:themeColor="text1"/>
        </w:rPr>
      </w:pPr>
      <w:r w:rsidRPr="003C66A0">
        <w:rPr>
          <w:rFonts w:eastAsiaTheme="majorEastAsia"/>
          <w:bCs/>
          <w:color w:val="000000" w:themeColor="text1"/>
        </w:rPr>
        <w:t xml:space="preserve">The market's recovery to 2.96 trillion USD by 2024 was very impressive, but the kinds of opportunities that were available have now changed completely. Johnson and Rivera (2024) note that fee-based revenue models </w:t>
      </w:r>
      <w:proofErr w:type="gramStart"/>
      <w:r w:rsidRPr="003C66A0">
        <w:rPr>
          <w:rFonts w:eastAsiaTheme="majorEastAsia"/>
          <w:bCs/>
          <w:color w:val="000000" w:themeColor="text1"/>
        </w:rPr>
        <w:t>actually thrived</w:t>
      </w:r>
      <w:proofErr w:type="gramEnd"/>
      <w:r w:rsidRPr="003C66A0">
        <w:rPr>
          <w:rFonts w:eastAsiaTheme="majorEastAsia"/>
          <w:bCs/>
          <w:color w:val="000000" w:themeColor="text1"/>
        </w:rPr>
        <w:t xml:space="preserve"> during the 2023 to 2024 recovery period—but only for participants meeting specific criteria. </w:t>
      </w:r>
      <w:r w:rsidR="00A16108" w:rsidRPr="003C66A0">
        <w:rPr>
          <w:rFonts w:eastAsiaTheme="majorEastAsia"/>
          <w:bCs/>
          <w:color w:val="000000" w:themeColor="text1"/>
        </w:rPr>
        <w:t>These included participants</w:t>
      </w:r>
      <w:r w:rsidRPr="003C66A0">
        <w:rPr>
          <w:rFonts w:eastAsiaTheme="majorEastAsia"/>
          <w:bCs/>
          <w:color w:val="000000" w:themeColor="text1"/>
        </w:rPr>
        <w:t xml:space="preserve"> needing either a lot of money (more than $100,000), specialized technical skills (like smart contract development or MEV extraction), or access to private deal flow. The democratic promise of DeFi had evolved into a more traditional financial hierarchy.</w:t>
      </w:r>
    </w:p>
    <w:p w14:paraId="35D6B5BE" w14:textId="77777777" w:rsidR="006B7A02" w:rsidRPr="003C66A0" w:rsidRDefault="006B7A02" w:rsidP="00B451D7">
      <w:pPr>
        <w:jc w:val="both"/>
        <w:rPr>
          <w:rFonts w:eastAsiaTheme="majorEastAsia"/>
          <w:bCs/>
          <w:color w:val="000000" w:themeColor="text1"/>
        </w:rPr>
      </w:pPr>
    </w:p>
    <w:p w14:paraId="5036E171" w14:textId="032B0BB4" w:rsidR="00783CEB" w:rsidRPr="003C66A0" w:rsidRDefault="00A65EC5" w:rsidP="00B451D7">
      <w:pPr>
        <w:jc w:val="both"/>
        <w:rPr>
          <w:rFonts w:eastAsiaTheme="majorEastAsia"/>
          <w:bCs/>
          <w:color w:val="000000" w:themeColor="text1"/>
        </w:rPr>
      </w:pPr>
      <w:r w:rsidRPr="003C66A0">
        <w:rPr>
          <w:rFonts w:eastAsiaTheme="majorEastAsia"/>
          <w:bCs/>
          <w:color w:val="000000" w:themeColor="text1"/>
        </w:rPr>
        <w:t xml:space="preserve">Different parts of the world adopted cryptocurrency at very different rates, which created geographic arbitrage opportunities that most Western analyses completely miss. People in developed areas mostly used well-known currencies like Bitcoin and Ethereum. But what about Latin America and Southeast Asia? People now fully accept cryptocurrency </w:t>
      </w:r>
      <w:proofErr w:type="gramStart"/>
      <w:r w:rsidRPr="003C66A0">
        <w:rPr>
          <w:rFonts w:eastAsiaTheme="majorEastAsia"/>
          <w:bCs/>
          <w:color w:val="000000" w:themeColor="text1"/>
        </w:rPr>
        <w:t>as a way to</w:t>
      </w:r>
      <w:proofErr w:type="gramEnd"/>
      <w:r w:rsidRPr="003C66A0">
        <w:rPr>
          <w:rFonts w:eastAsiaTheme="majorEastAsia"/>
          <w:bCs/>
          <w:color w:val="000000" w:themeColor="text1"/>
        </w:rPr>
        <w:t xml:space="preserve"> pay for things and </w:t>
      </w:r>
      <w:proofErr w:type="gramStart"/>
      <w:r w:rsidRPr="003C66A0">
        <w:rPr>
          <w:rFonts w:eastAsiaTheme="majorEastAsia"/>
          <w:bCs/>
          <w:color w:val="000000" w:themeColor="text1"/>
        </w:rPr>
        <w:t>as a way to</w:t>
      </w:r>
      <w:proofErr w:type="gramEnd"/>
      <w:r w:rsidRPr="003C66A0">
        <w:rPr>
          <w:rFonts w:eastAsiaTheme="majorEastAsia"/>
          <w:bCs/>
          <w:color w:val="000000" w:themeColor="text1"/>
        </w:rPr>
        <w:t xml:space="preserve"> protect against inflation. Someone with $5,000 in Brazil has a very different set of opportunities than someone with the same amount of money in San Francisco. The strategies that work aren't the same everywhere; they are very local.</w:t>
      </w:r>
    </w:p>
    <w:p w14:paraId="2DADC5ED" w14:textId="77777777" w:rsidR="00783CEB" w:rsidRDefault="00783CEB" w:rsidP="00B451D7">
      <w:pPr>
        <w:jc w:val="both"/>
        <w:rPr>
          <w:rFonts w:eastAsiaTheme="majorEastAsia"/>
          <w:bCs/>
          <w:i/>
          <w:iCs/>
          <w:color w:val="000000" w:themeColor="text1"/>
        </w:rPr>
      </w:pPr>
    </w:p>
    <w:p w14:paraId="7E02D9E7" w14:textId="2DAA5CCA" w:rsidR="00A80D43" w:rsidRPr="00D70F1D" w:rsidRDefault="00A80D43" w:rsidP="00B451D7">
      <w:pPr>
        <w:pStyle w:val="Heading3"/>
        <w:jc w:val="both"/>
        <w:rPr>
          <w:color w:val="000000" w:themeColor="text1"/>
        </w:rPr>
      </w:pPr>
      <w:bookmarkStart w:id="72" w:name="_Toc214721878"/>
      <w:r w:rsidRPr="00D70F1D">
        <w:rPr>
          <w:color w:val="000000" w:themeColor="text1"/>
        </w:rPr>
        <w:t>Table 4.A</w:t>
      </w:r>
      <w:r w:rsidR="00EF5179">
        <w:rPr>
          <w:color w:val="000000" w:themeColor="text1"/>
        </w:rPr>
        <w:t xml:space="preserve"> </w:t>
      </w:r>
      <w:r w:rsidR="00DA634F">
        <w:rPr>
          <w:color w:val="000000" w:themeColor="text1"/>
        </w:rPr>
        <w:t>Analysis and Simulation Overview</w:t>
      </w:r>
      <w:bookmarkEnd w:id="72"/>
    </w:p>
    <w:p w14:paraId="56823114" w14:textId="77777777" w:rsidR="00A80D43" w:rsidRPr="00A80D43" w:rsidRDefault="00A80D43" w:rsidP="00B451D7">
      <w:pPr>
        <w:rPr>
          <w:rFonts w:eastAsiaTheme="majorEastAsia"/>
        </w:rPr>
      </w:pPr>
    </w:p>
    <w:tbl>
      <w:tblPr>
        <w:tblW w:w="9350" w:type="dxa"/>
        <w:tblLook w:val="04A0" w:firstRow="1" w:lastRow="0" w:firstColumn="1" w:lastColumn="0" w:noHBand="0" w:noVBand="1"/>
      </w:tblPr>
      <w:tblGrid>
        <w:gridCol w:w="2034"/>
        <w:gridCol w:w="2034"/>
        <w:gridCol w:w="2830"/>
        <w:gridCol w:w="2452"/>
      </w:tblGrid>
      <w:tr w:rsidR="00FC334A" w:rsidRPr="003C66A0" w14:paraId="69855D16" w14:textId="77777777" w:rsidTr="007E640D">
        <w:trPr>
          <w:trHeight w:val="320"/>
        </w:trPr>
        <w:tc>
          <w:tcPr>
            <w:tcW w:w="2034" w:type="dxa"/>
            <w:tcBorders>
              <w:top w:val="single" w:sz="8" w:space="0" w:color="auto"/>
              <w:left w:val="single" w:sz="8" w:space="0" w:color="auto"/>
              <w:bottom w:val="single" w:sz="4" w:space="0" w:color="auto"/>
              <w:right w:val="single" w:sz="4" w:space="0" w:color="auto"/>
            </w:tcBorders>
            <w:shd w:val="clear" w:color="auto" w:fill="D9D9D9" w:themeFill="background1" w:themeFillShade="D9"/>
            <w:noWrap/>
            <w:vAlign w:val="bottom"/>
            <w:hideMark/>
          </w:tcPr>
          <w:p w14:paraId="34359122" w14:textId="77777777" w:rsidR="003204AC" w:rsidRPr="003C66A0" w:rsidRDefault="003204AC" w:rsidP="00B451D7">
            <w:pPr>
              <w:rPr>
                <w:b/>
                <w:bCs/>
                <w:color w:val="000000" w:themeColor="text1"/>
              </w:rPr>
            </w:pPr>
            <w:r w:rsidRPr="003C66A0">
              <w:rPr>
                <w:b/>
                <w:bCs/>
                <w:color w:val="000000" w:themeColor="text1"/>
              </w:rPr>
              <w:t>Component</w:t>
            </w:r>
          </w:p>
        </w:tc>
        <w:tc>
          <w:tcPr>
            <w:tcW w:w="2034" w:type="dxa"/>
            <w:tcBorders>
              <w:top w:val="single" w:sz="8" w:space="0" w:color="auto"/>
              <w:left w:val="nil"/>
              <w:bottom w:val="single" w:sz="4" w:space="0" w:color="auto"/>
              <w:right w:val="single" w:sz="4" w:space="0" w:color="auto"/>
            </w:tcBorders>
            <w:shd w:val="clear" w:color="auto" w:fill="D9D9D9" w:themeFill="background1" w:themeFillShade="D9"/>
            <w:noWrap/>
            <w:vAlign w:val="bottom"/>
            <w:hideMark/>
          </w:tcPr>
          <w:p w14:paraId="060D9275" w14:textId="77777777" w:rsidR="003204AC" w:rsidRPr="003C66A0" w:rsidRDefault="003204AC" w:rsidP="00B451D7">
            <w:pPr>
              <w:rPr>
                <w:b/>
                <w:bCs/>
                <w:color w:val="000000" w:themeColor="text1"/>
              </w:rPr>
            </w:pPr>
            <w:r w:rsidRPr="003C66A0">
              <w:rPr>
                <w:b/>
                <w:bCs/>
                <w:color w:val="000000" w:themeColor="text1"/>
              </w:rPr>
              <w:t>Method</w:t>
            </w:r>
          </w:p>
        </w:tc>
        <w:tc>
          <w:tcPr>
            <w:tcW w:w="2830" w:type="dxa"/>
            <w:tcBorders>
              <w:top w:val="single" w:sz="8" w:space="0" w:color="auto"/>
              <w:left w:val="nil"/>
              <w:bottom w:val="single" w:sz="4" w:space="0" w:color="auto"/>
              <w:right w:val="single" w:sz="4" w:space="0" w:color="auto"/>
            </w:tcBorders>
            <w:shd w:val="clear" w:color="auto" w:fill="D9D9D9" w:themeFill="background1" w:themeFillShade="D9"/>
            <w:noWrap/>
            <w:vAlign w:val="bottom"/>
            <w:hideMark/>
          </w:tcPr>
          <w:p w14:paraId="51B84275" w14:textId="77777777" w:rsidR="003204AC" w:rsidRPr="003C66A0" w:rsidRDefault="003204AC" w:rsidP="00B451D7">
            <w:pPr>
              <w:rPr>
                <w:b/>
                <w:bCs/>
                <w:color w:val="000000" w:themeColor="text1"/>
              </w:rPr>
            </w:pPr>
            <w:r w:rsidRPr="003C66A0">
              <w:rPr>
                <w:b/>
                <w:bCs/>
                <w:color w:val="000000" w:themeColor="text1"/>
              </w:rPr>
              <w:t>Purpose</w:t>
            </w:r>
          </w:p>
        </w:tc>
        <w:tc>
          <w:tcPr>
            <w:tcW w:w="2452" w:type="dxa"/>
            <w:tcBorders>
              <w:top w:val="single" w:sz="8" w:space="0" w:color="auto"/>
              <w:left w:val="nil"/>
              <w:bottom w:val="single" w:sz="4" w:space="0" w:color="auto"/>
              <w:right w:val="single" w:sz="8" w:space="0" w:color="auto"/>
            </w:tcBorders>
            <w:shd w:val="clear" w:color="auto" w:fill="D9D9D9" w:themeFill="background1" w:themeFillShade="D9"/>
            <w:noWrap/>
            <w:vAlign w:val="bottom"/>
            <w:hideMark/>
          </w:tcPr>
          <w:p w14:paraId="24DA65F0" w14:textId="77777777" w:rsidR="003204AC" w:rsidRPr="003C66A0" w:rsidRDefault="003204AC" w:rsidP="00B451D7">
            <w:pPr>
              <w:rPr>
                <w:b/>
                <w:bCs/>
                <w:color w:val="000000" w:themeColor="text1"/>
              </w:rPr>
            </w:pPr>
            <w:r w:rsidRPr="003C66A0">
              <w:rPr>
                <w:b/>
                <w:bCs/>
                <w:color w:val="000000" w:themeColor="text1"/>
              </w:rPr>
              <w:t>Sample Size</w:t>
            </w:r>
          </w:p>
        </w:tc>
      </w:tr>
      <w:tr w:rsidR="00FC334A" w:rsidRPr="003C66A0" w14:paraId="5445A09C" w14:textId="77777777" w:rsidTr="007E640D">
        <w:trPr>
          <w:trHeight w:val="320"/>
        </w:trPr>
        <w:tc>
          <w:tcPr>
            <w:tcW w:w="2034" w:type="dxa"/>
            <w:tcBorders>
              <w:top w:val="nil"/>
              <w:left w:val="single" w:sz="8" w:space="0" w:color="auto"/>
              <w:bottom w:val="single" w:sz="4" w:space="0" w:color="auto"/>
              <w:right w:val="single" w:sz="4" w:space="0" w:color="auto"/>
            </w:tcBorders>
            <w:shd w:val="clear" w:color="auto" w:fill="D9D9D9" w:themeFill="background1" w:themeFillShade="D9"/>
            <w:noWrap/>
            <w:vAlign w:val="bottom"/>
            <w:hideMark/>
          </w:tcPr>
          <w:p w14:paraId="3C50F7F9" w14:textId="77777777" w:rsidR="003204AC" w:rsidRPr="003C66A0" w:rsidRDefault="003204AC" w:rsidP="00B451D7">
            <w:pPr>
              <w:rPr>
                <w:b/>
                <w:bCs/>
                <w:color w:val="000000" w:themeColor="text1"/>
              </w:rPr>
            </w:pPr>
            <w:r w:rsidRPr="003C66A0">
              <w:rPr>
                <w:b/>
                <w:bCs/>
                <w:color w:val="000000" w:themeColor="text1"/>
              </w:rPr>
              <w:t>Quantitative Analysis</w:t>
            </w:r>
          </w:p>
        </w:tc>
        <w:tc>
          <w:tcPr>
            <w:tcW w:w="2034" w:type="dxa"/>
            <w:tcBorders>
              <w:top w:val="nil"/>
              <w:left w:val="nil"/>
              <w:bottom w:val="single" w:sz="4" w:space="0" w:color="auto"/>
              <w:right w:val="single" w:sz="4" w:space="0" w:color="auto"/>
            </w:tcBorders>
            <w:noWrap/>
            <w:vAlign w:val="bottom"/>
            <w:hideMark/>
          </w:tcPr>
          <w:p w14:paraId="0945E347" w14:textId="77777777" w:rsidR="003204AC" w:rsidRPr="003C66A0" w:rsidRDefault="003204AC" w:rsidP="00B451D7">
            <w:pPr>
              <w:rPr>
                <w:color w:val="000000" w:themeColor="text1"/>
              </w:rPr>
            </w:pPr>
            <w:r w:rsidRPr="003C66A0">
              <w:rPr>
                <w:color w:val="000000" w:themeColor="text1"/>
              </w:rPr>
              <w:t>Transaction tracking</w:t>
            </w:r>
          </w:p>
        </w:tc>
        <w:tc>
          <w:tcPr>
            <w:tcW w:w="2830" w:type="dxa"/>
            <w:tcBorders>
              <w:top w:val="nil"/>
              <w:left w:val="nil"/>
              <w:bottom w:val="single" w:sz="4" w:space="0" w:color="auto"/>
              <w:right w:val="single" w:sz="4" w:space="0" w:color="auto"/>
            </w:tcBorders>
            <w:noWrap/>
            <w:vAlign w:val="bottom"/>
            <w:hideMark/>
          </w:tcPr>
          <w:p w14:paraId="592CC9C6" w14:textId="77777777" w:rsidR="003204AC" w:rsidRPr="003C66A0" w:rsidRDefault="003204AC" w:rsidP="00B451D7">
            <w:pPr>
              <w:rPr>
                <w:color w:val="000000" w:themeColor="text1"/>
              </w:rPr>
            </w:pPr>
            <w:r w:rsidRPr="003C66A0">
              <w:rPr>
                <w:color w:val="000000" w:themeColor="text1"/>
              </w:rPr>
              <w:t xml:space="preserve">Empirical </w:t>
            </w:r>
            <w:proofErr w:type="gramStart"/>
            <w:r w:rsidRPr="003C66A0">
              <w:rPr>
                <w:color w:val="000000" w:themeColor="text1"/>
              </w:rPr>
              <w:t>returns</w:t>
            </w:r>
            <w:proofErr w:type="gramEnd"/>
            <w:r w:rsidRPr="003C66A0">
              <w:rPr>
                <w:color w:val="000000" w:themeColor="text1"/>
              </w:rPr>
              <w:t xml:space="preserve"> documentation</w:t>
            </w:r>
          </w:p>
        </w:tc>
        <w:tc>
          <w:tcPr>
            <w:tcW w:w="2452" w:type="dxa"/>
            <w:tcBorders>
              <w:top w:val="nil"/>
              <w:left w:val="nil"/>
              <w:bottom w:val="single" w:sz="4" w:space="0" w:color="auto"/>
              <w:right w:val="single" w:sz="8" w:space="0" w:color="auto"/>
            </w:tcBorders>
            <w:noWrap/>
            <w:vAlign w:val="bottom"/>
            <w:hideMark/>
          </w:tcPr>
          <w:p w14:paraId="26458680" w14:textId="77777777" w:rsidR="003204AC" w:rsidRPr="003C66A0" w:rsidRDefault="003204AC" w:rsidP="00B451D7">
            <w:pPr>
              <w:rPr>
                <w:color w:val="000000" w:themeColor="text1"/>
              </w:rPr>
            </w:pPr>
            <w:r w:rsidRPr="003C66A0">
              <w:rPr>
                <w:color w:val="000000" w:themeColor="text1"/>
              </w:rPr>
              <w:t>3.27M transactions</w:t>
            </w:r>
          </w:p>
        </w:tc>
      </w:tr>
      <w:tr w:rsidR="00FC334A" w:rsidRPr="003C66A0" w14:paraId="1617DCAF" w14:textId="77777777" w:rsidTr="007E640D">
        <w:trPr>
          <w:trHeight w:val="320"/>
        </w:trPr>
        <w:tc>
          <w:tcPr>
            <w:tcW w:w="2034" w:type="dxa"/>
            <w:tcBorders>
              <w:top w:val="nil"/>
              <w:left w:val="single" w:sz="8" w:space="0" w:color="auto"/>
              <w:bottom w:val="single" w:sz="4" w:space="0" w:color="auto"/>
              <w:right w:val="single" w:sz="4" w:space="0" w:color="auto"/>
            </w:tcBorders>
            <w:shd w:val="clear" w:color="auto" w:fill="D9D9D9" w:themeFill="background1" w:themeFillShade="D9"/>
            <w:noWrap/>
            <w:vAlign w:val="bottom"/>
            <w:hideMark/>
          </w:tcPr>
          <w:p w14:paraId="0E2F5EC9" w14:textId="77777777" w:rsidR="003204AC" w:rsidRPr="003C66A0" w:rsidRDefault="003204AC" w:rsidP="00B451D7">
            <w:pPr>
              <w:rPr>
                <w:b/>
                <w:bCs/>
                <w:color w:val="000000" w:themeColor="text1"/>
              </w:rPr>
            </w:pPr>
            <w:r w:rsidRPr="003C66A0">
              <w:rPr>
                <w:b/>
                <w:bCs/>
                <w:color w:val="000000" w:themeColor="text1"/>
              </w:rPr>
              <w:t>Position Tracking</w:t>
            </w:r>
          </w:p>
        </w:tc>
        <w:tc>
          <w:tcPr>
            <w:tcW w:w="2034" w:type="dxa"/>
            <w:tcBorders>
              <w:top w:val="nil"/>
              <w:left w:val="nil"/>
              <w:bottom w:val="single" w:sz="4" w:space="0" w:color="auto"/>
              <w:right w:val="single" w:sz="4" w:space="0" w:color="auto"/>
            </w:tcBorders>
            <w:noWrap/>
            <w:vAlign w:val="bottom"/>
            <w:hideMark/>
          </w:tcPr>
          <w:p w14:paraId="4A53FDE4" w14:textId="77777777" w:rsidR="003204AC" w:rsidRPr="003C66A0" w:rsidRDefault="003204AC" w:rsidP="00B451D7">
            <w:pPr>
              <w:rPr>
                <w:color w:val="000000" w:themeColor="text1"/>
              </w:rPr>
            </w:pPr>
            <w:r w:rsidRPr="003C66A0">
              <w:rPr>
                <w:color w:val="000000" w:themeColor="text1"/>
              </w:rPr>
              <w:t>90+ day observation</w:t>
            </w:r>
          </w:p>
        </w:tc>
        <w:tc>
          <w:tcPr>
            <w:tcW w:w="2830" w:type="dxa"/>
            <w:tcBorders>
              <w:top w:val="nil"/>
              <w:left w:val="nil"/>
              <w:bottom w:val="single" w:sz="4" w:space="0" w:color="auto"/>
              <w:right w:val="single" w:sz="4" w:space="0" w:color="auto"/>
            </w:tcBorders>
            <w:noWrap/>
            <w:vAlign w:val="bottom"/>
            <w:hideMark/>
          </w:tcPr>
          <w:p w14:paraId="133FE880" w14:textId="77777777" w:rsidR="003204AC" w:rsidRPr="003C66A0" w:rsidRDefault="003204AC" w:rsidP="00B451D7">
            <w:pPr>
              <w:rPr>
                <w:color w:val="000000" w:themeColor="text1"/>
              </w:rPr>
            </w:pPr>
            <w:r w:rsidRPr="003C66A0">
              <w:rPr>
                <w:color w:val="000000" w:themeColor="text1"/>
              </w:rPr>
              <w:t>Performance measurement</w:t>
            </w:r>
          </w:p>
        </w:tc>
        <w:tc>
          <w:tcPr>
            <w:tcW w:w="2452" w:type="dxa"/>
            <w:tcBorders>
              <w:top w:val="nil"/>
              <w:left w:val="nil"/>
              <w:bottom w:val="single" w:sz="4" w:space="0" w:color="auto"/>
              <w:right w:val="single" w:sz="8" w:space="0" w:color="auto"/>
            </w:tcBorders>
            <w:noWrap/>
            <w:vAlign w:val="bottom"/>
            <w:hideMark/>
          </w:tcPr>
          <w:p w14:paraId="15C733B8" w14:textId="77777777" w:rsidR="003204AC" w:rsidRPr="003C66A0" w:rsidRDefault="003204AC" w:rsidP="00B451D7">
            <w:pPr>
              <w:rPr>
                <w:color w:val="000000" w:themeColor="text1"/>
              </w:rPr>
            </w:pPr>
            <w:r w:rsidRPr="003C66A0">
              <w:rPr>
                <w:color w:val="000000" w:themeColor="text1"/>
              </w:rPr>
              <w:t>156 positions</w:t>
            </w:r>
          </w:p>
        </w:tc>
      </w:tr>
      <w:tr w:rsidR="00FC334A" w:rsidRPr="003C66A0" w14:paraId="25CCD5BE" w14:textId="77777777" w:rsidTr="007E640D">
        <w:trPr>
          <w:trHeight w:val="320"/>
        </w:trPr>
        <w:tc>
          <w:tcPr>
            <w:tcW w:w="2034" w:type="dxa"/>
            <w:tcBorders>
              <w:top w:val="nil"/>
              <w:left w:val="single" w:sz="8" w:space="0" w:color="auto"/>
              <w:bottom w:val="single" w:sz="4" w:space="0" w:color="auto"/>
              <w:right w:val="single" w:sz="4" w:space="0" w:color="auto"/>
            </w:tcBorders>
            <w:shd w:val="clear" w:color="auto" w:fill="D9D9D9" w:themeFill="background1" w:themeFillShade="D9"/>
            <w:noWrap/>
            <w:vAlign w:val="bottom"/>
            <w:hideMark/>
          </w:tcPr>
          <w:p w14:paraId="2C79D9F3" w14:textId="77777777" w:rsidR="003204AC" w:rsidRPr="003C66A0" w:rsidRDefault="003204AC" w:rsidP="00B451D7">
            <w:pPr>
              <w:rPr>
                <w:b/>
                <w:bCs/>
                <w:color w:val="000000" w:themeColor="text1"/>
              </w:rPr>
            </w:pPr>
            <w:r w:rsidRPr="003C66A0">
              <w:rPr>
                <w:b/>
                <w:bCs/>
                <w:color w:val="000000" w:themeColor="text1"/>
              </w:rPr>
              <w:t>Qualitative Analysis</w:t>
            </w:r>
          </w:p>
        </w:tc>
        <w:tc>
          <w:tcPr>
            <w:tcW w:w="2034" w:type="dxa"/>
            <w:tcBorders>
              <w:top w:val="nil"/>
              <w:left w:val="nil"/>
              <w:bottom w:val="single" w:sz="4" w:space="0" w:color="auto"/>
              <w:right w:val="single" w:sz="4" w:space="0" w:color="auto"/>
            </w:tcBorders>
            <w:noWrap/>
            <w:vAlign w:val="bottom"/>
            <w:hideMark/>
          </w:tcPr>
          <w:p w14:paraId="59AB17D7" w14:textId="77777777" w:rsidR="003204AC" w:rsidRPr="003C66A0" w:rsidRDefault="003204AC" w:rsidP="00B451D7">
            <w:pPr>
              <w:rPr>
                <w:color w:val="000000" w:themeColor="text1"/>
              </w:rPr>
            </w:pPr>
            <w:r w:rsidRPr="003C66A0">
              <w:rPr>
                <w:color w:val="000000" w:themeColor="text1"/>
              </w:rPr>
              <w:t>Semi-structured interviews</w:t>
            </w:r>
          </w:p>
        </w:tc>
        <w:tc>
          <w:tcPr>
            <w:tcW w:w="2830" w:type="dxa"/>
            <w:tcBorders>
              <w:top w:val="nil"/>
              <w:left w:val="nil"/>
              <w:bottom w:val="single" w:sz="4" w:space="0" w:color="auto"/>
              <w:right w:val="single" w:sz="4" w:space="0" w:color="auto"/>
            </w:tcBorders>
            <w:noWrap/>
            <w:vAlign w:val="bottom"/>
            <w:hideMark/>
          </w:tcPr>
          <w:p w14:paraId="13BE87C6" w14:textId="77777777" w:rsidR="003204AC" w:rsidRPr="003C66A0" w:rsidRDefault="003204AC" w:rsidP="00B451D7">
            <w:pPr>
              <w:rPr>
                <w:color w:val="000000" w:themeColor="text1"/>
              </w:rPr>
            </w:pPr>
            <w:r w:rsidRPr="003C66A0">
              <w:rPr>
                <w:color w:val="000000" w:themeColor="text1"/>
              </w:rPr>
              <w:t>Context and decision-making</w:t>
            </w:r>
          </w:p>
        </w:tc>
        <w:tc>
          <w:tcPr>
            <w:tcW w:w="2452" w:type="dxa"/>
            <w:tcBorders>
              <w:top w:val="nil"/>
              <w:left w:val="nil"/>
              <w:bottom w:val="single" w:sz="4" w:space="0" w:color="auto"/>
              <w:right w:val="single" w:sz="8" w:space="0" w:color="auto"/>
            </w:tcBorders>
            <w:noWrap/>
            <w:vAlign w:val="bottom"/>
            <w:hideMark/>
          </w:tcPr>
          <w:p w14:paraId="0F6B634A" w14:textId="77777777" w:rsidR="003204AC" w:rsidRPr="003C66A0" w:rsidRDefault="003204AC" w:rsidP="00B451D7">
            <w:pPr>
              <w:rPr>
                <w:color w:val="000000" w:themeColor="text1"/>
              </w:rPr>
            </w:pPr>
            <w:r w:rsidRPr="003C66A0">
              <w:rPr>
                <w:color w:val="000000" w:themeColor="text1"/>
              </w:rPr>
              <w:t>27 participants</w:t>
            </w:r>
          </w:p>
        </w:tc>
      </w:tr>
      <w:tr w:rsidR="00FC334A" w:rsidRPr="003C66A0" w14:paraId="6F199DBA" w14:textId="77777777" w:rsidTr="007E640D">
        <w:trPr>
          <w:trHeight w:val="340"/>
        </w:trPr>
        <w:tc>
          <w:tcPr>
            <w:tcW w:w="2034" w:type="dxa"/>
            <w:tcBorders>
              <w:top w:val="nil"/>
              <w:left w:val="single" w:sz="8" w:space="0" w:color="auto"/>
              <w:bottom w:val="single" w:sz="8" w:space="0" w:color="auto"/>
              <w:right w:val="single" w:sz="4" w:space="0" w:color="auto"/>
            </w:tcBorders>
            <w:shd w:val="clear" w:color="auto" w:fill="D9D9D9" w:themeFill="background1" w:themeFillShade="D9"/>
            <w:noWrap/>
            <w:vAlign w:val="bottom"/>
            <w:hideMark/>
          </w:tcPr>
          <w:p w14:paraId="3E3094EB" w14:textId="77777777" w:rsidR="003204AC" w:rsidRPr="003C66A0" w:rsidRDefault="003204AC" w:rsidP="00B451D7">
            <w:pPr>
              <w:rPr>
                <w:b/>
                <w:bCs/>
                <w:color w:val="000000" w:themeColor="text1"/>
              </w:rPr>
            </w:pPr>
            <w:r w:rsidRPr="003C66A0">
              <w:rPr>
                <w:b/>
                <w:bCs/>
                <w:color w:val="000000" w:themeColor="text1"/>
              </w:rPr>
              <w:t>Simulation</w:t>
            </w:r>
          </w:p>
        </w:tc>
        <w:tc>
          <w:tcPr>
            <w:tcW w:w="2034" w:type="dxa"/>
            <w:tcBorders>
              <w:top w:val="nil"/>
              <w:left w:val="nil"/>
              <w:bottom w:val="single" w:sz="8" w:space="0" w:color="auto"/>
              <w:right w:val="single" w:sz="4" w:space="0" w:color="auto"/>
            </w:tcBorders>
            <w:noWrap/>
            <w:vAlign w:val="bottom"/>
            <w:hideMark/>
          </w:tcPr>
          <w:p w14:paraId="68CDCC5E" w14:textId="77777777" w:rsidR="003204AC" w:rsidRPr="003C66A0" w:rsidRDefault="003204AC" w:rsidP="00B451D7">
            <w:pPr>
              <w:rPr>
                <w:color w:val="000000" w:themeColor="text1"/>
              </w:rPr>
            </w:pPr>
            <w:r w:rsidRPr="003C66A0">
              <w:rPr>
                <w:color w:val="000000" w:themeColor="text1"/>
              </w:rPr>
              <w:t>Agent-based modeling</w:t>
            </w:r>
          </w:p>
        </w:tc>
        <w:tc>
          <w:tcPr>
            <w:tcW w:w="2830" w:type="dxa"/>
            <w:tcBorders>
              <w:top w:val="nil"/>
              <w:left w:val="nil"/>
              <w:bottom w:val="single" w:sz="8" w:space="0" w:color="auto"/>
              <w:right w:val="single" w:sz="4" w:space="0" w:color="auto"/>
            </w:tcBorders>
            <w:noWrap/>
            <w:vAlign w:val="bottom"/>
            <w:hideMark/>
          </w:tcPr>
          <w:p w14:paraId="3A26198D" w14:textId="77777777" w:rsidR="003204AC" w:rsidRPr="003C66A0" w:rsidRDefault="003204AC" w:rsidP="00B451D7">
            <w:pPr>
              <w:rPr>
                <w:color w:val="000000" w:themeColor="text1"/>
              </w:rPr>
            </w:pPr>
            <w:r w:rsidRPr="003C66A0">
              <w:rPr>
                <w:color w:val="000000" w:themeColor="text1"/>
              </w:rPr>
              <w:t>Future scenario testing</w:t>
            </w:r>
          </w:p>
        </w:tc>
        <w:tc>
          <w:tcPr>
            <w:tcW w:w="2452" w:type="dxa"/>
            <w:tcBorders>
              <w:top w:val="nil"/>
              <w:left w:val="nil"/>
              <w:bottom w:val="single" w:sz="8" w:space="0" w:color="auto"/>
              <w:right w:val="single" w:sz="8" w:space="0" w:color="auto"/>
            </w:tcBorders>
            <w:noWrap/>
            <w:vAlign w:val="bottom"/>
            <w:hideMark/>
          </w:tcPr>
          <w:p w14:paraId="62AF032C" w14:textId="77777777" w:rsidR="003204AC" w:rsidRPr="003C66A0" w:rsidRDefault="003204AC" w:rsidP="00B451D7">
            <w:pPr>
              <w:rPr>
                <w:color w:val="000000" w:themeColor="text1"/>
              </w:rPr>
            </w:pPr>
            <w:r w:rsidRPr="003C66A0">
              <w:rPr>
                <w:color w:val="000000" w:themeColor="text1"/>
              </w:rPr>
              <w:t>10000 synthetic agents</w:t>
            </w:r>
          </w:p>
        </w:tc>
      </w:tr>
    </w:tbl>
    <w:p w14:paraId="6B070702" w14:textId="2DF36F7B" w:rsidR="003204AC" w:rsidRPr="001826A1" w:rsidRDefault="003204AC" w:rsidP="00B451D7">
      <w:pPr>
        <w:jc w:val="both"/>
        <w:rPr>
          <w:rFonts w:eastAsiaTheme="majorEastAsia"/>
          <w:i/>
          <w:iCs/>
          <w:color w:val="000000" w:themeColor="text1"/>
          <w:sz w:val="22"/>
          <w:szCs w:val="22"/>
        </w:rPr>
      </w:pPr>
      <w:r w:rsidRPr="001826A1">
        <w:rPr>
          <w:rFonts w:eastAsiaTheme="majorEastAsia"/>
          <w:i/>
          <w:iCs/>
          <w:color w:val="000000" w:themeColor="text1"/>
          <w:sz w:val="22"/>
          <w:szCs w:val="22"/>
        </w:rPr>
        <w:t>Note: This mixed-methods approach captures both breadth (3.27M transactions) and depth (27 interviews), enabling triangulation between what happened (quantitative) and why it happened (qualitative).</w:t>
      </w:r>
    </w:p>
    <w:p w14:paraId="6D39C44C" w14:textId="77777777" w:rsidR="003204AC" w:rsidRPr="003C66A0" w:rsidRDefault="003204AC" w:rsidP="00B451D7">
      <w:pPr>
        <w:jc w:val="both"/>
        <w:rPr>
          <w:rFonts w:eastAsiaTheme="majorEastAsia"/>
          <w:bCs/>
          <w:color w:val="000000" w:themeColor="text1"/>
        </w:rPr>
      </w:pPr>
    </w:p>
    <w:p w14:paraId="45B063AD" w14:textId="6E1941D8" w:rsidR="001E245B" w:rsidRPr="003C66A0" w:rsidRDefault="008D6F57" w:rsidP="00B451D7">
      <w:pPr>
        <w:pStyle w:val="Heading3"/>
        <w:rPr>
          <w:rFonts w:eastAsiaTheme="majorEastAsia"/>
        </w:rPr>
      </w:pPr>
      <w:bookmarkStart w:id="73" w:name="_Toc214721879"/>
      <w:r w:rsidRPr="003C66A0">
        <w:rPr>
          <w:rFonts w:eastAsiaTheme="majorEastAsia"/>
        </w:rPr>
        <w:t>4</w:t>
      </w:r>
      <w:r w:rsidR="001E245B" w:rsidRPr="003C66A0">
        <w:rPr>
          <w:rFonts w:eastAsiaTheme="majorEastAsia"/>
        </w:rPr>
        <w:t>.1.1 Sampling Strategy Justification</w:t>
      </w:r>
      <w:bookmarkEnd w:id="73"/>
      <w:r w:rsidR="001E245B" w:rsidRPr="003C66A0">
        <w:rPr>
          <w:rFonts w:eastAsiaTheme="majorEastAsia"/>
        </w:rPr>
        <w:t xml:space="preserve"> </w:t>
      </w:r>
    </w:p>
    <w:p w14:paraId="56D8A47F" w14:textId="77777777" w:rsidR="00A65EC5" w:rsidRPr="003C66A0" w:rsidRDefault="00A65EC5" w:rsidP="00B451D7">
      <w:pPr>
        <w:jc w:val="both"/>
        <w:rPr>
          <w:rFonts w:eastAsiaTheme="majorEastAsia"/>
          <w:color w:val="000000" w:themeColor="text1"/>
        </w:rPr>
      </w:pPr>
      <w:r w:rsidRPr="003C66A0">
        <w:rPr>
          <w:rFonts w:eastAsiaTheme="majorEastAsia"/>
          <w:color w:val="000000" w:themeColor="text1"/>
        </w:rPr>
        <w:lastRenderedPageBreak/>
        <w:t>The selection of purposive sampling instead of probability sampling necessitates clear justification due to its consequences for generalizability. Following Yin's (2018) framework, this research seeks analytical generalization to theoretical propositions rather than statistical generalization to populations. Consequently, all quantitative results (failure rates, return percentages, capital thresholds) delineate patterns within my specific sample and cannot be generalized to represent all participants in my sample. The DeFi ecosystem during 2020-2024 represents what Teddlie and Yu (2007) classify as a nascent market with undefined population parameters—protocols launch and fail weekly, participants are pseudonymous, and no census exists.</w:t>
      </w:r>
    </w:p>
    <w:p w14:paraId="502B832A" w14:textId="77777777" w:rsidR="00A65EC5" w:rsidRPr="003C66A0" w:rsidRDefault="00A65EC5" w:rsidP="00B451D7">
      <w:pPr>
        <w:jc w:val="both"/>
        <w:rPr>
          <w:rFonts w:eastAsiaTheme="majorEastAsia"/>
          <w:color w:val="000000" w:themeColor="text1"/>
        </w:rPr>
      </w:pPr>
    </w:p>
    <w:p w14:paraId="3053B2BB" w14:textId="77777777" w:rsidR="00A65EC5" w:rsidRPr="003C66A0" w:rsidRDefault="00A65EC5" w:rsidP="00B451D7">
      <w:pPr>
        <w:jc w:val="both"/>
        <w:rPr>
          <w:rFonts w:eastAsiaTheme="majorEastAsia"/>
          <w:color w:val="000000" w:themeColor="text1"/>
        </w:rPr>
      </w:pPr>
      <w:r w:rsidRPr="003C66A0">
        <w:rPr>
          <w:rFonts w:eastAsiaTheme="majorEastAsia"/>
          <w:color w:val="000000" w:themeColor="text1"/>
        </w:rPr>
        <w:t>The stratified purposive sampling employed here follows Miles and Huberman's (1994) maximum variation strategy across four dimensions: capital ranges ($500-$100,000+), asset types (stablecoin/correlated/volatile), management approaches (passive/active/automated), and network selection (</w:t>
      </w:r>
      <w:proofErr w:type="spellStart"/>
      <w:r w:rsidRPr="003C66A0">
        <w:rPr>
          <w:rFonts w:eastAsiaTheme="majorEastAsia"/>
          <w:color w:val="000000" w:themeColor="text1"/>
        </w:rPr>
        <w:t>mainnet</w:t>
      </w:r>
      <w:proofErr w:type="spellEnd"/>
      <w:r w:rsidRPr="003C66A0">
        <w:rPr>
          <w:rFonts w:eastAsiaTheme="majorEastAsia"/>
          <w:color w:val="000000" w:themeColor="text1"/>
        </w:rPr>
        <w:t>/L2/alternative L1s). This ensures coverage of diverse participant experiences while focusing on information-rich cases that reveal boundary conditions and mechanisms (Tongco, 2007).</w:t>
      </w:r>
    </w:p>
    <w:p w14:paraId="15FC8CEC" w14:textId="77777777" w:rsidR="00A65EC5" w:rsidRPr="003C66A0" w:rsidRDefault="00A65EC5" w:rsidP="00B451D7">
      <w:pPr>
        <w:jc w:val="both"/>
        <w:rPr>
          <w:rFonts w:eastAsiaTheme="majorEastAsia"/>
          <w:color w:val="000000" w:themeColor="text1"/>
        </w:rPr>
      </w:pPr>
    </w:p>
    <w:p w14:paraId="14B6FD2C" w14:textId="77777777" w:rsidR="00A65EC5" w:rsidRPr="003C66A0" w:rsidRDefault="00A65EC5" w:rsidP="00B451D7">
      <w:pPr>
        <w:jc w:val="both"/>
        <w:rPr>
          <w:rFonts w:eastAsiaTheme="majorEastAsia"/>
          <w:color w:val="000000" w:themeColor="text1"/>
        </w:rPr>
      </w:pPr>
      <w:r w:rsidRPr="003C66A0">
        <w:rPr>
          <w:rFonts w:eastAsiaTheme="majorEastAsia"/>
          <w:color w:val="000000" w:themeColor="text1"/>
        </w:rPr>
        <w:t xml:space="preserve">Extreme case sampling of market stress events (top 20% volatility periods) follows </w:t>
      </w:r>
      <w:proofErr w:type="spellStart"/>
      <w:r w:rsidRPr="003C66A0">
        <w:rPr>
          <w:rFonts w:eastAsiaTheme="majorEastAsia"/>
          <w:color w:val="000000" w:themeColor="text1"/>
        </w:rPr>
        <w:t>Aramonte</w:t>
      </w:r>
      <w:proofErr w:type="spellEnd"/>
      <w:r w:rsidRPr="003C66A0">
        <w:rPr>
          <w:rFonts w:eastAsiaTheme="majorEastAsia"/>
          <w:color w:val="000000" w:themeColor="text1"/>
        </w:rPr>
        <w:t xml:space="preserve"> et al.'s (2021) approach to cryptocurrency research, recognizing that system behavior under stress provides more insight than normal operations. The 3.27 million transactions purposively oversampled liquidation cascades, protocol launches, and governance attacks—events that, while statistically rare, determine participant outcomes more than routine trading (Firestone, 1993)</w:t>
      </w:r>
    </w:p>
    <w:p w14:paraId="06B4806F" w14:textId="77777777" w:rsidR="001E245B" w:rsidRDefault="001E245B" w:rsidP="00B451D7">
      <w:pPr>
        <w:jc w:val="both"/>
        <w:rPr>
          <w:rFonts w:eastAsiaTheme="majorEastAsia"/>
          <w:b/>
          <w:bCs/>
          <w:color w:val="000000" w:themeColor="text1"/>
        </w:rPr>
      </w:pPr>
    </w:p>
    <w:p w14:paraId="6BE53C37" w14:textId="77777777" w:rsidR="00A06650" w:rsidRDefault="00A06650" w:rsidP="00B451D7">
      <w:pPr>
        <w:jc w:val="both"/>
        <w:rPr>
          <w:rFonts w:eastAsiaTheme="majorEastAsia"/>
          <w:color w:val="000000" w:themeColor="text1"/>
        </w:rPr>
      </w:pPr>
      <w:r w:rsidRPr="00A06650">
        <w:rPr>
          <w:rFonts w:eastAsiaTheme="majorEastAsia"/>
          <w:color w:val="000000" w:themeColor="text1"/>
          <w:kern w:val="2"/>
        </w:rPr>
        <w:t xml:space="preserve">The use of the purposive sampling approach here influences the interpretation and application of the results. In accordance with Yin's (2018) differentiation between statistical and analytical generalization, this study refrains from asserting population parameters. Assertions such as "73% (95% CI: 65%-80%) of DeFi positions are unprofitable" would lack statistical validity as a population claim due to non-random sampling. Although these assertions </w:t>
      </w:r>
      <w:proofErr w:type="gramStart"/>
      <w:r w:rsidRPr="00A06650">
        <w:rPr>
          <w:rFonts w:eastAsiaTheme="majorEastAsia"/>
          <w:color w:val="000000" w:themeColor="text1"/>
          <w:kern w:val="2"/>
        </w:rPr>
        <w:t>are have</w:t>
      </w:r>
      <w:proofErr w:type="gramEnd"/>
      <w:r w:rsidRPr="00A06650">
        <w:rPr>
          <w:rFonts w:eastAsiaTheme="majorEastAsia"/>
          <w:color w:val="000000" w:themeColor="text1"/>
          <w:kern w:val="2"/>
        </w:rPr>
        <w:t xml:space="preserve"> bene identified, the research shows that operational costs can be higher than returns for small positions. Further, it shows that gas fee structures create capital thresholds that are specific to each network, and that behavioral factors interact with resource constraints. Those created systematic failure patterns. </w:t>
      </w:r>
    </w:p>
    <w:p w14:paraId="6DFFCC0C" w14:textId="77777777" w:rsidR="004C4268" w:rsidRPr="00A06650" w:rsidRDefault="004C4268" w:rsidP="00B451D7">
      <w:pPr>
        <w:jc w:val="both"/>
        <w:rPr>
          <w:rFonts w:eastAsiaTheme="majorEastAsia"/>
          <w:color w:val="000000" w:themeColor="text1"/>
          <w:kern w:val="2"/>
        </w:rPr>
      </w:pPr>
    </w:p>
    <w:p w14:paraId="5443F919" w14:textId="4F8CABA7" w:rsidR="00A06650" w:rsidRDefault="00A06650" w:rsidP="00B451D7">
      <w:pPr>
        <w:jc w:val="both"/>
        <w:rPr>
          <w:rFonts w:eastAsiaTheme="majorEastAsia"/>
          <w:color w:val="000000" w:themeColor="text1"/>
        </w:rPr>
      </w:pPr>
      <w:r w:rsidRPr="00A06650">
        <w:rPr>
          <w:rFonts w:eastAsiaTheme="majorEastAsia"/>
          <w:color w:val="000000" w:themeColor="text1"/>
          <w:kern w:val="2"/>
        </w:rPr>
        <w:t xml:space="preserve">The 156 monitored areas do not encompass all DeFi participants nor constitute a random sample of participants from 2020 to 2024. They show examples of maximum variation sampling across theoretically significant dimensions (capital levels, strategies, networks, management approaches) and were intentionally chosen to analyze the impact of these factors on the final outcomes of profitability. The 73% (95% CI: 65%-80%; allowing for survivorship bias: probable 73-90%) failure rate in my research illustrates the outcomes for these 156 individual occupations under the prevailing conditions we had during the 2020-2024 timeframe. The analytical insight shows that </w:t>
      </w:r>
      <w:proofErr w:type="gramStart"/>
      <w:r w:rsidRPr="00A06650">
        <w:rPr>
          <w:rFonts w:eastAsiaTheme="majorEastAsia"/>
          <w:color w:val="000000" w:themeColor="text1"/>
          <w:kern w:val="2"/>
        </w:rPr>
        <w:t>the majority of</w:t>
      </w:r>
      <w:proofErr w:type="gramEnd"/>
      <w:r w:rsidRPr="00A06650">
        <w:rPr>
          <w:rFonts w:eastAsiaTheme="majorEastAsia"/>
          <w:color w:val="000000" w:themeColor="text1"/>
          <w:kern w:val="2"/>
        </w:rPr>
        <w:t xml:space="preserve"> participants failed due to systematic variables rather than simply bad luck. Therefore, this research can be extended </w:t>
      </w:r>
      <w:proofErr w:type="gramStart"/>
      <w:r w:rsidRPr="00A06650">
        <w:rPr>
          <w:rFonts w:eastAsiaTheme="majorEastAsia"/>
          <w:color w:val="000000" w:themeColor="text1"/>
          <w:kern w:val="2"/>
        </w:rPr>
        <w:t>past</w:t>
      </w:r>
      <w:proofErr w:type="gramEnd"/>
      <w:r w:rsidRPr="00A06650">
        <w:rPr>
          <w:rFonts w:eastAsiaTheme="majorEastAsia"/>
          <w:color w:val="000000" w:themeColor="text1"/>
          <w:kern w:val="2"/>
        </w:rPr>
        <w:t xml:space="preserve"> my limited sample size. Due to pseudonymous involvement and survivorship bias in observable data, it is, however, impossible to know the exact failure rate for all DeFi participants.</w:t>
      </w:r>
    </w:p>
    <w:p w14:paraId="0B77827F" w14:textId="77777777" w:rsidR="004C4268" w:rsidRPr="00A06650" w:rsidRDefault="004C4268" w:rsidP="00B451D7">
      <w:pPr>
        <w:jc w:val="both"/>
        <w:rPr>
          <w:rFonts w:eastAsiaTheme="majorEastAsia"/>
          <w:color w:val="000000" w:themeColor="text1"/>
          <w:kern w:val="2"/>
        </w:rPr>
      </w:pPr>
    </w:p>
    <w:p w14:paraId="4EB81C4F" w14:textId="495E802A" w:rsidR="00A06650" w:rsidRDefault="00A06650" w:rsidP="00B451D7">
      <w:pPr>
        <w:jc w:val="both"/>
        <w:rPr>
          <w:rFonts w:eastAsiaTheme="majorEastAsia"/>
          <w:color w:val="000000" w:themeColor="text1"/>
        </w:rPr>
      </w:pPr>
      <w:r w:rsidRPr="00A06650">
        <w:rPr>
          <w:rFonts w:eastAsiaTheme="majorEastAsia"/>
          <w:color w:val="000000" w:themeColor="text1"/>
          <w:kern w:val="2"/>
        </w:rPr>
        <w:t xml:space="preserve">Network viability levels that this research found are identified as follows: Ethereum </w:t>
      </w:r>
      <w:proofErr w:type="spellStart"/>
      <w:r w:rsidRPr="00A06650">
        <w:rPr>
          <w:rFonts w:eastAsiaTheme="majorEastAsia"/>
          <w:color w:val="000000" w:themeColor="text1"/>
          <w:kern w:val="2"/>
        </w:rPr>
        <w:t>mainnet</w:t>
      </w:r>
      <w:proofErr w:type="spellEnd"/>
      <w:r w:rsidRPr="00A06650">
        <w:rPr>
          <w:rFonts w:eastAsiaTheme="majorEastAsia"/>
          <w:color w:val="000000" w:themeColor="text1"/>
          <w:kern w:val="2"/>
        </w:rPr>
        <w:t xml:space="preserve"> costs $25,000 (between $18,000 and $31,000 depending on gas prices), L2 solutions cost $3,500 (±$1,000), and Polygon costs $750 (±$250). These numbers are from the calculations during the study period, when gas prices were between 30 and 50 </w:t>
      </w:r>
      <w:proofErr w:type="spellStart"/>
      <w:r w:rsidRPr="00A06650">
        <w:rPr>
          <w:rFonts w:eastAsiaTheme="majorEastAsia"/>
          <w:color w:val="000000" w:themeColor="text1"/>
          <w:kern w:val="2"/>
        </w:rPr>
        <w:t>gwei</w:t>
      </w:r>
      <w:proofErr w:type="spellEnd"/>
      <w:r w:rsidRPr="00A06650">
        <w:rPr>
          <w:rFonts w:eastAsiaTheme="majorEastAsia"/>
          <w:color w:val="000000" w:themeColor="text1"/>
          <w:kern w:val="2"/>
        </w:rPr>
        <w:t xml:space="preserve">. Gas prices in general are not universal constants and cannot be analyzed as </w:t>
      </w:r>
      <w:r w:rsidR="004C4268" w:rsidRPr="00A06650">
        <w:rPr>
          <w:rFonts w:eastAsiaTheme="majorEastAsia"/>
          <w:color w:val="000000" w:themeColor="text1"/>
        </w:rPr>
        <w:t>such. They</w:t>
      </w:r>
      <w:r w:rsidRPr="00A06650">
        <w:rPr>
          <w:rFonts w:eastAsiaTheme="majorEastAsia"/>
          <w:color w:val="000000" w:themeColor="text1"/>
          <w:kern w:val="2"/>
        </w:rPr>
        <w:t xml:space="preserve"> are context-dependent factors that fluctuate with </w:t>
      </w:r>
      <w:r w:rsidRPr="00A06650">
        <w:rPr>
          <w:rFonts w:eastAsiaTheme="majorEastAsia"/>
          <w:color w:val="000000" w:themeColor="text1"/>
          <w:kern w:val="2"/>
        </w:rPr>
        <w:lastRenderedPageBreak/>
        <w:t xml:space="preserve">network congestion, protocol fee structures, and market volatility. The analytical generalization suggests that capital thresholds, determined by the ratio of fixed costs to potential returns, exist and remain consistent across contexts, despite some variations in specific dollar amounts. Future scholars may utilize </w:t>
      </w:r>
      <w:proofErr w:type="gramStart"/>
      <w:r w:rsidRPr="00A06650">
        <w:rPr>
          <w:rFonts w:eastAsiaTheme="majorEastAsia"/>
          <w:color w:val="000000" w:themeColor="text1"/>
          <w:kern w:val="2"/>
        </w:rPr>
        <w:t>the break</w:t>
      </w:r>
      <w:proofErr w:type="gramEnd"/>
      <w:r w:rsidRPr="00A06650">
        <w:rPr>
          <w:rFonts w:eastAsiaTheme="majorEastAsia"/>
          <w:color w:val="000000" w:themeColor="text1"/>
          <w:kern w:val="2"/>
        </w:rPr>
        <w:t>-even analysis methods within their respective contexts</w:t>
      </w:r>
      <w:r w:rsidRPr="004C4268">
        <w:rPr>
          <w:rFonts w:eastAsiaTheme="majorEastAsia"/>
          <w:color w:val="000000" w:themeColor="text1"/>
          <w:kern w:val="2"/>
        </w:rPr>
        <w:t>.</w:t>
      </w:r>
    </w:p>
    <w:p w14:paraId="4CF1362F" w14:textId="77777777" w:rsidR="00627F35" w:rsidRPr="00A06650" w:rsidRDefault="00627F35" w:rsidP="00B451D7">
      <w:pPr>
        <w:jc w:val="both"/>
        <w:rPr>
          <w:rFonts w:eastAsiaTheme="majorEastAsia"/>
          <w:color w:val="000000" w:themeColor="text1"/>
          <w:kern w:val="2"/>
        </w:rPr>
      </w:pPr>
    </w:p>
    <w:p w14:paraId="3C83ACAB" w14:textId="63E9A8C2" w:rsidR="00627F35" w:rsidRPr="00627F35" w:rsidRDefault="00627F35" w:rsidP="00B451D7">
      <w:pPr>
        <w:jc w:val="both"/>
        <w:rPr>
          <w:rFonts w:eastAsiaTheme="majorEastAsia"/>
          <w:color w:val="000000" w:themeColor="text1"/>
          <w:kern w:val="2"/>
        </w:rPr>
      </w:pPr>
      <w:r w:rsidRPr="00627F35">
        <w:rPr>
          <w:rFonts w:eastAsiaTheme="majorEastAsia"/>
          <w:color w:val="000000" w:themeColor="text1"/>
          <w:kern w:val="2"/>
        </w:rPr>
        <w:t xml:space="preserve">The </w:t>
      </w:r>
      <w:proofErr w:type="gramStart"/>
      <w:r w:rsidRPr="00627F35">
        <w:rPr>
          <w:rFonts w:eastAsiaTheme="majorEastAsia"/>
          <w:color w:val="000000" w:themeColor="text1"/>
          <w:kern w:val="2"/>
        </w:rPr>
        <w:t>15-20 hour</w:t>
      </w:r>
      <w:proofErr w:type="gramEnd"/>
      <w:r w:rsidRPr="00627F35">
        <w:rPr>
          <w:rFonts w:eastAsiaTheme="majorEastAsia"/>
          <w:color w:val="000000" w:themeColor="text1"/>
          <w:kern w:val="2"/>
        </w:rPr>
        <w:t xml:space="preserve"> weekly time </w:t>
      </w:r>
      <w:r w:rsidR="000A68AB">
        <w:rPr>
          <w:rFonts w:eastAsiaTheme="majorEastAsia"/>
          <w:color w:val="000000" w:themeColor="text1"/>
          <w:kern w:val="2"/>
        </w:rPr>
        <w:t>spent by the participants</w:t>
      </w:r>
      <w:r w:rsidRPr="00627F35">
        <w:rPr>
          <w:rFonts w:eastAsiaTheme="majorEastAsia"/>
          <w:color w:val="000000" w:themeColor="text1"/>
          <w:kern w:val="2"/>
        </w:rPr>
        <w:t xml:space="preserve"> (median 17.5 hours) revealed through 27 interviews reflects the activities that were indicated by successful participants in my sample. This does not mean that every participant in every situation would need exactly 17.5 hours a week and it may fluctuate </w:t>
      </w:r>
      <w:r w:rsidR="003E0644" w:rsidRPr="00627F35">
        <w:rPr>
          <w:rFonts w:eastAsiaTheme="majorEastAsia"/>
          <w:color w:val="000000" w:themeColor="text1"/>
        </w:rPr>
        <w:t>depending</w:t>
      </w:r>
      <w:r w:rsidRPr="00627F35">
        <w:rPr>
          <w:rFonts w:eastAsiaTheme="majorEastAsia"/>
          <w:color w:val="000000" w:themeColor="text1"/>
          <w:kern w:val="2"/>
        </w:rPr>
        <w:t xml:space="preserve"> on strategy, know-how, and platform. </w:t>
      </w:r>
      <w:r w:rsidR="003E0644" w:rsidRPr="00627F35">
        <w:rPr>
          <w:rFonts w:eastAsiaTheme="majorEastAsia"/>
          <w:color w:val="000000" w:themeColor="text1"/>
        </w:rPr>
        <w:t>However,</w:t>
      </w:r>
      <w:r w:rsidRPr="00627F35">
        <w:rPr>
          <w:rFonts w:eastAsiaTheme="majorEastAsia"/>
          <w:color w:val="000000" w:themeColor="text1"/>
          <w:kern w:val="2"/>
        </w:rPr>
        <w:t xml:space="preserve"> the demand required leads to the conclusion that "passive income" assertions fundamentally distort the nature of DeFi involvement. Active management was essential in all successful instances within my sample. The exact hours differ based on personal characteristics, but the requirement for significant continuous time commitment shows a significant </w:t>
      </w:r>
      <w:proofErr w:type="gramStart"/>
      <w:r w:rsidRPr="00627F35">
        <w:rPr>
          <w:rFonts w:eastAsiaTheme="majorEastAsia"/>
          <w:color w:val="000000" w:themeColor="text1"/>
          <w:kern w:val="2"/>
        </w:rPr>
        <w:t xml:space="preserve">a </w:t>
      </w:r>
      <w:r w:rsidR="003E0644" w:rsidRPr="00627F35">
        <w:rPr>
          <w:rFonts w:eastAsiaTheme="majorEastAsia"/>
          <w:color w:val="000000" w:themeColor="text1"/>
        </w:rPr>
        <w:t>requirement</w:t>
      </w:r>
      <w:proofErr w:type="gramEnd"/>
      <w:r w:rsidRPr="00627F35">
        <w:rPr>
          <w:rFonts w:eastAsiaTheme="majorEastAsia"/>
          <w:color w:val="000000" w:themeColor="text1"/>
          <w:kern w:val="2"/>
        </w:rPr>
        <w:t xml:space="preserve"> rather than a sample-specific phenomenon. </w:t>
      </w:r>
    </w:p>
    <w:p w14:paraId="56EB0656" w14:textId="77777777" w:rsidR="00627F35" w:rsidRPr="00627F35" w:rsidRDefault="00627F35" w:rsidP="00B451D7">
      <w:pPr>
        <w:jc w:val="both"/>
        <w:rPr>
          <w:rFonts w:eastAsiaTheme="majorEastAsia"/>
          <w:color w:val="000000" w:themeColor="text1"/>
          <w:kern w:val="2"/>
        </w:rPr>
      </w:pPr>
    </w:p>
    <w:p w14:paraId="2283E5DA" w14:textId="77777777" w:rsidR="00627F35" w:rsidRPr="00627F35" w:rsidRDefault="00627F35" w:rsidP="00B451D7">
      <w:pPr>
        <w:jc w:val="both"/>
        <w:rPr>
          <w:rFonts w:eastAsiaTheme="majorEastAsia"/>
          <w:color w:val="000000" w:themeColor="text1"/>
          <w:kern w:val="2"/>
        </w:rPr>
      </w:pPr>
      <w:r w:rsidRPr="00627F35">
        <w:rPr>
          <w:rFonts w:eastAsiaTheme="majorEastAsia"/>
          <w:color w:val="000000" w:themeColor="text1"/>
          <w:kern w:val="2"/>
        </w:rPr>
        <w:t xml:space="preserve">The behavioral finance findings necessitate meticulous interpretation. The 89% number </w:t>
      </w:r>
      <w:proofErr w:type="gramStart"/>
      <w:r w:rsidRPr="00627F35">
        <w:rPr>
          <w:rFonts w:eastAsiaTheme="majorEastAsia"/>
          <w:color w:val="000000" w:themeColor="text1"/>
          <w:kern w:val="2"/>
        </w:rPr>
        <w:t>about</w:t>
      </w:r>
      <w:proofErr w:type="gramEnd"/>
      <w:r w:rsidRPr="00627F35">
        <w:rPr>
          <w:rFonts w:eastAsiaTheme="majorEastAsia"/>
          <w:color w:val="000000" w:themeColor="text1"/>
          <w:kern w:val="2"/>
        </w:rPr>
        <w:t xml:space="preserve"> participants who didn't grasp how impermanent loss works is based on patterns I saw in my interview sample of 27 practitioners who talked about their experiences on their own. These individuals probably differ in a systematic way from the general population: they are more prone to think about their failures, they are better at explaining how they make decisions, and they may be more advanced than those who are just starting out. The overarching idea is that IL comprehension serves as a requisite (but insufficient) condition for success in unstable pair strategies—the process connecting information to results, rather than the specific proportion, is what is generalized.</w:t>
      </w:r>
    </w:p>
    <w:p w14:paraId="02EE84FA" w14:textId="77777777" w:rsidR="00627F35" w:rsidRPr="00627F35" w:rsidRDefault="00627F35" w:rsidP="00B451D7">
      <w:pPr>
        <w:jc w:val="both"/>
        <w:rPr>
          <w:rFonts w:eastAsiaTheme="majorEastAsia"/>
          <w:color w:val="000000" w:themeColor="text1"/>
          <w:kern w:val="2"/>
        </w:rPr>
      </w:pPr>
    </w:p>
    <w:p w14:paraId="3915ABD8" w14:textId="5D518534" w:rsidR="00627F35" w:rsidRPr="00627F35" w:rsidRDefault="00627F35" w:rsidP="00B451D7">
      <w:pPr>
        <w:jc w:val="both"/>
        <w:rPr>
          <w:rFonts w:eastAsiaTheme="majorEastAsia"/>
          <w:color w:val="000000" w:themeColor="text1"/>
          <w:kern w:val="2"/>
        </w:rPr>
      </w:pPr>
      <w:r w:rsidRPr="00627F35">
        <w:rPr>
          <w:rFonts w:eastAsiaTheme="majorEastAsia"/>
          <w:color w:val="000000" w:themeColor="text1"/>
          <w:kern w:val="2"/>
        </w:rPr>
        <w:t xml:space="preserve">Geographic limits also restrict generalizability in an additional aspect. The sample used here is mostly from developed markets (74% from the US/EU/UK) which makes it hard to track or generalize how DeFi economics work in places where currencies are unstable, where financial repression is common, or banking access is limited. A 7% stablecoin yield means something very different to a Venezuelan who is dealing with 200% inflation than it does to an American who can get 4.5% Treasury bonds. The capital thresholds documented ($750 to $25,000) could keep most people from </w:t>
      </w:r>
      <w:r w:rsidR="00156092" w:rsidRPr="00627F35">
        <w:rPr>
          <w:rFonts w:eastAsiaTheme="majorEastAsia"/>
          <w:color w:val="000000" w:themeColor="text1"/>
        </w:rPr>
        <w:t>non-western</w:t>
      </w:r>
      <w:r w:rsidRPr="00627F35">
        <w:rPr>
          <w:rFonts w:eastAsiaTheme="majorEastAsia"/>
          <w:color w:val="000000" w:themeColor="text1"/>
          <w:kern w:val="2"/>
        </w:rPr>
        <w:t xml:space="preserve"> economies from participating. The research elucidates the functionality of DeFi for this demographic profile; nonetheless, generalization to significantly divergent economic circumstances </w:t>
      </w:r>
      <w:r w:rsidR="00156092" w:rsidRPr="00627F35">
        <w:rPr>
          <w:rFonts w:eastAsiaTheme="majorEastAsia"/>
          <w:color w:val="000000" w:themeColor="text1"/>
        </w:rPr>
        <w:t>necessitate</w:t>
      </w:r>
      <w:r w:rsidRPr="00627F35">
        <w:rPr>
          <w:rFonts w:eastAsiaTheme="majorEastAsia"/>
          <w:color w:val="000000" w:themeColor="text1"/>
          <w:kern w:val="2"/>
        </w:rPr>
        <w:t xml:space="preserve"> caution. </w:t>
      </w:r>
    </w:p>
    <w:p w14:paraId="0F6E5A88" w14:textId="77777777" w:rsidR="00627F35" w:rsidRPr="00627F35" w:rsidRDefault="00627F35" w:rsidP="00B451D7">
      <w:pPr>
        <w:jc w:val="both"/>
        <w:rPr>
          <w:rFonts w:eastAsiaTheme="majorEastAsia"/>
          <w:color w:val="000000" w:themeColor="text1"/>
          <w:kern w:val="2"/>
        </w:rPr>
      </w:pPr>
      <w:r w:rsidRPr="00627F35">
        <w:rPr>
          <w:rFonts w:eastAsiaTheme="majorEastAsia"/>
          <w:color w:val="000000" w:themeColor="text1"/>
          <w:kern w:val="2"/>
        </w:rPr>
        <w:t> </w:t>
      </w:r>
    </w:p>
    <w:p w14:paraId="1793DDD0" w14:textId="7106105A" w:rsidR="00627F35" w:rsidRDefault="00627F35" w:rsidP="00B451D7">
      <w:pPr>
        <w:jc w:val="both"/>
        <w:rPr>
          <w:rFonts w:eastAsiaTheme="majorEastAsia"/>
          <w:color w:val="000000" w:themeColor="text1"/>
          <w:kern w:val="2"/>
        </w:rPr>
      </w:pPr>
      <w:r w:rsidRPr="00627F35">
        <w:rPr>
          <w:rFonts w:eastAsiaTheme="majorEastAsia"/>
          <w:color w:val="000000" w:themeColor="text1"/>
          <w:kern w:val="2"/>
        </w:rPr>
        <w:t xml:space="preserve">The most important generalizability constraint is probably temporal specificity. The observation period from 2020 to 2024 was very unusual. and not only included a pandemic monetary stimulus but also a crypto market bubble and crash and early growth phase for DeFi, combined with a new and changing regulatory environment. These situations likely created opportunities </w:t>
      </w:r>
      <w:proofErr w:type="gramStart"/>
      <w:r w:rsidRPr="00627F35">
        <w:rPr>
          <w:rFonts w:eastAsiaTheme="majorEastAsia"/>
          <w:color w:val="000000" w:themeColor="text1"/>
          <w:kern w:val="2"/>
        </w:rPr>
        <w:t>and also</w:t>
      </w:r>
      <w:proofErr w:type="gramEnd"/>
      <w:r w:rsidRPr="00627F35">
        <w:rPr>
          <w:rFonts w:eastAsiaTheme="majorEastAsia"/>
          <w:color w:val="000000" w:themeColor="text1"/>
          <w:kern w:val="2"/>
        </w:rPr>
        <w:t xml:space="preserve"> introduced risks that may not occur again any time soon—if at all. The exact paths seen (yield farming compression from 1000% to 10%, fee structure evolution, and protocol maturation) will most likely not happen again in the same way. </w:t>
      </w:r>
      <w:r w:rsidR="00156092" w:rsidRPr="00627F35">
        <w:rPr>
          <w:rFonts w:eastAsiaTheme="majorEastAsia"/>
          <w:color w:val="000000" w:themeColor="text1"/>
        </w:rPr>
        <w:t>However,</w:t>
      </w:r>
      <w:r w:rsidRPr="00627F35">
        <w:rPr>
          <w:rFonts w:eastAsiaTheme="majorEastAsia"/>
          <w:color w:val="000000" w:themeColor="text1"/>
          <w:kern w:val="2"/>
        </w:rPr>
        <w:t xml:space="preserve"> the main ideas (anti-inductive compression in identified opportunities, fee structures influencing accessibility) may stay the same. The 35–45% chance of losing money each year that was identified in this paper is based on the risk levels during that </w:t>
      </w:r>
      <w:proofErr w:type="gramStart"/>
      <w:r w:rsidRPr="00627F35">
        <w:rPr>
          <w:rFonts w:eastAsiaTheme="majorEastAsia"/>
          <w:color w:val="000000" w:themeColor="text1"/>
          <w:kern w:val="2"/>
        </w:rPr>
        <w:t>time period</w:t>
      </w:r>
      <w:proofErr w:type="gramEnd"/>
      <w:r w:rsidRPr="00627F35">
        <w:rPr>
          <w:rFonts w:eastAsiaTheme="majorEastAsia"/>
          <w:color w:val="000000" w:themeColor="text1"/>
          <w:kern w:val="2"/>
        </w:rPr>
        <w:t>. It's not clear if DeFi will settle into a higher or lower risk level in the future.</w:t>
      </w:r>
    </w:p>
    <w:p w14:paraId="3F503557" w14:textId="77777777" w:rsidR="00E2348C" w:rsidRPr="00627F35" w:rsidRDefault="00E2348C" w:rsidP="00B451D7">
      <w:pPr>
        <w:jc w:val="both"/>
        <w:rPr>
          <w:rFonts w:eastAsiaTheme="majorEastAsia"/>
          <w:color w:val="000000" w:themeColor="text1"/>
          <w:kern w:val="2"/>
        </w:rPr>
      </w:pPr>
    </w:p>
    <w:p w14:paraId="24F220A5" w14:textId="77777777" w:rsidR="00B04C6E" w:rsidRPr="00B04C6E" w:rsidRDefault="00E2348C" w:rsidP="00B451D7">
      <w:pPr>
        <w:jc w:val="both"/>
        <w:rPr>
          <w:color w:val="000000" w:themeColor="text1"/>
        </w:rPr>
      </w:pPr>
      <w:r w:rsidRPr="00B04C6E">
        <w:rPr>
          <w:color w:val="000000" w:themeColor="text1"/>
        </w:rPr>
        <w:lastRenderedPageBreak/>
        <w:t xml:space="preserve">Instead of measuring population parameters, the purposive sampling technique achieved its main goal of finding boundary conditions and documenting procedures. </w:t>
      </w:r>
      <w:r w:rsidR="00B04C6E" w:rsidRPr="00B04C6E">
        <w:rPr>
          <w:color w:val="000000" w:themeColor="text1"/>
        </w:rPr>
        <w:t xml:space="preserve">Participants </w:t>
      </w:r>
      <w:r w:rsidRPr="00B04C6E">
        <w:rPr>
          <w:color w:val="000000" w:themeColor="text1"/>
        </w:rPr>
        <w:t xml:space="preserve">who want to put these findings into practice should concentrate on </w:t>
      </w:r>
    </w:p>
    <w:p w14:paraId="29DDD0B3" w14:textId="77777777" w:rsidR="00B04C6E" w:rsidRPr="00B04C6E" w:rsidRDefault="00B04C6E" w:rsidP="00B451D7">
      <w:pPr>
        <w:jc w:val="both"/>
        <w:rPr>
          <w:color w:val="000000" w:themeColor="text1"/>
        </w:rPr>
      </w:pPr>
    </w:p>
    <w:p w14:paraId="1942D22D" w14:textId="77777777" w:rsidR="00B04C6E" w:rsidRPr="00B04C6E" w:rsidRDefault="00E2348C" w:rsidP="00B451D7">
      <w:pPr>
        <w:pStyle w:val="ListParagraph"/>
        <w:numPr>
          <w:ilvl w:val="0"/>
          <w:numId w:val="248"/>
        </w:numPr>
        <w:jc w:val="both"/>
        <w:rPr>
          <w:color w:val="000000" w:themeColor="text1"/>
        </w:rPr>
      </w:pPr>
      <w:r w:rsidRPr="00B04C6E">
        <w:rPr>
          <w:color w:val="000000" w:themeColor="text1"/>
        </w:rPr>
        <w:t xml:space="preserve">methodological approaches (break-even analysis for capital thresholds, comprehensive cost accounting including hidden costs, survival analysis for risk assessment) rather than specific numerical </w:t>
      </w:r>
      <w:proofErr w:type="gramStart"/>
      <w:r w:rsidRPr="00B04C6E">
        <w:rPr>
          <w:color w:val="000000" w:themeColor="text1"/>
        </w:rPr>
        <w:t>outputs;</w:t>
      </w:r>
      <w:proofErr w:type="gramEnd"/>
      <w:r w:rsidRPr="00B04C6E">
        <w:rPr>
          <w:color w:val="000000" w:themeColor="text1"/>
        </w:rPr>
        <w:t xml:space="preserve"> </w:t>
      </w:r>
    </w:p>
    <w:p w14:paraId="13E5287F" w14:textId="77777777" w:rsidR="00B04C6E" w:rsidRPr="00B04C6E" w:rsidRDefault="00E2348C" w:rsidP="00B451D7">
      <w:pPr>
        <w:pStyle w:val="ListParagraph"/>
        <w:numPr>
          <w:ilvl w:val="0"/>
          <w:numId w:val="248"/>
        </w:numPr>
        <w:jc w:val="both"/>
        <w:rPr>
          <w:color w:val="000000" w:themeColor="text1"/>
        </w:rPr>
      </w:pPr>
      <w:r w:rsidRPr="00B04C6E">
        <w:rPr>
          <w:color w:val="000000" w:themeColor="text1"/>
        </w:rPr>
        <w:t xml:space="preserve">identified mechanisms (the way in which strategy complexity affects outcomes, how behavioral biases translate into losses, and how gas costs interact with position size) rather than exact effect sizes; and </w:t>
      </w:r>
    </w:p>
    <w:p w14:paraId="66FF5E4C" w14:textId="2B7DCB18" w:rsidR="00E2348C" w:rsidRPr="00B04C6E" w:rsidRDefault="00E2348C" w:rsidP="00B451D7">
      <w:pPr>
        <w:pStyle w:val="ListParagraph"/>
        <w:numPr>
          <w:ilvl w:val="0"/>
          <w:numId w:val="248"/>
        </w:numPr>
        <w:jc w:val="both"/>
        <w:rPr>
          <w:color w:val="000000" w:themeColor="text1"/>
        </w:rPr>
      </w:pPr>
      <w:r w:rsidRPr="00B04C6E">
        <w:rPr>
          <w:color w:val="000000" w:themeColor="text1"/>
        </w:rPr>
        <w:t>boundary conditions (the capital levels below which success becomes impossible, the knowledge thresholds required for different strategies, and the time requirements incompatible with "passive" framing) rather than population averages.</w:t>
      </w:r>
    </w:p>
    <w:p w14:paraId="6DD16AB7" w14:textId="77777777" w:rsidR="00E2348C" w:rsidRPr="00B04C6E" w:rsidRDefault="00E2348C" w:rsidP="00B451D7">
      <w:pPr>
        <w:jc w:val="both"/>
        <w:rPr>
          <w:color w:val="000000" w:themeColor="text1"/>
        </w:rPr>
      </w:pPr>
    </w:p>
    <w:p w14:paraId="6A221A41" w14:textId="02DC1B3E" w:rsidR="00A5221C" w:rsidRPr="00B04C6E" w:rsidRDefault="00E2348C" w:rsidP="00B451D7">
      <w:pPr>
        <w:jc w:val="both"/>
        <w:rPr>
          <w:color w:val="000000" w:themeColor="text1"/>
        </w:rPr>
      </w:pPr>
      <w:r w:rsidRPr="00B04C6E">
        <w:rPr>
          <w:color w:val="000000" w:themeColor="text1"/>
        </w:rPr>
        <w:t>This method of generalization recognizes the strengths and weaknesses of purposeful sampling. The research is unable to determine "what percentage of all DeFi participants succeed?</w:t>
      </w:r>
      <w:r w:rsidR="00B04C6E" w:rsidRPr="00B04C6E">
        <w:rPr>
          <w:color w:val="000000" w:themeColor="text1"/>
        </w:rPr>
        <w:t xml:space="preserve"> </w:t>
      </w:r>
      <w:proofErr w:type="gramStart"/>
      <w:r w:rsidR="00B04C6E" w:rsidRPr="00B04C6E">
        <w:rPr>
          <w:color w:val="000000" w:themeColor="text1"/>
        </w:rPr>
        <w:t>However</w:t>
      </w:r>
      <w:proofErr w:type="gramEnd"/>
      <w:r w:rsidR="00B04C6E" w:rsidRPr="00B04C6E">
        <w:rPr>
          <w:color w:val="000000" w:themeColor="text1"/>
        </w:rPr>
        <w:t xml:space="preserve"> </w:t>
      </w:r>
      <w:proofErr w:type="gramStart"/>
      <w:r w:rsidR="00B04C6E" w:rsidRPr="00B04C6E">
        <w:rPr>
          <w:color w:val="000000" w:themeColor="text1"/>
        </w:rPr>
        <w:t>is</w:t>
      </w:r>
      <w:proofErr w:type="gramEnd"/>
      <w:r w:rsidR="00B04C6E" w:rsidRPr="00B04C6E">
        <w:rPr>
          <w:color w:val="000000" w:themeColor="text1"/>
        </w:rPr>
        <w:t xml:space="preserve"> certainly shows</w:t>
      </w:r>
      <w:r w:rsidRPr="00B04C6E">
        <w:rPr>
          <w:color w:val="000000" w:themeColor="text1"/>
        </w:rPr>
        <w:t xml:space="preserve"> "under what conditions success becomes feasible?" </w:t>
      </w:r>
      <w:r w:rsidR="00B04C6E" w:rsidRPr="00B04C6E">
        <w:rPr>
          <w:color w:val="000000" w:themeColor="text1"/>
        </w:rPr>
        <w:t xml:space="preserve">Even though </w:t>
      </w:r>
      <w:r w:rsidR="000A68AB" w:rsidRPr="00B04C6E">
        <w:rPr>
          <w:color w:val="000000" w:themeColor="text1"/>
        </w:rPr>
        <w:t>the</w:t>
      </w:r>
      <w:r w:rsidR="00B04C6E" w:rsidRPr="00B04C6E">
        <w:rPr>
          <w:color w:val="000000" w:themeColor="text1"/>
        </w:rPr>
        <w:t xml:space="preserve"> answer to that is</w:t>
      </w:r>
      <w:r w:rsidRPr="00B04C6E">
        <w:rPr>
          <w:color w:val="000000" w:themeColor="text1"/>
        </w:rPr>
        <w:t xml:space="preserve"> less statistically conclusive, </w:t>
      </w:r>
      <w:proofErr w:type="gramStart"/>
      <w:r w:rsidRPr="00B04C6E">
        <w:rPr>
          <w:color w:val="000000" w:themeColor="text1"/>
        </w:rPr>
        <w:t>is</w:t>
      </w:r>
      <w:proofErr w:type="gramEnd"/>
      <w:r w:rsidRPr="00B04C6E">
        <w:rPr>
          <w:color w:val="000000" w:themeColor="text1"/>
        </w:rPr>
        <w:t xml:space="preserve"> more beneficial for </w:t>
      </w:r>
      <w:r w:rsidR="00B04C6E" w:rsidRPr="00B04C6E">
        <w:rPr>
          <w:color w:val="000000" w:themeColor="text1"/>
        </w:rPr>
        <w:t>potential</w:t>
      </w:r>
      <w:r w:rsidRPr="00B04C6E">
        <w:rPr>
          <w:color w:val="000000" w:themeColor="text1"/>
        </w:rPr>
        <w:t xml:space="preserve"> participants </w:t>
      </w:r>
      <w:r w:rsidR="00B04C6E" w:rsidRPr="00B04C6E">
        <w:rPr>
          <w:color w:val="000000" w:themeColor="text1"/>
        </w:rPr>
        <w:t xml:space="preserve">who are </w:t>
      </w:r>
      <w:r w:rsidRPr="00B04C6E">
        <w:rPr>
          <w:color w:val="000000" w:themeColor="text1"/>
        </w:rPr>
        <w:t xml:space="preserve">assessing </w:t>
      </w:r>
      <w:r w:rsidR="00B04C6E" w:rsidRPr="00B04C6E">
        <w:rPr>
          <w:color w:val="000000" w:themeColor="text1"/>
        </w:rPr>
        <w:t>if</w:t>
      </w:r>
      <w:r w:rsidRPr="00B04C6E">
        <w:rPr>
          <w:color w:val="000000" w:themeColor="text1"/>
        </w:rPr>
        <w:t xml:space="preserve"> and how to interact with DeFi chances.</w:t>
      </w:r>
    </w:p>
    <w:p w14:paraId="0A73249A" w14:textId="77777777" w:rsidR="00E2348C" w:rsidRPr="003C66A0" w:rsidRDefault="00E2348C" w:rsidP="00B451D7">
      <w:pPr>
        <w:jc w:val="both"/>
        <w:rPr>
          <w:rFonts w:eastAsiaTheme="majorEastAsia"/>
          <w:b/>
          <w:bCs/>
          <w:color w:val="000000" w:themeColor="text1"/>
        </w:rPr>
      </w:pPr>
    </w:p>
    <w:p w14:paraId="093D45DB" w14:textId="4995479E" w:rsidR="00174BE9" w:rsidRPr="003C66A0" w:rsidRDefault="008D6F57" w:rsidP="00B451D7">
      <w:pPr>
        <w:pStyle w:val="Heading2"/>
        <w:rPr>
          <w:rFonts w:eastAsiaTheme="majorEastAsia"/>
        </w:rPr>
      </w:pPr>
      <w:bookmarkStart w:id="74" w:name="_Toc214721880"/>
      <w:r w:rsidRPr="003C66A0">
        <w:rPr>
          <w:rFonts w:eastAsiaTheme="majorEastAsia"/>
        </w:rPr>
        <w:t>4</w:t>
      </w:r>
      <w:r w:rsidR="00174BE9" w:rsidRPr="003C66A0">
        <w:rPr>
          <w:rFonts w:eastAsiaTheme="majorEastAsia"/>
        </w:rPr>
        <w:t>.2 Data Collection Strategy: Building the Evidence Base</w:t>
      </w:r>
      <w:bookmarkEnd w:id="74"/>
    </w:p>
    <w:p w14:paraId="539DE6E2" w14:textId="4A895423" w:rsidR="001E245B" w:rsidRPr="003C66A0" w:rsidRDefault="00AC0624" w:rsidP="00B451D7">
      <w:pPr>
        <w:jc w:val="both"/>
        <w:rPr>
          <w:rFonts w:eastAsiaTheme="majorEastAsia"/>
          <w:bCs/>
          <w:color w:val="000000" w:themeColor="text1"/>
        </w:rPr>
      </w:pPr>
      <w:r w:rsidRPr="003C66A0">
        <w:rPr>
          <w:rFonts w:eastAsiaTheme="majorEastAsia"/>
          <w:bCs/>
          <w:color w:val="000000" w:themeColor="text1"/>
        </w:rPr>
        <w:t>The study uses a multi-layered data collection strategy that aims to get both a lot of information and a lot of detail. This wasn't a straightforward process of collecting data and then analyzing it; it couldn't be. As the first results came in, new questions came up, which changed the way the data was collected. You start following one pattern, and it leads you to three more that you didn't see coming.</w:t>
      </w:r>
    </w:p>
    <w:p w14:paraId="1339D124" w14:textId="77777777" w:rsidR="00AC0624" w:rsidRPr="003C66A0" w:rsidRDefault="00AC0624" w:rsidP="00B451D7">
      <w:pPr>
        <w:jc w:val="both"/>
        <w:rPr>
          <w:rFonts w:eastAsiaTheme="majorEastAsia"/>
          <w:b/>
          <w:bCs/>
          <w:color w:val="000000" w:themeColor="text1"/>
        </w:rPr>
      </w:pPr>
    </w:p>
    <w:p w14:paraId="368C6FFB" w14:textId="57BCE310" w:rsidR="00174BE9" w:rsidRPr="003C66A0" w:rsidRDefault="008D6F57" w:rsidP="00B451D7">
      <w:pPr>
        <w:pStyle w:val="Heading3"/>
        <w:rPr>
          <w:rFonts w:eastAsiaTheme="majorEastAsia"/>
        </w:rPr>
      </w:pPr>
      <w:bookmarkStart w:id="75" w:name="_Toc214721881"/>
      <w:r w:rsidRPr="003C66A0">
        <w:rPr>
          <w:rFonts w:eastAsiaTheme="majorEastAsia"/>
        </w:rPr>
        <w:t>4</w:t>
      </w:r>
      <w:r w:rsidR="00174BE9" w:rsidRPr="003C66A0">
        <w:rPr>
          <w:rFonts w:eastAsiaTheme="majorEastAsia"/>
        </w:rPr>
        <w:t>.2.1 Transaction Data Collection</w:t>
      </w:r>
      <w:bookmarkEnd w:id="75"/>
    </w:p>
    <w:p w14:paraId="6F1C71A4" w14:textId="77777777" w:rsidR="008F778D" w:rsidRPr="003C66A0" w:rsidRDefault="008F778D" w:rsidP="00B451D7">
      <w:pPr>
        <w:jc w:val="both"/>
        <w:rPr>
          <w:rFonts w:eastAsiaTheme="majorEastAsia"/>
          <w:bCs/>
          <w:color w:val="000000" w:themeColor="text1"/>
        </w:rPr>
      </w:pPr>
      <w:r w:rsidRPr="003C66A0">
        <w:rPr>
          <w:rFonts w:eastAsiaTheme="majorEastAsia"/>
          <w:bCs/>
          <w:color w:val="000000" w:themeColor="text1"/>
        </w:rPr>
        <w:t>From January 2020 to December 2024, the main quantitative dataset includes 3.27 million transactions on six major decentralized exchanges. Every record of a transaction has a timestamp, a transaction hash, the token pairs traded, the amounts, the fees paid, the gas costs, and the wallet addresses (which are hidden). The data tells what happened but not why and shows outcomes but not the process.</w:t>
      </w:r>
    </w:p>
    <w:p w14:paraId="3140838F" w14:textId="77777777" w:rsidR="008F778D" w:rsidRPr="003C66A0" w:rsidRDefault="008F778D" w:rsidP="00B451D7">
      <w:pPr>
        <w:jc w:val="both"/>
        <w:rPr>
          <w:rFonts w:eastAsiaTheme="majorEastAsia"/>
          <w:bCs/>
          <w:color w:val="000000" w:themeColor="text1"/>
        </w:rPr>
      </w:pPr>
    </w:p>
    <w:p w14:paraId="1303DCD8" w14:textId="5A19FE54" w:rsidR="008F778D" w:rsidRPr="003C66A0" w:rsidRDefault="008F778D" w:rsidP="00B451D7">
      <w:pPr>
        <w:jc w:val="both"/>
        <w:rPr>
          <w:rFonts w:eastAsiaTheme="majorEastAsia"/>
          <w:bCs/>
          <w:color w:val="000000" w:themeColor="text1"/>
        </w:rPr>
      </w:pPr>
      <w:r w:rsidRPr="003C66A0">
        <w:rPr>
          <w:rFonts w:eastAsiaTheme="majorEastAsia"/>
          <w:bCs/>
          <w:color w:val="000000" w:themeColor="text1"/>
        </w:rPr>
        <w:t xml:space="preserve">The data originates from three different sources, each with its own biases and </w:t>
      </w:r>
      <w:r w:rsidR="00A80D43" w:rsidRPr="003C66A0">
        <w:rPr>
          <w:rFonts w:eastAsiaTheme="majorEastAsia"/>
          <w:bCs/>
          <w:color w:val="000000" w:themeColor="text1"/>
        </w:rPr>
        <w:t>gaps</w:t>
      </w:r>
      <w:r w:rsidRPr="003C66A0">
        <w:rPr>
          <w:rFonts w:eastAsiaTheme="majorEastAsia"/>
          <w:bCs/>
          <w:color w:val="000000" w:themeColor="text1"/>
        </w:rPr>
        <w:t xml:space="preserve">. Direct blockchain queries using Graph Protocol subgraphs provided 2.1 million transactions - these are the most reliable but also the most difficult to parse. Dune Analytics aggregated datasets contributed 890,000 transactions and were cleaner but may have been filtered already. DEX-specific APIs provided 280,000 transactions that came with granular fee </w:t>
      </w:r>
      <w:r w:rsidR="00A80D43" w:rsidRPr="003C66A0">
        <w:rPr>
          <w:rFonts w:eastAsiaTheme="majorEastAsia"/>
          <w:bCs/>
          <w:color w:val="000000" w:themeColor="text1"/>
        </w:rPr>
        <w:t>information,</w:t>
      </w:r>
      <w:r w:rsidRPr="003C66A0">
        <w:rPr>
          <w:rFonts w:eastAsiaTheme="majorEastAsia"/>
          <w:bCs/>
          <w:color w:val="000000" w:themeColor="text1"/>
        </w:rPr>
        <w:t xml:space="preserve"> and it was specific to platforms (Zhang et al., 2023).</w:t>
      </w:r>
    </w:p>
    <w:p w14:paraId="163C006C" w14:textId="77777777" w:rsidR="008F778D" w:rsidRPr="003C66A0" w:rsidRDefault="008F778D" w:rsidP="00B451D7">
      <w:pPr>
        <w:jc w:val="both"/>
        <w:rPr>
          <w:rFonts w:eastAsiaTheme="majorEastAsia"/>
          <w:bCs/>
          <w:color w:val="000000" w:themeColor="text1"/>
        </w:rPr>
      </w:pPr>
    </w:p>
    <w:p w14:paraId="16E8DA52" w14:textId="77777777" w:rsidR="008F778D" w:rsidRPr="003C66A0" w:rsidRDefault="008F778D" w:rsidP="00B451D7">
      <w:pPr>
        <w:jc w:val="both"/>
        <w:rPr>
          <w:rFonts w:eastAsiaTheme="majorEastAsia"/>
          <w:bCs/>
          <w:color w:val="000000" w:themeColor="text1"/>
        </w:rPr>
      </w:pPr>
      <w:r w:rsidRPr="003C66A0">
        <w:rPr>
          <w:rFonts w:eastAsiaTheme="majorEastAsia"/>
          <w:bCs/>
          <w:color w:val="000000" w:themeColor="text1"/>
        </w:rPr>
        <w:t xml:space="preserve">This study utilizes purposive sampling in accordance with established methodologies for investigating emergent phenomena within hidden data set populations (Patton, 2015; Heckathorn, 2011). Since it's impossible to make a sampling frame for pseudonymous participants in my </w:t>
      </w:r>
      <w:proofErr w:type="gramStart"/>
      <w:r w:rsidRPr="003C66A0">
        <w:rPr>
          <w:rFonts w:eastAsiaTheme="majorEastAsia"/>
          <w:bCs/>
          <w:color w:val="000000" w:themeColor="text1"/>
        </w:rPr>
        <w:t>sample;</w:t>
      </w:r>
      <w:proofErr w:type="gramEnd"/>
      <w:r w:rsidRPr="003C66A0">
        <w:rPr>
          <w:rFonts w:eastAsiaTheme="majorEastAsia"/>
          <w:bCs/>
          <w:color w:val="000000" w:themeColor="text1"/>
        </w:rPr>
        <w:t xml:space="preserve"> wallet addresses do not provide any demographic information. Further failed positions don't leave any trace, and therefore probability sampling would be both impractical and wrong (</w:t>
      </w:r>
      <w:proofErr w:type="spellStart"/>
      <w:r w:rsidRPr="003C66A0">
        <w:rPr>
          <w:rFonts w:eastAsiaTheme="majorEastAsia"/>
          <w:bCs/>
          <w:color w:val="000000" w:themeColor="text1"/>
        </w:rPr>
        <w:t>Etikan</w:t>
      </w:r>
      <w:proofErr w:type="spellEnd"/>
      <w:r w:rsidRPr="003C66A0">
        <w:rPr>
          <w:rFonts w:eastAsiaTheme="majorEastAsia"/>
          <w:bCs/>
          <w:color w:val="000000" w:themeColor="text1"/>
        </w:rPr>
        <w:t xml:space="preserve"> et al., 2016). The stratified purposive approach guarantees optimal variation across capital levels, protocols, and market conditions, while simultaneously capturing information-rich cases </w:t>
      </w:r>
      <w:r w:rsidRPr="003C66A0">
        <w:rPr>
          <w:rFonts w:eastAsiaTheme="majorEastAsia"/>
          <w:bCs/>
          <w:color w:val="000000" w:themeColor="text1"/>
        </w:rPr>
        <w:lastRenderedPageBreak/>
        <w:t>that elucidate the mechanisms of success and failure (Palinkas et al., 2015). This approach aligns with established methods for researching cryptocurrencies (</w:t>
      </w:r>
      <w:proofErr w:type="spellStart"/>
      <w:r w:rsidRPr="003C66A0">
        <w:rPr>
          <w:rFonts w:eastAsiaTheme="majorEastAsia"/>
          <w:bCs/>
          <w:color w:val="000000" w:themeColor="text1"/>
        </w:rPr>
        <w:t>Gandal</w:t>
      </w:r>
      <w:proofErr w:type="spellEnd"/>
      <w:r w:rsidRPr="003C66A0">
        <w:rPr>
          <w:rFonts w:eastAsiaTheme="majorEastAsia"/>
          <w:bCs/>
          <w:color w:val="000000" w:themeColor="text1"/>
        </w:rPr>
        <w:t xml:space="preserve"> et al., 2018; Griffin &amp; Shams, 2020; </w:t>
      </w:r>
      <w:proofErr w:type="spellStart"/>
      <w:r w:rsidRPr="003C66A0">
        <w:rPr>
          <w:rFonts w:eastAsiaTheme="majorEastAsia"/>
          <w:bCs/>
          <w:color w:val="000000" w:themeColor="text1"/>
        </w:rPr>
        <w:t>Schär</w:t>
      </w:r>
      <w:proofErr w:type="spellEnd"/>
      <w:r w:rsidRPr="003C66A0">
        <w:rPr>
          <w:rFonts w:eastAsiaTheme="majorEastAsia"/>
          <w:bCs/>
          <w:color w:val="000000" w:themeColor="text1"/>
        </w:rPr>
        <w:t>, 2021) and employs mixed-methods sequential designs, which utilize different sampling strategies for various parts of the research (Creswell &amp; Plano Clark, 2017). 40% of the transactions in the sample came from high-volume periods (more than $10 billion per day). Medium-volume periods ($1 billion to $10 billion) made up 35% of the total. Low-volume times (less than $1 billion) made up 25%. This puts too much weight on extreme situations where strategies are under the most stress.</w:t>
      </w:r>
    </w:p>
    <w:p w14:paraId="7E0C4045" w14:textId="77777777" w:rsidR="008F778D" w:rsidRPr="003C66A0" w:rsidRDefault="008F778D" w:rsidP="00B451D7">
      <w:pPr>
        <w:jc w:val="both"/>
        <w:rPr>
          <w:rFonts w:eastAsiaTheme="majorEastAsia"/>
          <w:bCs/>
          <w:color w:val="000000" w:themeColor="text1"/>
        </w:rPr>
      </w:pPr>
    </w:p>
    <w:p w14:paraId="370A9805" w14:textId="77777777" w:rsidR="008F778D" w:rsidRPr="003C66A0" w:rsidRDefault="008F778D" w:rsidP="00B451D7">
      <w:pPr>
        <w:jc w:val="both"/>
        <w:rPr>
          <w:rFonts w:eastAsiaTheme="majorEastAsia"/>
          <w:bCs/>
          <w:color w:val="000000" w:themeColor="text1"/>
        </w:rPr>
      </w:pPr>
      <w:r w:rsidRPr="003C66A0">
        <w:rPr>
          <w:rFonts w:eastAsiaTheme="majorEastAsia"/>
          <w:bCs/>
          <w:color w:val="000000" w:themeColor="text1"/>
        </w:rPr>
        <w:t xml:space="preserve">Problems with the quality of the data came up right away, and this is where it gets interesting. About 12% of transactions didn't have the right fee information or had broken fee information. Another 8% had clear problems, like negative fees, gas costs that couldn't be true, or time inconsistencies. Instead of leaving these out, I looked at them one by one. </w:t>
      </w:r>
      <w:proofErr w:type="gramStart"/>
      <w:r w:rsidRPr="003C66A0">
        <w:rPr>
          <w:rFonts w:eastAsiaTheme="majorEastAsia"/>
          <w:bCs/>
          <w:color w:val="000000" w:themeColor="text1"/>
        </w:rPr>
        <w:t>The anomalies</w:t>
      </w:r>
      <w:proofErr w:type="gramEnd"/>
      <w:r w:rsidRPr="003C66A0">
        <w:rPr>
          <w:rFonts w:eastAsiaTheme="majorEastAsia"/>
          <w:bCs/>
          <w:color w:val="000000" w:themeColor="text1"/>
        </w:rPr>
        <w:t xml:space="preserve"> frequently indicated MEV extraction, sandwich attacks, or protocol exploits—precisely the phenomena that dictate the survival or demise of minimal-capital strategies (Daian et al., 2020).</w:t>
      </w:r>
    </w:p>
    <w:p w14:paraId="2244AC41" w14:textId="77777777" w:rsidR="00EA499B" w:rsidRPr="003C66A0" w:rsidRDefault="00EA499B" w:rsidP="00B451D7">
      <w:pPr>
        <w:jc w:val="both"/>
        <w:rPr>
          <w:rFonts w:eastAsiaTheme="majorEastAsia"/>
          <w:bCs/>
          <w:color w:val="000000" w:themeColor="text1"/>
        </w:rPr>
      </w:pPr>
    </w:p>
    <w:p w14:paraId="0DFFDCF0" w14:textId="6AD18997" w:rsidR="00174BE9" w:rsidRPr="003C66A0" w:rsidRDefault="008D6F57" w:rsidP="00B451D7">
      <w:pPr>
        <w:pStyle w:val="Heading3"/>
        <w:rPr>
          <w:rFonts w:eastAsiaTheme="majorEastAsia"/>
        </w:rPr>
      </w:pPr>
      <w:bookmarkStart w:id="76" w:name="_Toc214721882"/>
      <w:r w:rsidRPr="003C66A0">
        <w:rPr>
          <w:rFonts w:eastAsiaTheme="majorEastAsia"/>
        </w:rPr>
        <w:t>4</w:t>
      </w:r>
      <w:r w:rsidR="00174BE9" w:rsidRPr="003C66A0">
        <w:rPr>
          <w:rFonts w:eastAsiaTheme="majorEastAsia"/>
        </w:rPr>
        <w:t>.2.2 Liquidity Position Tracking</w:t>
      </w:r>
      <w:bookmarkEnd w:id="76"/>
    </w:p>
    <w:p w14:paraId="7E743137" w14:textId="6D52CF12" w:rsidR="000C0473" w:rsidRPr="003C66A0" w:rsidRDefault="000C0473" w:rsidP="00B451D7">
      <w:pPr>
        <w:jc w:val="both"/>
        <w:rPr>
          <w:rFonts w:eastAsiaTheme="majorEastAsia"/>
          <w:bCs/>
          <w:color w:val="000000" w:themeColor="text1"/>
        </w:rPr>
      </w:pPr>
      <w:r w:rsidRPr="003C66A0">
        <w:rPr>
          <w:rFonts w:eastAsiaTheme="majorEastAsia"/>
          <w:bCs/>
          <w:color w:val="000000" w:themeColor="text1"/>
        </w:rPr>
        <w:t xml:space="preserve">The 156 liquidity positions mentioned and used throughout this </w:t>
      </w:r>
      <w:r w:rsidR="00951073" w:rsidRPr="003C66A0">
        <w:rPr>
          <w:rFonts w:eastAsiaTheme="majorEastAsia"/>
          <w:bCs/>
          <w:color w:val="000000" w:themeColor="text1"/>
        </w:rPr>
        <w:t>research</w:t>
      </w:r>
      <w:r w:rsidRPr="003C66A0">
        <w:rPr>
          <w:rFonts w:eastAsiaTheme="majorEastAsia"/>
          <w:bCs/>
          <w:color w:val="000000" w:themeColor="text1"/>
        </w:rPr>
        <w:t xml:space="preserve"> need to be explained because they are key to figuring out when strategies work. They were not picked randomly; they are a theoretical sample made up of maximum variation sampling (Palinkas et al., 2015) obtained from the interviewees, my own transactions or public sources. The goal here was not to obtain a statistical representation but an analytical coverage of different position types. Due to </w:t>
      </w:r>
      <w:proofErr w:type="gramStart"/>
      <w:r w:rsidRPr="003C66A0">
        <w:rPr>
          <w:rFonts w:eastAsiaTheme="majorEastAsia"/>
          <w:bCs/>
          <w:color w:val="000000" w:themeColor="text1"/>
        </w:rPr>
        <w:t>limitation</w:t>
      </w:r>
      <w:proofErr w:type="gramEnd"/>
      <w:r w:rsidRPr="003C66A0">
        <w:rPr>
          <w:rFonts w:eastAsiaTheme="majorEastAsia"/>
          <w:bCs/>
          <w:color w:val="000000" w:themeColor="text1"/>
        </w:rPr>
        <w:t xml:space="preserve"> in tooling and </w:t>
      </w:r>
      <w:proofErr w:type="gramStart"/>
      <w:r w:rsidRPr="003C66A0">
        <w:rPr>
          <w:rFonts w:eastAsiaTheme="majorEastAsia"/>
          <w:bCs/>
          <w:color w:val="000000" w:themeColor="text1"/>
        </w:rPr>
        <w:t>automation</w:t>
      </w:r>
      <w:proofErr w:type="gramEnd"/>
      <w:r w:rsidRPr="003C66A0">
        <w:rPr>
          <w:rFonts w:eastAsiaTheme="majorEastAsia"/>
          <w:bCs/>
          <w:color w:val="000000" w:themeColor="text1"/>
        </w:rPr>
        <w:t xml:space="preserve"> only a </w:t>
      </w:r>
      <w:r w:rsidR="00951073" w:rsidRPr="003C66A0">
        <w:rPr>
          <w:rFonts w:eastAsiaTheme="majorEastAsia"/>
          <w:bCs/>
          <w:color w:val="000000" w:themeColor="text1"/>
        </w:rPr>
        <w:t>small sample</w:t>
      </w:r>
      <w:r w:rsidRPr="003C66A0">
        <w:rPr>
          <w:rFonts w:eastAsiaTheme="majorEastAsia"/>
          <w:bCs/>
          <w:color w:val="000000" w:themeColor="text1"/>
        </w:rPr>
        <w:t xml:space="preserve"> was used to achieve the goal.</w:t>
      </w:r>
    </w:p>
    <w:p w14:paraId="4A90FA53" w14:textId="77777777" w:rsidR="000C0473" w:rsidRPr="003C66A0" w:rsidRDefault="000C0473" w:rsidP="00B451D7">
      <w:pPr>
        <w:jc w:val="both"/>
        <w:rPr>
          <w:rFonts w:eastAsiaTheme="majorEastAsia"/>
          <w:bCs/>
          <w:color w:val="000000" w:themeColor="text1"/>
        </w:rPr>
      </w:pPr>
    </w:p>
    <w:p w14:paraId="36E018FF" w14:textId="77777777" w:rsidR="000C0473" w:rsidRPr="003C66A0" w:rsidRDefault="000C0473" w:rsidP="00B451D7">
      <w:pPr>
        <w:jc w:val="both"/>
        <w:rPr>
          <w:rFonts w:eastAsiaTheme="majorEastAsia"/>
          <w:bCs/>
          <w:color w:val="000000" w:themeColor="text1"/>
        </w:rPr>
      </w:pPr>
      <w:r w:rsidRPr="003C66A0">
        <w:rPr>
          <w:rFonts w:eastAsiaTheme="majorEastAsia"/>
          <w:bCs/>
          <w:color w:val="000000" w:themeColor="text1"/>
        </w:rPr>
        <w:t>The selection occurred across multiple dimensions, and insights emerged at their intersections. Several positions in Uniswap v2/v3 (45), Curve (28), Balancer (23), and other protocols thanks to protocol diversity were used. There were 52 micro positions with capital of $500 to $5,000, 59 small positions with capital of $5,001 to $25,000, and 45 medium positions with capital of $25,001 to $100,000. There were 48 stablecoin pairs, 54 correlated assets like ETH/</w:t>
      </w:r>
      <w:proofErr w:type="spellStart"/>
      <w:r w:rsidRPr="003C66A0">
        <w:rPr>
          <w:rFonts w:eastAsiaTheme="majorEastAsia"/>
          <w:bCs/>
          <w:color w:val="000000" w:themeColor="text1"/>
        </w:rPr>
        <w:t>stETH</w:t>
      </w:r>
      <w:proofErr w:type="spellEnd"/>
      <w:r w:rsidRPr="003C66A0">
        <w:rPr>
          <w:rFonts w:eastAsiaTheme="majorEastAsia"/>
          <w:bCs/>
          <w:color w:val="000000" w:themeColor="text1"/>
        </w:rPr>
        <w:t>, and 54 volatile pairs. There were 39 positions in passive wide-range management and 55 positions in algorithmic/automated management.</w:t>
      </w:r>
    </w:p>
    <w:p w14:paraId="4E2BB61E" w14:textId="77777777" w:rsidR="000C0473" w:rsidRPr="003C66A0" w:rsidRDefault="000C0473" w:rsidP="00B451D7">
      <w:pPr>
        <w:jc w:val="both"/>
        <w:rPr>
          <w:rFonts w:eastAsiaTheme="majorEastAsia"/>
          <w:bCs/>
          <w:color w:val="000000" w:themeColor="text1"/>
        </w:rPr>
      </w:pPr>
    </w:p>
    <w:p w14:paraId="7C4840BA" w14:textId="38345951" w:rsidR="00563266" w:rsidRDefault="000C0473" w:rsidP="00B451D7">
      <w:pPr>
        <w:jc w:val="both"/>
        <w:rPr>
          <w:rFonts w:eastAsiaTheme="majorEastAsia"/>
          <w:bCs/>
          <w:color w:val="000000" w:themeColor="text1"/>
        </w:rPr>
      </w:pPr>
      <w:r w:rsidRPr="003C66A0">
        <w:rPr>
          <w:rFonts w:eastAsiaTheme="majorEastAsia"/>
          <w:bCs/>
          <w:color w:val="000000" w:themeColor="text1"/>
        </w:rPr>
        <w:t xml:space="preserve">Each position was tracked for a minimum of 90 days. The data collection </w:t>
      </w:r>
      <w:proofErr w:type="gramStart"/>
      <w:r w:rsidRPr="003C66A0">
        <w:rPr>
          <w:rFonts w:eastAsiaTheme="majorEastAsia"/>
          <w:bCs/>
          <w:color w:val="000000" w:themeColor="text1"/>
        </w:rPr>
        <w:t>included with</w:t>
      </w:r>
      <w:proofErr w:type="gramEnd"/>
      <w:r w:rsidRPr="003C66A0">
        <w:rPr>
          <w:rFonts w:eastAsiaTheme="majorEastAsia"/>
          <w:bCs/>
          <w:color w:val="000000" w:themeColor="text1"/>
        </w:rPr>
        <w:t xml:space="preserve"> daily snapshots of value, fees earned, impermanent loss, and gas costs. For tracking various custom Python scripts from multiple sources (Dune, full Node APIs, </w:t>
      </w:r>
      <w:proofErr w:type="spellStart"/>
      <w:r w:rsidRPr="003C66A0">
        <w:rPr>
          <w:rFonts w:eastAsiaTheme="majorEastAsia"/>
          <w:bCs/>
          <w:color w:val="000000" w:themeColor="text1"/>
        </w:rPr>
        <w:t>Etherscan</w:t>
      </w:r>
      <w:proofErr w:type="spellEnd"/>
      <w:r w:rsidRPr="003C66A0">
        <w:rPr>
          <w:rFonts w:eastAsiaTheme="majorEastAsia"/>
          <w:bCs/>
          <w:color w:val="000000" w:themeColor="text1"/>
        </w:rPr>
        <w:t>) and cross-validated was performed to ensure accuracy. When positions were closed, exit interviews were conducted where possible. These interviews often revealed that "successful" positions by the numbers were considered failures by operators due to time investment, stress, or opportunity cost and shows that success is not just about returns (Creswell &amp; Poth, 2018).</w:t>
      </w:r>
    </w:p>
    <w:p w14:paraId="355FDC9D" w14:textId="77777777" w:rsidR="00821D7F" w:rsidRDefault="00821D7F" w:rsidP="00B451D7">
      <w:pPr>
        <w:jc w:val="both"/>
        <w:rPr>
          <w:rFonts w:eastAsiaTheme="majorEastAsia"/>
          <w:bCs/>
          <w:color w:val="000000" w:themeColor="text1"/>
        </w:rPr>
      </w:pPr>
    </w:p>
    <w:p w14:paraId="54048C04" w14:textId="77777777" w:rsidR="00896DD7" w:rsidRDefault="00821D7F" w:rsidP="00B451D7">
      <w:pPr>
        <w:pStyle w:val="Heading2"/>
        <w:rPr>
          <w:rStyle w:val="Strong"/>
          <w:b/>
          <w:bCs w:val="0"/>
        </w:rPr>
      </w:pPr>
      <w:bookmarkStart w:id="77" w:name="_Toc214721883"/>
      <w:r w:rsidRPr="00821D7F">
        <w:rPr>
          <w:rFonts w:eastAsiaTheme="majorEastAsia"/>
        </w:rPr>
        <w:t xml:space="preserve">4.3 </w:t>
      </w:r>
      <w:r w:rsidR="00563266" w:rsidRPr="00821D7F">
        <w:rPr>
          <w:rStyle w:val="Strong"/>
          <w:b/>
          <w:bCs w:val="0"/>
        </w:rPr>
        <w:t>Ratio</w:t>
      </w:r>
      <w:r w:rsidR="00BF1897" w:rsidRPr="00821D7F">
        <w:rPr>
          <w:rStyle w:val="Strong"/>
          <w:b/>
          <w:bCs w:val="0"/>
        </w:rPr>
        <w:t>n</w:t>
      </w:r>
      <w:r w:rsidR="00563266" w:rsidRPr="00821D7F">
        <w:rPr>
          <w:rStyle w:val="Strong"/>
          <w:b/>
          <w:bCs w:val="0"/>
        </w:rPr>
        <w:t>ale for Sample Size and Tracking Duration</w:t>
      </w:r>
      <w:bookmarkEnd w:id="77"/>
    </w:p>
    <w:p w14:paraId="347D515C" w14:textId="63B63D08" w:rsidR="009272CA" w:rsidRPr="00896DD7" w:rsidRDefault="009272CA" w:rsidP="00B451D7">
      <w:r w:rsidRPr="00896DD7">
        <w:t>The choice of 156 positions as the sample size and the minimum tracking duration of 90 days are both intentional methodological decisions based on practical limitations and theoretical needs for understanding how people participate in DeFi.</w:t>
      </w:r>
    </w:p>
    <w:p w14:paraId="36CEE641" w14:textId="77777777" w:rsidR="001826A1" w:rsidRDefault="001826A1" w:rsidP="00B451D7">
      <w:pPr>
        <w:pStyle w:val="font-claude-response-body"/>
        <w:spacing w:before="0" w:beforeAutospacing="0" w:after="0" w:afterAutospacing="0"/>
        <w:rPr>
          <w:b/>
          <w:bCs/>
          <w:color w:val="000000" w:themeColor="text1"/>
        </w:rPr>
      </w:pPr>
    </w:p>
    <w:p w14:paraId="0F984980" w14:textId="0C3A6204" w:rsidR="009272CA" w:rsidRPr="00896DD7" w:rsidRDefault="009272CA" w:rsidP="00B451D7">
      <w:pPr>
        <w:pStyle w:val="font-claude-response-body"/>
        <w:spacing w:before="0" w:beforeAutospacing="0" w:after="0" w:afterAutospacing="0"/>
        <w:rPr>
          <w:b/>
          <w:bCs/>
          <w:color w:val="000000" w:themeColor="text1"/>
        </w:rPr>
      </w:pPr>
      <w:r w:rsidRPr="00896DD7">
        <w:rPr>
          <w:b/>
          <w:bCs/>
          <w:color w:val="000000" w:themeColor="text1"/>
        </w:rPr>
        <w:t>Justification for Sample Size (n=156)</w:t>
      </w:r>
    </w:p>
    <w:p w14:paraId="576676AD" w14:textId="1C621DA8" w:rsidR="009272CA" w:rsidRDefault="009272CA" w:rsidP="00B451D7">
      <w:pPr>
        <w:pStyle w:val="font-claude-response-body"/>
        <w:spacing w:before="0" w:beforeAutospacing="0" w:after="0" w:afterAutospacing="0"/>
        <w:jc w:val="both"/>
        <w:rPr>
          <w:color w:val="000000" w:themeColor="text1"/>
        </w:rPr>
      </w:pPr>
      <w:r w:rsidRPr="00896DD7">
        <w:rPr>
          <w:color w:val="000000" w:themeColor="text1"/>
        </w:rPr>
        <w:t xml:space="preserve">The sample size of 156 was established using power analysis and theoretical saturation considerations, rather than through arbitrary selection. Using Cohen's (1988) power analysis </w:t>
      </w:r>
      <w:r w:rsidRPr="00896DD7">
        <w:rPr>
          <w:color w:val="000000" w:themeColor="text1"/>
        </w:rPr>
        <w:lastRenderedPageBreak/>
        <w:t xml:space="preserve">methodology to find medium effect sizes (d=0.5) with enough statistical power (β=0.80, α=0.05), at least 128 places were needed for comparisons across independent groups. The actual sample of 156 places is 22% larger than this criterion, </w:t>
      </w:r>
      <w:proofErr w:type="gramStart"/>
      <w:r w:rsidRPr="00896DD7">
        <w:rPr>
          <w:color w:val="000000" w:themeColor="text1"/>
        </w:rPr>
        <w:t>which gives</w:t>
      </w:r>
      <w:proofErr w:type="gramEnd"/>
      <w:r w:rsidRPr="00896DD7">
        <w:rPr>
          <w:color w:val="000000" w:themeColor="text1"/>
        </w:rPr>
        <w:t xml:space="preserve"> </w:t>
      </w:r>
      <w:r w:rsidR="00896DD7" w:rsidRPr="00896DD7">
        <w:rPr>
          <w:color w:val="000000" w:themeColor="text1"/>
        </w:rPr>
        <w:t xml:space="preserve">provides this </w:t>
      </w:r>
      <w:proofErr w:type="gramStart"/>
      <w:r w:rsidR="00896DD7" w:rsidRPr="00896DD7">
        <w:rPr>
          <w:color w:val="000000" w:themeColor="text1"/>
        </w:rPr>
        <w:t>research</w:t>
      </w:r>
      <w:proofErr w:type="gramEnd"/>
      <w:r w:rsidR="00896DD7" w:rsidRPr="00896DD7">
        <w:rPr>
          <w:color w:val="000000" w:themeColor="text1"/>
        </w:rPr>
        <w:t xml:space="preserve"> a </w:t>
      </w:r>
      <w:r w:rsidRPr="00896DD7">
        <w:rPr>
          <w:color w:val="000000" w:themeColor="text1"/>
        </w:rPr>
        <w:t>safe</w:t>
      </w:r>
      <w:r w:rsidR="00896DD7" w:rsidRPr="00896DD7">
        <w:rPr>
          <w:color w:val="000000" w:themeColor="text1"/>
        </w:rPr>
        <w:t xml:space="preserve">ty </w:t>
      </w:r>
      <w:r w:rsidRPr="00896DD7">
        <w:rPr>
          <w:color w:val="000000" w:themeColor="text1"/>
        </w:rPr>
        <w:t xml:space="preserve">buffer for </w:t>
      </w:r>
      <w:r w:rsidR="00896DD7" w:rsidRPr="00896DD7">
        <w:rPr>
          <w:color w:val="000000" w:themeColor="text1"/>
        </w:rPr>
        <w:t xml:space="preserve">any </w:t>
      </w:r>
      <w:r w:rsidRPr="00896DD7">
        <w:rPr>
          <w:color w:val="000000" w:themeColor="text1"/>
        </w:rPr>
        <w:t>expected problems with data quality and position loss</w:t>
      </w:r>
      <w:r w:rsidR="00896DD7" w:rsidRPr="00896DD7">
        <w:rPr>
          <w:color w:val="000000" w:themeColor="text1"/>
        </w:rPr>
        <w:t>es.</w:t>
      </w:r>
    </w:p>
    <w:p w14:paraId="2FDDDABA" w14:textId="77777777" w:rsidR="001826A1" w:rsidRPr="00896DD7" w:rsidRDefault="001826A1" w:rsidP="00B451D7">
      <w:pPr>
        <w:pStyle w:val="font-claude-response-body"/>
        <w:spacing w:before="0" w:beforeAutospacing="0" w:after="0" w:afterAutospacing="0"/>
        <w:jc w:val="both"/>
        <w:rPr>
          <w:color w:val="000000" w:themeColor="text1"/>
        </w:rPr>
      </w:pPr>
    </w:p>
    <w:p w14:paraId="0B6DA05E" w14:textId="1088A747" w:rsidR="009272CA" w:rsidRPr="009272CA" w:rsidRDefault="00896DD7" w:rsidP="00B451D7">
      <w:pPr>
        <w:pStyle w:val="font-claude-response-body"/>
        <w:spacing w:before="0" w:beforeAutospacing="0" w:after="0" w:afterAutospacing="0"/>
        <w:jc w:val="both"/>
        <w:rPr>
          <w:color w:val="0070C0"/>
        </w:rPr>
      </w:pPr>
      <w:r w:rsidRPr="00896DD7">
        <w:rPr>
          <w:color w:val="000000" w:themeColor="text1"/>
        </w:rPr>
        <w:t>Also,</w:t>
      </w:r>
      <w:r w:rsidR="009272CA" w:rsidRPr="00896DD7">
        <w:rPr>
          <w:color w:val="000000" w:themeColor="text1"/>
        </w:rPr>
        <w:t xml:space="preserve"> the sample size follows the rules of theoretical saturation that were taken from grounded theory methodology (Glaser &amp; Strauss, 1967; Guest et al., 2006). After about 89 positions, new mechanical patterns that explained position failures stopped coming up during sequential data collecting. Positions 90–120 showed themes that came up </w:t>
      </w:r>
      <w:proofErr w:type="gramStart"/>
      <w:r w:rsidR="009272CA" w:rsidRPr="00896DD7">
        <w:rPr>
          <w:color w:val="000000" w:themeColor="text1"/>
        </w:rPr>
        <w:t>again and again</w:t>
      </w:r>
      <w:proofErr w:type="gramEnd"/>
      <w:r w:rsidR="009272CA" w:rsidRPr="00896DD7">
        <w:rPr>
          <w:color w:val="000000" w:themeColor="text1"/>
        </w:rPr>
        <w:t xml:space="preserve">, but no fresh, important information. Positions 121–156 were used as confirmatory examples to see if the patterns held up in different market situations. Guest et al. (2006) show that saturation for finding core themes usually happens </w:t>
      </w:r>
      <w:r w:rsidRPr="00896DD7">
        <w:rPr>
          <w:color w:val="000000" w:themeColor="text1"/>
        </w:rPr>
        <w:t xml:space="preserve">between </w:t>
      </w:r>
      <w:r w:rsidR="009272CA" w:rsidRPr="00896DD7">
        <w:rPr>
          <w:color w:val="000000" w:themeColor="text1"/>
        </w:rPr>
        <w:t>60 to 100 interviews in populations that are all the same</w:t>
      </w:r>
      <w:r w:rsidRPr="00896DD7">
        <w:rPr>
          <w:color w:val="000000" w:themeColor="text1"/>
        </w:rPr>
        <w:t>. H</w:t>
      </w:r>
      <w:r w:rsidR="009272CA" w:rsidRPr="00896DD7">
        <w:rPr>
          <w:color w:val="000000" w:themeColor="text1"/>
        </w:rPr>
        <w:t xml:space="preserve">owever, the DeFi participant population </w:t>
      </w:r>
      <w:r w:rsidRPr="00896DD7">
        <w:rPr>
          <w:color w:val="000000" w:themeColor="text1"/>
        </w:rPr>
        <w:t xml:space="preserve">I this study </w:t>
      </w:r>
      <w:r w:rsidR="009272CA" w:rsidRPr="00896DD7">
        <w:rPr>
          <w:color w:val="000000" w:themeColor="text1"/>
        </w:rPr>
        <w:t>was more diverse (with capital levels ranging from $500 to $100,000</w:t>
      </w:r>
      <w:r w:rsidRPr="00896DD7">
        <w:rPr>
          <w:color w:val="000000" w:themeColor="text1"/>
        </w:rPr>
        <w:t>,</w:t>
      </w:r>
      <w:r w:rsidR="009272CA" w:rsidRPr="00896DD7">
        <w:rPr>
          <w:color w:val="000000" w:themeColor="text1"/>
        </w:rPr>
        <w:t xml:space="preserve"> different types of protocols</w:t>
      </w:r>
      <w:r w:rsidRPr="00896DD7">
        <w:rPr>
          <w:color w:val="000000" w:themeColor="text1"/>
        </w:rPr>
        <w:t>, geographies and know-how</w:t>
      </w:r>
      <w:r w:rsidR="009272CA" w:rsidRPr="00896DD7">
        <w:rPr>
          <w:color w:val="000000" w:themeColor="text1"/>
        </w:rPr>
        <w:t>), a larger sample was needed.</w:t>
      </w:r>
    </w:p>
    <w:p w14:paraId="1083B83D" w14:textId="77777777" w:rsidR="001826A1" w:rsidRDefault="001826A1" w:rsidP="00B451D7">
      <w:pPr>
        <w:pStyle w:val="font-claude-response-body"/>
        <w:spacing w:before="0" w:beforeAutospacing="0" w:after="0" w:afterAutospacing="0"/>
        <w:jc w:val="both"/>
        <w:rPr>
          <w:color w:val="000000" w:themeColor="text1"/>
        </w:rPr>
      </w:pPr>
    </w:p>
    <w:p w14:paraId="36332D6F" w14:textId="226825ED" w:rsidR="009272CA" w:rsidRDefault="009272CA" w:rsidP="00B451D7">
      <w:pPr>
        <w:pStyle w:val="font-claude-response-body"/>
        <w:spacing w:before="0" w:beforeAutospacing="0" w:after="0" w:afterAutospacing="0"/>
        <w:jc w:val="both"/>
        <w:rPr>
          <w:color w:val="000000" w:themeColor="text1"/>
        </w:rPr>
      </w:pPr>
      <w:r w:rsidRPr="00C14A6D">
        <w:rPr>
          <w:color w:val="000000" w:themeColor="text1"/>
        </w:rPr>
        <w:t xml:space="preserve">The sample size also makes it possible to divide the data into groups based on theoretically important factors. The study has 156 positions and keeps the minimum cell size at n≥20 across eight main </w:t>
      </w:r>
      <w:r w:rsidR="00C14A6D" w:rsidRPr="00C14A6D">
        <w:rPr>
          <w:color w:val="000000" w:themeColor="text1"/>
        </w:rPr>
        <w:t>areas</w:t>
      </w:r>
      <w:r w:rsidRPr="00C14A6D">
        <w:rPr>
          <w:color w:val="000000" w:themeColor="text1"/>
        </w:rPr>
        <w:t xml:space="preserve">: three capital categories ($500–$5,000; $5,001–$25,000; $25,001–$100,000), three strategy types (stablecoin pairs, correlated assets, volatile pairs), and three networks (Ethereum </w:t>
      </w:r>
      <w:proofErr w:type="spellStart"/>
      <w:r w:rsidRPr="00C14A6D">
        <w:rPr>
          <w:color w:val="000000" w:themeColor="text1"/>
        </w:rPr>
        <w:t>mainnet</w:t>
      </w:r>
      <w:proofErr w:type="spellEnd"/>
      <w:r w:rsidRPr="00C14A6D">
        <w:rPr>
          <w:color w:val="000000" w:themeColor="text1"/>
        </w:rPr>
        <w:t>, Layer-2 solutions, alternative Layer-1 chains). Smaller samples might hinder the detection of interaction effects between capital level and strategy type</w:t>
      </w:r>
      <w:r w:rsidR="00C14A6D" w:rsidRPr="00C14A6D">
        <w:rPr>
          <w:color w:val="000000" w:themeColor="text1"/>
        </w:rPr>
        <w:t>.</w:t>
      </w:r>
    </w:p>
    <w:p w14:paraId="074106AF" w14:textId="77777777" w:rsidR="001826A1" w:rsidRPr="00C14A6D" w:rsidRDefault="001826A1" w:rsidP="00B451D7">
      <w:pPr>
        <w:pStyle w:val="font-claude-response-body"/>
        <w:spacing w:before="0" w:beforeAutospacing="0" w:after="0" w:afterAutospacing="0"/>
        <w:jc w:val="both"/>
        <w:rPr>
          <w:color w:val="000000" w:themeColor="text1"/>
        </w:rPr>
      </w:pPr>
    </w:p>
    <w:p w14:paraId="6B89952D" w14:textId="618B1DB9" w:rsidR="007532CE" w:rsidRPr="008645B9" w:rsidRDefault="009272CA" w:rsidP="00B451D7">
      <w:pPr>
        <w:pStyle w:val="font-claude-response-body"/>
        <w:spacing w:before="0" w:beforeAutospacing="0" w:after="0" w:afterAutospacing="0"/>
        <w:jc w:val="both"/>
        <w:rPr>
          <w:color w:val="000000" w:themeColor="text1"/>
        </w:rPr>
      </w:pPr>
      <w:r w:rsidRPr="008645B9">
        <w:rPr>
          <w:color w:val="000000" w:themeColor="text1"/>
        </w:rPr>
        <w:t xml:space="preserve">The sample size was also affected by practical limitations. To track positions fully, </w:t>
      </w:r>
      <w:r w:rsidR="008645B9" w:rsidRPr="008645B9">
        <w:rPr>
          <w:color w:val="000000" w:themeColor="text1"/>
        </w:rPr>
        <w:t>I</w:t>
      </w:r>
      <w:r w:rsidRPr="008645B9">
        <w:rPr>
          <w:color w:val="000000" w:themeColor="text1"/>
        </w:rPr>
        <w:t xml:space="preserve"> needed unique Python scripts that combined data from many sources (blockchain APIs, protocol subgraphs, price feeds) and were checked every day for more than 90 days. </w:t>
      </w:r>
      <w:r w:rsidR="008645B9" w:rsidRPr="008645B9">
        <w:rPr>
          <w:color w:val="000000" w:themeColor="text1"/>
        </w:rPr>
        <w:t xml:space="preserve">Therefore only </w:t>
      </w:r>
      <w:r w:rsidRPr="008645B9">
        <w:rPr>
          <w:color w:val="000000" w:themeColor="text1"/>
        </w:rPr>
        <w:t xml:space="preserve">156 slots were the most that could be used while still meeting data quality standards. Going beyond this limit would have required either automated tracking (which could have made the data less accurate) or shorter tracking intervals (which would have given up temporal depth). </w:t>
      </w:r>
    </w:p>
    <w:p w14:paraId="2CD1E271" w14:textId="77777777" w:rsidR="001826A1" w:rsidRDefault="001826A1" w:rsidP="00B451D7">
      <w:pPr>
        <w:pStyle w:val="font-claude-response-body"/>
        <w:spacing w:before="0" w:beforeAutospacing="0" w:after="0" w:afterAutospacing="0"/>
        <w:rPr>
          <w:rStyle w:val="Strong"/>
          <w:color w:val="000000" w:themeColor="text1"/>
        </w:rPr>
      </w:pPr>
    </w:p>
    <w:p w14:paraId="35975D19" w14:textId="283FA60C" w:rsidR="00563266" w:rsidRPr="008B0AB5" w:rsidRDefault="00563266" w:rsidP="00B451D7">
      <w:pPr>
        <w:pStyle w:val="font-claude-response-body"/>
        <w:spacing w:before="0" w:beforeAutospacing="0" w:after="0" w:afterAutospacing="0"/>
        <w:rPr>
          <w:color w:val="000000" w:themeColor="text1"/>
        </w:rPr>
      </w:pPr>
      <w:r w:rsidRPr="008B0AB5">
        <w:rPr>
          <w:rStyle w:val="Strong"/>
          <w:color w:val="000000" w:themeColor="text1"/>
        </w:rPr>
        <w:t>90-Day Minimum Tracking Period Justification</w:t>
      </w:r>
    </w:p>
    <w:p w14:paraId="78D7987A" w14:textId="77777777" w:rsidR="00B32717" w:rsidRPr="008B0AB5" w:rsidRDefault="00B32717" w:rsidP="00B451D7">
      <w:pPr>
        <w:jc w:val="both"/>
        <w:rPr>
          <w:color w:val="000000" w:themeColor="text1"/>
        </w:rPr>
      </w:pPr>
      <w:r w:rsidRPr="008B0AB5">
        <w:rPr>
          <w:color w:val="000000" w:themeColor="text1"/>
        </w:rPr>
        <w:t xml:space="preserve">The 90-day minimum observation period fulfills three methodological requirements: it encompasses complete market cycles, enables participants to compute returns inclusive of transaction costs, and provides sufficient duration for behavioral patterns to manifest. </w:t>
      </w:r>
    </w:p>
    <w:p w14:paraId="02016ED8" w14:textId="77777777" w:rsidR="00B32717" w:rsidRPr="008B0AB5" w:rsidRDefault="00B32717" w:rsidP="00B451D7">
      <w:pPr>
        <w:rPr>
          <w:color w:val="000000" w:themeColor="text1"/>
        </w:rPr>
      </w:pPr>
    </w:p>
    <w:p w14:paraId="2D389DC1" w14:textId="73CD08C1" w:rsidR="00B32717" w:rsidRPr="008B0AB5" w:rsidRDefault="00B32717" w:rsidP="00B451D7">
      <w:pPr>
        <w:jc w:val="both"/>
        <w:rPr>
          <w:b/>
          <w:color w:val="000000" w:themeColor="text1"/>
        </w:rPr>
      </w:pPr>
      <w:r w:rsidRPr="008B0AB5">
        <w:rPr>
          <w:color w:val="000000" w:themeColor="text1"/>
        </w:rPr>
        <w:t>DeFi markets have volatility cycles that are far shorter than those of conventional financial markets. An examination of Bitcoin and Ethereum price data from 2020 to 2024 indicates that mean reversion cycles, periods during which the price transitions from a local high to a trough and subsequently returns to equilibrium, have an average duration of 73 days (SD=31 days). Consequently, positions monitored for fewer than 60 days may simply exhibit upward or downward trends, without a comprehensive representation of the whole cyclical dynamics. The 90-day criterion ensures that each position experiences a full volatility cycle with 95% probability</w:t>
      </w:r>
      <w:r w:rsidR="008B0AB5" w:rsidRPr="008B0AB5">
        <w:rPr>
          <w:color w:val="000000" w:themeColor="text1"/>
        </w:rPr>
        <w:t>. This</w:t>
      </w:r>
      <w:r w:rsidRPr="008B0AB5">
        <w:rPr>
          <w:color w:val="000000" w:themeColor="text1"/>
        </w:rPr>
        <w:t xml:space="preserve"> </w:t>
      </w:r>
      <w:r w:rsidR="008B0AB5" w:rsidRPr="008B0AB5">
        <w:rPr>
          <w:color w:val="000000" w:themeColor="text1"/>
        </w:rPr>
        <w:t>enables</w:t>
      </w:r>
      <w:r w:rsidRPr="008B0AB5">
        <w:rPr>
          <w:color w:val="000000" w:themeColor="text1"/>
        </w:rPr>
        <w:t xml:space="preserve"> the assessment of strategy resilience across all market conditions rather than exclusively during favorable trends (Tsay, 2010).</w:t>
      </w:r>
    </w:p>
    <w:p w14:paraId="1D2BF5FD" w14:textId="77777777" w:rsidR="00B32717" w:rsidRPr="00203108" w:rsidRDefault="00B32717" w:rsidP="00B451D7">
      <w:pPr>
        <w:rPr>
          <w:b/>
          <w:color w:val="0070C0"/>
        </w:rPr>
      </w:pPr>
    </w:p>
    <w:p w14:paraId="41673F32" w14:textId="1E8E3D60" w:rsidR="00C42E1D" w:rsidRPr="00203108" w:rsidRDefault="00C42E1D" w:rsidP="00B451D7">
      <w:pPr>
        <w:jc w:val="both"/>
        <w:rPr>
          <w:color w:val="0070C0"/>
        </w:rPr>
      </w:pPr>
      <w:r w:rsidRPr="008B0AB5">
        <w:rPr>
          <w:color w:val="000000" w:themeColor="text1"/>
        </w:rPr>
        <w:t xml:space="preserve">When operational expenditures are high, the 90-day timeframe is especially important for getting correct return estimations. During the study period, the average gas cost per transaction on the Ethereum </w:t>
      </w:r>
      <w:proofErr w:type="spellStart"/>
      <w:r w:rsidRPr="008B0AB5">
        <w:rPr>
          <w:color w:val="000000" w:themeColor="text1"/>
        </w:rPr>
        <w:t>mainnet</w:t>
      </w:r>
      <w:proofErr w:type="spellEnd"/>
      <w:r w:rsidRPr="008B0AB5">
        <w:rPr>
          <w:color w:val="000000" w:themeColor="text1"/>
        </w:rPr>
        <w:t xml:space="preserve"> was $47, and each participant made about 15 transactions per three months (initial deposit, 10–12 position changes, reward claims, and final withdrawal). This meant that the </w:t>
      </w:r>
      <w:r w:rsidRPr="008B0AB5">
        <w:rPr>
          <w:color w:val="000000" w:themeColor="text1"/>
        </w:rPr>
        <w:lastRenderedPageBreak/>
        <w:t xml:space="preserve">average gas cost per position was $705 every three months. If the observation periods were shorter, these mostly fixed costs would be spread out across fewer days, making per-day operational costs look higher than they really are and hiding real return profiles. The 90-day term lets transaction expenses be spread out across enough times when fees are generated to show that the business model is sustainable (Treynor &amp; Black, 1973). </w:t>
      </w:r>
    </w:p>
    <w:p w14:paraId="30F043B2" w14:textId="77777777" w:rsidR="00C42E1D" w:rsidRPr="000F4579" w:rsidRDefault="00C42E1D" w:rsidP="00B451D7">
      <w:pPr>
        <w:jc w:val="both"/>
        <w:rPr>
          <w:color w:val="000000" w:themeColor="text1"/>
        </w:rPr>
      </w:pPr>
    </w:p>
    <w:p w14:paraId="255E8224" w14:textId="22F8A70A" w:rsidR="00C42E1D" w:rsidRPr="000F4579" w:rsidRDefault="00C42E1D" w:rsidP="00B451D7">
      <w:pPr>
        <w:jc w:val="both"/>
        <w:rPr>
          <w:b/>
          <w:color w:val="000000" w:themeColor="text1"/>
        </w:rPr>
      </w:pPr>
      <w:r w:rsidRPr="000F4579">
        <w:rPr>
          <w:color w:val="000000" w:themeColor="text1"/>
        </w:rPr>
        <w:t xml:space="preserve">The 90-day criterion is important because it </w:t>
      </w:r>
      <w:r w:rsidR="00E9243E" w:rsidRPr="000F4579">
        <w:rPr>
          <w:color w:val="000000" w:themeColor="text1"/>
        </w:rPr>
        <w:t>allows for</w:t>
      </w:r>
      <w:r w:rsidRPr="000F4579">
        <w:rPr>
          <w:color w:val="000000" w:themeColor="text1"/>
        </w:rPr>
        <w:t xml:space="preserve"> differen</w:t>
      </w:r>
      <w:r w:rsidR="00E9243E" w:rsidRPr="000F4579">
        <w:rPr>
          <w:color w:val="000000" w:themeColor="text1"/>
        </w:rPr>
        <w:t>tiation</w:t>
      </w:r>
      <w:r w:rsidRPr="000F4579">
        <w:rPr>
          <w:color w:val="000000" w:themeColor="text1"/>
        </w:rPr>
        <w:t xml:space="preserve"> between short-term and long-term participation. Interviews showed that participants usually needed 6 to 8 weeks to master the basics of position management. During that period, they spent the most time on it, up to 25 to 30 hours a week, before dropping to a sustainable level of 15 to 20 hours a week for those who were successful. Shorter tracking periods would mix up the inefficiencies of the learning phase with the steady-state operational needs, which would not accurately show how much time DeFi participation really takes. The 90-day minimum includes both the expenses of initial learning and the processes of managing equilibrium, which gives a good idea of the total load on participants. </w:t>
      </w:r>
    </w:p>
    <w:p w14:paraId="411BA214" w14:textId="77777777" w:rsidR="00C42E1D" w:rsidRPr="00203108" w:rsidRDefault="00C42E1D" w:rsidP="00B451D7">
      <w:pPr>
        <w:rPr>
          <w:b/>
          <w:color w:val="0070C0"/>
        </w:rPr>
      </w:pPr>
    </w:p>
    <w:p w14:paraId="58ACB416" w14:textId="0C77DB9B" w:rsidR="00BD5321" w:rsidRPr="00267649" w:rsidRDefault="00BD5321" w:rsidP="00B451D7">
      <w:pPr>
        <w:jc w:val="both"/>
        <w:rPr>
          <w:b/>
          <w:color w:val="000000" w:themeColor="text1"/>
        </w:rPr>
      </w:pPr>
      <w:r w:rsidRPr="00267649">
        <w:rPr>
          <w:color w:val="000000" w:themeColor="text1"/>
        </w:rPr>
        <w:t xml:space="preserve">Different tracking periods were looked at but not used for certain methodological reasons. A minimum of 30 days, while allowing for greater sample sizes, was not sufficient for the reasons stated above. A minimum of 180 days would yield better longitudinal </w:t>
      </w:r>
      <w:proofErr w:type="gramStart"/>
      <w:r w:rsidRPr="00267649">
        <w:rPr>
          <w:color w:val="000000" w:themeColor="text1"/>
        </w:rPr>
        <w:t>depth,</w:t>
      </w:r>
      <w:proofErr w:type="gramEnd"/>
      <w:r w:rsidRPr="00267649">
        <w:rPr>
          <w:color w:val="000000" w:themeColor="text1"/>
        </w:rPr>
        <w:t xml:space="preserve"> however it wasn't possible because of the high mortality rates for positions. Preliminary data showed that 47% of jobs close or fail before 120 days, so needing 180 days of survival would create a lot of survivorship bias. The 90-day criteria </w:t>
      </w:r>
      <w:proofErr w:type="gramStart"/>
      <w:r w:rsidR="00267649" w:rsidRPr="00267649">
        <w:rPr>
          <w:color w:val="000000" w:themeColor="text1"/>
        </w:rPr>
        <w:t>appears</w:t>
      </w:r>
      <w:proofErr w:type="gramEnd"/>
      <w:r w:rsidR="00267649" w:rsidRPr="00267649">
        <w:rPr>
          <w:color w:val="000000" w:themeColor="text1"/>
        </w:rPr>
        <w:t xml:space="preserve"> to be</w:t>
      </w:r>
      <w:r w:rsidRPr="00267649">
        <w:rPr>
          <w:color w:val="000000" w:themeColor="text1"/>
        </w:rPr>
        <w:t xml:space="preserve"> the best balance </w:t>
      </w:r>
      <w:r w:rsidR="00267649" w:rsidRPr="00267649">
        <w:rPr>
          <w:color w:val="000000" w:themeColor="text1"/>
        </w:rPr>
        <w:t>as</w:t>
      </w:r>
      <w:r w:rsidRPr="00267649">
        <w:rPr>
          <w:color w:val="000000" w:themeColor="text1"/>
        </w:rPr>
        <w:t xml:space="preserve"> it is long enough to find noteworthy patterns, short enough to keep the sample usable, and it fits with the quarterly reporting periods that are common in both traditional finance and DeFi governance cycles (Yin, 2018).</w:t>
      </w:r>
    </w:p>
    <w:p w14:paraId="422DC03E" w14:textId="77777777" w:rsidR="00BD5321" w:rsidRDefault="00BD5321" w:rsidP="00B451D7">
      <w:pPr>
        <w:pStyle w:val="Heading2"/>
        <w:rPr>
          <w:b w:val="0"/>
          <w:color w:val="FF0000"/>
          <w:kern w:val="0"/>
          <w:sz w:val="24"/>
        </w:rPr>
      </w:pPr>
    </w:p>
    <w:p w14:paraId="394E79B7" w14:textId="74858AE1" w:rsidR="00174BE9" w:rsidRPr="003C66A0" w:rsidRDefault="008D6F57" w:rsidP="00B451D7">
      <w:pPr>
        <w:pStyle w:val="Heading2"/>
        <w:rPr>
          <w:rFonts w:eastAsiaTheme="majorEastAsia"/>
        </w:rPr>
      </w:pPr>
      <w:bookmarkStart w:id="78" w:name="_Toc214721884"/>
      <w:r w:rsidRPr="003C66A0">
        <w:rPr>
          <w:rFonts w:eastAsiaTheme="majorEastAsia"/>
        </w:rPr>
        <w:t>4</w:t>
      </w:r>
      <w:r w:rsidR="00174BE9" w:rsidRPr="003C66A0">
        <w:rPr>
          <w:rFonts w:eastAsiaTheme="majorEastAsia"/>
        </w:rPr>
        <w:t>.3 Qualitative Data Collection</w:t>
      </w:r>
      <w:bookmarkEnd w:id="78"/>
    </w:p>
    <w:p w14:paraId="12A02C0A" w14:textId="09198922" w:rsidR="00174BE9" w:rsidRPr="003C66A0" w:rsidRDefault="008D6F57" w:rsidP="00B451D7">
      <w:pPr>
        <w:pStyle w:val="Heading3"/>
        <w:rPr>
          <w:rFonts w:eastAsiaTheme="majorEastAsia"/>
        </w:rPr>
      </w:pPr>
      <w:bookmarkStart w:id="79" w:name="_Toc214721885"/>
      <w:r w:rsidRPr="003C66A0">
        <w:rPr>
          <w:rFonts w:eastAsiaTheme="majorEastAsia"/>
        </w:rPr>
        <w:t>4</w:t>
      </w:r>
      <w:r w:rsidR="00174BE9" w:rsidRPr="003C66A0">
        <w:rPr>
          <w:rFonts w:eastAsiaTheme="majorEastAsia"/>
        </w:rPr>
        <w:t>.3.1 Interview Methodology</w:t>
      </w:r>
      <w:bookmarkEnd w:id="79"/>
    </w:p>
    <w:p w14:paraId="3F70C01A" w14:textId="77777777" w:rsidR="0020650F" w:rsidRPr="003C66A0" w:rsidRDefault="0020650F" w:rsidP="00B451D7">
      <w:pPr>
        <w:jc w:val="both"/>
        <w:rPr>
          <w:rFonts w:eastAsiaTheme="majorEastAsia"/>
          <w:bCs/>
          <w:color w:val="000000" w:themeColor="text1"/>
        </w:rPr>
      </w:pPr>
      <w:r w:rsidRPr="003C66A0">
        <w:rPr>
          <w:rFonts w:eastAsiaTheme="majorEastAsia"/>
          <w:bCs/>
          <w:color w:val="000000" w:themeColor="text1"/>
        </w:rPr>
        <w:t>The 27 entrepreneur interviews weren't meant to be statistically representative. How could they be, given the unknown population size? Instead, they follow theoretical sampling principles, selecting participants who could illuminate different aspects of minimal-capital DeFi participation (Charmaz, 2014).</w:t>
      </w:r>
    </w:p>
    <w:p w14:paraId="63867A56" w14:textId="77777777" w:rsidR="0020650F" w:rsidRPr="003C66A0" w:rsidRDefault="0020650F" w:rsidP="00B451D7">
      <w:pPr>
        <w:jc w:val="both"/>
        <w:rPr>
          <w:rFonts w:eastAsiaTheme="majorEastAsia"/>
          <w:bCs/>
          <w:color w:val="000000" w:themeColor="text1"/>
        </w:rPr>
      </w:pPr>
    </w:p>
    <w:p w14:paraId="39102DBA" w14:textId="77777777" w:rsidR="0020650F" w:rsidRPr="003C66A0" w:rsidRDefault="0020650F" w:rsidP="00B451D7">
      <w:pPr>
        <w:jc w:val="both"/>
        <w:rPr>
          <w:rFonts w:eastAsiaTheme="majorEastAsia"/>
          <w:bCs/>
          <w:color w:val="000000" w:themeColor="text1"/>
        </w:rPr>
      </w:pPr>
      <w:r w:rsidRPr="003C66A0">
        <w:rPr>
          <w:rFonts w:eastAsiaTheme="majorEastAsia"/>
          <w:bCs/>
          <w:color w:val="000000" w:themeColor="text1"/>
        </w:rPr>
        <w:t xml:space="preserve">To avoid any bias from only one source, the recruitment happened through </w:t>
      </w:r>
      <w:proofErr w:type="gramStart"/>
      <w:r w:rsidRPr="003C66A0">
        <w:rPr>
          <w:rFonts w:eastAsiaTheme="majorEastAsia"/>
          <w:bCs/>
          <w:color w:val="000000" w:themeColor="text1"/>
        </w:rPr>
        <w:t>a number of</w:t>
      </w:r>
      <w:proofErr w:type="gramEnd"/>
      <w:r w:rsidRPr="003C66A0">
        <w:rPr>
          <w:rFonts w:eastAsiaTheme="majorEastAsia"/>
          <w:bCs/>
          <w:color w:val="000000" w:themeColor="text1"/>
        </w:rPr>
        <w:t xml:space="preserve"> different channels. There were 11 participants from DeFi Discord servers and Telegram groups. They were usually very knowledgeable about technology but didn't have a lot of money. Eight people came from various Twitter/X crypto groups. They were more diverse in terms of their backgrounds, but they were usually not as good with technology. Five more people joined after the first interviewees referred them. These showed that strategy transmission can have network effects. Three participants were found through on-chain activity, which was the most effective but also the most secretive on how their strategies.</w:t>
      </w:r>
    </w:p>
    <w:p w14:paraId="3CB71568" w14:textId="77777777" w:rsidR="0020650F" w:rsidRPr="003C66A0" w:rsidRDefault="0020650F" w:rsidP="00B451D7">
      <w:pPr>
        <w:jc w:val="both"/>
        <w:rPr>
          <w:rFonts w:eastAsiaTheme="majorEastAsia"/>
          <w:bCs/>
          <w:color w:val="000000" w:themeColor="text1"/>
        </w:rPr>
      </w:pPr>
    </w:p>
    <w:p w14:paraId="56BD12A4" w14:textId="77777777" w:rsidR="0020650F" w:rsidRPr="003C66A0" w:rsidRDefault="0020650F" w:rsidP="00B451D7">
      <w:pPr>
        <w:jc w:val="both"/>
        <w:rPr>
          <w:rFonts w:eastAsiaTheme="majorEastAsia"/>
          <w:bCs/>
          <w:color w:val="000000" w:themeColor="text1"/>
        </w:rPr>
      </w:pPr>
      <w:r w:rsidRPr="003C66A0">
        <w:rPr>
          <w:rFonts w:eastAsiaTheme="majorEastAsia"/>
          <w:bCs/>
          <w:color w:val="000000" w:themeColor="text1"/>
        </w:rPr>
        <w:t xml:space="preserve">The selection of participants was intentionally aimed for diversity in geographic, educational, and experiential aspects rather than statistical representation. The resulting sample is biased toward early adopters in developed markets who are usually </w:t>
      </w:r>
      <w:proofErr w:type="gramStart"/>
      <w:r w:rsidRPr="003C66A0">
        <w:rPr>
          <w:rFonts w:eastAsiaTheme="majorEastAsia"/>
          <w:bCs/>
          <w:color w:val="000000" w:themeColor="text1"/>
        </w:rPr>
        <w:t>fairly technically</w:t>
      </w:r>
      <w:proofErr w:type="gramEnd"/>
      <w:r w:rsidRPr="003C66A0">
        <w:rPr>
          <w:rFonts w:eastAsiaTheme="majorEastAsia"/>
          <w:bCs/>
          <w:color w:val="000000" w:themeColor="text1"/>
        </w:rPr>
        <w:t xml:space="preserve"> savvy and willing to take risks. This leaves out participants from several categories that should be considered in future studies to broaden the sample and minimize the bias this research has.</w:t>
      </w:r>
    </w:p>
    <w:p w14:paraId="2E8111F1" w14:textId="77777777" w:rsidR="0020650F" w:rsidRPr="003C66A0" w:rsidRDefault="0020650F" w:rsidP="00B451D7">
      <w:pPr>
        <w:jc w:val="both"/>
        <w:rPr>
          <w:rFonts w:eastAsiaTheme="majorEastAsia"/>
          <w:bCs/>
          <w:color w:val="000000" w:themeColor="text1"/>
        </w:rPr>
      </w:pPr>
    </w:p>
    <w:p w14:paraId="289A27C3" w14:textId="77777777" w:rsidR="0020650F" w:rsidRPr="003C66A0" w:rsidRDefault="0020650F" w:rsidP="00B451D7">
      <w:pPr>
        <w:jc w:val="both"/>
        <w:rPr>
          <w:rFonts w:eastAsiaTheme="majorEastAsia"/>
          <w:bCs/>
          <w:color w:val="000000" w:themeColor="text1"/>
        </w:rPr>
      </w:pPr>
      <w:r w:rsidRPr="003C66A0">
        <w:rPr>
          <w:rFonts w:eastAsiaTheme="majorEastAsia"/>
          <w:bCs/>
          <w:color w:val="000000" w:themeColor="text1"/>
        </w:rPr>
        <w:t xml:space="preserve">The semi-structured interview protocol examined six major themes (Background/Entry, Strategy, Risk/Losses, Operational Reality, Performance, and Reflections); however, discussions seldom </w:t>
      </w:r>
      <w:r w:rsidRPr="003C66A0">
        <w:rPr>
          <w:rFonts w:eastAsiaTheme="majorEastAsia"/>
          <w:bCs/>
          <w:color w:val="000000" w:themeColor="text1"/>
        </w:rPr>
        <w:lastRenderedPageBreak/>
        <w:t xml:space="preserve">remained confined to these parameters. Entry motivations and capital constraints indicated that </w:t>
      </w:r>
      <w:proofErr w:type="gramStart"/>
      <w:r w:rsidRPr="003C66A0">
        <w:rPr>
          <w:rFonts w:eastAsiaTheme="majorEastAsia"/>
          <w:bCs/>
          <w:color w:val="000000" w:themeColor="text1"/>
        </w:rPr>
        <w:t>the majority of</w:t>
      </w:r>
      <w:proofErr w:type="gramEnd"/>
      <w:r w:rsidRPr="003C66A0">
        <w:rPr>
          <w:rFonts w:eastAsiaTheme="majorEastAsia"/>
          <w:bCs/>
          <w:color w:val="000000" w:themeColor="text1"/>
        </w:rPr>
        <w:t xml:space="preserve"> participants were not initially pursuing passive income; rather, they were attempting to comprehend the technology and inadvertently discovered income opportunities. Strategy selection and evolution data demonstrated that the successful participants did not optimize their strategies; rather, they optimized their learning processes. Similar findings were also identified by Seidman (2019) and the research on strategy.</w:t>
      </w:r>
    </w:p>
    <w:p w14:paraId="3CF43C2E" w14:textId="77777777" w:rsidR="0020650F" w:rsidRPr="003C66A0" w:rsidRDefault="0020650F" w:rsidP="00B451D7">
      <w:pPr>
        <w:jc w:val="both"/>
        <w:rPr>
          <w:rFonts w:eastAsiaTheme="majorEastAsia"/>
          <w:bCs/>
          <w:color w:val="000000" w:themeColor="text1"/>
        </w:rPr>
      </w:pPr>
    </w:p>
    <w:p w14:paraId="00B59079" w14:textId="77777777" w:rsidR="0020650F" w:rsidRPr="003C66A0" w:rsidRDefault="0020650F" w:rsidP="00B451D7">
      <w:pPr>
        <w:jc w:val="both"/>
        <w:rPr>
          <w:rFonts w:eastAsiaTheme="majorEastAsia"/>
          <w:bCs/>
          <w:color w:val="000000" w:themeColor="text1"/>
        </w:rPr>
      </w:pPr>
      <w:r w:rsidRPr="003C66A0">
        <w:rPr>
          <w:rFonts w:eastAsiaTheme="majorEastAsia"/>
          <w:bCs/>
          <w:color w:val="000000" w:themeColor="text1"/>
        </w:rPr>
        <w:t xml:space="preserve">Operational realities became the key factor that set success and participants apart. People who </w:t>
      </w:r>
      <w:proofErr w:type="gramStart"/>
      <w:r w:rsidRPr="003C66A0">
        <w:rPr>
          <w:rFonts w:eastAsiaTheme="majorEastAsia"/>
          <w:bCs/>
          <w:color w:val="000000" w:themeColor="text1"/>
        </w:rPr>
        <w:t>spent</w:t>
      </w:r>
      <w:proofErr w:type="gramEnd"/>
      <w:r w:rsidRPr="003C66A0">
        <w:rPr>
          <w:rFonts w:eastAsiaTheme="majorEastAsia"/>
          <w:bCs/>
          <w:color w:val="000000" w:themeColor="text1"/>
        </w:rPr>
        <w:t xml:space="preserve"> 2-3 hours a day managing their positions sometimes </w:t>
      </w:r>
      <w:proofErr w:type="gramStart"/>
      <w:r w:rsidRPr="003C66A0">
        <w:rPr>
          <w:rFonts w:eastAsiaTheme="majorEastAsia"/>
          <w:bCs/>
          <w:color w:val="000000" w:themeColor="text1"/>
        </w:rPr>
        <w:t>made</w:t>
      </w:r>
      <w:proofErr w:type="gramEnd"/>
      <w:r w:rsidRPr="003C66A0">
        <w:rPr>
          <w:rFonts w:eastAsiaTheme="majorEastAsia"/>
          <w:bCs/>
          <w:color w:val="000000" w:themeColor="text1"/>
        </w:rPr>
        <w:t xml:space="preserve"> less money than people who checked once a week. It appears that success was not correlated to trying hard but about knowing which efforts were important. In the risk interview part, everyone had at least one story of a loss that was almost catastrophic. But the ones who were successful in the </w:t>
      </w:r>
      <w:proofErr w:type="gramStart"/>
      <w:r w:rsidRPr="003C66A0">
        <w:rPr>
          <w:rFonts w:eastAsiaTheme="majorEastAsia"/>
          <w:bCs/>
          <w:color w:val="000000" w:themeColor="text1"/>
        </w:rPr>
        <w:t>end,</w:t>
      </w:r>
      <w:proofErr w:type="gramEnd"/>
      <w:r w:rsidRPr="003C66A0">
        <w:rPr>
          <w:rFonts w:eastAsiaTheme="majorEastAsia"/>
          <w:bCs/>
          <w:color w:val="000000" w:themeColor="text1"/>
        </w:rPr>
        <w:t xml:space="preserve"> saw these as lessons and not failures. The assessments of sustainability were very sobering, as only four of the 27 interviewees thought their approach would work in the long term without major changes.</w:t>
      </w:r>
    </w:p>
    <w:p w14:paraId="0EEC906B" w14:textId="77777777" w:rsidR="00520ED2" w:rsidRPr="003C66A0" w:rsidRDefault="00520ED2" w:rsidP="00B451D7">
      <w:pPr>
        <w:jc w:val="both"/>
        <w:rPr>
          <w:rFonts w:eastAsiaTheme="majorEastAsia"/>
          <w:bCs/>
          <w:color w:val="000000" w:themeColor="text1"/>
        </w:rPr>
      </w:pPr>
    </w:p>
    <w:p w14:paraId="3981C715" w14:textId="4B7B20BD" w:rsidR="00174BE9" w:rsidRPr="003C66A0" w:rsidRDefault="008D6F57" w:rsidP="00B451D7">
      <w:pPr>
        <w:pStyle w:val="Heading3"/>
        <w:rPr>
          <w:rFonts w:eastAsiaTheme="majorEastAsia"/>
        </w:rPr>
      </w:pPr>
      <w:bookmarkStart w:id="80" w:name="_Toc214721886"/>
      <w:r w:rsidRPr="003C66A0">
        <w:rPr>
          <w:rFonts w:eastAsiaTheme="majorEastAsia"/>
        </w:rPr>
        <w:t>4</w:t>
      </w:r>
      <w:r w:rsidR="00174BE9" w:rsidRPr="003C66A0">
        <w:rPr>
          <w:rFonts w:eastAsiaTheme="majorEastAsia"/>
        </w:rPr>
        <w:t>.3.2 Ethnographic Observation</w:t>
      </w:r>
      <w:bookmarkEnd w:id="80"/>
    </w:p>
    <w:p w14:paraId="1246254C" w14:textId="26331509" w:rsidR="00875379" w:rsidRPr="003C66A0" w:rsidRDefault="00875379" w:rsidP="00B451D7">
      <w:pPr>
        <w:jc w:val="both"/>
        <w:rPr>
          <w:rFonts w:eastAsiaTheme="majorEastAsia"/>
          <w:bCs/>
          <w:color w:val="000000" w:themeColor="text1"/>
        </w:rPr>
      </w:pPr>
      <w:r w:rsidRPr="003C66A0">
        <w:rPr>
          <w:rFonts w:eastAsiaTheme="majorEastAsia"/>
          <w:bCs/>
          <w:color w:val="000000" w:themeColor="text1"/>
        </w:rPr>
        <w:t xml:space="preserve">Besides the formal interviews, I also spent approximately 200 hours in DeFi community spaces online such as Telegram, Discord and Reddit. This was not just passive observation but active participation: asking questions, sharing observations, and testing ideas which helped with this </w:t>
      </w:r>
      <w:r w:rsidR="00951073" w:rsidRPr="003C66A0">
        <w:rPr>
          <w:rFonts w:eastAsiaTheme="majorEastAsia"/>
          <w:bCs/>
          <w:color w:val="000000" w:themeColor="text1"/>
        </w:rPr>
        <w:t>research</w:t>
      </w:r>
      <w:r w:rsidRPr="003C66A0">
        <w:rPr>
          <w:rFonts w:eastAsiaTheme="majorEastAsia"/>
          <w:bCs/>
          <w:color w:val="000000" w:themeColor="text1"/>
        </w:rPr>
        <w:t xml:space="preserve"> overall. As observed also by </w:t>
      </w:r>
      <w:proofErr w:type="spellStart"/>
      <w:r w:rsidRPr="003C66A0">
        <w:rPr>
          <w:rFonts w:eastAsiaTheme="majorEastAsia"/>
          <w:bCs/>
          <w:color w:val="000000" w:themeColor="text1"/>
        </w:rPr>
        <w:t>Koxinets</w:t>
      </w:r>
      <w:proofErr w:type="spellEnd"/>
      <w:r w:rsidRPr="003C66A0">
        <w:rPr>
          <w:rFonts w:eastAsiaTheme="majorEastAsia"/>
          <w:bCs/>
          <w:color w:val="000000" w:themeColor="text1"/>
        </w:rPr>
        <w:t xml:space="preserve"> (2019) one can learn many different things at 3 AM </w:t>
      </w:r>
      <w:proofErr w:type="gramStart"/>
      <w:r w:rsidRPr="003C66A0">
        <w:rPr>
          <w:rFonts w:eastAsiaTheme="majorEastAsia"/>
          <w:bCs/>
          <w:color w:val="000000" w:themeColor="text1"/>
        </w:rPr>
        <w:t>in</w:t>
      </w:r>
      <w:proofErr w:type="gramEnd"/>
      <w:r w:rsidRPr="003C66A0">
        <w:rPr>
          <w:rFonts w:eastAsiaTheme="majorEastAsia"/>
          <w:bCs/>
          <w:color w:val="000000" w:themeColor="text1"/>
        </w:rPr>
        <w:t xml:space="preserve"> a Discord channel during a market crash than in a scheduled interview (</w:t>
      </w:r>
      <w:proofErr w:type="spellStart"/>
      <w:r w:rsidRPr="003C66A0">
        <w:rPr>
          <w:rFonts w:eastAsiaTheme="majorEastAsia"/>
          <w:bCs/>
          <w:color w:val="000000" w:themeColor="text1"/>
        </w:rPr>
        <w:t>Kozinets</w:t>
      </w:r>
      <w:proofErr w:type="spellEnd"/>
      <w:r w:rsidRPr="003C66A0">
        <w:rPr>
          <w:rFonts w:eastAsiaTheme="majorEastAsia"/>
          <w:bCs/>
          <w:color w:val="000000" w:themeColor="text1"/>
        </w:rPr>
        <w:t>, 2019).</w:t>
      </w:r>
    </w:p>
    <w:p w14:paraId="28119E7E" w14:textId="77777777" w:rsidR="00875379" w:rsidRPr="003C66A0" w:rsidRDefault="00875379" w:rsidP="00B451D7">
      <w:pPr>
        <w:jc w:val="both"/>
        <w:rPr>
          <w:rFonts w:eastAsiaTheme="majorEastAsia"/>
          <w:bCs/>
          <w:color w:val="000000" w:themeColor="text1"/>
        </w:rPr>
      </w:pPr>
    </w:p>
    <w:p w14:paraId="46F9FEFF" w14:textId="665776A8" w:rsidR="00875379" w:rsidRPr="003C66A0" w:rsidRDefault="00875379" w:rsidP="00B451D7">
      <w:pPr>
        <w:jc w:val="both"/>
        <w:rPr>
          <w:rFonts w:eastAsiaTheme="majorEastAsia"/>
          <w:bCs/>
          <w:color w:val="000000" w:themeColor="text1"/>
        </w:rPr>
      </w:pPr>
      <w:r w:rsidRPr="003C66A0">
        <w:rPr>
          <w:rFonts w:eastAsiaTheme="majorEastAsia"/>
          <w:bCs/>
          <w:color w:val="000000" w:themeColor="text1"/>
        </w:rPr>
        <w:t xml:space="preserve">For this research, the various field notes I gathered were related to strategy and </w:t>
      </w:r>
      <w:proofErr w:type="gramStart"/>
      <w:r w:rsidRPr="003C66A0">
        <w:rPr>
          <w:rFonts w:eastAsiaTheme="majorEastAsia"/>
          <w:bCs/>
          <w:color w:val="000000" w:themeColor="text1"/>
        </w:rPr>
        <w:t>patterns—</w:t>
      </w:r>
      <w:proofErr w:type="gramEnd"/>
      <w:r w:rsidRPr="003C66A0">
        <w:rPr>
          <w:rFonts w:eastAsiaTheme="majorEastAsia"/>
          <w:bCs/>
          <w:color w:val="000000" w:themeColor="text1"/>
        </w:rPr>
        <w:t xml:space="preserve">data that is hard to capture in short interviews. When someone's plan works, they tend </w:t>
      </w:r>
      <w:proofErr w:type="gramStart"/>
      <w:r w:rsidRPr="003C66A0">
        <w:rPr>
          <w:rFonts w:eastAsiaTheme="majorEastAsia"/>
          <w:bCs/>
          <w:color w:val="000000" w:themeColor="text1"/>
        </w:rPr>
        <w:t>post</w:t>
      </w:r>
      <w:proofErr w:type="gramEnd"/>
      <w:r w:rsidRPr="003C66A0">
        <w:rPr>
          <w:rFonts w:eastAsiaTheme="majorEastAsia"/>
          <w:bCs/>
          <w:color w:val="000000" w:themeColor="text1"/>
        </w:rPr>
        <w:t xml:space="preserve"> about </w:t>
      </w:r>
      <w:r w:rsidR="00951073" w:rsidRPr="003C66A0">
        <w:rPr>
          <w:rFonts w:eastAsiaTheme="majorEastAsia"/>
          <w:bCs/>
          <w:color w:val="000000" w:themeColor="text1"/>
        </w:rPr>
        <w:t>it but</w:t>
      </w:r>
      <w:r w:rsidRPr="003C66A0">
        <w:rPr>
          <w:rFonts w:eastAsiaTheme="majorEastAsia"/>
          <w:bCs/>
          <w:color w:val="000000" w:themeColor="text1"/>
        </w:rPr>
        <w:t xml:space="preserve"> never </w:t>
      </w:r>
      <w:proofErr w:type="gramStart"/>
      <w:r w:rsidRPr="003C66A0">
        <w:rPr>
          <w:rFonts w:eastAsiaTheme="majorEastAsia"/>
          <w:bCs/>
          <w:color w:val="000000" w:themeColor="text1"/>
        </w:rPr>
        <w:t>revealing</w:t>
      </w:r>
      <w:proofErr w:type="gramEnd"/>
      <w:r w:rsidRPr="003C66A0">
        <w:rPr>
          <w:rFonts w:eastAsiaTheme="majorEastAsia"/>
          <w:bCs/>
          <w:color w:val="000000" w:themeColor="text1"/>
        </w:rPr>
        <w:t xml:space="preserve"> the exact details. One key observation was the panic that happens during protocol exploits that shows who really knows what they are doing and who is just following orders or ideas from others. As opportunities dried up and profit margins decreased, the tone in the crypto communities changed slowly from excitement to frustration to acceptance.</w:t>
      </w:r>
    </w:p>
    <w:p w14:paraId="7FB85174" w14:textId="77777777" w:rsidR="00875379" w:rsidRPr="003C66A0" w:rsidRDefault="00875379" w:rsidP="00B451D7">
      <w:pPr>
        <w:jc w:val="both"/>
        <w:rPr>
          <w:rFonts w:eastAsiaTheme="majorEastAsia"/>
          <w:bCs/>
          <w:color w:val="000000" w:themeColor="text1"/>
        </w:rPr>
      </w:pPr>
    </w:p>
    <w:p w14:paraId="5D19C0A8" w14:textId="18B3D6C0" w:rsidR="00875379" w:rsidRPr="003C66A0" w:rsidRDefault="00875379" w:rsidP="00B451D7">
      <w:pPr>
        <w:jc w:val="both"/>
        <w:rPr>
          <w:rFonts w:eastAsiaTheme="majorEastAsia"/>
          <w:bCs/>
          <w:color w:val="000000" w:themeColor="text1"/>
        </w:rPr>
      </w:pPr>
      <w:r w:rsidRPr="003C66A0">
        <w:rPr>
          <w:rFonts w:eastAsiaTheme="majorEastAsia"/>
          <w:bCs/>
          <w:color w:val="000000" w:themeColor="text1"/>
        </w:rPr>
        <w:t xml:space="preserve">The different crypto and blockchain community/group members across the different channels I was part of often revealed more details on strategy, how technology works, and their experiences in casual conversation than in formal interviews. Complaints about gas fees led to discussions of failed optimization attempts, and arguments about impermanent loss revealed fundamental misunderstandings of how AMMs work. These observations shaped interview questions and analysis directions - the community was effectively an </w:t>
      </w:r>
      <w:r w:rsidR="00951073" w:rsidRPr="003C66A0">
        <w:rPr>
          <w:rFonts w:eastAsiaTheme="majorEastAsia"/>
          <w:bCs/>
          <w:color w:val="000000" w:themeColor="text1"/>
        </w:rPr>
        <w:t>indirect participant</w:t>
      </w:r>
      <w:r w:rsidRPr="003C66A0">
        <w:rPr>
          <w:rFonts w:eastAsiaTheme="majorEastAsia"/>
          <w:bCs/>
          <w:color w:val="000000" w:themeColor="text1"/>
        </w:rPr>
        <w:t xml:space="preserve"> and/or a co-researcher.</w:t>
      </w:r>
    </w:p>
    <w:p w14:paraId="01478AB5" w14:textId="77777777" w:rsidR="00D35D6E" w:rsidRPr="003C66A0" w:rsidRDefault="00D35D6E" w:rsidP="00B451D7">
      <w:pPr>
        <w:jc w:val="both"/>
        <w:rPr>
          <w:rFonts w:eastAsiaTheme="majorEastAsia"/>
          <w:bCs/>
          <w:color w:val="000000" w:themeColor="text1"/>
        </w:rPr>
      </w:pPr>
    </w:p>
    <w:p w14:paraId="2A73C408" w14:textId="202E1912" w:rsidR="00D35D6E" w:rsidRDefault="008D6F57" w:rsidP="00B451D7">
      <w:pPr>
        <w:pStyle w:val="Heading3"/>
        <w:jc w:val="both"/>
        <w:rPr>
          <w:rFonts w:eastAsiaTheme="majorEastAsia"/>
        </w:rPr>
      </w:pPr>
      <w:bookmarkStart w:id="81" w:name="_Toc214721887"/>
      <w:r w:rsidRPr="003C66A0">
        <w:rPr>
          <w:rFonts w:eastAsiaTheme="majorEastAsia"/>
        </w:rPr>
        <w:t>4</w:t>
      </w:r>
      <w:r w:rsidR="00D35D6E" w:rsidRPr="003C66A0">
        <w:rPr>
          <w:rFonts w:eastAsiaTheme="majorEastAsia"/>
        </w:rPr>
        <w:t>.3.3 Participant Demographics and Characteristics</w:t>
      </w:r>
      <w:bookmarkEnd w:id="81"/>
    </w:p>
    <w:p w14:paraId="5D454C46" w14:textId="77777777" w:rsidR="00D70F1D" w:rsidRDefault="00D70F1D" w:rsidP="00B451D7">
      <w:pPr>
        <w:rPr>
          <w:rFonts w:eastAsiaTheme="majorEastAsia"/>
        </w:rPr>
      </w:pPr>
    </w:p>
    <w:p w14:paraId="015C971D" w14:textId="422B5B18" w:rsidR="00D70F1D" w:rsidRPr="005565E4" w:rsidRDefault="00D70F1D" w:rsidP="00B451D7">
      <w:pPr>
        <w:pStyle w:val="Heading3"/>
        <w:jc w:val="both"/>
        <w:rPr>
          <w:color w:val="000000" w:themeColor="text1"/>
        </w:rPr>
      </w:pPr>
      <w:bookmarkStart w:id="82" w:name="_Toc214721888"/>
      <w:r w:rsidRPr="005565E4">
        <w:rPr>
          <w:color w:val="000000" w:themeColor="text1"/>
        </w:rPr>
        <w:t xml:space="preserve">Table </w:t>
      </w:r>
      <w:r w:rsidR="00C5607F">
        <w:rPr>
          <w:color w:val="000000" w:themeColor="text1"/>
        </w:rPr>
        <w:t>4.B</w:t>
      </w:r>
      <w:r w:rsidRPr="005565E4">
        <w:rPr>
          <w:color w:val="000000" w:themeColor="text1"/>
        </w:rPr>
        <w:t>: Overview of Participants</w:t>
      </w:r>
      <w:bookmarkEnd w:id="82"/>
    </w:p>
    <w:p w14:paraId="4544397F" w14:textId="77777777" w:rsidR="001719A6" w:rsidRPr="001719A6" w:rsidRDefault="001719A6" w:rsidP="00B451D7">
      <w:pPr>
        <w:rPr>
          <w:rFonts w:eastAsiaTheme="majorEastAsia"/>
        </w:rPr>
      </w:pPr>
    </w:p>
    <w:tbl>
      <w:tblPr>
        <w:tblW w:w="9350" w:type="dxa"/>
        <w:tblLook w:val="04A0" w:firstRow="1" w:lastRow="0" w:firstColumn="1" w:lastColumn="0" w:noHBand="0" w:noVBand="1"/>
      </w:tblPr>
      <w:tblGrid>
        <w:gridCol w:w="2510"/>
        <w:gridCol w:w="2610"/>
        <w:gridCol w:w="1530"/>
        <w:gridCol w:w="2700"/>
      </w:tblGrid>
      <w:tr w:rsidR="00FC334A" w:rsidRPr="003C66A0" w14:paraId="4A21A35F" w14:textId="77777777" w:rsidTr="00394E0A">
        <w:trPr>
          <w:trHeight w:val="320"/>
        </w:trPr>
        <w:tc>
          <w:tcPr>
            <w:tcW w:w="2510" w:type="dxa"/>
            <w:tcBorders>
              <w:top w:val="single" w:sz="8" w:space="0" w:color="auto"/>
              <w:left w:val="single" w:sz="8" w:space="0" w:color="auto"/>
              <w:bottom w:val="single" w:sz="4" w:space="0" w:color="auto"/>
              <w:right w:val="single" w:sz="4" w:space="0" w:color="auto"/>
            </w:tcBorders>
            <w:shd w:val="clear" w:color="000000" w:fill="D9D9D9"/>
            <w:noWrap/>
            <w:vAlign w:val="bottom"/>
            <w:hideMark/>
          </w:tcPr>
          <w:p w14:paraId="6BBF9B80" w14:textId="77777777" w:rsidR="00394E0A" w:rsidRPr="003C66A0" w:rsidRDefault="00394E0A" w:rsidP="00B451D7">
            <w:pPr>
              <w:rPr>
                <w:b/>
                <w:bCs/>
                <w:color w:val="000000" w:themeColor="text1"/>
              </w:rPr>
            </w:pPr>
            <w:r w:rsidRPr="003C66A0">
              <w:rPr>
                <w:b/>
                <w:bCs/>
                <w:color w:val="000000" w:themeColor="text1"/>
              </w:rPr>
              <w:t>Characteristic</w:t>
            </w:r>
          </w:p>
        </w:tc>
        <w:tc>
          <w:tcPr>
            <w:tcW w:w="2610" w:type="dxa"/>
            <w:tcBorders>
              <w:top w:val="single" w:sz="8" w:space="0" w:color="auto"/>
              <w:left w:val="nil"/>
              <w:bottom w:val="single" w:sz="4" w:space="0" w:color="auto"/>
              <w:right w:val="single" w:sz="4" w:space="0" w:color="auto"/>
            </w:tcBorders>
            <w:shd w:val="clear" w:color="000000" w:fill="D9D9D9"/>
            <w:noWrap/>
            <w:vAlign w:val="bottom"/>
            <w:hideMark/>
          </w:tcPr>
          <w:p w14:paraId="30BD5DA2" w14:textId="77777777" w:rsidR="00394E0A" w:rsidRPr="003C66A0" w:rsidRDefault="00394E0A" w:rsidP="00B451D7">
            <w:pPr>
              <w:rPr>
                <w:b/>
                <w:bCs/>
                <w:color w:val="000000" w:themeColor="text1"/>
              </w:rPr>
            </w:pPr>
            <w:r w:rsidRPr="003C66A0">
              <w:rPr>
                <w:b/>
                <w:bCs/>
                <w:color w:val="000000" w:themeColor="text1"/>
              </w:rPr>
              <w:t>Category</w:t>
            </w:r>
          </w:p>
        </w:tc>
        <w:tc>
          <w:tcPr>
            <w:tcW w:w="1530" w:type="dxa"/>
            <w:tcBorders>
              <w:top w:val="single" w:sz="8" w:space="0" w:color="auto"/>
              <w:left w:val="nil"/>
              <w:bottom w:val="single" w:sz="4" w:space="0" w:color="auto"/>
              <w:right w:val="single" w:sz="4" w:space="0" w:color="auto"/>
            </w:tcBorders>
            <w:shd w:val="clear" w:color="000000" w:fill="D9D9D9"/>
            <w:noWrap/>
            <w:vAlign w:val="bottom"/>
            <w:hideMark/>
          </w:tcPr>
          <w:p w14:paraId="6BBDEB7D" w14:textId="77777777" w:rsidR="00394E0A" w:rsidRPr="003C66A0" w:rsidRDefault="00394E0A" w:rsidP="00B451D7">
            <w:pPr>
              <w:rPr>
                <w:b/>
                <w:bCs/>
                <w:color w:val="000000" w:themeColor="text1"/>
              </w:rPr>
            </w:pPr>
            <w:r w:rsidRPr="003C66A0">
              <w:rPr>
                <w:b/>
                <w:bCs/>
                <w:color w:val="000000" w:themeColor="text1"/>
              </w:rPr>
              <w:t>N</w:t>
            </w:r>
          </w:p>
        </w:tc>
        <w:tc>
          <w:tcPr>
            <w:tcW w:w="2700" w:type="dxa"/>
            <w:tcBorders>
              <w:top w:val="single" w:sz="8" w:space="0" w:color="auto"/>
              <w:left w:val="nil"/>
              <w:bottom w:val="single" w:sz="4" w:space="0" w:color="auto"/>
              <w:right w:val="single" w:sz="8" w:space="0" w:color="auto"/>
            </w:tcBorders>
            <w:shd w:val="clear" w:color="000000" w:fill="D9D9D9"/>
            <w:noWrap/>
            <w:vAlign w:val="bottom"/>
            <w:hideMark/>
          </w:tcPr>
          <w:p w14:paraId="6FFFF9DE" w14:textId="77777777" w:rsidR="00394E0A" w:rsidRPr="003C66A0" w:rsidRDefault="00394E0A" w:rsidP="00B451D7">
            <w:pPr>
              <w:rPr>
                <w:b/>
                <w:bCs/>
                <w:color w:val="000000" w:themeColor="text1"/>
              </w:rPr>
            </w:pPr>
            <w:r w:rsidRPr="003C66A0">
              <w:rPr>
                <w:b/>
                <w:bCs/>
                <w:color w:val="000000" w:themeColor="text1"/>
              </w:rPr>
              <w:t>Percentage</w:t>
            </w:r>
          </w:p>
        </w:tc>
      </w:tr>
      <w:tr w:rsidR="00FC334A" w:rsidRPr="003C66A0" w14:paraId="1E078B44" w14:textId="77777777" w:rsidTr="00394E0A">
        <w:trPr>
          <w:trHeight w:val="320"/>
        </w:trPr>
        <w:tc>
          <w:tcPr>
            <w:tcW w:w="2510" w:type="dxa"/>
            <w:tcBorders>
              <w:top w:val="nil"/>
              <w:left w:val="single" w:sz="8" w:space="0" w:color="auto"/>
              <w:bottom w:val="single" w:sz="4" w:space="0" w:color="auto"/>
              <w:right w:val="single" w:sz="4" w:space="0" w:color="auto"/>
            </w:tcBorders>
            <w:shd w:val="clear" w:color="000000" w:fill="D9D9D9"/>
            <w:noWrap/>
            <w:vAlign w:val="bottom"/>
            <w:hideMark/>
          </w:tcPr>
          <w:p w14:paraId="078558BE" w14:textId="77777777" w:rsidR="00394E0A" w:rsidRPr="003C66A0" w:rsidRDefault="00394E0A" w:rsidP="00B451D7">
            <w:pPr>
              <w:rPr>
                <w:b/>
                <w:bCs/>
                <w:color w:val="000000" w:themeColor="text1"/>
              </w:rPr>
            </w:pPr>
            <w:r w:rsidRPr="003C66A0">
              <w:rPr>
                <w:b/>
                <w:bCs/>
                <w:color w:val="000000" w:themeColor="text1"/>
              </w:rPr>
              <w:t>Capital Deployed</w:t>
            </w:r>
          </w:p>
        </w:tc>
        <w:tc>
          <w:tcPr>
            <w:tcW w:w="2610" w:type="dxa"/>
            <w:tcBorders>
              <w:top w:val="nil"/>
              <w:left w:val="nil"/>
              <w:bottom w:val="single" w:sz="4" w:space="0" w:color="auto"/>
              <w:right w:val="single" w:sz="4" w:space="0" w:color="auto"/>
            </w:tcBorders>
            <w:noWrap/>
            <w:vAlign w:val="bottom"/>
            <w:hideMark/>
          </w:tcPr>
          <w:p w14:paraId="21AA33B6" w14:textId="77777777" w:rsidR="00394E0A" w:rsidRPr="003C66A0" w:rsidRDefault="00394E0A" w:rsidP="00B451D7">
            <w:pPr>
              <w:rPr>
                <w:color w:val="000000" w:themeColor="text1"/>
              </w:rPr>
            </w:pPr>
            <w:r w:rsidRPr="003C66A0">
              <w:rPr>
                <w:color w:val="000000" w:themeColor="text1"/>
              </w:rPr>
              <w:t>$500-$5000</w:t>
            </w:r>
          </w:p>
        </w:tc>
        <w:tc>
          <w:tcPr>
            <w:tcW w:w="1530" w:type="dxa"/>
            <w:tcBorders>
              <w:top w:val="nil"/>
              <w:left w:val="nil"/>
              <w:bottom w:val="single" w:sz="4" w:space="0" w:color="auto"/>
              <w:right w:val="single" w:sz="4" w:space="0" w:color="auto"/>
            </w:tcBorders>
            <w:noWrap/>
            <w:vAlign w:val="bottom"/>
            <w:hideMark/>
          </w:tcPr>
          <w:p w14:paraId="198E99EC" w14:textId="77777777" w:rsidR="00394E0A" w:rsidRPr="003C66A0" w:rsidRDefault="00394E0A" w:rsidP="00B451D7">
            <w:pPr>
              <w:jc w:val="right"/>
              <w:rPr>
                <w:color w:val="000000" w:themeColor="text1"/>
              </w:rPr>
            </w:pPr>
            <w:r w:rsidRPr="003C66A0">
              <w:rPr>
                <w:color w:val="000000" w:themeColor="text1"/>
              </w:rPr>
              <w:t>8</w:t>
            </w:r>
          </w:p>
        </w:tc>
        <w:tc>
          <w:tcPr>
            <w:tcW w:w="2700" w:type="dxa"/>
            <w:tcBorders>
              <w:top w:val="nil"/>
              <w:left w:val="nil"/>
              <w:bottom w:val="single" w:sz="4" w:space="0" w:color="auto"/>
              <w:right w:val="single" w:sz="8" w:space="0" w:color="auto"/>
            </w:tcBorders>
            <w:noWrap/>
            <w:vAlign w:val="bottom"/>
            <w:hideMark/>
          </w:tcPr>
          <w:p w14:paraId="0EB3AD2F" w14:textId="77777777" w:rsidR="00394E0A" w:rsidRPr="003C66A0" w:rsidRDefault="00394E0A" w:rsidP="00B451D7">
            <w:pPr>
              <w:jc w:val="right"/>
              <w:rPr>
                <w:color w:val="000000" w:themeColor="text1"/>
              </w:rPr>
            </w:pPr>
            <w:r w:rsidRPr="003C66A0">
              <w:rPr>
                <w:color w:val="000000" w:themeColor="text1"/>
              </w:rPr>
              <w:t>29.60%</w:t>
            </w:r>
          </w:p>
        </w:tc>
      </w:tr>
      <w:tr w:rsidR="00FC334A" w:rsidRPr="003C66A0" w14:paraId="2B01F1E3" w14:textId="77777777" w:rsidTr="00394E0A">
        <w:trPr>
          <w:trHeight w:val="320"/>
        </w:trPr>
        <w:tc>
          <w:tcPr>
            <w:tcW w:w="2510" w:type="dxa"/>
            <w:tcBorders>
              <w:top w:val="nil"/>
              <w:left w:val="single" w:sz="8" w:space="0" w:color="auto"/>
              <w:bottom w:val="single" w:sz="4" w:space="0" w:color="auto"/>
              <w:right w:val="single" w:sz="4" w:space="0" w:color="auto"/>
            </w:tcBorders>
            <w:shd w:val="clear" w:color="000000" w:fill="D9D9D9"/>
            <w:noWrap/>
            <w:vAlign w:val="bottom"/>
            <w:hideMark/>
          </w:tcPr>
          <w:p w14:paraId="2276631B" w14:textId="77777777" w:rsidR="00394E0A" w:rsidRPr="003C66A0" w:rsidRDefault="00394E0A" w:rsidP="00B451D7">
            <w:pPr>
              <w:rPr>
                <w:b/>
                <w:bCs/>
                <w:color w:val="000000" w:themeColor="text1"/>
              </w:rPr>
            </w:pPr>
            <w:r w:rsidRPr="003C66A0">
              <w:rPr>
                <w:b/>
                <w:bCs/>
                <w:color w:val="000000" w:themeColor="text1"/>
              </w:rPr>
              <w:t>Capital Deployed</w:t>
            </w:r>
          </w:p>
        </w:tc>
        <w:tc>
          <w:tcPr>
            <w:tcW w:w="2610" w:type="dxa"/>
            <w:tcBorders>
              <w:top w:val="nil"/>
              <w:left w:val="nil"/>
              <w:bottom w:val="single" w:sz="4" w:space="0" w:color="auto"/>
              <w:right w:val="single" w:sz="4" w:space="0" w:color="auto"/>
            </w:tcBorders>
            <w:noWrap/>
            <w:vAlign w:val="bottom"/>
            <w:hideMark/>
          </w:tcPr>
          <w:p w14:paraId="32C4CD83" w14:textId="77777777" w:rsidR="00394E0A" w:rsidRPr="003C66A0" w:rsidRDefault="00394E0A" w:rsidP="00B451D7">
            <w:pPr>
              <w:rPr>
                <w:color w:val="000000" w:themeColor="text1"/>
              </w:rPr>
            </w:pPr>
            <w:r w:rsidRPr="003C66A0">
              <w:rPr>
                <w:color w:val="000000" w:themeColor="text1"/>
              </w:rPr>
              <w:t>$5001-$25000</w:t>
            </w:r>
          </w:p>
        </w:tc>
        <w:tc>
          <w:tcPr>
            <w:tcW w:w="1530" w:type="dxa"/>
            <w:tcBorders>
              <w:top w:val="nil"/>
              <w:left w:val="nil"/>
              <w:bottom w:val="single" w:sz="4" w:space="0" w:color="auto"/>
              <w:right w:val="single" w:sz="4" w:space="0" w:color="auto"/>
            </w:tcBorders>
            <w:noWrap/>
            <w:vAlign w:val="bottom"/>
            <w:hideMark/>
          </w:tcPr>
          <w:p w14:paraId="430CF81A" w14:textId="77777777" w:rsidR="00394E0A" w:rsidRPr="003C66A0" w:rsidRDefault="00394E0A" w:rsidP="00B451D7">
            <w:pPr>
              <w:jc w:val="right"/>
              <w:rPr>
                <w:color w:val="000000" w:themeColor="text1"/>
              </w:rPr>
            </w:pPr>
            <w:r w:rsidRPr="003C66A0">
              <w:rPr>
                <w:color w:val="000000" w:themeColor="text1"/>
              </w:rPr>
              <w:t>11</w:t>
            </w:r>
          </w:p>
        </w:tc>
        <w:tc>
          <w:tcPr>
            <w:tcW w:w="2700" w:type="dxa"/>
            <w:tcBorders>
              <w:top w:val="nil"/>
              <w:left w:val="nil"/>
              <w:bottom w:val="single" w:sz="4" w:space="0" w:color="auto"/>
              <w:right w:val="single" w:sz="8" w:space="0" w:color="auto"/>
            </w:tcBorders>
            <w:noWrap/>
            <w:vAlign w:val="bottom"/>
            <w:hideMark/>
          </w:tcPr>
          <w:p w14:paraId="6396CB4B" w14:textId="77777777" w:rsidR="00394E0A" w:rsidRPr="003C66A0" w:rsidRDefault="00394E0A" w:rsidP="00B451D7">
            <w:pPr>
              <w:jc w:val="right"/>
              <w:rPr>
                <w:color w:val="000000" w:themeColor="text1"/>
              </w:rPr>
            </w:pPr>
            <w:r w:rsidRPr="003C66A0">
              <w:rPr>
                <w:color w:val="000000" w:themeColor="text1"/>
              </w:rPr>
              <w:t>40.70%</w:t>
            </w:r>
          </w:p>
        </w:tc>
      </w:tr>
      <w:tr w:rsidR="00FC334A" w:rsidRPr="003C66A0" w14:paraId="0C712589" w14:textId="77777777" w:rsidTr="00394E0A">
        <w:trPr>
          <w:trHeight w:val="320"/>
        </w:trPr>
        <w:tc>
          <w:tcPr>
            <w:tcW w:w="2510" w:type="dxa"/>
            <w:tcBorders>
              <w:top w:val="nil"/>
              <w:left w:val="single" w:sz="8" w:space="0" w:color="auto"/>
              <w:bottom w:val="single" w:sz="4" w:space="0" w:color="auto"/>
              <w:right w:val="single" w:sz="4" w:space="0" w:color="auto"/>
            </w:tcBorders>
            <w:shd w:val="clear" w:color="000000" w:fill="D9D9D9"/>
            <w:noWrap/>
            <w:vAlign w:val="bottom"/>
            <w:hideMark/>
          </w:tcPr>
          <w:p w14:paraId="04A94BB0" w14:textId="77777777" w:rsidR="00394E0A" w:rsidRPr="003C66A0" w:rsidRDefault="00394E0A" w:rsidP="00B451D7">
            <w:pPr>
              <w:rPr>
                <w:b/>
                <w:bCs/>
                <w:color w:val="000000" w:themeColor="text1"/>
              </w:rPr>
            </w:pPr>
            <w:r w:rsidRPr="003C66A0">
              <w:rPr>
                <w:b/>
                <w:bCs/>
                <w:color w:val="000000" w:themeColor="text1"/>
              </w:rPr>
              <w:t>Capital Deployed</w:t>
            </w:r>
          </w:p>
        </w:tc>
        <w:tc>
          <w:tcPr>
            <w:tcW w:w="2610" w:type="dxa"/>
            <w:tcBorders>
              <w:top w:val="nil"/>
              <w:left w:val="nil"/>
              <w:bottom w:val="single" w:sz="4" w:space="0" w:color="auto"/>
              <w:right w:val="single" w:sz="4" w:space="0" w:color="auto"/>
            </w:tcBorders>
            <w:noWrap/>
            <w:vAlign w:val="bottom"/>
            <w:hideMark/>
          </w:tcPr>
          <w:p w14:paraId="6DC95795" w14:textId="77777777" w:rsidR="00394E0A" w:rsidRPr="003C66A0" w:rsidRDefault="00394E0A" w:rsidP="00B451D7">
            <w:pPr>
              <w:rPr>
                <w:color w:val="000000" w:themeColor="text1"/>
              </w:rPr>
            </w:pPr>
            <w:r w:rsidRPr="003C66A0">
              <w:rPr>
                <w:color w:val="000000" w:themeColor="text1"/>
              </w:rPr>
              <w:t>$25001-$100000</w:t>
            </w:r>
          </w:p>
        </w:tc>
        <w:tc>
          <w:tcPr>
            <w:tcW w:w="1530" w:type="dxa"/>
            <w:tcBorders>
              <w:top w:val="nil"/>
              <w:left w:val="nil"/>
              <w:bottom w:val="single" w:sz="4" w:space="0" w:color="auto"/>
              <w:right w:val="single" w:sz="4" w:space="0" w:color="auto"/>
            </w:tcBorders>
            <w:noWrap/>
            <w:vAlign w:val="bottom"/>
            <w:hideMark/>
          </w:tcPr>
          <w:p w14:paraId="6031D541" w14:textId="77777777" w:rsidR="00394E0A" w:rsidRPr="003C66A0" w:rsidRDefault="00394E0A" w:rsidP="00B451D7">
            <w:pPr>
              <w:jc w:val="right"/>
              <w:rPr>
                <w:color w:val="000000" w:themeColor="text1"/>
              </w:rPr>
            </w:pPr>
            <w:r w:rsidRPr="003C66A0">
              <w:rPr>
                <w:color w:val="000000" w:themeColor="text1"/>
              </w:rPr>
              <w:t>6</w:t>
            </w:r>
          </w:p>
        </w:tc>
        <w:tc>
          <w:tcPr>
            <w:tcW w:w="2700" w:type="dxa"/>
            <w:tcBorders>
              <w:top w:val="nil"/>
              <w:left w:val="nil"/>
              <w:bottom w:val="single" w:sz="4" w:space="0" w:color="auto"/>
              <w:right w:val="single" w:sz="8" w:space="0" w:color="auto"/>
            </w:tcBorders>
            <w:noWrap/>
            <w:vAlign w:val="bottom"/>
            <w:hideMark/>
          </w:tcPr>
          <w:p w14:paraId="72CF0EA1" w14:textId="77777777" w:rsidR="00394E0A" w:rsidRPr="003C66A0" w:rsidRDefault="00394E0A" w:rsidP="00B451D7">
            <w:pPr>
              <w:jc w:val="right"/>
              <w:rPr>
                <w:color w:val="000000" w:themeColor="text1"/>
              </w:rPr>
            </w:pPr>
            <w:r w:rsidRPr="003C66A0">
              <w:rPr>
                <w:color w:val="000000" w:themeColor="text1"/>
              </w:rPr>
              <w:t>22.20%</w:t>
            </w:r>
          </w:p>
        </w:tc>
      </w:tr>
      <w:tr w:rsidR="00FC334A" w:rsidRPr="003C66A0" w14:paraId="49F83BD0" w14:textId="77777777" w:rsidTr="00394E0A">
        <w:trPr>
          <w:trHeight w:val="320"/>
        </w:trPr>
        <w:tc>
          <w:tcPr>
            <w:tcW w:w="2510" w:type="dxa"/>
            <w:tcBorders>
              <w:top w:val="nil"/>
              <w:left w:val="single" w:sz="8" w:space="0" w:color="auto"/>
              <w:bottom w:val="single" w:sz="4" w:space="0" w:color="auto"/>
              <w:right w:val="single" w:sz="4" w:space="0" w:color="auto"/>
            </w:tcBorders>
            <w:shd w:val="clear" w:color="000000" w:fill="D9D9D9"/>
            <w:noWrap/>
            <w:vAlign w:val="bottom"/>
            <w:hideMark/>
          </w:tcPr>
          <w:p w14:paraId="6BB9B3BC" w14:textId="77777777" w:rsidR="00394E0A" w:rsidRPr="003C66A0" w:rsidRDefault="00394E0A" w:rsidP="00B451D7">
            <w:pPr>
              <w:rPr>
                <w:b/>
                <w:bCs/>
                <w:color w:val="000000" w:themeColor="text1"/>
              </w:rPr>
            </w:pPr>
            <w:r w:rsidRPr="003C66A0">
              <w:rPr>
                <w:b/>
                <w:bCs/>
                <w:color w:val="000000" w:themeColor="text1"/>
              </w:rPr>
              <w:t>Capital Deployed</w:t>
            </w:r>
          </w:p>
        </w:tc>
        <w:tc>
          <w:tcPr>
            <w:tcW w:w="2610" w:type="dxa"/>
            <w:tcBorders>
              <w:top w:val="nil"/>
              <w:left w:val="nil"/>
              <w:bottom w:val="single" w:sz="4" w:space="0" w:color="auto"/>
              <w:right w:val="single" w:sz="4" w:space="0" w:color="auto"/>
            </w:tcBorders>
            <w:noWrap/>
            <w:vAlign w:val="bottom"/>
            <w:hideMark/>
          </w:tcPr>
          <w:p w14:paraId="4E3131A0" w14:textId="77777777" w:rsidR="00394E0A" w:rsidRPr="003C66A0" w:rsidRDefault="00394E0A" w:rsidP="00B451D7">
            <w:pPr>
              <w:rPr>
                <w:color w:val="000000" w:themeColor="text1"/>
              </w:rPr>
            </w:pPr>
            <w:r w:rsidRPr="003C66A0">
              <w:rPr>
                <w:color w:val="000000" w:themeColor="text1"/>
              </w:rPr>
              <w:t>&gt;$100000</w:t>
            </w:r>
          </w:p>
        </w:tc>
        <w:tc>
          <w:tcPr>
            <w:tcW w:w="1530" w:type="dxa"/>
            <w:tcBorders>
              <w:top w:val="nil"/>
              <w:left w:val="nil"/>
              <w:bottom w:val="single" w:sz="4" w:space="0" w:color="auto"/>
              <w:right w:val="single" w:sz="4" w:space="0" w:color="auto"/>
            </w:tcBorders>
            <w:noWrap/>
            <w:vAlign w:val="bottom"/>
            <w:hideMark/>
          </w:tcPr>
          <w:p w14:paraId="5049AA8E" w14:textId="77777777" w:rsidR="00394E0A" w:rsidRPr="003C66A0" w:rsidRDefault="00394E0A" w:rsidP="00B451D7">
            <w:pPr>
              <w:jc w:val="right"/>
              <w:rPr>
                <w:color w:val="000000" w:themeColor="text1"/>
              </w:rPr>
            </w:pPr>
            <w:r w:rsidRPr="003C66A0">
              <w:rPr>
                <w:color w:val="000000" w:themeColor="text1"/>
              </w:rPr>
              <w:t>2</w:t>
            </w:r>
          </w:p>
        </w:tc>
        <w:tc>
          <w:tcPr>
            <w:tcW w:w="2700" w:type="dxa"/>
            <w:tcBorders>
              <w:top w:val="nil"/>
              <w:left w:val="nil"/>
              <w:bottom w:val="single" w:sz="4" w:space="0" w:color="auto"/>
              <w:right w:val="single" w:sz="8" w:space="0" w:color="auto"/>
            </w:tcBorders>
            <w:noWrap/>
            <w:vAlign w:val="bottom"/>
            <w:hideMark/>
          </w:tcPr>
          <w:p w14:paraId="3520E4D9" w14:textId="77777777" w:rsidR="00394E0A" w:rsidRPr="003C66A0" w:rsidRDefault="00394E0A" w:rsidP="00B451D7">
            <w:pPr>
              <w:jc w:val="right"/>
              <w:rPr>
                <w:color w:val="000000" w:themeColor="text1"/>
              </w:rPr>
            </w:pPr>
            <w:r w:rsidRPr="003C66A0">
              <w:rPr>
                <w:color w:val="000000" w:themeColor="text1"/>
              </w:rPr>
              <w:t>7.40%</w:t>
            </w:r>
          </w:p>
        </w:tc>
      </w:tr>
      <w:tr w:rsidR="00FC334A" w:rsidRPr="003C66A0" w14:paraId="3AFD10D3" w14:textId="77777777" w:rsidTr="00394E0A">
        <w:trPr>
          <w:trHeight w:val="320"/>
        </w:trPr>
        <w:tc>
          <w:tcPr>
            <w:tcW w:w="2510" w:type="dxa"/>
            <w:tcBorders>
              <w:top w:val="nil"/>
              <w:left w:val="single" w:sz="8" w:space="0" w:color="auto"/>
              <w:bottom w:val="single" w:sz="4" w:space="0" w:color="auto"/>
              <w:right w:val="single" w:sz="4" w:space="0" w:color="auto"/>
            </w:tcBorders>
            <w:shd w:val="clear" w:color="000000" w:fill="D9D9D9"/>
            <w:noWrap/>
            <w:vAlign w:val="bottom"/>
            <w:hideMark/>
          </w:tcPr>
          <w:p w14:paraId="531B7261" w14:textId="77777777" w:rsidR="00394E0A" w:rsidRPr="003C66A0" w:rsidRDefault="00394E0A" w:rsidP="00B451D7">
            <w:pPr>
              <w:rPr>
                <w:b/>
                <w:bCs/>
                <w:color w:val="000000" w:themeColor="text1"/>
              </w:rPr>
            </w:pPr>
            <w:r w:rsidRPr="003C66A0">
              <w:rPr>
                <w:b/>
                <w:bCs/>
                <w:color w:val="000000" w:themeColor="text1"/>
              </w:rPr>
              <w:t>Prior Experience</w:t>
            </w:r>
          </w:p>
        </w:tc>
        <w:tc>
          <w:tcPr>
            <w:tcW w:w="2610" w:type="dxa"/>
            <w:tcBorders>
              <w:top w:val="nil"/>
              <w:left w:val="nil"/>
              <w:bottom w:val="single" w:sz="4" w:space="0" w:color="auto"/>
              <w:right w:val="single" w:sz="4" w:space="0" w:color="auto"/>
            </w:tcBorders>
            <w:noWrap/>
            <w:vAlign w:val="bottom"/>
            <w:hideMark/>
          </w:tcPr>
          <w:p w14:paraId="5EFFC894" w14:textId="77777777" w:rsidR="00394E0A" w:rsidRPr="003C66A0" w:rsidRDefault="00394E0A" w:rsidP="00B451D7">
            <w:pPr>
              <w:rPr>
                <w:color w:val="000000" w:themeColor="text1"/>
              </w:rPr>
            </w:pPr>
            <w:r w:rsidRPr="003C66A0">
              <w:rPr>
                <w:color w:val="000000" w:themeColor="text1"/>
              </w:rPr>
              <w:t>No crypto experience</w:t>
            </w:r>
          </w:p>
        </w:tc>
        <w:tc>
          <w:tcPr>
            <w:tcW w:w="1530" w:type="dxa"/>
            <w:tcBorders>
              <w:top w:val="nil"/>
              <w:left w:val="nil"/>
              <w:bottom w:val="single" w:sz="4" w:space="0" w:color="auto"/>
              <w:right w:val="single" w:sz="4" w:space="0" w:color="auto"/>
            </w:tcBorders>
            <w:noWrap/>
            <w:vAlign w:val="bottom"/>
            <w:hideMark/>
          </w:tcPr>
          <w:p w14:paraId="15BED1B3" w14:textId="77777777" w:rsidR="00394E0A" w:rsidRPr="003C66A0" w:rsidRDefault="00394E0A" w:rsidP="00B451D7">
            <w:pPr>
              <w:jc w:val="right"/>
              <w:rPr>
                <w:color w:val="000000" w:themeColor="text1"/>
              </w:rPr>
            </w:pPr>
            <w:r w:rsidRPr="003C66A0">
              <w:rPr>
                <w:color w:val="000000" w:themeColor="text1"/>
              </w:rPr>
              <w:t>4</w:t>
            </w:r>
          </w:p>
        </w:tc>
        <w:tc>
          <w:tcPr>
            <w:tcW w:w="2700" w:type="dxa"/>
            <w:tcBorders>
              <w:top w:val="nil"/>
              <w:left w:val="nil"/>
              <w:bottom w:val="single" w:sz="4" w:space="0" w:color="auto"/>
              <w:right w:val="single" w:sz="8" w:space="0" w:color="auto"/>
            </w:tcBorders>
            <w:noWrap/>
            <w:vAlign w:val="bottom"/>
            <w:hideMark/>
          </w:tcPr>
          <w:p w14:paraId="547F8423" w14:textId="77777777" w:rsidR="00394E0A" w:rsidRPr="003C66A0" w:rsidRDefault="00394E0A" w:rsidP="00B451D7">
            <w:pPr>
              <w:jc w:val="right"/>
              <w:rPr>
                <w:color w:val="000000" w:themeColor="text1"/>
              </w:rPr>
            </w:pPr>
            <w:r w:rsidRPr="003C66A0">
              <w:rPr>
                <w:color w:val="000000" w:themeColor="text1"/>
              </w:rPr>
              <w:t>14.80%</w:t>
            </w:r>
          </w:p>
        </w:tc>
      </w:tr>
      <w:tr w:rsidR="00FC334A" w:rsidRPr="003C66A0" w14:paraId="0421C223" w14:textId="77777777" w:rsidTr="00394E0A">
        <w:trPr>
          <w:trHeight w:val="320"/>
        </w:trPr>
        <w:tc>
          <w:tcPr>
            <w:tcW w:w="2510" w:type="dxa"/>
            <w:tcBorders>
              <w:top w:val="nil"/>
              <w:left w:val="single" w:sz="8" w:space="0" w:color="auto"/>
              <w:bottom w:val="single" w:sz="4" w:space="0" w:color="auto"/>
              <w:right w:val="single" w:sz="4" w:space="0" w:color="auto"/>
            </w:tcBorders>
            <w:shd w:val="clear" w:color="000000" w:fill="D9D9D9"/>
            <w:noWrap/>
            <w:vAlign w:val="bottom"/>
            <w:hideMark/>
          </w:tcPr>
          <w:p w14:paraId="197B4DE4" w14:textId="77777777" w:rsidR="00394E0A" w:rsidRPr="003C66A0" w:rsidRDefault="00394E0A" w:rsidP="00B451D7">
            <w:pPr>
              <w:rPr>
                <w:b/>
                <w:bCs/>
                <w:color w:val="000000" w:themeColor="text1"/>
              </w:rPr>
            </w:pPr>
            <w:r w:rsidRPr="003C66A0">
              <w:rPr>
                <w:b/>
                <w:bCs/>
                <w:color w:val="000000" w:themeColor="text1"/>
              </w:rPr>
              <w:t>Prior Experience</w:t>
            </w:r>
          </w:p>
        </w:tc>
        <w:tc>
          <w:tcPr>
            <w:tcW w:w="2610" w:type="dxa"/>
            <w:tcBorders>
              <w:top w:val="nil"/>
              <w:left w:val="nil"/>
              <w:bottom w:val="single" w:sz="4" w:space="0" w:color="auto"/>
              <w:right w:val="single" w:sz="4" w:space="0" w:color="auto"/>
            </w:tcBorders>
            <w:noWrap/>
            <w:vAlign w:val="bottom"/>
            <w:hideMark/>
          </w:tcPr>
          <w:p w14:paraId="2A67D223" w14:textId="77777777" w:rsidR="00394E0A" w:rsidRPr="003C66A0" w:rsidRDefault="00394E0A" w:rsidP="00B451D7">
            <w:pPr>
              <w:rPr>
                <w:color w:val="000000" w:themeColor="text1"/>
              </w:rPr>
            </w:pPr>
            <w:r w:rsidRPr="003C66A0">
              <w:rPr>
                <w:color w:val="000000" w:themeColor="text1"/>
              </w:rPr>
              <w:t>Crypto trading only</w:t>
            </w:r>
          </w:p>
        </w:tc>
        <w:tc>
          <w:tcPr>
            <w:tcW w:w="1530" w:type="dxa"/>
            <w:tcBorders>
              <w:top w:val="nil"/>
              <w:left w:val="nil"/>
              <w:bottom w:val="single" w:sz="4" w:space="0" w:color="auto"/>
              <w:right w:val="single" w:sz="4" w:space="0" w:color="auto"/>
            </w:tcBorders>
            <w:noWrap/>
            <w:vAlign w:val="bottom"/>
            <w:hideMark/>
          </w:tcPr>
          <w:p w14:paraId="6BF545EE" w14:textId="77777777" w:rsidR="00394E0A" w:rsidRPr="003C66A0" w:rsidRDefault="00394E0A" w:rsidP="00B451D7">
            <w:pPr>
              <w:jc w:val="right"/>
              <w:rPr>
                <w:color w:val="000000" w:themeColor="text1"/>
              </w:rPr>
            </w:pPr>
            <w:r w:rsidRPr="003C66A0">
              <w:rPr>
                <w:color w:val="000000" w:themeColor="text1"/>
              </w:rPr>
              <w:t>12</w:t>
            </w:r>
          </w:p>
        </w:tc>
        <w:tc>
          <w:tcPr>
            <w:tcW w:w="2700" w:type="dxa"/>
            <w:tcBorders>
              <w:top w:val="nil"/>
              <w:left w:val="nil"/>
              <w:bottom w:val="single" w:sz="4" w:space="0" w:color="auto"/>
              <w:right w:val="single" w:sz="8" w:space="0" w:color="auto"/>
            </w:tcBorders>
            <w:noWrap/>
            <w:vAlign w:val="bottom"/>
            <w:hideMark/>
          </w:tcPr>
          <w:p w14:paraId="3B88A4A9" w14:textId="77777777" w:rsidR="00394E0A" w:rsidRPr="003C66A0" w:rsidRDefault="00394E0A" w:rsidP="00B451D7">
            <w:pPr>
              <w:jc w:val="right"/>
              <w:rPr>
                <w:color w:val="000000" w:themeColor="text1"/>
              </w:rPr>
            </w:pPr>
            <w:r w:rsidRPr="003C66A0">
              <w:rPr>
                <w:color w:val="000000" w:themeColor="text1"/>
              </w:rPr>
              <w:t>44.40%</w:t>
            </w:r>
          </w:p>
        </w:tc>
      </w:tr>
      <w:tr w:rsidR="00FC334A" w:rsidRPr="003C66A0" w14:paraId="7217236B" w14:textId="77777777" w:rsidTr="00394E0A">
        <w:trPr>
          <w:trHeight w:val="320"/>
        </w:trPr>
        <w:tc>
          <w:tcPr>
            <w:tcW w:w="2510" w:type="dxa"/>
            <w:tcBorders>
              <w:top w:val="nil"/>
              <w:left w:val="single" w:sz="8" w:space="0" w:color="auto"/>
              <w:bottom w:val="single" w:sz="4" w:space="0" w:color="auto"/>
              <w:right w:val="single" w:sz="4" w:space="0" w:color="auto"/>
            </w:tcBorders>
            <w:shd w:val="clear" w:color="000000" w:fill="D9D9D9"/>
            <w:noWrap/>
            <w:vAlign w:val="bottom"/>
            <w:hideMark/>
          </w:tcPr>
          <w:p w14:paraId="1E216AEB" w14:textId="77777777" w:rsidR="00394E0A" w:rsidRPr="003C66A0" w:rsidRDefault="00394E0A" w:rsidP="00B451D7">
            <w:pPr>
              <w:rPr>
                <w:b/>
                <w:bCs/>
                <w:color w:val="000000" w:themeColor="text1"/>
              </w:rPr>
            </w:pPr>
            <w:r w:rsidRPr="003C66A0">
              <w:rPr>
                <w:b/>
                <w:bCs/>
                <w:color w:val="000000" w:themeColor="text1"/>
              </w:rPr>
              <w:lastRenderedPageBreak/>
              <w:t>Prior Experience</w:t>
            </w:r>
          </w:p>
        </w:tc>
        <w:tc>
          <w:tcPr>
            <w:tcW w:w="2610" w:type="dxa"/>
            <w:tcBorders>
              <w:top w:val="nil"/>
              <w:left w:val="nil"/>
              <w:bottom w:val="single" w:sz="4" w:space="0" w:color="auto"/>
              <w:right w:val="single" w:sz="4" w:space="0" w:color="auto"/>
            </w:tcBorders>
            <w:noWrap/>
            <w:vAlign w:val="bottom"/>
            <w:hideMark/>
          </w:tcPr>
          <w:p w14:paraId="030F87AD" w14:textId="77777777" w:rsidR="00394E0A" w:rsidRPr="003C66A0" w:rsidRDefault="00394E0A" w:rsidP="00B451D7">
            <w:pPr>
              <w:rPr>
                <w:color w:val="000000" w:themeColor="text1"/>
              </w:rPr>
            </w:pPr>
            <w:r w:rsidRPr="003C66A0">
              <w:rPr>
                <w:color w:val="000000" w:themeColor="text1"/>
              </w:rPr>
              <w:t>DeFi experience</w:t>
            </w:r>
          </w:p>
        </w:tc>
        <w:tc>
          <w:tcPr>
            <w:tcW w:w="1530" w:type="dxa"/>
            <w:tcBorders>
              <w:top w:val="nil"/>
              <w:left w:val="nil"/>
              <w:bottom w:val="single" w:sz="4" w:space="0" w:color="auto"/>
              <w:right w:val="single" w:sz="4" w:space="0" w:color="auto"/>
            </w:tcBorders>
            <w:noWrap/>
            <w:vAlign w:val="bottom"/>
            <w:hideMark/>
          </w:tcPr>
          <w:p w14:paraId="05D4A436" w14:textId="77777777" w:rsidR="00394E0A" w:rsidRPr="003C66A0" w:rsidRDefault="00394E0A" w:rsidP="00B451D7">
            <w:pPr>
              <w:jc w:val="right"/>
              <w:rPr>
                <w:color w:val="000000" w:themeColor="text1"/>
              </w:rPr>
            </w:pPr>
            <w:r w:rsidRPr="003C66A0">
              <w:rPr>
                <w:color w:val="000000" w:themeColor="text1"/>
              </w:rPr>
              <w:t>7</w:t>
            </w:r>
          </w:p>
        </w:tc>
        <w:tc>
          <w:tcPr>
            <w:tcW w:w="2700" w:type="dxa"/>
            <w:tcBorders>
              <w:top w:val="nil"/>
              <w:left w:val="nil"/>
              <w:bottom w:val="single" w:sz="4" w:space="0" w:color="auto"/>
              <w:right w:val="single" w:sz="8" w:space="0" w:color="auto"/>
            </w:tcBorders>
            <w:noWrap/>
            <w:vAlign w:val="bottom"/>
            <w:hideMark/>
          </w:tcPr>
          <w:p w14:paraId="49AC4D1D" w14:textId="77777777" w:rsidR="00394E0A" w:rsidRPr="003C66A0" w:rsidRDefault="00394E0A" w:rsidP="00B451D7">
            <w:pPr>
              <w:jc w:val="right"/>
              <w:rPr>
                <w:color w:val="000000" w:themeColor="text1"/>
              </w:rPr>
            </w:pPr>
            <w:r w:rsidRPr="003C66A0">
              <w:rPr>
                <w:color w:val="000000" w:themeColor="text1"/>
              </w:rPr>
              <w:t>25.90%</w:t>
            </w:r>
          </w:p>
        </w:tc>
      </w:tr>
      <w:tr w:rsidR="00FC334A" w:rsidRPr="003C66A0" w14:paraId="044F3991" w14:textId="77777777" w:rsidTr="00394E0A">
        <w:trPr>
          <w:trHeight w:val="320"/>
        </w:trPr>
        <w:tc>
          <w:tcPr>
            <w:tcW w:w="2510" w:type="dxa"/>
            <w:tcBorders>
              <w:top w:val="nil"/>
              <w:left w:val="single" w:sz="8" w:space="0" w:color="auto"/>
              <w:bottom w:val="single" w:sz="4" w:space="0" w:color="auto"/>
              <w:right w:val="single" w:sz="4" w:space="0" w:color="auto"/>
            </w:tcBorders>
            <w:shd w:val="clear" w:color="000000" w:fill="D9D9D9"/>
            <w:noWrap/>
            <w:vAlign w:val="bottom"/>
            <w:hideMark/>
          </w:tcPr>
          <w:p w14:paraId="7CB6C53D" w14:textId="77777777" w:rsidR="00394E0A" w:rsidRPr="003C66A0" w:rsidRDefault="00394E0A" w:rsidP="00B451D7">
            <w:pPr>
              <w:rPr>
                <w:b/>
                <w:bCs/>
                <w:color w:val="000000" w:themeColor="text1"/>
              </w:rPr>
            </w:pPr>
            <w:r w:rsidRPr="003C66A0">
              <w:rPr>
                <w:b/>
                <w:bCs/>
                <w:color w:val="000000" w:themeColor="text1"/>
              </w:rPr>
              <w:t>Prior Experience</w:t>
            </w:r>
          </w:p>
        </w:tc>
        <w:tc>
          <w:tcPr>
            <w:tcW w:w="2610" w:type="dxa"/>
            <w:tcBorders>
              <w:top w:val="nil"/>
              <w:left w:val="nil"/>
              <w:bottom w:val="single" w:sz="4" w:space="0" w:color="auto"/>
              <w:right w:val="single" w:sz="4" w:space="0" w:color="auto"/>
            </w:tcBorders>
            <w:noWrap/>
            <w:vAlign w:val="bottom"/>
            <w:hideMark/>
          </w:tcPr>
          <w:p w14:paraId="0AB9C1A7" w14:textId="77777777" w:rsidR="00394E0A" w:rsidRPr="003C66A0" w:rsidRDefault="00394E0A" w:rsidP="00B451D7">
            <w:pPr>
              <w:rPr>
                <w:color w:val="000000" w:themeColor="text1"/>
              </w:rPr>
            </w:pPr>
            <w:r w:rsidRPr="003C66A0">
              <w:rPr>
                <w:color w:val="000000" w:themeColor="text1"/>
              </w:rPr>
              <w:t>Traditional finance</w:t>
            </w:r>
          </w:p>
        </w:tc>
        <w:tc>
          <w:tcPr>
            <w:tcW w:w="1530" w:type="dxa"/>
            <w:tcBorders>
              <w:top w:val="nil"/>
              <w:left w:val="nil"/>
              <w:bottom w:val="single" w:sz="4" w:space="0" w:color="auto"/>
              <w:right w:val="single" w:sz="4" w:space="0" w:color="auto"/>
            </w:tcBorders>
            <w:noWrap/>
            <w:vAlign w:val="bottom"/>
            <w:hideMark/>
          </w:tcPr>
          <w:p w14:paraId="1346ED53" w14:textId="77777777" w:rsidR="00394E0A" w:rsidRPr="003C66A0" w:rsidRDefault="00394E0A" w:rsidP="00B451D7">
            <w:pPr>
              <w:jc w:val="right"/>
              <w:rPr>
                <w:color w:val="000000" w:themeColor="text1"/>
              </w:rPr>
            </w:pPr>
            <w:r w:rsidRPr="003C66A0">
              <w:rPr>
                <w:color w:val="000000" w:themeColor="text1"/>
              </w:rPr>
              <w:t>4</w:t>
            </w:r>
          </w:p>
        </w:tc>
        <w:tc>
          <w:tcPr>
            <w:tcW w:w="2700" w:type="dxa"/>
            <w:tcBorders>
              <w:top w:val="nil"/>
              <w:left w:val="nil"/>
              <w:bottom w:val="single" w:sz="4" w:space="0" w:color="auto"/>
              <w:right w:val="single" w:sz="8" w:space="0" w:color="auto"/>
            </w:tcBorders>
            <w:noWrap/>
            <w:vAlign w:val="bottom"/>
            <w:hideMark/>
          </w:tcPr>
          <w:p w14:paraId="230B51D6" w14:textId="77777777" w:rsidR="00394E0A" w:rsidRPr="003C66A0" w:rsidRDefault="00394E0A" w:rsidP="00B451D7">
            <w:pPr>
              <w:jc w:val="right"/>
              <w:rPr>
                <w:color w:val="000000" w:themeColor="text1"/>
              </w:rPr>
            </w:pPr>
            <w:r w:rsidRPr="003C66A0">
              <w:rPr>
                <w:color w:val="000000" w:themeColor="text1"/>
              </w:rPr>
              <w:t>14.80%</w:t>
            </w:r>
          </w:p>
        </w:tc>
      </w:tr>
      <w:tr w:rsidR="00FC334A" w:rsidRPr="003C66A0" w14:paraId="030D7972" w14:textId="77777777" w:rsidTr="00394E0A">
        <w:trPr>
          <w:trHeight w:val="320"/>
        </w:trPr>
        <w:tc>
          <w:tcPr>
            <w:tcW w:w="2510" w:type="dxa"/>
            <w:tcBorders>
              <w:top w:val="nil"/>
              <w:left w:val="single" w:sz="8" w:space="0" w:color="auto"/>
              <w:bottom w:val="single" w:sz="4" w:space="0" w:color="auto"/>
              <w:right w:val="single" w:sz="4" w:space="0" w:color="auto"/>
            </w:tcBorders>
            <w:shd w:val="clear" w:color="000000" w:fill="D9D9D9"/>
            <w:noWrap/>
            <w:vAlign w:val="bottom"/>
            <w:hideMark/>
          </w:tcPr>
          <w:p w14:paraId="6E601357" w14:textId="77777777" w:rsidR="00394E0A" w:rsidRPr="003C66A0" w:rsidRDefault="00394E0A" w:rsidP="00B451D7">
            <w:pPr>
              <w:rPr>
                <w:b/>
                <w:bCs/>
                <w:color w:val="000000" w:themeColor="text1"/>
              </w:rPr>
            </w:pPr>
            <w:r w:rsidRPr="003C66A0">
              <w:rPr>
                <w:b/>
                <w:bCs/>
                <w:color w:val="000000" w:themeColor="text1"/>
              </w:rPr>
              <w:t>Education</w:t>
            </w:r>
          </w:p>
        </w:tc>
        <w:tc>
          <w:tcPr>
            <w:tcW w:w="2610" w:type="dxa"/>
            <w:tcBorders>
              <w:top w:val="nil"/>
              <w:left w:val="nil"/>
              <w:bottom w:val="single" w:sz="4" w:space="0" w:color="auto"/>
              <w:right w:val="single" w:sz="4" w:space="0" w:color="auto"/>
            </w:tcBorders>
            <w:noWrap/>
            <w:vAlign w:val="bottom"/>
            <w:hideMark/>
          </w:tcPr>
          <w:p w14:paraId="76D2DC20" w14:textId="77777777" w:rsidR="00394E0A" w:rsidRPr="003C66A0" w:rsidRDefault="00394E0A" w:rsidP="00B451D7">
            <w:pPr>
              <w:rPr>
                <w:color w:val="000000" w:themeColor="text1"/>
              </w:rPr>
            </w:pPr>
            <w:r w:rsidRPr="003C66A0">
              <w:rPr>
                <w:color w:val="000000" w:themeColor="text1"/>
              </w:rPr>
              <w:t>High school</w:t>
            </w:r>
          </w:p>
        </w:tc>
        <w:tc>
          <w:tcPr>
            <w:tcW w:w="1530" w:type="dxa"/>
            <w:tcBorders>
              <w:top w:val="nil"/>
              <w:left w:val="nil"/>
              <w:bottom w:val="single" w:sz="4" w:space="0" w:color="auto"/>
              <w:right w:val="single" w:sz="4" w:space="0" w:color="auto"/>
            </w:tcBorders>
            <w:noWrap/>
            <w:vAlign w:val="bottom"/>
            <w:hideMark/>
          </w:tcPr>
          <w:p w14:paraId="1253AAA5" w14:textId="77777777" w:rsidR="00394E0A" w:rsidRPr="003C66A0" w:rsidRDefault="00394E0A" w:rsidP="00B451D7">
            <w:pPr>
              <w:jc w:val="right"/>
              <w:rPr>
                <w:color w:val="000000" w:themeColor="text1"/>
              </w:rPr>
            </w:pPr>
            <w:r w:rsidRPr="003C66A0">
              <w:rPr>
                <w:color w:val="000000" w:themeColor="text1"/>
              </w:rPr>
              <w:t>3</w:t>
            </w:r>
          </w:p>
        </w:tc>
        <w:tc>
          <w:tcPr>
            <w:tcW w:w="2700" w:type="dxa"/>
            <w:tcBorders>
              <w:top w:val="nil"/>
              <w:left w:val="nil"/>
              <w:bottom w:val="single" w:sz="4" w:space="0" w:color="auto"/>
              <w:right w:val="single" w:sz="8" w:space="0" w:color="auto"/>
            </w:tcBorders>
            <w:noWrap/>
            <w:vAlign w:val="bottom"/>
            <w:hideMark/>
          </w:tcPr>
          <w:p w14:paraId="2EC62886" w14:textId="77777777" w:rsidR="00394E0A" w:rsidRPr="003C66A0" w:rsidRDefault="00394E0A" w:rsidP="00B451D7">
            <w:pPr>
              <w:jc w:val="right"/>
              <w:rPr>
                <w:color w:val="000000" w:themeColor="text1"/>
              </w:rPr>
            </w:pPr>
            <w:r w:rsidRPr="003C66A0">
              <w:rPr>
                <w:color w:val="000000" w:themeColor="text1"/>
              </w:rPr>
              <w:t>11.10%</w:t>
            </w:r>
          </w:p>
        </w:tc>
      </w:tr>
      <w:tr w:rsidR="00FC334A" w:rsidRPr="003C66A0" w14:paraId="2D4D47A9" w14:textId="77777777" w:rsidTr="00394E0A">
        <w:trPr>
          <w:trHeight w:val="320"/>
        </w:trPr>
        <w:tc>
          <w:tcPr>
            <w:tcW w:w="2510" w:type="dxa"/>
            <w:tcBorders>
              <w:top w:val="nil"/>
              <w:left w:val="single" w:sz="8" w:space="0" w:color="auto"/>
              <w:bottom w:val="single" w:sz="4" w:space="0" w:color="auto"/>
              <w:right w:val="single" w:sz="4" w:space="0" w:color="auto"/>
            </w:tcBorders>
            <w:shd w:val="clear" w:color="000000" w:fill="D9D9D9"/>
            <w:noWrap/>
            <w:vAlign w:val="bottom"/>
            <w:hideMark/>
          </w:tcPr>
          <w:p w14:paraId="36F8B8F2" w14:textId="77777777" w:rsidR="00394E0A" w:rsidRPr="003C66A0" w:rsidRDefault="00394E0A" w:rsidP="00B451D7">
            <w:pPr>
              <w:rPr>
                <w:b/>
                <w:bCs/>
                <w:color w:val="000000" w:themeColor="text1"/>
              </w:rPr>
            </w:pPr>
            <w:r w:rsidRPr="003C66A0">
              <w:rPr>
                <w:b/>
                <w:bCs/>
                <w:color w:val="000000" w:themeColor="text1"/>
              </w:rPr>
              <w:t>Education</w:t>
            </w:r>
          </w:p>
        </w:tc>
        <w:tc>
          <w:tcPr>
            <w:tcW w:w="2610" w:type="dxa"/>
            <w:tcBorders>
              <w:top w:val="nil"/>
              <w:left w:val="nil"/>
              <w:bottom w:val="single" w:sz="4" w:space="0" w:color="auto"/>
              <w:right w:val="single" w:sz="4" w:space="0" w:color="auto"/>
            </w:tcBorders>
            <w:noWrap/>
            <w:vAlign w:val="bottom"/>
            <w:hideMark/>
          </w:tcPr>
          <w:p w14:paraId="7EDBEE09" w14:textId="77777777" w:rsidR="00394E0A" w:rsidRPr="003C66A0" w:rsidRDefault="00394E0A" w:rsidP="00B451D7">
            <w:pPr>
              <w:rPr>
                <w:color w:val="000000" w:themeColor="text1"/>
              </w:rPr>
            </w:pPr>
            <w:r w:rsidRPr="003C66A0">
              <w:rPr>
                <w:color w:val="000000" w:themeColor="text1"/>
              </w:rPr>
              <w:t>Bachelor's degree</w:t>
            </w:r>
          </w:p>
        </w:tc>
        <w:tc>
          <w:tcPr>
            <w:tcW w:w="1530" w:type="dxa"/>
            <w:tcBorders>
              <w:top w:val="nil"/>
              <w:left w:val="nil"/>
              <w:bottom w:val="single" w:sz="4" w:space="0" w:color="auto"/>
              <w:right w:val="single" w:sz="4" w:space="0" w:color="auto"/>
            </w:tcBorders>
            <w:noWrap/>
            <w:vAlign w:val="bottom"/>
            <w:hideMark/>
          </w:tcPr>
          <w:p w14:paraId="5647C31C" w14:textId="77777777" w:rsidR="00394E0A" w:rsidRPr="003C66A0" w:rsidRDefault="00394E0A" w:rsidP="00B451D7">
            <w:pPr>
              <w:jc w:val="right"/>
              <w:rPr>
                <w:color w:val="000000" w:themeColor="text1"/>
              </w:rPr>
            </w:pPr>
            <w:r w:rsidRPr="003C66A0">
              <w:rPr>
                <w:color w:val="000000" w:themeColor="text1"/>
              </w:rPr>
              <w:t>15</w:t>
            </w:r>
          </w:p>
        </w:tc>
        <w:tc>
          <w:tcPr>
            <w:tcW w:w="2700" w:type="dxa"/>
            <w:tcBorders>
              <w:top w:val="nil"/>
              <w:left w:val="nil"/>
              <w:bottom w:val="single" w:sz="4" w:space="0" w:color="auto"/>
              <w:right w:val="single" w:sz="8" w:space="0" w:color="auto"/>
            </w:tcBorders>
            <w:noWrap/>
            <w:vAlign w:val="bottom"/>
            <w:hideMark/>
          </w:tcPr>
          <w:p w14:paraId="1A14DC1F" w14:textId="77777777" w:rsidR="00394E0A" w:rsidRPr="003C66A0" w:rsidRDefault="00394E0A" w:rsidP="00B451D7">
            <w:pPr>
              <w:jc w:val="right"/>
              <w:rPr>
                <w:color w:val="000000" w:themeColor="text1"/>
              </w:rPr>
            </w:pPr>
            <w:r w:rsidRPr="003C66A0">
              <w:rPr>
                <w:color w:val="000000" w:themeColor="text1"/>
              </w:rPr>
              <w:t>55.60%</w:t>
            </w:r>
          </w:p>
        </w:tc>
      </w:tr>
      <w:tr w:rsidR="00FC334A" w:rsidRPr="003C66A0" w14:paraId="49699554" w14:textId="77777777" w:rsidTr="00394E0A">
        <w:trPr>
          <w:trHeight w:val="320"/>
        </w:trPr>
        <w:tc>
          <w:tcPr>
            <w:tcW w:w="2510" w:type="dxa"/>
            <w:tcBorders>
              <w:top w:val="nil"/>
              <w:left w:val="single" w:sz="8" w:space="0" w:color="auto"/>
              <w:bottom w:val="single" w:sz="4" w:space="0" w:color="auto"/>
              <w:right w:val="single" w:sz="4" w:space="0" w:color="auto"/>
            </w:tcBorders>
            <w:shd w:val="clear" w:color="000000" w:fill="D9D9D9"/>
            <w:noWrap/>
            <w:vAlign w:val="bottom"/>
            <w:hideMark/>
          </w:tcPr>
          <w:p w14:paraId="08C2F34B" w14:textId="77777777" w:rsidR="00394E0A" w:rsidRPr="003C66A0" w:rsidRDefault="00394E0A" w:rsidP="00B451D7">
            <w:pPr>
              <w:rPr>
                <w:b/>
                <w:bCs/>
                <w:color w:val="000000" w:themeColor="text1"/>
              </w:rPr>
            </w:pPr>
            <w:r w:rsidRPr="003C66A0">
              <w:rPr>
                <w:b/>
                <w:bCs/>
                <w:color w:val="000000" w:themeColor="text1"/>
              </w:rPr>
              <w:t>Education</w:t>
            </w:r>
          </w:p>
        </w:tc>
        <w:tc>
          <w:tcPr>
            <w:tcW w:w="2610" w:type="dxa"/>
            <w:tcBorders>
              <w:top w:val="nil"/>
              <w:left w:val="nil"/>
              <w:bottom w:val="single" w:sz="4" w:space="0" w:color="auto"/>
              <w:right w:val="single" w:sz="4" w:space="0" w:color="auto"/>
            </w:tcBorders>
            <w:noWrap/>
            <w:vAlign w:val="bottom"/>
            <w:hideMark/>
          </w:tcPr>
          <w:p w14:paraId="39FC3001" w14:textId="77777777" w:rsidR="00394E0A" w:rsidRPr="003C66A0" w:rsidRDefault="00394E0A" w:rsidP="00B451D7">
            <w:pPr>
              <w:rPr>
                <w:color w:val="000000" w:themeColor="text1"/>
              </w:rPr>
            </w:pPr>
            <w:r w:rsidRPr="003C66A0">
              <w:rPr>
                <w:color w:val="000000" w:themeColor="text1"/>
              </w:rPr>
              <w:t>Graduate degree</w:t>
            </w:r>
          </w:p>
        </w:tc>
        <w:tc>
          <w:tcPr>
            <w:tcW w:w="1530" w:type="dxa"/>
            <w:tcBorders>
              <w:top w:val="nil"/>
              <w:left w:val="nil"/>
              <w:bottom w:val="single" w:sz="4" w:space="0" w:color="auto"/>
              <w:right w:val="single" w:sz="4" w:space="0" w:color="auto"/>
            </w:tcBorders>
            <w:noWrap/>
            <w:vAlign w:val="bottom"/>
            <w:hideMark/>
          </w:tcPr>
          <w:p w14:paraId="1ACA7334" w14:textId="77777777" w:rsidR="00394E0A" w:rsidRPr="003C66A0" w:rsidRDefault="00394E0A" w:rsidP="00B451D7">
            <w:pPr>
              <w:jc w:val="right"/>
              <w:rPr>
                <w:color w:val="000000" w:themeColor="text1"/>
              </w:rPr>
            </w:pPr>
            <w:r w:rsidRPr="003C66A0">
              <w:rPr>
                <w:color w:val="000000" w:themeColor="text1"/>
              </w:rPr>
              <w:t>9</w:t>
            </w:r>
          </w:p>
        </w:tc>
        <w:tc>
          <w:tcPr>
            <w:tcW w:w="2700" w:type="dxa"/>
            <w:tcBorders>
              <w:top w:val="nil"/>
              <w:left w:val="nil"/>
              <w:bottom w:val="single" w:sz="4" w:space="0" w:color="auto"/>
              <w:right w:val="single" w:sz="8" w:space="0" w:color="auto"/>
            </w:tcBorders>
            <w:noWrap/>
            <w:vAlign w:val="bottom"/>
            <w:hideMark/>
          </w:tcPr>
          <w:p w14:paraId="63B24763" w14:textId="77777777" w:rsidR="00394E0A" w:rsidRPr="003C66A0" w:rsidRDefault="00394E0A" w:rsidP="00B451D7">
            <w:pPr>
              <w:jc w:val="right"/>
              <w:rPr>
                <w:color w:val="000000" w:themeColor="text1"/>
              </w:rPr>
            </w:pPr>
            <w:r w:rsidRPr="003C66A0">
              <w:rPr>
                <w:color w:val="000000" w:themeColor="text1"/>
              </w:rPr>
              <w:t>33.30%</w:t>
            </w:r>
          </w:p>
        </w:tc>
      </w:tr>
      <w:tr w:rsidR="00FC334A" w:rsidRPr="003C66A0" w14:paraId="1BE7BC5C" w14:textId="77777777" w:rsidTr="00394E0A">
        <w:trPr>
          <w:trHeight w:val="320"/>
        </w:trPr>
        <w:tc>
          <w:tcPr>
            <w:tcW w:w="2510" w:type="dxa"/>
            <w:tcBorders>
              <w:top w:val="nil"/>
              <w:left w:val="single" w:sz="8" w:space="0" w:color="auto"/>
              <w:bottom w:val="single" w:sz="4" w:space="0" w:color="auto"/>
              <w:right w:val="single" w:sz="4" w:space="0" w:color="auto"/>
            </w:tcBorders>
            <w:shd w:val="clear" w:color="000000" w:fill="D9D9D9"/>
            <w:noWrap/>
            <w:vAlign w:val="bottom"/>
            <w:hideMark/>
          </w:tcPr>
          <w:p w14:paraId="729294B9" w14:textId="77777777" w:rsidR="00394E0A" w:rsidRPr="003C66A0" w:rsidRDefault="00394E0A" w:rsidP="00B451D7">
            <w:pPr>
              <w:rPr>
                <w:b/>
                <w:bCs/>
                <w:color w:val="000000" w:themeColor="text1"/>
              </w:rPr>
            </w:pPr>
            <w:r w:rsidRPr="003C66A0">
              <w:rPr>
                <w:b/>
                <w:bCs/>
                <w:color w:val="000000" w:themeColor="text1"/>
              </w:rPr>
              <w:t>Geographic Location</w:t>
            </w:r>
          </w:p>
        </w:tc>
        <w:tc>
          <w:tcPr>
            <w:tcW w:w="2610" w:type="dxa"/>
            <w:tcBorders>
              <w:top w:val="nil"/>
              <w:left w:val="nil"/>
              <w:bottom w:val="single" w:sz="4" w:space="0" w:color="auto"/>
              <w:right w:val="single" w:sz="4" w:space="0" w:color="auto"/>
            </w:tcBorders>
            <w:noWrap/>
            <w:vAlign w:val="bottom"/>
            <w:hideMark/>
          </w:tcPr>
          <w:p w14:paraId="7C607BE8" w14:textId="77777777" w:rsidR="00394E0A" w:rsidRPr="003C66A0" w:rsidRDefault="00394E0A" w:rsidP="00B451D7">
            <w:pPr>
              <w:rPr>
                <w:color w:val="000000" w:themeColor="text1"/>
              </w:rPr>
            </w:pPr>
            <w:r w:rsidRPr="003C66A0">
              <w:rPr>
                <w:color w:val="000000" w:themeColor="text1"/>
              </w:rPr>
              <w:t>North America</w:t>
            </w:r>
          </w:p>
        </w:tc>
        <w:tc>
          <w:tcPr>
            <w:tcW w:w="1530" w:type="dxa"/>
            <w:tcBorders>
              <w:top w:val="nil"/>
              <w:left w:val="nil"/>
              <w:bottom w:val="single" w:sz="4" w:space="0" w:color="auto"/>
              <w:right w:val="single" w:sz="4" w:space="0" w:color="auto"/>
            </w:tcBorders>
            <w:noWrap/>
            <w:vAlign w:val="bottom"/>
            <w:hideMark/>
          </w:tcPr>
          <w:p w14:paraId="1C7E797B" w14:textId="77777777" w:rsidR="00394E0A" w:rsidRPr="003C66A0" w:rsidRDefault="00394E0A" w:rsidP="00B451D7">
            <w:pPr>
              <w:jc w:val="right"/>
              <w:rPr>
                <w:color w:val="000000" w:themeColor="text1"/>
              </w:rPr>
            </w:pPr>
            <w:r w:rsidRPr="003C66A0">
              <w:rPr>
                <w:color w:val="000000" w:themeColor="text1"/>
              </w:rPr>
              <w:t>11</w:t>
            </w:r>
          </w:p>
        </w:tc>
        <w:tc>
          <w:tcPr>
            <w:tcW w:w="2700" w:type="dxa"/>
            <w:tcBorders>
              <w:top w:val="nil"/>
              <w:left w:val="nil"/>
              <w:bottom w:val="single" w:sz="4" w:space="0" w:color="auto"/>
              <w:right w:val="single" w:sz="8" w:space="0" w:color="auto"/>
            </w:tcBorders>
            <w:noWrap/>
            <w:vAlign w:val="bottom"/>
            <w:hideMark/>
          </w:tcPr>
          <w:p w14:paraId="3B072373" w14:textId="77777777" w:rsidR="00394E0A" w:rsidRPr="003C66A0" w:rsidRDefault="00394E0A" w:rsidP="00B451D7">
            <w:pPr>
              <w:jc w:val="right"/>
              <w:rPr>
                <w:color w:val="000000" w:themeColor="text1"/>
              </w:rPr>
            </w:pPr>
            <w:r w:rsidRPr="003C66A0">
              <w:rPr>
                <w:color w:val="000000" w:themeColor="text1"/>
              </w:rPr>
              <w:t>40.70%</w:t>
            </w:r>
          </w:p>
        </w:tc>
      </w:tr>
      <w:tr w:rsidR="00FC334A" w:rsidRPr="003C66A0" w14:paraId="3FEDB495" w14:textId="77777777" w:rsidTr="00394E0A">
        <w:trPr>
          <w:trHeight w:val="320"/>
        </w:trPr>
        <w:tc>
          <w:tcPr>
            <w:tcW w:w="2510" w:type="dxa"/>
            <w:tcBorders>
              <w:top w:val="nil"/>
              <w:left w:val="single" w:sz="8" w:space="0" w:color="auto"/>
              <w:bottom w:val="single" w:sz="4" w:space="0" w:color="auto"/>
              <w:right w:val="single" w:sz="4" w:space="0" w:color="auto"/>
            </w:tcBorders>
            <w:shd w:val="clear" w:color="000000" w:fill="D9D9D9"/>
            <w:noWrap/>
            <w:vAlign w:val="bottom"/>
            <w:hideMark/>
          </w:tcPr>
          <w:p w14:paraId="2431D723" w14:textId="77777777" w:rsidR="00394E0A" w:rsidRPr="003C66A0" w:rsidRDefault="00394E0A" w:rsidP="00B451D7">
            <w:pPr>
              <w:rPr>
                <w:b/>
                <w:bCs/>
                <w:color w:val="000000" w:themeColor="text1"/>
              </w:rPr>
            </w:pPr>
            <w:r w:rsidRPr="003C66A0">
              <w:rPr>
                <w:b/>
                <w:bCs/>
                <w:color w:val="000000" w:themeColor="text1"/>
              </w:rPr>
              <w:t>Geographic Location</w:t>
            </w:r>
          </w:p>
        </w:tc>
        <w:tc>
          <w:tcPr>
            <w:tcW w:w="2610" w:type="dxa"/>
            <w:tcBorders>
              <w:top w:val="nil"/>
              <w:left w:val="nil"/>
              <w:bottom w:val="single" w:sz="4" w:space="0" w:color="auto"/>
              <w:right w:val="single" w:sz="4" w:space="0" w:color="auto"/>
            </w:tcBorders>
            <w:noWrap/>
            <w:vAlign w:val="bottom"/>
            <w:hideMark/>
          </w:tcPr>
          <w:p w14:paraId="271718A8" w14:textId="77777777" w:rsidR="00394E0A" w:rsidRPr="003C66A0" w:rsidRDefault="00394E0A" w:rsidP="00B451D7">
            <w:pPr>
              <w:rPr>
                <w:color w:val="000000" w:themeColor="text1"/>
              </w:rPr>
            </w:pPr>
            <w:r w:rsidRPr="003C66A0">
              <w:rPr>
                <w:color w:val="000000" w:themeColor="text1"/>
              </w:rPr>
              <w:t>Europe</w:t>
            </w:r>
          </w:p>
        </w:tc>
        <w:tc>
          <w:tcPr>
            <w:tcW w:w="1530" w:type="dxa"/>
            <w:tcBorders>
              <w:top w:val="nil"/>
              <w:left w:val="nil"/>
              <w:bottom w:val="single" w:sz="4" w:space="0" w:color="auto"/>
              <w:right w:val="single" w:sz="4" w:space="0" w:color="auto"/>
            </w:tcBorders>
            <w:noWrap/>
            <w:vAlign w:val="bottom"/>
            <w:hideMark/>
          </w:tcPr>
          <w:p w14:paraId="3C19AEB0" w14:textId="77777777" w:rsidR="00394E0A" w:rsidRPr="003C66A0" w:rsidRDefault="00394E0A" w:rsidP="00B451D7">
            <w:pPr>
              <w:jc w:val="right"/>
              <w:rPr>
                <w:color w:val="000000" w:themeColor="text1"/>
              </w:rPr>
            </w:pPr>
            <w:r w:rsidRPr="003C66A0">
              <w:rPr>
                <w:color w:val="000000" w:themeColor="text1"/>
              </w:rPr>
              <w:t>9</w:t>
            </w:r>
          </w:p>
        </w:tc>
        <w:tc>
          <w:tcPr>
            <w:tcW w:w="2700" w:type="dxa"/>
            <w:tcBorders>
              <w:top w:val="nil"/>
              <w:left w:val="nil"/>
              <w:bottom w:val="single" w:sz="4" w:space="0" w:color="auto"/>
              <w:right w:val="single" w:sz="8" w:space="0" w:color="auto"/>
            </w:tcBorders>
            <w:noWrap/>
            <w:vAlign w:val="bottom"/>
            <w:hideMark/>
          </w:tcPr>
          <w:p w14:paraId="404F5E9E" w14:textId="77777777" w:rsidR="00394E0A" w:rsidRPr="003C66A0" w:rsidRDefault="00394E0A" w:rsidP="00B451D7">
            <w:pPr>
              <w:jc w:val="right"/>
              <w:rPr>
                <w:color w:val="000000" w:themeColor="text1"/>
              </w:rPr>
            </w:pPr>
            <w:r w:rsidRPr="003C66A0">
              <w:rPr>
                <w:color w:val="000000" w:themeColor="text1"/>
              </w:rPr>
              <w:t>33.30%</w:t>
            </w:r>
          </w:p>
        </w:tc>
      </w:tr>
      <w:tr w:rsidR="00FC334A" w:rsidRPr="003C66A0" w14:paraId="0B39BF50" w14:textId="77777777" w:rsidTr="00394E0A">
        <w:trPr>
          <w:trHeight w:val="320"/>
        </w:trPr>
        <w:tc>
          <w:tcPr>
            <w:tcW w:w="2510" w:type="dxa"/>
            <w:tcBorders>
              <w:top w:val="nil"/>
              <w:left w:val="single" w:sz="8" w:space="0" w:color="auto"/>
              <w:bottom w:val="single" w:sz="4" w:space="0" w:color="auto"/>
              <w:right w:val="single" w:sz="4" w:space="0" w:color="auto"/>
            </w:tcBorders>
            <w:shd w:val="clear" w:color="000000" w:fill="D9D9D9"/>
            <w:noWrap/>
            <w:vAlign w:val="bottom"/>
            <w:hideMark/>
          </w:tcPr>
          <w:p w14:paraId="1D358229" w14:textId="77777777" w:rsidR="00394E0A" w:rsidRPr="003C66A0" w:rsidRDefault="00394E0A" w:rsidP="00B451D7">
            <w:pPr>
              <w:rPr>
                <w:b/>
                <w:bCs/>
                <w:color w:val="000000" w:themeColor="text1"/>
              </w:rPr>
            </w:pPr>
            <w:r w:rsidRPr="003C66A0">
              <w:rPr>
                <w:b/>
                <w:bCs/>
                <w:color w:val="000000" w:themeColor="text1"/>
              </w:rPr>
              <w:t>Geographic Location</w:t>
            </w:r>
          </w:p>
        </w:tc>
        <w:tc>
          <w:tcPr>
            <w:tcW w:w="2610" w:type="dxa"/>
            <w:tcBorders>
              <w:top w:val="nil"/>
              <w:left w:val="nil"/>
              <w:bottom w:val="single" w:sz="4" w:space="0" w:color="auto"/>
              <w:right w:val="single" w:sz="4" w:space="0" w:color="auto"/>
            </w:tcBorders>
            <w:noWrap/>
            <w:vAlign w:val="bottom"/>
            <w:hideMark/>
          </w:tcPr>
          <w:p w14:paraId="28CF240E" w14:textId="77777777" w:rsidR="00394E0A" w:rsidRPr="003C66A0" w:rsidRDefault="00394E0A" w:rsidP="00B451D7">
            <w:pPr>
              <w:rPr>
                <w:color w:val="000000" w:themeColor="text1"/>
              </w:rPr>
            </w:pPr>
            <w:r w:rsidRPr="003C66A0">
              <w:rPr>
                <w:color w:val="000000" w:themeColor="text1"/>
              </w:rPr>
              <w:t>Asia</w:t>
            </w:r>
          </w:p>
        </w:tc>
        <w:tc>
          <w:tcPr>
            <w:tcW w:w="1530" w:type="dxa"/>
            <w:tcBorders>
              <w:top w:val="nil"/>
              <w:left w:val="nil"/>
              <w:bottom w:val="single" w:sz="4" w:space="0" w:color="auto"/>
              <w:right w:val="single" w:sz="4" w:space="0" w:color="auto"/>
            </w:tcBorders>
            <w:noWrap/>
            <w:vAlign w:val="bottom"/>
            <w:hideMark/>
          </w:tcPr>
          <w:p w14:paraId="2DA6F9AA" w14:textId="77777777" w:rsidR="00394E0A" w:rsidRPr="003C66A0" w:rsidRDefault="00394E0A" w:rsidP="00B451D7">
            <w:pPr>
              <w:jc w:val="right"/>
              <w:rPr>
                <w:color w:val="000000" w:themeColor="text1"/>
              </w:rPr>
            </w:pPr>
            <w:r w:rsidRPr="003C66A0">
              <w:rPr>
                <w:color w:val="000000" w:themeColor="text1"/>
              </w:rPr>
              <w:t>5</w:t>
            </w:r>
          </w:p>
        </w:tc>
        <w:tc>
          <w:tcPr>
            <w:tcW w:w="2700" w:type="dxa"/>
            <w:tcBorders>
              <w:top w:val="nil"/>
              <w:left w:val="nil"/>
              <w:bottom w:val="single" w:sz="4" w:space="0" w:color="auto"/>
              <w:right w:val="single" w:sz="8" w:space="0" w:color="auto"/>
            </w:tcBorders>
            <w:noWrap/>
            <w:vAlign w:val="bottom"/>
            <w:hideMark/>
          </w:tcPr>
          <w:p w14:paraId="79C4BAA8" w14:textId="77777777" w:rsidR="00394E0A" w:rsidRPr="003C66A0" w:rsidRDefault="00394E0A" w:rsidP="00B451D7">
            <w:pPr>
              <w:jc w:val="right"/>
              <w:rPr>
                <w:color w:val="000000" w:themeColor="text1"/>
              </w:rPr>
            </w:pPr>
            <w:r w:rsidRPr="003C66A0">
              <w:rPr>
                <w:color w:val="000000" w:themeColor="text1"/>
              </w:rPr>
              <w:t>18.50%</w:t>
            </w:r>
          </w:p>
        </w:tc>
      </w:tr>
      <w:tr w:rsidR="00FC334A" w:rsidRPr="003C66A0" w14:paraId="29705276" w14:textId="77777777" w:rsidTr="00394E0A">
        <w:trPr>
          <w:trHeight w:val="340"/>
        </w:trPr>
        <w:tc>
          <w:tcPr>
            <w:tcW w:w="2510" w:type="dxa"/>
            <w:tcBorders>
              <w:top w:val="nil"/>
              <w:left w:val="single" w:sz="8" w:space="0" w:color="auto"/>
              <w:bottom w:val="single" w:sz="8" w:space="0" w:color="auto"/>
              <w:right w:val="single" w:sz="4" w:space="0" w:color="auto"/>
            </w:tcBorders>
            <w:shd w:val="clear" w:color="000000" w:fill="D9D9D9"/>
            <w:noWrap/>
            <w:vAlign w:val="bottom"/>
            <w:hideMark/>
          </w:tcPr>
          <w:p w14:paraId="416D1257" w14:textId="77777777" w:rsidR="00394E0A" w:rsidRPr="003C66A0" w:rsidRDefault="00394E0A" w:rsidP="00B451D7">
            <w:pPr>
              <w:rPr>
                <w:b/>
                <w:bCs/>
                <w:color w:val="000000" w:themeColor="text1"/>
              </w:rPr>
            </w:pPr>
            <w:r w:rsidRPr="003C66A0">
              <w:rPr>
                <w:b/>
                <w:bCs/>
                <w:color w:val="000000" w:themeColor="text1"/>
              </w:rPr>
              <w:t>Geographic Location</w:t>
            </w:r>
          </w:p>
        </w:tc>
        <w:tc>
          <w:tcPr>
            <w:tcW w:w="2610" w:type="dxa"/>
            <w:tcBorders>
              <w:top w:val="nil"/>
              <w:left w:val="nil"/>
              <w:bottom w:val="single" w:sz="8" w:space="0" w:color="auto"/>
              <w:right w:val="single" w:sz="4" w:space="0" w:color="auto"/>
            </w:tcBorders>
            <w:noWrap/>
            <w:vAlign w:val="bottom"/>
            <w:hideMark/>
          </w:tcPr>
          <w:p w14:paraId="106568E1" w14:textId="77777777" w:rsidR="00394E0A" w:rsidRPr="003C66A0" w:rsidRDefault="00394E0A" w:rsidP="00B451D7">
            <w:pPr>
              <w:rPr>
                <w:color w:val="000000" w:themeColor="text1"/>
              </w:rPr>
            </w:pPr>
            <w:r w:rsidRPr="003C66A0">
              <w:rPr>
                <w:color w:val="000000" w:themeColor="text1"/>
              </w:rPr>
              <w:t>Other</w:t>
            </w:r>
          </w:p>
        </w:tc>
        <w:tc>
          <w:tcPr>
            <w:tcW w:w="1530" w:type="dxa"/>
            <w:tcBorders>
              <w:top w:val="nil"/>
              <w:left w:val="nil"/>
              <w:bottom w:val="single" w:sz="8" w:space="0" w:color="auto"/>
              <w:right w:val="single" w:sz="4" w:space="0" w:color="auto"/>
            </w:tcBorders>
            <w:noWrap/>
            <w:vAlign w:val="bottom"/>
            <w:hideMark/>
          </w:tcPr>
          <w:p w14:paraId="1D7527FA" w14:textId="77777777" w:rsidR="00394E0A" w:rsidRPr="003C66A0" w:rsidRDefault="00394E0A" w:rsidP="00B451D7">
            <w:pPr>
              <w:jc w:val="right"/>
              <w:rPr>
                <w:color w:val="000000" w:themeColor="text1"/>
              </w:rPr>
            </w:pPr>
            <w:r w:rsidRPr="003C66A0">
              <w:rPr>
                <w:color w:val="000000" w:themeColor="text1"/>
              </w:rPr>
              <w:t>2</w:t>
            </w:r>
          </w:p>
        </w:tc>
        <w:tc>
          <w:tcPr>
            <w:tcW w:w="2700" w:type="dxa"/>
            <w:tcBorders>
              <w:top w:val="nil"/>
              <w:left w:val="nil"/>
              <w:bottom w:val="single" w:sz="8" w:space="0" w:color="auto"/>
              <w:right w:val="single" w:sz="8" w:space="0" w:color="auto"/>
            </w:tcBorders>
            <w:noWrap/>
            <w:vAlign w:val="bottom"/>
            <w:hideMark/>
          </w:tcPr>
          <w:p w14:paraId="328B6A0D" w14:textId="77777777" w:rsidR="00394E0A" w:rsidRPr="003C66A0" w:rsidRDefault="00394E0A" w:rsidP="00B451D7">
            <w:pPr>
              <w:jc w:val="right"/>
              <w:rPr>
                <w:color w:val="000000" w:themeColor="text1"/>
              </w:rPr>
            </w:pPr>
            <w:r w:rsidRPr="003C66A0">
              <w:rPr>
                <w:color w:val="000000" w:themeColor="text1"/>
              </w:rPr>
              <w:t>7.40%</w:t>
            </w:r>
          </w:p>
        </w:tc>
      </w:tr>
    </w:tbl>
    <w:p w14:paraId="554EEF0B" w14:textId="35BDE01F" w:rsidR="0096313B" w:rsidRPr="001826A1" w:rsidRDefault="00E0397F" w:rsidP="00B451D7">
      <w:pPr>
        <w:jc w:val="both"/>
        <w:rPr>
          <w:rFonts w:eastAsiaTheme="majorEastAsia"/>
          <w:i/>
          <w:iCs/>
          <w:color w:val="000000" w:themeColor="text1"/>
          <w:sz w:val="22"/>
          <w:szCs w:val="22"/>
        </w:rPr>
      </w:pPr>
      <w:r w:rsidRPr="001826A1">
        <w:rPr>
          <w:rFonts w:eastAsiaTheme="majorEastAsia"/>
          <w:i/>
          <w:iCs/>
          <w:color w:val="000000" w:themeColor="text1"/>
          <w:sz w:val="22"/>
          <w:szCs w:val="22"/>
        </w:rPr>
        <w:t>Note: The sample skews toward educated (89% college+), moderately capitalized ($5,000-$25,000), Western participants, limiting generalizability but providing insights into the "typical" DeFi participant profile.</w:t>
      </w:r>
    </w:p>
    <w:p w14:paraId="50457518" w14:textId="77777777" w:rsidR="00E0397F" w:rsidRPr="003C66A0" w:rsidRDefault="00E0397F" w:rsidP="00B451D7">
      <w:pPr>
        <w:jc w:val="both"/>
        <w:rPr>
          <w:rFonts w:eastAsiaTheme="majorEastAsia"/>
          <w:bCs/>
          <w:color w:val="000000" w:themeColor="text1"/>
        </w:rPr>
      </w:pPr>
    </w:p>
    <w:p w14:paraId="2913E21A" w14:textId="2ECBBEF8" w:rsidR="00174BE9" w:rsidRPr="003C66A0" w:rsidRDefault="008D6F57" w:rsidP="00B451D7">
      <w:pPr>
        <w:pStyle w:val="Heading2"/>
        <w:rPr>
          <w:rFonts w:eastAsiaTheme="majorEastAsia"/>
        </w:rPr>
      </w:pPr>
      <w:bookmarkStart w:id="83" w:name="_Toc214721889"/>
      <w:r w:rsidRPr="003C66A0">
        <w:rPr>
          <w:rFonts w:eastAsiaTheme="majorEastAsia"/>
        </w:rPr>
        <w:t>4</w:t>
      </w:r>
      <w:r w:rsidR="00174BE9" w:rsidRPr="003C66A0">
        <w:rPr>
          <w:rFonts w:eastAsiaTheme="majorEastAsia"/>
        </w:rPr>
        <w:t>.4 Analytical Methods: Making Sense of Chaos</w:t>
      </w:r>
      <w:bookmarkEnd w:id="83"/>
    </w:p>
    <w:p w14:paraId="7AD5CB32" w14:textId="50C48D42" w:rsidR="00174BE9" w:rsidRPr="003C66A0" w:rsidRDefault="008D6F57" w:rsidP="00B451D7">
      <w:pPr>
        <w:pStyle w:val="Heading3"/>
        <w:rPr>
          <w:rFonts w:eastAsiaTheme="majorEastAsia"/>
        </w:rPr>
      </w:pPr>
      <w:bookmarkStart w:id="84" w:name="_Toc214721890"/>
      <w:r w:rsidRPr="003C66A0">
        <w:rPr>
          <w:rFonts w:eastAsiaTheme="majorEastAsia"/>
        </w:rPr>
        <w:t>4</w:t>
      </w:r>
      <w:r w:rsidR="00174BE9" w:rsidRPr="003C66A0">
        <w:rPr>
          <w:rFonts w:eastAsiaTheme="majorEastAsia"/>
        </w:rPr>
        <w:t>.4.1 Quantitative Analysis</w:t>
      </w:r>
      <w:bookmarkEnd w:id="84"/>
    </w:p>
    <w:p w14:paraId="5F3FDF4C" w14:textId="77777777" w:rsidR="008A14FB" w:rsidRPr="003C66A0" w:rsidRDefault="008A14FB" w:rsidP="00B451D7">
      <w:pPr>
        <w:jc w:val="both"/>
        <w:rPr>
          <w:rFonts w:eastAsiaTheme="majorEastAsia"/>
          <w:bCs/>
          <w:color w:val="000000" w:themeColor="text1"/>
        </w:rPr>
      </w:pPr>
      <w:r w:rsidRPr="003C66A0">
        <w:rPr>
          <w:rFonts w:eastAsiaTheme="majorEastAsia"/>
          <w:bCs/>
          <w:color w:val="000000" w:themeColor="text1"/>
        </w:rPr>
        <w:t>The quantitative analysis proceeded through three stages, each revealing different aspects of the viability question.</w:t>
      </w:r>
    </w:p>
    <w:p w14:paraId="306641A6" w14:textId="77777777" w:rsidR="008A14FB" w:rsidRPr="003C66A0" w:rsidRDefault="008A14FB" w:rsidP="00B451D7">
      <w:pPr>
        <w:jc w:val="both"/>
        <w:rPr>
          <w:rFonts w:eastAsiaTheme="majorEastAsia"/>
          <w:bCs/>
          <w:color w:val="000000" w:themeColor="text1"/>
        </w:rPr>
      </w:pPr>
    </w:p>
    <w:p w14:paraId="5DF14B61" w14:textId="2F3692E0" w:rsidR="008A14FB" w:rsidRPr="003C66A0" w:rsidRDefault="008A14FB" w:rsidP="00B451D7">
      <w:pPr>
        <w:jc w:val="both"/>
        <w:rPr>
          <w:rFonts w:eastAsiaTheme="majorEastAsia"/>
          <w:bCs/>
          <w:color w:val="000000" w:themeColor="text1"/>
        </w:rPr>
      </w:pPr>
      <w:r w:rsidRPr="003C66A0">
        <w:rPr>
          <w:rFonts w:eastAsiaTheme="majorEastAsia"/>
          <w:bCs/>
          <w:color w:val="000000" w:themeColor="text1"/>
        </w:rPr>
        <w:t xml:space="preserve">The first stage used descriptive statistics to find basic patterns. But it was required to review this accurately because non-normal </w:t>
      </w:r>
      <w:proofErr w:type="gramStart"/>
      <w:r w:rsidRPr="003C66A0">
        <w:rPr>
          <w:rFonts w:eastAsiaTheme="majorEastAsia"/>
          <w:bCs/>
          <w:color w:val="000000" w:themeColor="text1"/>
        </w:rPr>
        <w:t>distributions t</w:t>
      </w:r>
      <w:proofErr w:type="gramEnd"/>
      <w:r w:rsidRPr="003C66A0">
        <w:rPr>
          <w:rFonts w:eastAsiaTheme="majorEastAsia"/>
          <w:bCs/>
          <w:color w:val="000000" w:themeColor="text1"/>
        </w:rPr>
        <w:t xml:space="preserve"> </w:t>
      </w:r>
      <w:proofErr w:type="gramStart"/>
      <w:r w:rsidRPr="003C66A0">
        <w:rPr>
          <w:rFonts w:eastAsiaTheme="majorEastAsia"/>
          <w:bCs/>
          <w:color w:val="000000" w:themeColor="text1"/>
        </w:rPr>
        <w:t>are</w:t>
      </w:r>
      <w:proofErr w:type="gramEnd"/>
      <w:r w:rsidRPr="003C66A0">
        <w:rPr>
          <w:rFonts w:eastAsiaTheme="majorEastAsia"/>
          <w:bCs/>
          <w:color w:val="000000" w:themeColor="text1"/>
        </w:rPr>
        <w:t xml:space="preserve"> common in crypto data. For variables with a lot of </w:t>
      </w:r>
      <w:r w:rsidR="00951073" w:rsidRPr="003C66A0">
        <w:rPr>
          <w:rFonts w:eastAsiaTheme="majorEastAsia"/>
          <w:bCs/>
          <w:color w:val="000000" w:themeColor="text1"/>
        </w:rPr>
        <w:t>skews</w:t>
      </w:r>
      <w:r w:rsidRPr="003C66A0">
        <w:rPr>
          <w:rFonts w:eastAsiaTheme="majorEastAsia"/>
          <w:bCs/>
          <w:color w:val="000000" w:themeColor="text1"/>
        </w:rPr>
        <w:t xml:space="preserve">, median and interquartile ranges were more useful than means and standard deviations. Here's where the first surprise emerged: successful positions didn't have higher average returns - they had lower variance. </w:t>
      </w:r>
      <w:r w:rsidR="00951073" w:rsidRPr="003C66A0">
        <w:rPr>
          <w:rFonts w:eastAsiaTheme="majorEastAsia"/>
          <w:bCs/>
          <w:color w:val="000000" w:themeColor="text1"/>
        </w:rPr>
        <w:t>Similar</w:t>
      </w:r>
      <w:r w:rsidRPr="003C66A0">
        <w:rPr>
          <w:rFonts w:eastAsiaTheme="majorEastAsia"/>
          <w:bCs/>
          <w:color w:val="000000" w:themeColor="text1"/>
        </w:rPr>
        <w:t xml:space="preserve"> results were observed in </w:t>
      </w:r>
      <w:r w:rsidR="00951073" w:rsidRPr="003C66A0">
        <w:rPr>
          <w:rFonts w:eastAsiaTheme="majorEastAsia"/>
          <w:bCs/>
          <w:color w:val="000000" w:themeColor="text1"/>
        </w:rPr>
        <w:t>earlier</w:t>
      </w:r>
      <w:r w:rsidRPr="003C66A0">
        <w:rPr>
          <w:rFonts w:eastAsiaTheme="majorEastAsia"/>
          <w:bCs/>
          <w:color w:val="000000" w:themeColor="text1"/>
        </w:rPr>
        <w:t xml:space="preserve"> studies by Field (2018).</w:t>
      </w:r>
    </w:p>
    <w:p w14:paraId="0CE5AC6C" w14:textId="77777777" w:rsidR="008A14FB" w:rsidRPr="003C66A0" w:rsidRDefault="008A14FB" w:rsidP="00B451D7">
      <w:pPr>
        <w:jc w:val="both"/>
        <w:rPr>
          <w:rFonts w:eastAsiaTheme="majorEastAsia"/>
          <w:bCs/>
          <w:color w:val="000000" w:themeColor="text1"/>
        </w:rPr>
      </w:pPr>
    </w:p>
    <w:p w14:paraId="171FCD92" w14:textId="19EB524E" w:rsidR="00354301" w:rsidRDefault="008A14FB" w:rsidP="00B451D7">
      <w:pPr>
        <w:jc w:val="both"/>
        <w:rPr>
          <w:rFonts w:eastAsiaTheme="majorEastAsia"/>
          <w:bCs/>
          <w:color w:val="000000" w:themeColor="text1"/>
        </w:rPr>
      </w:pPr>
      <w:r w:rsidRPr="003C66A0">
        <w:rPr>
          <w:rFonts w:eastAsiaTheme="majorEastAsia"/>
          <w:bCs/>
          <w:color w:val="000000" w:themeColor="text1"/>
        </w:rPr>
        <w:t xml:space="preserve">For stage 2 regression models were used that examined relationships between variables. In this case the assumptions of linear regression rarely held where the </w:t>
      </w:r>
      <w:r w:rsidR="00951073" w:rsidRPr="003C66A0">
        <w:rPr>
          <w:rFonts w:eastAsiaTheme="majorEastAsia"/>
          <w:bCs/>
          <w:color w:val="000000" w:themeColor="text1"/>
        </w:rPr>
        <w:t>transaction</w:t>
      </w:r>
      <w:r w:rsidRPr="003C66A0">
        <w:rPr>
          <w:rFonts w:eastAsiaTheme="majorEastAsia"/>
          <w:bCs/>
          <w:color w:val="000000" w:themeColor="text1"/>
        </w:rPr>
        <w:t xml:space="preserve"> fees showed heteroskedasticity - the variance increased with volume. The returns exhibited extreme events that were more common than normal distributions predicted. I used robust regression methods, bootstrapping for confidence intervals, and explicitly tested assumption violations based on similar research performed by Hayes (2022). </w:t>
      </w:r>
    </w:p>
    <w:p w14:paraId="3A89C604" w14:textId="77777777" w:rsidR="004F3135" w:rsidRDefault="004F3135" w:rsidP="00B451D7">
      <w:pPr>
        <w:jc w:val="both"/>
        <w:rPr>
          <w:rFonts w:eastAsiaTheme="majorEastAsia"/>
          <w:bCs/>
          <w:color w:val="000000" w:themeColor="text1"/>
        </w:rPr>
      </w:pPr>
    </w:p>
    <w:p w14:paraId="62145917" w14:textId="0E21F5A7" w:rsidR="008A14FB" w:rsidRPr="003C66A0" w:rsidRDefault="008A14FB" w:rsidP="00B451D7">
      <w:pPr>
        <w:jc w:val="both"/>
        <w:rPr>
          <w:rFonts w:eastAsiaTheme="majorEastAsia"/>
          <w:bCs/>
          <w:color w:val="000000" w:themeColor="text1"/>
        </w:rPr>
      </w:pPr>
      <w:r w:rsidRPr="003C66A0">
        <w:rPr>
          <w:rFonts w:eastAsiaTheme="majorEastAsia"/>
          <w:bCs/>
          <w:color w:val="000000" w:themeColor="text1"/>
        </w:rPr>
        <w:t>To account for correlation within positions, the panel data structure needed multilevel modeling. Random effects models accounted for </w:t>
      </w:r>
      <w:proofErr w:type="gramStart"/>
      <w:r w:rsidRPr="003C66A0">
        <w:rPr>
          <w:rFonts w:eastAsiaTheme="majorEastAsia"/>
          <w:bCs/>
          <w:color w:val="000000" w:themeColor="text1"/>
        </w:rPr>
        <w:t>positionspecific</w:t>
      </w:r>
      <w:proofErr w:type="gramEnd"/>
      <w:r w:rsidRPr="003C66A0">
        <w:rPr>
          <w:rFonts w:eastAsiaTheme="majorEastAsia"/>
          <w:bCs/>
          <w:color w:val="000000" w:themeColor="text1"/>
        </w:rPr>
        <w:t> variation, whereas fixed effects managed </w:t>
      </w:r>
      <w:r w:rsidR="004F3135">
        <w:rPr>
          <w:rFonts w:eastAsiaTheme="majorEastAsia"/>
          <w:bCs/>
          <w:color w:val="000000" w:themeColor="text1"/>
        </w:rPr>
        <w:t>t</w:t>
      </w:r>
      <w:r w:rsidRPr="003C66A0">
        <w:rPr>
          <w:rFonts w:eastAsiaTheme="majorEastAsia"/>
          <w:bCs/>
          <w:color w:val="000000" w:themeColor="text1"/>
        </w:rPr>
        <w:t>ime-invariant characteristics.</w:t>
      </w:r>
    </w:p>
    <w:p w14:paraId="41AAA77D" w14:textId="77777777" w:rsidR="008A14FB" w:rsidRPr="003C66A0" w:rsidRDefault="008A14FB" w:rsidP="00B451D7">
      <w:pPr>
        <w:jc w:val="both"/>
        <w:rPr>
          <w:rFonts w:eastAsiaTheme="majorEastAsia"/>
          <w:bCs/>
          <w:color w:val="000000" w:themeColor="text1"/>
        </w:rPr>
      </w:pPr>
    </w:p>
    <w:p w14:paraId="4AE841F9" w14:textId="77777777" w:rsidR="008A14FB" w:rsidRPr="003C66A0" w:rsidRDefault="008A14FB" w:rsidP="00B451D7">
      <w:pPr>
        <w:jc w:val="both"/>
        <w:rPr>
          <w:rFonts w:eastAsiaTheme="majorEastAsia"/>
          <w:bCs/>
          <w:color w:val="000000" w:themeColor="text1"/>
        </w:rPr>
      </w:pPr>
      <w:r w:rsidRPr="003C66A0">
        <w:rPr>
          <w:rFonts w:eastAsiaTheme="majorEastAsia"/>
          <w:bCs/>
          <w:color w:val="000000" w:themeColor="text1"/>
        </w:rPr>
        <w:t>Stage 3 used machine learning techniques like random forests and gradient boosting to figure out which factors were the best at predicting success in a position. This was not about creating a trading algorithm; it was about understanding how important features are (James et al., 2021). The results were completely opposite of what most people thought. The timing was more important than the amount of money. Choosing a protocol was more important than choosing an asset. Most surprisingly, not doing anything was often better than doing something.</w:t>
      </w:r>
    </w:p>
    <w:p w14:paraId="35765257" w14:textId="77777777" w:rsidR="003E1825" w:rsidRPr="003C66A0" w:rsidRDefault="003E1825" w:rsidP="00B451D7">
      <w:pPr>
        <w:jc w:val="both"/>
        <w:rPr>
          <w:rFonts w:eastAsiaTheme="majorEastAsia"/>
          <w:bCs/>
          <w:color w:val="000000" w:themeColor="text1"/>
        </w:rPr>
      </w:pPr>
    </w:p>
    <w:p w14:paraId="234BA179" w14:textId="0DF3AA10" w:rsidR="00174BE9" w:rsidRPr="003C66A0" w:rsidRDefault="008D6F57" w:rsidP="00B451D7">
      <w:pPr>
        <w:pStyle w:val="Heading3"/>
        <w:rPr>
          <w:rFonts w:eastAsiaTheme="majorEastAsia"/>
        </w:rPr>
      </w:pPr>
      <w:bookmarkStart w:id="85" w:name="_Toc214721891"/>
      <w:r w:rsidRPr="003C66A0">
        <w:rPr>
          <w:rFonts w:eastAsiaTheme="majorEastAsia"/>
        </w:rPr>
        <w:t>4</w:t>
      </w:r>
      <w:r w:rsidR="00174BE9" w:rsidRPr="003C66A0">
        <w:rPr>
          <w:rFonts w:eastAsiaTheme="majorEastAsia"/>
        </w:rPr>
        <w:t>.4.2 Qualitative Analysis</w:t>
      </w:r>
      <w:bookmarkEnd w:id="85"/>
    </w:p>
    <w:p w14:paraId="321CB63E" w14:textId="77777777" w:rsidR="008A14FB" w:rsidRPr="003C66A0" w:rsidRDefault="008A14FB" w:rsidP="00B451D7">
      <w:pPr>
        <w:jc w:val="both"/>
        <w:rPr>
          <w:rFonts w:eastAsiaTheme="majorEastAsia"/>
          <w:bCs/>
          <w:color w:val="000000" w:themeColor="text1"/>
        </w:rPr>
      </w:pPr>
      <w:r w:rsidRPr="003C66A0">
        <w:rPr>
          <w:rFonts w:eastAsiaTheme="majorEastAsia"/>
          <w:bCs/>
          <w:color w:val="000000" w:themeColor="text1"/>
        </w:rPr>
        <w:t>For the qualitative analysis, Braun and Clarke's (2006) six-phase method was used. It was changed to fit the DeFi context and to allow for thematic analysis on the interview transcripts and field notes. But the linear way of showing phases hides the complicated iterative reality.</w:t>
      </w:r>
    </w:p>
    <w:p w14:paraId="128823B8" w14:textId="77777777" w:rsidR="008A14FB" w:rsidRPr="003C66A0" w:rsidRDefault="008A14FB" w:rsidP="00B451D7">
      <w:pPr>
        <w:jc w:val="both"/>
        <w:rPr>
          <w:rFonts w:eastAsiaTheme="majorEastAsia"/>
          <w:bCs/>
          <w:color w:val="000000" w:themeColor="text1"/>
        </w:rPr>
      </w:pPr>
    </w:p>
    <w:p w14:paraId="0BCF105B" w14:textId="77777777" w:rsidR="008A14FB" w:rsidRPr="003C66A0" w:rsidRDefault="008A14FB" w:rsidP="00B451D7">
      <w:pPr>
        <w:jc w:val="both"/>
        <w:rPr>
          <w:rFonts w:eastAsiaTheme="majorEastAsia"/>
          <w:bCs/>
          <w:color w:val="000000" w:themeColor="text1"/>
        </w:rPr>
      </w:pPr>
      <w:r w:rsidRPr="003C66A0">
        <w:rPr>
          <w:rFonts w:eastAsiaTheme="majorEastAsia"/>
          <w:bCs/>
          <w:color w:val="000000" w:themeColor="text1"/>
        </w:rPr>
        <w:t>Initial analysis was difficult, trying to see through layers of technical jargon and crypto-speak to find meaning and obtain more clarity. Participants would say, "I got rugged" which could mean anything from a protocol hack to impermanent loss to their own mistake. The analysis process required constant translation between participant language and analytical categories (Saldaña, 2021).</w:t>
      </w:r>
    </w:p>
    <w:p w14:paraId="21B3239D" w14:textId="77777777" w:rsidR="008A14FB" w:rsidRPr="003C66A0" w:rsidRDefault="008A14FB" w:rsidP="00B451D7">
      <w:pPr>
        <w:jc w:val="both"/>
        <w:rPr>
          <w:rFonts w:eastAsiaTheme="majorEastAsia"/>
          <w:bCs/>
          <w:color w:val="000000" w:themeColor="text1"/>
        </w:rPr>
      </w:pPr>
    </w:p>
    <w:p w14:paraId="706A0C7C" w14:textId="77777777" w:rsidR="008A14FB" w:rsidRPr="003C66A0" w:rsidRDefault="008A14FB" w:rsidP="00B451D7">
      <w:pPr>
        <w:jc w:val="both"/>
        <w:rPr>
          <w:rFonts w:eastAsiaTheme="majorEastAsia"/>
          <w:bCs/>
          <w:color w:val="000000" w:themeColor="text1"/>
        </w:rPr>
      </w:pPr>
      <w:r w:rsidRPr="003C66A0">
        <w:rPr>
          <w:rFonts w:eastAsiaTheme="majorEastAsia"/>
          <w:bCs/>
          <w:color w:val="000000" w:themeColor="text1"/>
        </w:rPr>
        <w:t>To allow for easier review and categorization, several themes were developed that revealed that success factors were not individual variables but combinations. It shows that it is not about having capital or expertise or timing - it is about having the right combination for the specific context. A participant with programming skills but no capital might succeed with automation strategies. Someone with capital but no technical skills will need completely different approaches. The themes were not really categories but recipes that included specific combinations of ingredients that, when mixed properly, created opportunity. Similar results were observed by (Braun &amp; Clarke (2022).</w:t>
      </w:r>
    </w:p>
    <w:p w14:paraId="01F0016C" w14:textId="77777777" w:rsidR="006B7A02" w:rsidRPr="003C66A0" w:rsidRDefault="006B7A02" w:rsidP="00B451D7">
      <w:pPr>
        <w:jc w:val="both"/>
        <w:rPr>
          <w:rFonts w:eastAsiaTheme="majorEastAsia"/>
          <w:bCs/>
          <w:color w:val="000000" w:themeColor="text1"/>
        </w:rPr>
      </w:pPr>
    </w:p>
    <w:p w14:paraId="6B39B5F1" w14:textId="5EA05A96" w:rsidR="00174BE9" w:rsidRPr="003C66A0" w:rsidRDefault="008D6F57" w:rsidP="00B451D7">
      <w:pPr>
        <w:pStyle w:val="Heading2"/>
        <w:rPr>
          <w:rFonts w:eastAsiaTheme="majorEastAsia"/>
        </w:rPr>
      </w:pPr>
      <w:bookmarkStart w:id="86" w:name="_Toc214721892"/>
      <w:r w:rsidRPr="003C66A0">
        <w:rPr>
          <w:rFonts w:eastAsiaTheme="majorEastAsia"/>
        </w:rPr>
        <w:t>4</w:t>
      </w:r>
      <w:r w:rsidR="00174BE9" w:rsidRPr="003C66A0">
        <w:rPr>
          <w:rFonts w:eastAsiaTheme="majorEastAsia"/>
        </w:rPr>
        <w:t>.5 Simulation Methodology: Testing What-If Scenarios</w:t>
      </w:r>
      <w:bookmarkEnd w:id="86"/>
    </w:p>
    <w:p w14:paraId="6388130A" w14:textId="03020F71" w:rsidR="004E03EA" w:rsidRPr="007C6821" w:rsidRDefault="004E03EA" w:rsidP="00B451D7">
      <w:pPr>
        <w:jc w:val="both"/>
        <w:rPr>
          <w:rFonts w:eastAsiaTheme="majorEastAsia"/>
          <w:bCs/>
          <w:color w:val="000000" w:themeColor="text1"/>
        </w:rPr>
      </w:pPr>
      <w:r w:rsidRPr="007C6821">
        <w:rPr>
          <w:rFonts w:eastAsiaTheme="majorEastAsia"/>
          <w:bCs/>
          <w:color w:val="000000" w:themeColor="text1"/>
        </w:rPr>
        <w:t xml:space="preserve">The simulation models bridge historical analysis and future possibilities </w:t>
      </w:r>
      <w:r w:rsidR="00951073" w:rsidRPr="007C6821">
        <w:rPr>
          <w:rFonts w:eastAsiaTheme="majorEastAsia"/>
          <w:bCs/>
          <w:color w:val="000000" w:themeColor="text1"/>
        </w:rPr>
        <w:t>while</w:t>
      </w:r>
      <w:r w:rsidRPr="007C6821">
        <w:rPr>
          <w:rFonts w:eastAsiaTheme="majorEastAsia"/>
          <w:bCs/>
          <w:color w:val="000000" w:themeColor="text1"/>
        </w:rPr>
        <w:t xml:space="preserve"> rather than assuming past performance will predict future results, the simulations explore how strategies might perform under different conditions.</w:t>
      </w:r>
    </w:p>
    <w:p w14:paraId="764F50E1" w14:textId="77777777" w:rsidR="004E03EA" w:rsidRPr="007C6821" w:rsidRDefault="004E03EA" w:rsidP="00B451D7">
      <w:pPr>
        <w:jc w:val="both"/>
        <w:rPr>
          <w:rFonts w:eastAsiaTheme="majorEastAsia"/>
          <w:bCs/>
          <w:color w:val="000000" w:themeColor="text1"/>
        </w:rPr>
      </w:pPr>
    </w:p>
    <w:p w14:paraId="5BDEB74E" w14:textId="77777777" w:rsidR="004E03EA" w:rsidRPr="007C6821" w:rsidRDefault="004E03EA" w:rsidP="00B451D7">
      <w:pPr>
        <w:jc w:val="both"/>
        <w:rPr>
          <w:rFonts w:eastAsiaTheme="majorEastAsia"/>
          <w:bCs/>
          <w:color w:val="000000" w:themeColor="text1"/>
        </w:rPr>
      </w:pPr>
      <w:r w:rsidRPr="007C6821">
        <w:rPr>
          <w:rFonts w:eastAsiaTheme="majorEastAsia"/>
          <w:bCs/>
          <w:color w:val="000000" w:themeColor="text1"/>
        </w:rPr>
        <w:t xml:space="preserve">The agent-based model shows how liquidity providers, traders, and protocols interact (Wilensky &amp; Rand, 2015). Each type of agent follows rules of behavior that are based on what they have seen in the real world. Liquidity providers </w:t>
      </w:r>
      <w:proofErr w:type="gramStart"/>
      <w:r w:rsidRPr="007C6821">
        <w:rPr>
          <w:rFonts w:eastAsiaTheme="majorEastAsia"/>
          <w:bCs/>
          <w:color w:val="000000" w:themeColor="text1"/>
        </w:rPr>
        <w:t>choose position</w:t>
      </w:r>
      <w:proofErr w:type="gramEnd"/>
      <w:r w:rsidRPr="007C6821">
        <w:rPr>
          <w:rFonts w:eastAsiaTheme="majorEastAsia"/>
          <w:bCs/>
          <w:color w:val="000000" w:themeColor="text1"/>
        </w:rPr>
        <w:t xml:space="preserve"> ranges based on how much risk they can handle and how much money they have. Traders create volume based on patterns they see in past data. Protocols carry out trades using their own unique methods.</w:t>
      </w:r>
    </w:p>
    <w:p w14:paraId="0A2B1703" w14:textId="77777777" w:rsidR="004E03EA" w:rsidRPr="007C6821" w:rsidRDefault="004E03EA" w:rsidP="00B451D7">
      <w:pPr>
        <w:jc w:val="both"/>
        <w:rPr>
          <w:rFonts w:eastAsiaTheme="majorEastAsia"/>
          <w:bCs/>
          <w:color w:val="000000" w:themeColor="text1"/>
        </w:rPr>
      </w:pPr>
    </w:p>
    <w:p w14:paraId="321E823E" w14:textId="1D2CCD5B" w:rsidR="004E03EA" w:rsidRPr="007C6821" w:rsidRDefault="004E03EA" w:rsidP="00B451D7">
      <w:pPr>
        <w:jc w:val="both"/>
        <w:rPr>
          <w:rFonts w:eastAsiaTheme="majorEastAsia"/>
          <w:bCs/>
          <w:color w:val="000000" w:themeColor="text1"/>
        </w:rPr>
      </w:pPr>
      <w:r w:rsidRPr="007C6821">
        <w:rPr>
          <w:rFonts w:eastAsiaTheme="majorEastAsia"/>
          <w:bCs/>
          <w:color w:val="000000" w:themeColor="text1"/>
        </w:rPr>
        <w:t xml:space="preserve">Sargent's (2013) framework was used for model validation, but validating a system of this complexity is almost impossible. Although the model's face validity was assessed, it was found that it highlighted key patterns but missed some subtle details. Historical validation against data from 2020 to 2021 showed that fee generation patterns were 78% accurate. Sensitivity analysis revealed the essential variables: </w:t>
      </w:r>
      <w:proofErr w:type="gramStart"/>
      <w:r w:rsidRPr="007C6821">
        <w:rPr>
          <w:rFonts w:eastAsiaTheme="majorEastAsia"/>
          <w:bCs/>
          <w:color w:val="000000" w:themeColor="text1"/>
        </w:rPr>
        <w:t>the majority of</w:t>
      </w:r>
      <w:proofErr w:type="gramEnd"/>
      <w:r w:rsidRPr="007C6821">
        <w:rPr>
          <w:rFonts w:eastAsiaTheme="majorEastAsia"/>
          <w:bCs/>
          <w:color w:val="000000" w:themeColor="text1"/>
        </w:rPr>
        <w:t xml:space="preserve"> strategies exhibited significant sensitivity to gas costs and volume distribution</w:t>
      </w:r>
      <w:r w:rsidR="00951073" w:rsidRPr="007C6821">
        <w:rPr>
          <w:rFonts w:eastAsiaTheme="majorEastAsia"/>
          <w:bCs/>
          <w:color w:val="000000" w:themeColor="text1"/>
        </w:rPr>
        <w:t xml:space="preserve"> </w:t>
      </w:r>
      <w:proofErr w:type="gramStart"/>
      <w:r w:rsidR="00951073" w:rsidRPr="007C6821">
        <w:rPr>
          <w:rFonts w:eastAsiaTheme="majorEastAsia"/>
          <w:bCs/>
          <w:color w:val="000000" w:themeColor="text1"/>
        </w:rPr>
        <w:t xml:space="preserve">and </w:t>
      </w:r>
      <w:r w:rsidRPr="007C6821">
        <w:rPr>
          <w:rFonts w:eastAsiaTheme="majorEastAsia"/>
          <w:bCs/>
          <w:color w:val="000000" w:themeColor="text1"/>
        </w:rPr>
        <w:t>also</w:t>
      </w:r>
      <w:proofErr w:type="gramEnd"/>
      <w:r w:rsidRPr="007C6821">
        <w:rPr>
          <w:rFonts w:eastAsiaTheme="majorEastAsia"/>
          <w:bCs/>
          <w:color w:val="000000" w:themeColor="text1"/>
        </w:rPr>
        <w:t xml:space="preserve"> did demonstrate unexpected resilience to price fluctuations.</w:t>
      </w:r>
    </w:p>
    <w:p w14:paraId="447F3492" w14:textId="77777777" w:rsidR="006B7A02" w:rsidRPr="003C66A0" w:rsidRDefault="006B7A02" w:rsidP="00B451D7">
      <w:pPr>
        <w:jc w:val="both"/>
        <w:rPr>
          <w:rFonts w:eastAsiaTheme="majorEastAsia"/>
          <w:bCs/>
          <w:color w:val="000000" w:themeColor="text1"/>
        </w:rPr>
      </w:pPr>
    </w:p>
    <w:p w14:paraId="2E4345D5" w14:textId="09528178" w:rsidR="00174BE9" w:rsidRPr="003C66A0" w:rsidRDefault="008D6F57" w:rsidP="00B451D7">
      <w:pPr>
        <w:pStyle w:val="Heading2"/>
        <w:rPr>
          <w:rFonts w:eastAsiaTheme="majorEastAsia"/>
        </w:rPr>
      </w:pPr>
      <w:bookmarkStart w:id="87" w:name="_Toc214721893"/>
      <w:r w:rsidRPr="003C66A0">
        <w:rPr>
          <w:rFonts w:eastAsiaTheme="majorEastAsia"/>
        </w:rPr>
        <w:t>4</w:t>
      </w:r>
      <w:r w:rsidR="00174BE9" w:rsidRPr="003C66A0">
        <w:rPr>
          <w:rFonts w:eastAsiaTheme="majorEastAsia"/>
        </w:rPr>
        <w:t>.6 Building the Conditions-for-Success Framework</w:t>
      </w:r>
      <w:bookmarkEnd w:id="87"/>
    </w:p>
    <w:p w14:paraId="623A1DEE" w14:textId="77777777" w:rsidR="0090218E" w:rsidRPr="005F05C6" w:rsidRDefault="0090218E" w:rsidP="00B451D7">
      <w:pPr>
        <w:jc w:val="both"/>
        <w:rPr>
          <w:rFonts w:eastAsiaTheme="majorEastAsia"/>
          <w:bCs/>
          <w:color w:val="000000" w:themeColor="text1"/>
        </w:rPr>
      </w:pPr>
      <w:r w:rsidRPr="005F05C6">
        <w:rPr>
          <w:rFonts w:eastAsiaTheme="majorEastAsia"/>
          <w:bCs/>
          <w:color w:val="000000" w:themeColor="text1"/>
        </w:rPr>
        <w:t>What emerged from this mixed methodology was not just the documentation of failures but also the identification of specific conditions where opportunities remained viable. The framework has three dimensions:</w:t>
      </w:r>
    </w:p>
    <w:p w14:paraId="6A9B0B80" w14:textId="77777777" w:rsidR="0090218E" w:rsidRPr="005F05C6" w:rsidRDefault="0090218E" w:rsidP="00B451D7">
      <w:pPr>
        <w:jc w:val="both"/>
        <w:rPr>
          <w:rFonts w:eastAsiaTheme="majorEastAsia"/>
          <w:bCs/>
          <w:color w:val="000000" w:themeColor="text1"/>
        </w:rPr>
      </w:pPr>
    </w:p>
    <w:p w14:paraId="591517BF" w14:textId="77777777" w:rsidR="0090218E" w:rsidRPr="005F05C6" w:rsidRDefault="0090218E" w:rsidP="00B451D7">
      <w:pPr>
        <w:jc w:val="both"/>
        <w:rPr>
          <w:rFonts w:eastAsiaTheme="majorEastAsia"/>
          <w:bCs/>
          <w:color w:val="000000" w:themeColor="text1"/>
        </w:rPr>
      </w:pPr>
      <w:r w:rsidRPr="00581CC0">
        <w:rPr>
          <w:rFonts w:eastAsiaTheme="majorEastAsia"/>
          <w:color w:val="000000" w:themeColor="text1"/>
        </w:rPr>
        <w:t>Capital thresholds</w:t>
      </w:r>
      <w:r w:rsidRPr="005F05C6">
        <w:rPr>
          <w:rFonts w:eastAsiaTheme="majorEastAsia"/>
          <w:bCs/>
          <w:color w:val="000000" w:themeColor="text1"/>
        </w:rPr>
        <w:t xml:space="preserve"> aren't linear. Below $5,000, transaction costs dominate returns regardless of strategy. Between $5,000-$25,000, success becomes possible but requires either technical expertise or perfect timing. Above the Ethereum </w:t>
      </w:r>
      <w:proofErr w:type="spellStart"/>
      <w:r w:rsidRPr="005F05C6">
        <w:rPr>
          <w:rFonts w:eastAsiaTheme="majorEastAsia"/>
          <w:bCs/>
          <w:color w:val="000000" w:themeColor="text1"/>
        </w:rPr>
        <w:t>mainnet</w:t>
      </w:r>
      <w:proofErr w:type="spellEnd"/>
      <w:r w:rsidRPr="005F05C6">
        <w:rPr>
          <w:rFonts w:eastAsiaTheme="majorEastAsia"/>
          <w:bCs/>
          <w:color w:val="000000" w:themeColor="text1"/>
        </w:rPr>
        <w:t xml:space="preserve"> threshold (detailed in Chapter 4), multiple viable strategies exist but competition from larger players intensifies. The sweet spot? $10,000-$15,000 with realistic return expectations of 5-8% annually, not the 50-100% that marketing materials promise based on observed data.</w:t>
      </w:r>
    </w:p>
    <w:p w14:paraId="672D7FA3" w14:textId="77777777" w:rsidR="0090218E" w:rsidRPr="005F05C6" w:rsidRDefault="0090218E" w:rsidP="00B451D7">
      <w:pPr>
        <w:jc w:val="both"/>
        <w:rPr>
          <w:rFonts w:eastAsiaTheme="majorEastAsia"/>
          <w:bCs/>
          <w:color w:val="000000" w:themeColor="text1"/>
        </w:rPr>
      </w:pPr>
    </w:p>
    <w:p w14:paraId="50E8213D" w14:textId="71E1314E" w:rsidR="0090218E" w:rsidRPr="005F05C6" w:rsidRDefault="0090218E" w:rsidP="00B451D7">
      <w:pPr>
        <w:jc w:val="both"/>
        <w:rPr>
          <w:rFonts w:eastAsiaTheme="majorEastAsia"/>
          <w:bCs/>
          <w:color w:val="000000" w:themeColor="text1"/>
        </w:rPr>
      </w:pPr>
      <w:r w:rsidRPr="005F05C6">
        <w:rPr>
          <w:rFonts w:eastAsiaTheme="majorEastAsia"/>
          <w:bCs/>
          <w:color w:val="000000" w:themeColor="text1"/>
        </w:rPr>
        <w:t xml:space="preserve">No matter what strategy is used, the transaction costs are more important than returns when the amount is less than $5,000. Success is possible with $5,000 to $25,000, but technical knowledge </w:t>
      </w:r>
      <w:r w:rsidRPr="005F05C6">
        <w:rPr>
          <w:rFonts w:eastAsiaTheme="majorEastAsia"/>
          <w:bCs/>
          <w:color w:val="000000" w:themeColor="text1"/>
        </w:rPr>
        <w:lastRenderedPageBreak/>
        <w:t xml:space="preserve">or the right timing is required. Above the Ethereum </w:t>
      </w:r>
      <w:proofErr w:type="spellStart"/>
      <w:r w:rsidRPr="005F05C6">
        <w:rPr>
          <w:rFonts w:eastAsiaTheme="majorEastAsia"/>
          <w:bCs/>
          <w:color w:val="000000" w:themeColor="text1"/>
        </w:rPr>
        <w:t>mainnet</w:t>
      </w:r>
      <w:proofErr w:type="spellEnd"/>
      <w:r w:rsidRPr="005F05C6">
        <w:rPr>
          <w:rFonts w:eastAsiaTheme="majorEastAsia"/>
          <w:bCs/>
          <w:color w:val="000000" w:themeColor="text1"/>
        </w:rPr>
        <w:t xml:space="preserve"> threshold (see Chapter 5 for more information), there are several good strategies, but the competition from bigger players gets stronger. The best place to be for realistic return expectations of 5% to 8% per year is $10,000 to $15,000. Obtaining the 50% to 100% that marketing materials claim were not identified here.</w:t>
      </w:r>
    </w:p>
    <w:p w14:paraId="744FF4B4" w14:textId="77777777" w:rsidR="0090218E" w:rsidRPr="005F05C6" w:rsidRDefault="0090218E" w:rsidP="00B451D7">
      <w:pPr>
        <w:jc w:val="both"/>
        <w:rPr>
          <w:rFonts w:eastAsiaTheme="majorEastAsia"/>
          <w:bCs/>
          <w:color w:val="000000" w:themeColor="text1"/>
        </w:rPr>
      </w:pPr>
    </w:p>
    <w:p w14:paraId="3A6B8B89" w14:textId="77777777" w:rsidR="0090218E" w:rsidRPr="005F05C6" w:rsidRDefault="0090218E" w:rsidP="00B451D7">
      <w:pPr>
        <w:jc w:val="both"/>
        <w:rPr>
          <w:rFonts w:eastAsiaTheme="majorEastAsia"/>
          <w:bCs/>
          <w:color w:val="000000" w:themeColor="text1"/>
        </w:rPr>
      </w:pPr>
      <w:r w:rsidRPr="005F05C6">
        <w:rPr>
          <w:rFonts w:eastAsiaTheme="majorEastAsia"/>
          <w:b/>
          <w:bCs/>
          <w:color w:val="000000" w:themeColor="text1"/>
        </w:rPr>
        <w:t>Expertise requirements</w:t>
      </w:r>
      <w:r w:rsidRPr="005F05C6">
        <w:rPr>
          <w:rFonts w:eastAsiaTheme="majorEastAsia"/>
          <w:bCs/>
          <w:color w:val="000000" w:themeColor="text1"/>
        </w:rPr>
        <w:t xml:space="preserve"> are more nuanced than "technical" versus "non-technical." Successful participants had domain-specific knowledge that others couldn't easily replicate: a former market maker understood the entire order flow, while a software developer automated repetitive tasks. A financial analyst identified mispriced risks. Generic DeFi knowledge wasn't enough - an edge derived from previous experience is required (Dreyfus &amp; Dreyfus, 2005).</w:t>
      </w:r>
    </w:p>
    <w:p w14:paraId="4AD4E135" w14:textId="77777777" w:rsidR="0090218E" w:rsidRPr="005F05C6" w:rsidRDefault="0090218E" w:rsidP="00B451D7">
      <w:pPr>
        <w:jc w:val="both"/>
        <w:rPr>
          <w:rFonts w:eastAsiaTheme="majorEastAsia"/>
          <w:bCs/>
          <w:color w:val="000000" w:themeColor="text1"/>
        </w:rPr>
      </w:pPr>
    </w:p>
    <w:p w14:paraId="63D0914F" w14:textId="77777777" w:rsidR="0090218E" w:rsidRPr="005F05C6" w:rsidRDefault="0090218E" w:rsidP="00B451D7">
      <w:pPr>
        <w:jc w:val="both"/>
        <w:rPr>
          <w:rFonts w:eastAsiaTheme="majorEastAsia"/>
          <w:bCs/>
          <w:color w:val="000000" w:themeColor="text1"/>
        </w:rPr>
      </w:pPr>
      <w:r w:rsidRPr="005F05C6">
        <w:rPr>
          <w:rFonts w:eastAsiaTheme="majorEastAsia"/>
          <w:b/>
          <w:bCs/>
          <w:color w:val="000000" w:themeColor="text1"/>
        </w:rPr>
        <w:t>Market conditions</w:t>
      </w:r>
      <w:r w:rsidRPr="005F05C6">
        <w:rPr>
          <w:rFonts w:eastAsiaTheme="majorEastAsia"/>
          <w:bCs/>
          <w:color w:val="000000" w:themeColor="text1"/>
        </w:rPr>
        <w:t xml:space="preserve"> create windows of opportunity that open and close unpredictably. High volatility periods favor certain strategies but destroy others. Low volatility periods offer stable returns but minimal profits after costs. The successful participants weren't those who found the best strategy but those who recognized when conditions favored their </w:t>
      </w:r>
      <w:proofErr w:type="gramStart"/>
      <w:r w:rsidRPr="005F05C6">
        <w:rPr>
          <w:rFonts w:eastAsiaTheme="majorEastAsia"/>
          <w:bCs/>
          <w:color w:val="000000" w:themeColor="text1"/>
        </w:rPr>
        <w:t>particular capabilities</w:t>
      </w:r>
      <w:proofErr w:type="gramEnd"/>
      <w:r w:rsidRPr="005F05C6">
        <w:rPr>
          <w:rFonts w:eastAsiaTheme="majorEastAsia"/>
          <w:bCs/>
          <w:color w:val="000000" w:themeColor="text1"/>
        </w:rPr>
        <w:t xml:space="preserve"> and capital level.</w:t>
      </w:r>
    </w:p>
    <w:p w14:paraId="71B7EF8D" w14:textId="77777777" w:rsidR="00F94080" w:rsidRPr="003C66A0" w:rsidRDefault="00F94080" w:rsidP="00B451D7">
      <w:pPr>
        <w:jc w:val="both"/>
        <w:rPr>
          <w:rFonts w:eastAsiaTheme="majorEastAsia"/>
          <w:bCs/>
          <w:color w:val="000000" w:themeColor="text1"/>
        </w:rPr>
      </w:pPr>
    </w:p>
    <w:p w14:paraId="4704A93A" w14:textId="7D9ADB8D" w:rsidR="00174BE9" w:rsidRPr="003C66A0" w:rsidRDefault="008D6F57" w:rsidP="00B451D7">
      <w:pPr>
        <w:pStyle w:val="Heading2"/>
        <w:rPr>
          <w:rFonts w:eastAsiaTheme="majorEastAsia"/>
        </w:rPr>
      </w:pPr>
      <w:bookmarkStart w:id="88" w:name="_Toc214721894"/>
      <w:r w:rsidRPr="003C66A0">
        <w:rPr>
          <w:rFonts w:eastAsiaTheme="majorEastAsia"/>
        </w:rPr>
        <w:t>4</w:t>
      </w:r>
      <w:r w:rsidR="00174BE9" w:rsidRPr="003C66A0">
        <w:rPr>
          <w:rFonts w:eastAsiaTheme="majorEastAsia"/>
        </w:rPr>
        <w:t>.7 Ethical Considerations and Limitations</w:t>
      </w:r>
      <w:bookmarkEnd w:id="88"/>
    </w:p>
    <w:p w14:paraId="50D100F8" w14:textId="77777777" w:rsidR="00390892" w:rsidRPr="00BE4E25" w:rsidRDefault="00390892" w:rsidP="00B451D7">
      <w:pPr>
        <w:jc w:val="both"/>
        <w:rPr>
          <w:rFonts w:eastAsiaTheme="majorEastAsia"/>
          <w:bCs/>
          <w:color w:val="000000" w:themeColor="text1"/>
        </w:rPr>
      </w:pPr>
      <w:r w:rsidRPr="00BE4E25">
        <w:rPr>
          <w:rFonts w:eastAsiaTheme="majorEastAsia"/>
          <w:bCs/>
          <w:color w:val="000000" w:themeColor="text1"/>
        </w:rPr>
        <w:t xml:space="preserve">This study includes human subjects and financial information, which introduces ethical issues that exceed those of typical academic research. People who took part in the interviews talked about private financial matters, such as the size of their portfolios, losses that hurt their families, and tax situations they weren't sure were legal. Protecting this information required multiple safeguards, but </w:t>
      </w:r>
      <w:proofErr w:type="gramStart"/>
      <w:r w:rsidRPr="00BE4E25">
        <w:rPr>
          <w:rFonts w:eastAsiaTheme="majorEastAsia"/>
          <w:bCs/>
          <w:color w:val="000000" w:themeColor="text1"/>
        </w:rPr>
        <w:t>also,</w:t>
      </w:r>
      <w:proofErr w:type="gramEnd"/>
      <w:r w:rsidRPr="00BE4E25">
        <w:rPr>
          <w:rFonts w:eastAsiaTheme="majorEastAsia"/>
          <w:bCs/>
          <w:color w:val="000000" w:themeColor="text1"/>
        </w:rPr>
        <w:t xml:space="preserve"> created analytical limitations. Full transparency would violate privacy; full privacy limits reproducibility (Christians, 2011).</w:t>
      </w:r>
    </w:p>
    <w:p w14:paraId="7D1F07E7" w14:textId="77777777" w:rsidR="00390892" w:rsidRPr="00BE4E25" w:rsidRDefault="00390892" w:rsidP="00B451D7">
      <w:pPr>
        <w:jc w:val="both"/>
        <w:rPr>
          <w:rFonts w:eastAsiaTheme="majorEastAsia"/>
          <w:bCs/>
          <w:color w:val="000000" w:themeColor="text1"/>
        </w:rPr>
      </w:pPr>
    </w:p>
    <w:p w14:paraId="2A7F12A5" w14:textId="77777777" w:rsidR="00390892" w:rsidRPr="00BE4E25" w:rsidRDefault="00390892" w:rsidP="00B451D7">
      <w:pPr>
        <w:jc w:val="both"/>
        <w:rPr>
          <w:rFonts w:eastAsiaTheme="majorEastAsia"/>
          <w:bCs/>
          <w:color w:val="000000" w:themeColor="text1"/>
        </w:rPr>
      </w:pPr>
      <w:r w:rsidRPr="00BE4E25">
        <w:rPr>
          <w:rFonts w:eastAsiaTheme="majorEastAsia"/>
          <w:bCs/>
          <w:color w:val="000000" w:themeColor="text1"/>
        </w:rPr>
        <w:t>The research examines income-generating strategies that readers might implement with real money. This means it is important to identify risks as clearly as opportunities. We should avoid exaggerating returns and remember that past performance doesn't guarantee future results. But there's tension here. Academic analysis requires making claims based on evidence. Practical guidance requires acknowledging uncertainty. The balance is uncomfortable but necessary (Israel &amp; Hay, 2006).</w:t>
      </w:r>
    </w:p>
    <w:p w14:paraId="67FB02CE" w14:textId="77777777" w:rsidR="00390892" w:rsidRPr="00BE4E25" w:rsidRDefault="00390892" w:rsidP="00B451D7">
      <w:pPr>
        <w:jc w:val="both"/>
        <w:rPr>
          <w:rFonts w:eastAsiaTheme="majorEastAsia"/>
          <w:bCs/>
          <w:color w:val="000000" w:themeColor="text1"/>
        </w:rPr>
      </w:pPr>
    </w:p>
    <w:p w14:paraId="23A781E3" w14:textId="77777777" w:rsidR="00390892" w:rsidRPr="00BE4E25" w:rsidRDefault="00390892" w:rsidP="00B451D7">
      <w:pPr>
        <w:jc w:val="both"/>
        <w:rPr>
          <w:rFonts w:eastAsiaTheme="majorEastAsia"/>
          <w:bCs/>
          <w:color w:val="000000" w:themeColor="text1"/>
        </w:rPr>
      </w:pPr>
      <w:r w:rsidRPr="00BE4E25">
        <w:rPr>
          <w:rFonts w:eastAsiaTheme="majorEastAsia"/>
          <w:bCs/>
          <w:color w:val="000000" w:themeColor="text1"/>
        </w:rPr>
        <w:t>Several limitations affect finding generalizability. The 2020-2024 period may not represent normal market conditions, assuming that "normal" even exists in crypto. Strategies that are viable during this period may fail in different circumstances. Survival bias affects the sample despite attempts to include failed positions. Complete failures often leave no trace - people do not tweet about losing their savings or may not admit it in the interview. Self-selection bias means interview participants willing to discuss strategies might differ systematically from the broader population. Technical evolution continues rapidly; methods viable during data collection might be obsolete by publication (Flick, 2018).</w:t>
      </w:r>
    </w:p>
    <w:p w14:paraId="6C2EAE44" w14:textId="77777777" w:rsidR="00390892" w:rsidRPr="00BE4E25" w:rsidRDefault="00390892" w:rsidP="00B451D7">
      <w:pPr>
        <w:jc w:val="both"/>
        <w:rPr>
          <w:rFonts w:eastAsiaTheme="majorEastAsia"/>
          <w:bCs/>
          <w:color w:val="000000" w:themeColor="text1"/>
        </w:rPr>
      </w:pPr>
    </w:p>
    <w:p w14:paraId="55E04782" w14:textId="77777777" w:rsidR="00390892" w:rsidRPr="00BE4E25" w:rsidRDefault="00390892" w:rsidP="00B451D7">
      <w:pPr>
        <w:jc w:val="both"/>
        <w:rPr>
          <w:rFonts w:eastAsiaTheme="majorEastAsia"/>
          <w:bCs/>
          <w:color w:val="000000" w:themeColor="text1"/>
        </w:rPr>
      </w:pPr>
      <w:r w:rsidRPr="00BE4E25">
        <w:rPr>
          <w:rFonts w:eastAsiaTheme="majorEastAsia"/>
          <w:bCs/>
          <w:color w:val="000000" w:themeColor="text1"/>
        </w:rPr>
        <w:t>These limitations do not invalidate findings but rather contextualize them. The goal is not a universal truth but conditional understanding of what works, for whom and under what circumstances. The framework itself does not promise success and investment growth but maps out the areas and conditions where it becomes possible. Whether it is worthwhile to act upon this heavily depends on a combination of capital, expertise, and tolerance for watching numbers go down.</w:t>
      </w:r>
    </w:p>
    <w:p w14:paraId="16F5DBA3" w14:textId="77777777" w:rsidR="00390892" w:rsidRPr="003C66A0" w:rsidRDefault="00390892" w:rsidP="00B451D7">
      <w:pPr>
        <w:jc w:val="both"/>
        <w:rPr>
          <w:rFonts w:eastAsiaTheme="majorEastAsia"/>
          <w:b/>
          <w:bCs/>
          <w:color w:val="000000" w:themeColor="text1"/>
        </w:rPr>
      </w:pPr>
    </w:p>
    <w:p w14:paraId="65330418" w14:textId="39E8118B" w:rsidR="0070742C" w:rsidRPr="003C66A0" w:rsidRDefault="008D6F57" w:rsidP="00B451D7">
      <w:pPr>
        <w:pStyle w:val="Heading2"/>
        <w:rPr>
          <w:rFonts w:eastAsiaTheme="majorEastAsia"/>
        </w:rPr>
      </w:pPr>
      <w:bookmarkStart w:id="89" w:name="_Toc214721895"/>
      <w:r w:rsidRPr="003C66A0">
        <w:rPr>
          <w:rFonts w:eastAsiaTheme="majorEastAsia"/>
        </w:rPr>
        <w:lastRenderedPageBreak/>
        <w:t>4</w:t>
      </w:r>
      <w:r w:rsidR="0070742C" w:rsidRPr="003C66A0">
        <w:rPr>
          <w:rFonts w:eastAsiaTheme="majorEastAsia"/>
        </w:rPr>
        <w:t>.</w:t>
      </w:r>
      <w:r w:rsidR="00176586" w:rsidRPr="003C66A0">
        <w:rPr>
          <w:rFonts w:eastAsiaTheme="majorEastAsia"/>
        </w:rPr>
        <w:t>8</w:t>
      </w:r>
      <w:r w:rsidR="0070742C" w:rsidRPr="003C66A0">
        <w:rPr>
          <w:rFonts w:eastAsiaTheme="majorEastAsia"/>
        </w:rPr>
        <w:t xml:space="preserve"> Study Limitations</w:t>
      </w:r>
      <w:bookmarkEnd w:id="89"/>
    </w:p>
    <w:p w14:paraId="5D5820C1" w14:textId="7A65A25D" w:rsidR="00F62B1A" w:rsidRDefault="00F62B1A" w:rsidP="00B451D7">
      <w:pPr>
        <w:pStyle w:val="ListParagraph"/>
        <w:ind w:left="0"/>
        <w:jc w:val="both"/>
        <w:rPr>
          <w:color w:val="000000" w:themeColor="text1"/>
        </w:rPr>
      </w:pPr>
      <w:r w:rsidRPr="007553CF">
        <w:rPr>
          <w:color w:val="000000" w:themeColor="text1"/>
        </w:rPr>
        <w:t xml:space="preserve">This research design carries inherent limitations that readers should consider when interpreting findings. </w:t>
      </w:r>
      <w:r w:rsidR="00354301" w:rsidRPr="007553CF">
        <w:rPr>
          <w:color w:val="000000" w:themeColor="text1"/>
        </w:rPr>
        <w:t>T</w:t>
      </w:r>
      <w:r w:rsidRPr="007553CF">
        <w:rPr>
          <w:color w:val="000000" w:themeColor="text1"/>
        </w:rPr>
        <w:t xml:space="preserve">hey </w:t>
      </w:r>
      <w:r w:rsidR="00354301" w:rsidRPr="007553CF">
        <w:rPr>
          <w:color w:val="000000" w:themeColor="text1"/>
        </w:rPr>
        <w:t>should</w:t>
      </w:r>
      <w:r w:rsidRPr="007553CF">
        <w:rPr>
          <w:color w:val="000000" w:themeColor="text1"/>
        </w:rPr>
        <w:t xml:space="preserve"> however </w:t>
      </w:r>
      <w:proofErr w:type="gramStart"/>
      <w:r w:rsidRPr="007553CF">
        <w:rPr>
          <w:color w:val="000000" w:themeColor="text1"/>
        </w:rPr>
        <w:t>be not</w:t>
      </w:r>
      <w:proofErr w:type="gramEnd"/>
      <w:r w:rsidRPr="007553CF">
        <w:rPr>
          <w:color w:val="000000" w:themeColor="text1"/>
        </w:rPr>
        <w:t xml:space="preserve"> viewed as flaws, but as boundaries that define what claims the data can and cannot support.</w:t>
      </w:r>
    </w:p>
    <w:p w14:paraId="77CC7396" w14:textId="77777777" w:rsidR="008D4DD5" w:rsidRPr="007553CF" w:rsidRDefault="008D4DD5" w:rsidP="00B451D7">
      <w:pPr>
        <w:pStyle w:val="ListParagraph"/>
        <w:ind w:left="0"/>
        <w:jc w:val="both"/>
        <w:rPr>
          <w:color w:val="000000" w:themeColor="text1"/>
        </w:rPr>
      </w:pPr>
    </w:p>
    <w:p w14:paraId="2E668DAA" w14:textId="1E5D277B" w:rsidR="00304D64" w:rsidRDefault="00304D64" w:rsidP="00B451D7">
      <w:pPr>
        <w:jc w:val="both"/>
        <w:rPr>
          <w:color w:val="000000" w:themeColor="text1"/>
        </w:rPr>
      </w:pPr>
      <w:r w:rsidRPr="007553CF">
        <w:rPr>
          <w:color w:val="000000" w:themeColor="text1"/>
        </w:rPr>
        <w:t xml:space="preserve">Although the purposive sampling approach is methodologically suitable for investigating emergent phenomena in DeFi, it </w:t>
      </w:r>
      <w:r w:rsidR="00676719" w:rsidRPr="007553CF">
        <w:rPr>
          <w:color w:val="000000" w:themeColor="text1"/>
        </w:rPr>
        <w:t>also provides</w:t>
      </w:r>
      <w:r w:rsidRPr="007553CF">
        <w:rPr>
          <w:color w:val="000000" w:themeColor="text1"/>
        </w:rPr>
        <w:t xml:space="preserve"> limitations on the generalizability of results outside of the sample. The 156 monitored positions are not a representative sample of all DeFi participants</w:t>
      </w:r>
      <w:r w:rsidR="00676719" w:rsidRPr="007553CF">
        <w:rPr>
          <w:color w:val="000000" w:themeColor="text1"/>
        </w:rPr>
        <w:t>. T</w:t>
      </w:r>
      <w:r w:rsidRPr="007553CF">
        <w:rPr>
          <w:color w:val="000000" w:themeColor="text1"/>
        </w:rPr>
        <w:t>he lack of a sampling frame and pseudonymous participation make it impossible to create such a sample. Instead, the findings show tendencies in a certain group</w:t>
      </w:r>
      <w:r w:rsidR="00676719" w:rsidRPr="007553CF">
        <w:rPr>
          <w:color w:val="000000" w:themeColor="text1"/>
        </w:rPr>
        <w:t xml:space="preserve"> which are the </w:t>
      </w:r>
      <w:r w:rsidRPr="007553CF">
        <w:rPr>
          <w:color w:val="000000" w:themeColor="text1"/>
        </w:rPr>
        <w:t>early adopters from 2020 to 2024</w:t>
      </w:r>
      <w:r w:rsidR="00676719" w:rsidRPr="007553CF">
        <w:rPr>
          <w:color w:val="000000" w:themeColor="text1"/>
        </w:rPr>
        <w:t>,</w:t>
      </w:r>
      <w:r w:rsidRPr="007553CF">
        <w:rPr>
          <w:color w:val="000000" w:themeColor="text1"/>
        </w:rPr>
        <w:t xml:space="preserve"> who kept their positions for more than 90 days and made activity on the blockchain that could be seen. This group </w:t>
      </w:r>
      <w:r w:rsidR="00676719" w:rsidRPr="007553CF">
        <w:rPr>
          <w:color w:val="000000" w:themeColor="text1"/>
        </w:rPr>
        <w:t>most likely is different</w:t>
      </w:r>
      <w:r w:rsidRPr="007553CF">
        <w:rPr>
          <w:color w:val="000000" w:themeColor="text1"/>
        </w:rPr>
        <w:t xml:space="preserve"> from the general population in </w:t>
      </w:r>
      <w:r w:rsidR="00676719" w:rsidRPr="007553CF">
        <w:rPr>
          <w:color w:val="000000" w:themeColor="text1"/>
        </w:rPr>
        <w:t>several</w:t>
      </w:r>
      <w:r w:rsidRPr="007553CF">
        <w:rPr>
          <w:color w:val="000000" w:themeColor="text1"/>
        </w:rPr>
        <w:t xml:space="preserve"> ways that are related to outcomes.</w:t>
      </w:r>
    </w:p>
    <w:p w14:paraId="29D59C09" w14:textId="77777777" w:rsidR="008D4DD5" w:rsidRPr="007553CF" w:rsidRDefault="008D4DD5" w:rsidP="00B451D7">
      <w:pPr>
        <w:jc w:val="both"/>
        <w:rPr>
          <w:color w:val="000000" w:themeColor="text1"/>
        </w:rPr>
      </w:pPr>
    </w:p>
    <w:p w14:paraId="58E3F172" w14:textId="42770B12" w:rsidR="00A97232" w:rsidRDefault="00A97232" w:rsidP="00B451D7">
      <w:pPr>
        <w:jc w:val="both"/>
        <w:rPr>
          <w:color w:val="000000" w:themeColor="text1"/>
        </w:rPr>
      </w:pPr>
      <w:r w:rsidRPr="007553CF">
        <w:rPr>
          <w:color w:val="000000" w:themeColor="text1"/>
        </w:rPr>
        <w:t xml:space="preserve">The sample shows </w:t>
      </w:r>
      <w:r w:rsidR="001C362C" w:rsidRPr="007553CF">
        <w:rPr>
          <w:color w:val="000000" w:themeColor="text1"/>
        </w:rPr>
        <w:t xml:space="preserve">a </w:t>
      </w:r>
      <w:r w:rsidRPr="007553CF">
        <w:rPr>
          <w:color w:val="000000" w:themeColor="text1"/>
        </w:rPr>
        <w:t xml:space="preserve">positive selection bias in </w:t>
      </w:r>
      <w:r w:rsidR="001C362C" w:rsidRPr="007553CF">
        <w:rPr>
          <w:color w:val="000000" w:themeColor="text1"/>
        </w:rPr>
        <w:t>several ways</w:t>
      </w:r>
      <w:r w:rsidRPr="007553CF">
        <w:rPr>
          <w:color w:val="000000" w:themeColor="text1"/>
        </w:rPr>
        <w:t>. Participants who held positions for over 90 days</w:t>
      </w:r>
      <w:r w:rsidR="001C362C" w:rsidRPr="007553CF">
        <w:rPr>
          <w:color w:val="000000" w:themeColor="text1"/>
        </w:rPr>
        <w:t xml:space="preserve"> experienced</w:t>
      </w:r>
      <w:r w:rsidRPr="007553CF">
        <w:rPr>
          <w:color w:val="000000" w:themeColor="text1"/>
        </w:rPr>
        <w:t xml:space="preserve"> initial losses that could have prompted others to </w:t>
      </w:r>
      <w:r w:rsidR="001C362C" w:rsidRPr="007553CF">
        <w:rPr>
          <w:color w:val="000000" w:themeColor="text1"/>
        </w:rPr>
        <w:t>sell positions and stop all participation or re-invest</w:t>
      </w:r>
      <w:r w:rsidRPr="007553CF">
        <w:rPr>
          <w:color w:val="000000" w:themeColor="text1"/>
        </w:rPr>
        <w:t xml:space="preserve">. People </w:t>
      </w:r>
      <w:r w:rsidR="001C362C" w:rsidRPr="007553CF">
        <w:rPr>
          <w:color w:val="000000" w:themeColor="text1"/>
        </w:rPr>
        <w:t>that</w:t>
      </w:r>
      <w:r w:rsidRPr="007553CF">
        <w:rPr>
          <w:color w:val="000000" w:themeColor="text1"/>
        </w:rPr>
        <w:t xml:space="preserve"> volunteered to talk about their experiences in </w:t>
      </w:r>
      <w:r w:rsidR="001C362C" w:rsidRPr="007553CF">
        <w:rPr>
          <w:color w:val="000000" w:themeColor="text1"/>
        </w:rPr>
        <w:t xml:space="preserve">the </w:t>
      </w:r>
      <w:r w:rsidRPr="007553CF">
        <w:rPr>
          <w:color w:val="000000" w:themeColor="text1"/>
        </w:rPr>
        <w:t xml:space="preserve">interview may be more thoughtful, articulate, and willing to admit when they were wrong than the </w:t>
      </w:r>
      <w:proofErr w:type="gramStart"/>
      <w:r w:rsidRPr="007553CF">
        <w:rPr>
          <w:color w:val="000000" w:themeColor="text1"/>
        </w:rPr>
        <w:t>general public</w:t>
      </w:r>
      <w:proofErr w:type="gramEnd"/>
      <w:r w:rsidR="001C362C" w:rsidRPr="007553CF">
        <w:rPr>
          <w:color w:val="000000" w:themeColor="text1"/>
        </w:rPr>
        <w:t xml:space="preserve"> or the ones that were asked for an interview and declined</w:t>
      </w:r>
      <w:r w:rsidRPr="007553CF">
        <w:rPr>
          <w:color w:val="000000" w:themeColor="text1"/>
        </w:rPr>
        <w:t xml:space="preserve">. </w:t>
      </w:r>
      <w:r w:rsidR="001C362C" w:rsidRPr="007553CF">
        <w:rPr>
          <w:color w:val="000000" w:themeColor="text1"/>
        </w:rPr>
        <w:t>Also, t</w:t>
      </w:r>
      <w:r w:rsidRPr="007553CF">
        <w:rPr>
          <w:color w:val="000000" w:themeColor="text1"/>
        </w:rPr>
        <w:t xml:space="preserve">he selective sampling of maximal diversity across capital levels, methods, and networks indicates that the sample disproportionately </w:t>
      </w:r>
      <w:r w:rsidR="00DC246B" w:rsidRPr="007553CF">
        <w:rPr>
          <w:color w:val="000000" w:themeColor="text1"/>
        </w:rPr>
        <w:t xml:space="preserve">has </w:t>
      </w:r>
      <w:r w:rsidRPr="007553CF">
        <w:rPr>
          <w:color w:val="000000" w:themeColor="text1"/>
        </w:rPr>
        <w:t>advanced participants investigating</w:t>
      </w:r>
      <w:r w:rsidR="00DC246B" w:rsidRPr="007553CF">
        <w:rPr>
          <w:color w:val="000000" w:themeColor="text1"/>
        </w:rPr>
        <w:t xml:space="preserve"> in</w:t>
      </w:r>
      <w:r w:rsidRPr="007553CF">
        <w:rPr>
          <w:color w:val="000000" w:themeColor="text1"/>
        </w:rPr>
        <w:t xml:space="preserve"> various methodologies rather than novices employing straightforward </w:t>
      </w:r>
      <w:r w:rsidR="00DC246B" w:rsidRPr="007553CF">
        <w:rPr>
          <w:color w:val="000000" w:themeColor="text1"/>
        </w:rPr>
        <w:t xml:space="preserve">and simple </w:t>
      </w:r>
      <w:r w:rsidRPr="007553CF">
        <w:rPr>
          <w:color w:val="000000" w:themeColor="text1"/>
        </w:rPr>
        <w:t xml:space="preserve">strategies. Each </w:t>
      </w:r>
      <w:r w:rsidR="00DC246B" w:rsidRPr="007553CF">
        <w:rPr>
          <w:color w:val="000000" w:themeColor="text1"/>
        </w:rPr>
        <w:t xml:space="preserve">one </w:t>
      </w:r>
      <w:proofErr w:type="spellStart"/>
      <w:r w:rsidR="00DC246B" w:rsidRPr="007553CF">
        <w:rPr>
          <w:color w:val="000000" w:themeColor="text1"/>
        </w:rPr>
        <w:t>n</w:t>
      </w:r>
      <w:r w:rsidRPr="007553CF">
        <w:rPr>
          <w:color w:val="000000" w:themeColor="text1"/>
        </w:rPr>
        <w:t>of</w:t>
      </w:r>
      <w:proofErr w:type="spellEnd"/>
      <w:r w:rsidRPr="007553CF">
        <w:rPr>
          <w:color w:val="000000" w:themeColor="text1"/>
        </w:rPr>
        <w:t xml:space="preserve"> these biases </w:t>
      </w:r>
      <w:r w:rsidR="00DC246B" w:rsidRPr="007553CF">
        <w:rPr>
          <w:color w:val="000000" w:themeColor="text1"/>
        </w:rPr>
        <w:t>shows</w:t>
      </w:r>
      <w:r w:rsidRPr="007553CF">
        <w:rPr>
          <w:color w:val="000000" w:themeColor="text1"/>
        </w:rPr>
        <w:t xml:space="preserve"> that the recorded 73% failure rate (95% CI: 65%-80%; adjusted for survivorship bias: likely 73-90%) may underrepresent the actual failure rates</w:t>
      </w:r>
      <w:r w:rsidR="00DC246B" w:rsidRPr="007553CF">
        <w:rPr>
          <w:color w:val="000000" w:themeColor="text1"/>
        </w:rPr>
        <w:t>.</w:t>
      </w:r>
    </w:p>
    <w:p w14:paraId="655D6B29" w14:textId="77777777" w:rsidR="008D4DD5" w:rsidRPr="007553CF" w:rsidRDefault="008D4DD5" w:rsidP="00B451D7">
      <w:pPr>
        <w:jc w:val="both"/>
        <w:rPr>
          <w:color w:val="000000" w:themeColor="text1"/>
        </w:rPr>
      </w:pPr>
    </w:p>
    <w:p w14:paraId="47D57080" w14:textId="6AD21A49" w:rsidR="00A97232" w:rsidRPr="007553CF" w:rsidRDefault="00A97232" w:rsidP="00B451D7">
      <w:pPr>
        <w:jc w:val="both"/>
        <w:rPr>
          <w:color w:val="0070C0"/>
        </w:rPr>
      </w:pPr>
      <w:r w:rsidRPr="007553CF">
        <w:rPr>
          <w:color w:val="000000" w:themeColor="text1"/>
        </w:rPr>
        <w:t xml:space="preserve">The sample </w:t>
      </w:r>
      <w:r w:rsidR="00667DA0" w:rsidRPr="007553CF">
        <w:rPr>
          <w:color w:val="000000" w:themeColor="text1"/>
        </w:rPr>
        <w:t xml:space="preserve">used </w:t>
      </w:r>
      <w:proofErr w:type="gramStart"/>
      <w:r w:rsidR="00667DA0" w:rsidRPr="007553CF">
        <w:rPr>
          <w:color w:val="000000" w:themeColor="text1"/>
        </w:rPr>
        <w:t>is not able to</w:t>
      </w:r>
      <w:proofErr w:type="gramEnd"/>
      <w:r w:rsidR="00667DA0" w:rsidRPr="007553CF">
        <w:rPr>
          <w:color w:val="000000" w:themeColor="text1"/>
        </w:rPr>
        <w:t xml:space="preserve"> show the number of </w:t>
      </w:r>
      <w:r w:rsidRPr="007553CF">
        <w:rPr>
          <w:color w:val="000000" w:themeColor="text1"/>
        </w:rPr>
        <w:t xml:space="preserve">total failures, including positions </w:t>
      </w:r>
      <w:r w:rsidR="00667DA0" w:rsidRPr="007553CF">
        <w:rPr>
          <w:color w:val="000000" w:themeColor="text1"/>
        </w:rPr>
        <w:t xml:space="preserve">that were </w:t>
      </w:r>
      <w:r w:rsidRPr="007553CF">
        <w:rPr>
          <w:color w:val="000000" w:themeColor="text1"/>
        </w:rPr>
        <w:t xml:space="preserve">abandoned without withdrawal, wallets forgotten while funds remain allocated, and participants </w:t>
      </w:r>
      <w:r w:rsidR="00667DA0" w:rsidRPr="007553CF">
        <w:rPr>
          <w:color w:val="000000" w:themeColor="text1"/>
        </w:rPr>
        <w:t>that panicked</w:t>
      </w:r>
      <w:r w:rsidRPr="007553CF">
        <w:rPr>
          <w:color w:val="000000" w:themeColor="text1"/>
        </w:rPr>
        <w:t xml:space="preserve"> </w:t>
      </w:r>
      <w:r w:rsidR="00667DA0" w:rsidRPr="007553CF">
        <w:rPr>
          <w:color w:val="000000" w:themeColor="text1"/>
        </w:rPr>
        <w:t>after</w:t>
      </w:r>
      <w:r w:rsidRPr="007553CF">
        <w:rPr>
          <w:color w:val="000000" w:themeColor="text1"/>
        </w:rPr>
        <w:t xml:space="preserve"> significant losses </w:t>
      </w:r>
      <w:r w:rsidR="00667DA0" w:rsidRPr="007553CF">
        <w:rPr>
          <w:color w:val="000000" w:themeColor="text1"/>
        </w:rPr>
        <w:t>and did not</w:t>
      </w:r>
      <w:r w:rsidRPr="007553CF">
        <w:rPr>
          <w:color w:val="000000" w:themeColor="text1"/>
        </w:rPr>
        <w:t xml:space="preserve"> record their exits. </w:t>
      </w:r>
      <w:proofErr w:type="spellStart"/>
      <w:r w:rsidRPr="007553CF">
        <w:rPr>
          <w:color w:val="000000" w:themeColor="text1"/>
        </w:rPr>
        <w:t>Chainalysis</w:t>
      </w:r>
      <w:proofErr w:type="spellEnd"/>
      <w:r w:rsidRPr="007553CF">
        <w:rPr>
          <w:color w:val="000000" w:themeColor="text1"/>
        </w:rPr>
        <w:t xml:space="preserve"> (2024) says that $1.2 billion in "lost" DeFi holdings </w:t>
      </w:r>
      <w:r w:rsidR="004F0F1C" w:rsidRPr="007553CF">
        <w:rPr>
          <w:color w:val="000000" w:themeColor="text1"/>
        </w:rPr>
        <w:t xml:space="preserve">is </w:t>
      </w:r>
      <w:r w:rsidRPr="007553CF">
        <w:rPr>
          <w:color w:val="000000" w:themeColor="text1"/>
        </w:rPr>
        <w:t>capital that was never used</w:t>
      </w:r>
      <w:r w:rsidR="004F0F1C" w:rsidRPr="007553CF">
        <w:rPr>
          <w:color w:val="000000" w:themeColor="text1"/>
        </w:rPr>
        <w:t>. These are also positions that</w:t>
      </w:r>
      <w:r w:rsidRPr="007553CF">
        <w:rPr>
          <w:color w:val="000000" w:themeColor="text1"/>
        </w:rPr>
        <w:t xml:space="preserve"> never show up in </w:t>
      </w:r>
      <w:r w:rsidR="004F0F1C" w:rsidRPr="007553CF">
        <w:rPr>
          <w:color w:val="000000" w:themeColor="text1"/>
        </w:rPr>
        <w:t>this research</w:t>
      </w:r>
      <w:r w:rsidR="002A2DBA" w:rsidRPr="007553CF">
        <w:rPr>
          <w:color w:val="000000" w:themeColor="text1"/>
        </w:rPr>
        <w:t xml:space="preserve"> and if they </w:t>
      </w:r>
      <w:r w:rsidRPr="007553CF">
        <w:rPr>
          <w:color w:val="000000" w:themeColor="text1"/>
        </w:rPr>
        <w:t>are full failures</w:t>
      </w:r>
      <w:r w:rsidR="002A2DBA" w:rsidRPr="007553CF">
        <w:rPr>
          <w:color w:val="000000" w:themeColor="text1"/>
        </w:rPr>
        <w:t xml:space="preserve">, </w:t>
      </w:r>
      <w:r w:rsidRPr="007553CF">
        <w:rPr>
          <w:color w:val="000000" w:themeColor="text1"/>
        </w:rPr>
        <w:t xml:space="preserve">the actual failure rate could be closer to 85–90% instead of the 73%. </w:t>
      </w:r>
    </w:p>
    <w:p w14:paraId="42C4212C" w14:textId="77777777" w:rsidR="00A97232" w:rsidRPr="007553CF" w:rsidRDefault="00A97232" w:rsidP="00B451D7">
      <w:pPr>
        <w:rPr>
          <w:color w:val="EE0000"/>
        </w:rPr>
      </w:pPr>
    </w:p>
    <w:p w14:paraId="4AE9E12D" w14:textId="54DAF6DC" w:rsidR="00A97232" w:rsidRDefault="00A97232" w:rsidP="00B451D7">
      <w:pPr>
        <w:jc w:val="both"/>
        <w:rPr>
          <w:color w:val="000000" w:themeColor="text1"/>
        </w:rPr>
      </w:pPr>
      <w:r w:rsidRPr="007553CF">
        <w:rPr>
          <w:color w:val="000000" w:themeColor="text1"/>
        </w:rPr>
        <w:t xml:space="preserve">The time frame (2020–2024) adds both benefits and </w:t>
      </w:r>
      <w:r w:rsidR="000A68AB" w:rsidRPr="007553CF">
        <w:rPr>
          <w:color w:val="000000" w:themeColor="text1"/>
        </w:rPr>
        <w:t>negatives</w:t>
      </w:r>
      <w:r w:rsidRPr="007553CF">
        <w:rPr>
          <w:color w:val="000000" w:themeColor="text1"/>
        </w:rPr>
        <w:t xml:space="preserve"> to the ability to generalize</w:t>
      </w:r>
      <w:r w:rsidR="000A68AB" w:rsidRPr="007553CF">
        <w:rPr>
          <w:color w:val="000000" w:themeColor="text1"/>
        </w:rPr>
        <w:t xml:space="preserve"> the finding</w:t>
      </w:r>
      <w:r w:rsidRPr="007553CF">
        <w:rPr>
          <w:color w:val="000000" w:themeColor="text1"/>
        </w:rPr>
        <w:t xml:space="preserve">. </w:t>
      </w:r>
      <w:r w:rsidR="000A68AB" w:rsidRPr="007553CF">
        <w:rPr>
          <w:color w:val="000000" w:themeColor="text1"/>
        </w:rPr>
        <w:t>One of the benefits was</w:t>
      </w:r>
      <w:r w:rsidRPr="007553CF">
        <w:rPr>
          <w:color w:val="000000" w:themeColor="text1"/>
        </w:rPr>
        <w:t xml:space="preserve"> keeping track of DeFi's growth from $1 billion to $100 billion in total value held</w:t>
      </w:r>
      <w:r w:rsidR="000A68AB" w:rsidRPr="007553CF">
        <w:rPr>
          <w:color w:val="000000" w:themeColor="text1"/>
        </w:rPr>
        <w:t xml:space="preserve"> in just a couple years and r</w:t>
      </w:r>
      <w:r w:rsidRPr="007553CF">
        <w:rPr>
          <w:color w:val="000000" w:themeColor="text1"/>
        </w:rPr>
        <w:t xml:space="preserve">ecording </w:t>
      </w:r>
      <w:r w:rsidR="000A68AB" w:rsidRPr="007553CF">
        <w:rPr>
          <w:color w:val="000000" w:themeColor="text1"/>
        </w:rPr>
        <w:t xml:space="preserve">the </w:t>
      </w:r>
      <w:r w:rsidRPr="007553CF">
        <w:rPr>
          <w:color w:val="000000" w:themeColor="text1"/>
        </w:rPr>
        <w:t>behavior during both bull markets (2020–2021) and bear markets (2022)</w:t>
      </w:r>
      <w:r w:rsidR="000A68AB" w:rsidRPr="007553CF">
        <w:rPr>
          <w:color w:val="000000" w:themeColor="text1"/>
        </w:rPr>
        <w:t>. S</w:t>
      </w:r>
      <w:r w:rsidRPr="007553CF">
        <w:rPr>
          <w:color w:val="000000" w:themeColor="text1"/>
        </w:rPr>
        <w:t>eeing how regulations changed as they happened</w:t>
      </w:r>
      <w:r w:rsidR="000A68AB" w:rsidRPr="007553CF">
        <w:rPr>
          <w:color w:val="000000" w:themeColor="text1"/>
        </w:rPr>
        <w:t xml:space="preserve"> also contributed to the overall experience – in some cases it was positive and in others negative (depending on country, tax and accessibility)</w:t>
      </w:r>
      <w:r w:rsidRPr="007553CF">
        <w:rPr>
          <w:color w:val="000000" w:themeColor="text1"/>
        </w:rPr>
        <w:t xml:space="preserve">. But the unusual events of this time—pandemic fiscal stimulus, interest rates close to zero followed by fast tightening, crypto market euphoria and crash, and </w:t>
      </w:r>
      <w:r w:rsidR="000A68AB" w:rsidRPr="007553CF">
        <w:rPr>
          <w:color w:val="000000" w:themeColor="text1"/>
        </w:rPr>
        <w:t xml:space="preserve">the </w:t>
      </w:r>
      <w:r w:rsidRPr="007553CF">
        <w:rPr>
          <w:color w:val="000000" w:themeColor="text1"/>
        </w:rPr>
        <w:t>early regulatory uncertainty</w:t>
      </w:r>
      <w:r w:rsidR="000A68AB" w:rsidRPr="007553CF">
        <w:rPr>
          <w:color w:val="000000" w:themeColor="text1"/>
        </w:rPr>
        <w:t>, most likely will not</w:t>
      </w:r>
      <w:r w:rsidRPr="007553CF">
        <w:rPr>
          <w:color w:val="000000" w:themeColor="text1"/>
        </w:rPr>
        <w:t xml:space="preserve"> happen again </w:t>
      </w:r>
      <w:r w:rsidR="000A68AB" w:rsidRPr="007553CF">
        <w:rPr>
          <w:color w:val="000000" w:themeColor="text1"/>
        </w:rPr>
        <w:t>any time soon or on the same scale</w:t>
      </w:r>
      <w:r w:rsidRPr="007553CF">
        <w:rPr>
          <w:color w:val="000000" w:themeColor="text1"/>
        </w:rPr>
        <w:t>. Strategies that worked well in the unique conditions of 2020–2021</w:t>
      </w:r>
      <w:r w:rsidR="000A68AB" w:rsidRPr="007553CF">
        <w:rPr>
          <w:color w:val="000000" w:themeColor="text1"/>
        </w:rPr>
        <w:t xml:space="preserve"> </w:t>
      </w:r>
      <w:r w:rsidRPr="007553CF">
        <w:rPr>
          <w:color w:val="000000" w:themeColor="text1"/>
        </w:rPr>
        <w:t>might not work as well when monetary policy is back to normal</w:t>
      </w:r>
      <w:r w:rsidR="000A68AB" w:rsidRPr="007553CF">
        <w:rPr>
          <w:color w:val="000000" w:themeColor="text1"/>
        </w:rPr>
        <w:t>. The same with</w:t>
      </w:r>
      <w:r w:rsidRPr="007553CF">
        <w:rPr>
          <w:color w:val="000000" w:themeColor="text1"/>
        </w:rPr>
        <w:t xml:space="preserve"> threats that came up during times of stress in 2022 might happen less often when things are </w:t>
      </w:r>
      <w:r w:rsidR="000A68AB" w:rsidRPr="007553CF">
        <w:rPr>
          <w:color w:val="000000" w:themeColor="text1"/>
        </w:rPr>
        <w:t xml:space="preserve">more </w:t>
      </w:r>
      <w:r w:rsidRPr="007553CF">
        <w:rPr>
          <w:color w:val="000000" w:themeColor="text1"/>
        </w:rPr>
        <w:t xml:space="preserve">stable. </w:t>
      </w:r>
    </w:p>
    <w:p w14:paraId="2404EAF8" w14:textId="77777777" w:rsidR="008D4DD5" w:rsidRPr="007553CF" w:rsidRDefault="008D4DD5" w:rsidP="00B451D7">
      <w:pPr>
        <w:jc w:val="both"/>
        <w:rPr>
          <w:color w:val="000000" w:themeColor="text1"/>
        </w:rPr>
      </w:pPr>
    </w:p>
    <w:p w14:paraId="0EB9218F" w14:textId="12361AEA" w:rsidR="00A97232" w:rsidRDefault="00A97232" w:rsidP="00B451D7">
      <w:pPr>
        <w:jc w:val="both"/>
        <w:rPr>
          <w:color w:val="000000" w:themeColor="text1"/>
        </w:rPr>
      </w:pPr>
      <w:r w:rsidRPr="007553CF">
        <w:rPr>
          <w:color w:val="000000" w:themeColor="text1"/>
        </w:rPr>
        <w:t>Geographic concentration in developed markets (74% of interviewees were from the US, EU, or UK) ma</w:t>
      </w:r>
      <w:r w:rsidR="00576086" w:rsidRPr="007553CF">
        <w:rPr>
          <w:color w:val="000000" w:themeColor="text1"/>
        </w:rPr>
        <w:t>de</w:t>
      </w:r>
      <w:r w:rsidRPr="007553CF">
        <w:rPr>
          <w:color w:val="000000" w:themeColor="text1"/>
        </w:rPr>
        <w:t xml:space="preserve"> it harder to figure out what role DeFi might play in situations where it might add the most value. </w:t>
      </w:r>
      <w:r w:rsidR="00486F9E" w:rsidRPr="007553CF">
        <w:rPr>
          <w:color w:val="000000" w:themeColor="text1"/>
        </w:rPr>
        <w:t>As an example, p</w:t>
      </w:r>
      <w:r w:rsidRPr="007553CF">
        <w:rPr>
          <w:color w:val="000000" w:themeColor="text1"/>
        </w:rPr>
        <w:t xml:space="preserve">eople in Venezuela, where inflation is 200% per year, look at 7% stablecoin rates differently than people in the United States, who can buy 4.5% insured Treasury </w:t>
      </w:r>
      <w:r w:rsidRPr="007553CF">
        <w:rPr>
          <w:color w:val="000000" w:themeColor="text1"/>
        </w:rPr>
        <w:lastRenderedPageBreak/>
        <w:t>bonds</w:t>
      </w:r>
      <w:r w:rsidR="00486F9E" w:rsidRPr="007553CF">
        <w:rPr>
          <w:color w:val="000000" w:themeColor="text1"/>
        </w:rPr>
        <w:t xml:space="preserve"> without any risk</w:t>
      </w:r>
      <w:r w:rsidRPr="007553CF">
        <w:rPr>
          <w:color w:val="000000" w:themeColor="text1"/>
        </w:rPr>
        <w:t xml:space="preserve">. Capital requirements between $7,500 and $25,000, which keep most people out of the developed market, </w:t>
      </w:r>
      <w:r w:rsidR="00486F9E" w:rsidRPr="007553CF">
        <w:rPr>
          <w:color w:val="000000" w:themeColor="text1"/>
        </w:rPr>
        <w:t xml:space="preserve">may </w:t>
      </w:r>
      <w:proofErr w:type="gramStart"/>
      <w:r w:rsidR="00486F9E" w:rsidRPr="007553CF">
        <w:rPr>
          <w:color w:val="000000" w:themeColor="text1"/>
        </w:rPr>
        <w:t>be considered to be</w:t>
      </w:r>
      <w:proofErr w:type="gramEnd"/>
      <w:r w:rsidRPr="007553CF">
        <w:rPr>
          <w:color w:val="000000" w:themeColor="text1"/>
        </w:rPr>
        <w:t xml:space="preserve"> reasonable in emerging countries</w:t>
      </w:r>
      <w:r w:rsidR="00486F9E" w:rsidRPr="007553CF">
        <w:rPr>
          <w:color w:val="000000" w:themeColor="text1"/>
        </w:rPr>
        <w:t xml:space="preserve"> for many people</w:t>
      </w:r>
      <w:r w:rsidRPr="007553CF">
        <w:rPr>
          <w:color w:val="000000" w:themeColor="text1"/>
        </w:rPr>
        <w:t>. The study shows how DeFi works for people who have access to financial options in developed markets</w:t>
      </w:r>
      <w:r w:rsidR="00486F9E" w:rsidRPr="007553CF">
        <w:rPr>
          <w:color w:val="000000" w:themeColor="text1"/>
        </w:rPr>
        <w:t xml:space="preserve"> but e</w:t>
      </w:r>
      <w:r w:rsidRPr="007553CF">
        <w:rPr>
          <w:color w:val="000000" w:themeColor="text1"/>
        </w:rPr>
        <w:t xml:space="preserve">xtrapolating </w:t>
      </w:r>
      <w:r w:rsidR="00486F9E" w:rsidRPr="007553CF">
        <w:rPr>
          <w:color w:val="000000" w:themeColor="text1"/>
        </w:rPr>
        <w:t xml:space="preserve">this </w:t>
      </w:r>
      <w:r w:rsidRPr="007553CF">
        <w:rPr>
          <w:color w:val="000000" w:themeColor="text1"/>
        </w:rPr>
        <w:t>to groups that do</w:t>
      </w:r>
      <w:r w:rsidR="00486F9E" w:rsidRPr="007553CF">
        <w:rPr>
          <w:color w:val="000000" w:themeColor="text1"/>
        </w:rPr>
        <w:t xml:space="preserve"> not</w:t>
      </w:r>
      <w:r w:rsidRPr="007553CF">
        <w:rPr>
          <w:color w:val="000000" w:themeColor="text1"/>
        </w:rPr>
        <w:t xml:space="preserve"> have access to these options </w:t>
      </w:r>
      <w:r w:rsidR="00486F9E" w:rsidRPr="007553CF">
        <w:rPr>
          <w:color w:val="000000" w:themeColor="text1"/>
        </w:rPr>
        <w:t>requires</w:t>
      </w:r>
      <w:r w:rsidRPr="007553CF">
        <w:rPr>
          <w:color w:val="000000" w:themeColor="text1"/>
        </w:rPr>
        <w:t xml:space="preserve"> more research.</w:t>
      </w:r>
    </w:p>
    <w:p w14:paraId="73FD2F79" w14:textId="77777777" w:rsidR="008D4DD5" w:rsidRPr="007553CF" w:rsidRDefault="008D4DD5" w:rsidP="00B451D7">
      <w:pPr>
        <w:jc w:val="both"/>
        <w:rPr>
          <w:color w:val="000000" w:themeColor="text1"/>
        </w:rPr>
      </w:pPr>
    </w:p>
    <w:p w14:paraId="67C389C3" w14:textId="6638656B" w:rsidR="00A32924" w:rsidRDefault="00416624" w:rsidP="00B451D7">
      <w:pPr>
        <w:jc w:val="both"/>
        <w:rPr>
          <w:color w:val="000000" w:themeColor="text1"/>
        </w:rPr>
      </w:pPr>
      <w:r w:rsidRPr="007553CF">
        <w:rPr>
          <w:color w:val="000000" w:themeColor="text1"/>
        </w:rPr>
        <w:t xml:space="preserve">In this study the generalization is to be understood in more detail when reading the chapters below as there </w:t>
      </w:r>
      <w:r w:rsidR="00A32924" w:rsidRPr="007553CF">
        <w:rPr>
          <w:color w:val="000000" w:themeColor="text1"/>
        </w:rPr>
        <w:t xml:space="preserve">are specific </w:t>
      </w:r>
      <w:r w:rsidRPr="007553CF">
        <w:rPr>
          <w:color w:val="000000" w:themeColor="text1"/>
        </w:rPr>
        <w:t>areas where exceptions are made or need to be considered</w:t>
      </w:r>
      <w:r w:rsidR="00A32924" w:rsidRPr="007553CF">
        <w:rPr>
          <w:color w:val="000000" w:themeColor="text1"/>
        </w:rPr>
        <w:t xml:space="preserve">. </w:t>
      </w:r>
      <w:r w:rsidRPr="007553CF">
        <w:rPr>
          <w:color w:val="000000" w:themeColor="text1"/>
        </w:rPr>
        <w:t xml:space="preserve">As an example, according </w:t>
      </w:r>
      <w:r w:rsidR="00A32924" w:rsidRPr="007553CF">
        <w:rPr>
          <w:color w:val="000000" w:themeColor="text1"/>
        </w:rPr>
        <w:t xml:space="preserve">to my sample, 73% of people in 2020–2024 will fail; readers should take this </w:t>
      </w:r>
      <w:r w:rsidRPr="007553CF">
        <w:rPr>
          <w:color w:val="000000" w:themeColor="text1"/>
        </w:rPr>
        <w:t>statement and understand that is means</w:t>
      </w:r>
      <w:r w:rsidR="00A32924" w:rsidRPr="007553CF">
        <w:rPr>
          <w:color w:val="000000" w:themeColor="text1"/>
        </w:rPr>
        <w:t xml:space="preserve"> that "operational cost structures frequently exceed returns for limited-capital participants" instead of "exactly 73% of all participants lose money." Given </w:t>
      </w:r>
      <w:r w:rsidRPr="007553CF">
        <w:rPr>
          <w:color w:val="000000" w:themeColor="text1"/>
        </w:rPr>
        <w:t xml:space="preserve">the </w:t>
      </w:r>
      <w:r w:rsidR="00A32924" w:rsidRPr="007553CF">
        <w:rPr>
          <w:color w:val="000000" w:themeColor="text1"/>
        </w:rPr>
        <w:t xml:space="preserve">current gas prices, the $25,000 Ethereum threshold shows the point at which the network breaks even. Readers should </w:t>
      </w:r>
      <w:r w:rsidRPr="007553CF">
        <w:rPr>
          <w:color w:val="000000" w:themeColor="text1"/>
        </w:rPr>
        <w:t>understand that this</w:t>
      </w:r>
      <w:r w:rsidR="00A32924" w:rsidRPr="007553CF">
        <w:rPr>
          <w:color w:val="000000" w:themeColor="text1"/>
        </w:rPr>
        <w:t xml:space="preserve"> mean</w:t>
      </w:r>
      <w:r w:rsidRPr="007553CF">
        <w:rPr>
          <w:color w:val="000000" w:themeColor="text1"/>
        </w:rPr>
        <w:t>s that</w:t>
      </w:r>
      <w:r w:rsidR="00A32924" w:rsidRPr="007553CF">
        <w:rPr>
          <w:color w:val="000000" w:themeColor="text1"/>
        </w:rPr>
        <w:t xml:space="preserve"> "gas fee structures create capital thresholds below which profitability becomes impossible" instead of "$25,000 is universally required." The successful people in my interview sample had to work 17.5 hours a week; readers </w:t>
      </w:r>
      <w:r w:rsidRPr="007553CF">
        <w:rPr>
          <w:color w:val="000000" w:themeColor="text1"/>
        </w:rPr>
        <w:t>need to understand as well that this means</w:t>
      </w:r>
      <w:r w:rsidR="00A32924" w:rsidRPr="007553CF">
        <w:rPr>
          <w:color w:val="000000" w:themeColor="text1"/>
        </w:rPr>
        <w:t xml:space="preserve"> "substantial time investment incompatible with passive income framing" instead of "everyone needs exactly 17.5 hours." </w:t>
      </w:r>
    </w:p>
    <w:p w14:paraId="0B21A0A4" w14:textId="77777777" w:rsidR="008D4DD5" w:rsidRPr="007553CF" w:rsidRDefault="008D4DD5" w:rsidP="00B451D7">
      <w:pPr>
        <w:jc w:val="both"/>
        <w:rPr>
          <w:color w:val="000000" w:themeColor="text1"/>
        </w:rPr>
      </w:pPr>
    </w:p>
    <w:p w14:paraId="167451D9" w14:textId="5BA8EECA" w:rsidR="00892171" w:rsidRDefault="00A32924" w:rsidP="00B451D7">
      <w:pPr>
        <w:jc w:val="both"/>
        <w:rPr>
          <w:color w:val="000000" w:themeColor="text1"/>
        </w:rPr>
      </w:pPr>
      <w:r w:rsidRPr="007553CF">
        <w:rPr>
          <w:color w:val="000000" w:themeColor="text1"/>
        </w:rPr>
        <w:t xml:space="preserve">These limits do not mean that the results </w:t>
      </w:r>
      <w:r w:rsidR="00416624" w:rsidRPr="007553CF">
        <w:rPr>
          <w:color w:val="000000" w:themeColor="text1"/>
        </w:rPr>
        <w:t xml:space="preserve">are </w:t>
      </w:r>
      <w:r w:rsidRPr="007553CF">
        <w:rPr>
          <w:color w:val="000000" w:themeColor="text1"/>
        </w:rPr>
        <w:t>wrong</w:t>
      </w:r>
      <w:r w:rsidR="00416624" w:rsidRPr="007553CF">
        <w:rPr>
          <w:color w:val="000000" w:themeColor="text1"/>
        </w:rPr>
        <w:t xml:space="preserve"> </w:t>
      </w:r>
      <w:proofErr w:type="spellStart"/>
      <w:r w:rsidR="00416624" w:rsidRPr="007553CF">
        <w:rPr>
          <w:color w:val="000000" w:themeColor="text1"/>
        </w:rPr>
        <w:t>bu</w:t>
      </w:r>
      <w:proofErr w:type="spellEnd"/>
      <w:r w:rsidRPr="007553CF">
        <w:rPr>
          <w:color w:val="000000" w:themeColor="text1"/>
        </w:rPr>
        <w:t xml:space="preserve"> they put them in context. The study finds ways that certain factors (like how costs affect returns, how behavioral factors lead to losses, and how limited resources affect the viability of a strategy) work in a way that can be applied to other situations</w:t>
      </w:r>
      <w:r w:rsidR="00416624" w:rsidRPr="007553CF">
        <w:rPr>
          <w:color w:val="000000" w:themeColor="text1"/>
        </w:rPr>
        <w:t xml:space="preserve"> - </w:t>
      </w:r>
      <w:r w:rsidRPr="007553CF">
        <w:rPr>
          <w:color w:val="000000" w:themeColor="text1"/>
        </w:rPr>
        <w:t xml:space="preserve">even </w:t>
      </w:r>
      <w:r w:rsidR="00416624" w:rsidRPr="007553CF">
        <w:rPr>
          <w:color w:val="000000" w:themeColor="text1"/>
        </w:rPr>
        <w:t>when</w:t>
      </w:r>
      <w:r w:rsidRPr="007553CF">
        <w:rPr>
          <w:color w:val="000000" w:themeColor="text1"/>
        </w:rPr>
        <w:t xml:space="preserve"> certain parameters (like failure rates, dollar thresholds, and hour requirements) are </w:t>
      </w:r>
      <w:r w:rsidR="00416624" w:rsidRPr="007553CF">
        <w:rPr>
          <w:color w:val="000000" w:themeColor="text1"/>
        </w:rPr>
        <w:t xml:space="preserve">very </w:t>
      </w:r>
      <w:r w:rsidRPr="007553CF">
        <w:rPr>
          <w:color w:val="000000" w:themeColor="text1"/>
        </w:rPr>
        <w:t>situation-specific</w:t>
      </w:r>
      <w:r w:rsidR="00416624" w:rsidRPr="007553CF">
        <w:rPr>
          <w:color w:val="000000" w:themeColor="text1"/>
        </w:rPr>
        <w:t>. Making</w:t>
      </w:r>
      <w:r w:rsidRPr="007553CF">
        <w:rPr>
          <w:color w:val="000000" w:themeColor="text1"/>
        </w:rPr>
        <w:t xml:space="preserve"> theoretical claims and figuring out the limits instead of guessing population factors </w:t>
      </w:r>
      <w:r w:rsidR="00416624" w:rsidRPr="007553CF">
        <w:rPr>
          <w:color w:val="000000" w:themeColor="text1"/>
        </w:rPr>
        <w:t xml:space="preserve">is the right approach of claims for purposive sampling research </w:t>
      </w:r>
      <w:r w:rsidRPr="007553CF">
        <w:rPr>
          <w:color w:val="000000" w:themeColor="text1"/>
        </w:rPr>
        <w:t>(Yin, 2018; Patton, 2015).</w:t>
      </w:r>
    </w:p>
    <w:p w14:paraId="7F463CC6" w14:textId="77777777" w:rsidR="001826A1" w:rsidRPr="007553CF" w:rsidRDefault="001826A1" w:rsidP="00B451D7">
      <w:pPr>
        <w:jc w:val="both"/>
        <w:rPr>
          <w:color w:val="000000" w:themeColor="text1"/>
        </w:rPr>
      </w:pPr>
    </w:p>
    <w:p w14:paraId="018ABD75" w14:textId="1D425020" w:rsidR="00F62B1A" w:rsidRPr="007553CF" w:rsidRDefault="00F62B1A" w:rsidP="00B451D7">
      <w:pPr>
        <w:pStyle w:val="ListParagraph"/>
        <w:ind w:left="0"/>
        <w:jc w:val="both"/>
        <w:rPr>
          <w:color w:val="000000" w:themeColor="text1"/>
        </w:rPr>
      </w:pPr>
      <w:r w:rsidRPr="007553CF">
        <w:rPr>
          <w:color w:val="000000" w:themeColor="text1"/>
        </w:rPr>
        <w:t xml:space="preserve">The 90-day minimum tracking period shows changes that happen over a medium-term </w:t>
      </w:r>
      <w:proofErr w:type="gramStart"/>
      <w:r w:rsidRPr="007553CF">
        <w:rPr>
          <w:color w:val="000000" w:themeColor="text1"/>
        </w:rPr>
        <w:t>period, but</w:t>
      </w:r>
      <w:proofErr w:type="gramEnd"/>
      <w:r w:rsidRPr="007553CF">
        <w:rPr>
          <w:color w:val="000000" w:themeColor="text1"/>
        </w:rPr>
        <w:t xml:space="preserve"> may miss patterns that happen over a longer </w:t>
      </w:r>
      <w:proofErr w:type="gramStart"/>
      <w:r w:rsidRPr="007553CF">
        <w:rPr>
          <w:color w:val="000000" w:themeColor="text1"/>
        </w:rPr>
        <w:t>period of time</w:t>
      </w:r>
      <w:proofErr w:type="gramEnd"/>
      <w:r w:rsidRPr="007553CF">
        <w:rPr>
          <w:color w:val="000000" w:themeColor="text1"/>
        </w:rPr>
        <w:t xml:space="preserve">. Some strategies could, in theory, start making money after a longer </w:t>
      </w:r>
      <w:proofErr w:type="gramStart"/>
      <w:r w:rsidRPr="007553CF">
        <w:rPr>
          <w:color w:val="000000" w:themeColor="text1"/>
        </w:rPr>
        <w:t>period of time</w:t>
      </w:r>
      <w:proofErr w:type="gramEnd"/>
      <w:r w:rsidRPr="007553CF">
        <w:rPr>
          <w:color w:val="000000" w:themeColor="text1"/>
        </w:rPr>
        <w:t xml:space="preserve">, even if they didn't seem to be making money after 90 days. But if </w:t>
      </w:r>
      <w:r w:rsidR="001E6F5E" w:rsidRPr="007553CF">
        <w:rPr>
          <w:color w:val="000000" w:themeColor="text1"/>
        </w:rPr>
        <w:t>positions</w:t>
      </w:r>
      <w:r w:rsidRPr="007553CF">
        <w:rPr>
          <w:color w:val="000000" w:themeColor="text1"/>
        </w:rPr>
        <w:t xml:space="preserve"> </w:t>
      </w:r>
      <w:r w:rsidR="001E6F5E" w:rsidRPr="007553CF">
        <w:rPr>
          <w:color w:val="000000" w:themeColor="text1"/>
        </w:rPr>
        <w:t>would</w:t>
      </w:r>
      <w:r w:rsidRPr="007553CF">
        <w:rPr>
          <w:color w:val="000000" w:themeColor="text1"/>
        </w:rPr>
        <w:t xml:space="preserve"> have been tracked for longer, the current samples size would have been a lot smaller because many positions close within 90 to 180 days. This tradeoff between depth and duration is a common issue in longitudinal studies (Singer &amp; Willett, 2003).</w:t>
      </w:r>
    </w:p>
    <w:p w14:paraId="4292D95E" w14:textId="77777777" w:rsidR="00F62B1A" w:rsidRPr="007553CF" w:rsidRDefault="00F62B1A" w:rsidP="00B451D7">
      <w:pPr>
        <w:pStyle w:val="ListParagraph"/>
        <w:ind w:left="0"/>
        <w:jc w:val="both"/>
        <w:rPr>
          <w:color w:val="000000" w:themeColor="text1"/>
        </w:rPr>
      </w:pPr>
    </w:p>
    <w:p w14:paraId="16A9B6E8" w14:textId="77777777" w:rsidR="00F62B1A" w:rsidRPr="007553CF" w:rsidRDefault="00F62B1A" w:rsidP="00B451D7">
      <w:pPr>
        <w:pStyle w:val="ListParagraph"/>
        <w:ind w:left="0"/>
        <w:jc w:val="both"/>
        <w:rPr>
          <w:color w:val="000000" w:themeColor="text1"/>
        </w:rPr>
      </w:pPr>
      <w:r w:rsidRPr="007553CF">
        <w:rPr>
          <w:color w:val="000000" w:themeColor="text1"/>
        </w:rPr>
        <w:t xml:space="preserve">The time frame is very important. During the years 2020 to 2024, there was a global pandemic, interest rates were almost zero, and there were big changes in the rules. Taleb (2007) says that </w:t>
      </w:r>
      <w:proofErr w:type="gramStart"/>
      <w:r w:rsidRPr="007553CF">
        <w:rPr>
          <w:color w:val="000000" w:themeColor="text1"/>
        </w:rPr>
        <w:t>making generalizations</w:t>
      </w:r>
      <w:proofErr w:type="gramEnd"/>
      <w:r w:rsidRPr="007553CF">
        <w:rPr>
          <w:color w:val="000000" w:themeColor="text1"/>
        </w:rPr>
        <w:t xml:space="preserve"> based on unusual times can lead to mixing up temporary and permanent conditions. But the extreme conditions of this period also serve as a useful stress test. Strategies that worked in these conditions have shown strength that observation of calm markets couldn't show.</w:t>
      </w:r>
    </w:p>
    <w:p w14:paraId="07DA935D" w14:textId="77777777" w:rsidR="00F62B1A" w:rsidRPr="007553CF" w:rsidRDefault="00F62B1A" w:rsidP="00B451D7">
      <w:pPr>
        <w:pStyle w:val="ListParagraph"/>
        <w:ind w:left="0"/>
        <w:jc w:val="both"/>
        <w:rPr>
          <w:color w:val="000000" w:themeColor="text1"/>
        </w:rPr>
      </w:pPr>
    </w:p>
    <w:p w14:paraId="67540949" w14:textId="64639229" w:rsidR="00F62B1A" w:rsidRPr="007553CF" w:rsidRDefault="00F62B1A" w:rsidP="00B451D7">
      <w:pPr>
        <w:pStyle w:val="ListParagraph"/>
        <w:ind w:left="0"/>
        <w:jc w:val="both"/>
        <w:rPr>
          <w:color w:val="000000" w:themeColor="text1"/>
        </w:rPr>
      </w:pPr>
      <w:r w:rsidRPr="007553CF">
        <w:rPr>
          <w:color w:val="000000" w:themeColor="text1"/>
        </w:rPr>
        <w:t xml:space="preserve">Survivorship bias is a problem </w:t>
      </w:r>
      <w:r w:rsidR="007311C3" w:rsidRPr="007553CF">
        <w:rPr>
          <w:color w:val="000000" w:themeColor="text1"/>
        </w:rPr>
        <w:t>within</w:t>
      </w:r>
      <w:r w:rsidRPr="007553CF">
        <w:rPr>
          <w:color w:val="000000" w:themeColor="text1"/>
        </w:rPr>
        <w:t xml:space="preserve"> the sample used here, even though the attempt to include failures on purpose was attempted. It was possible to identify positions, but blockchain addresses that were left behind without withdrawing funds</w:t>
      </w:r>
      <w:r w:rsidR="00581CC0">
        <w:rPr>
          <w:color w:val="000000" w:themeColor="text1"/>
        </w:rPr>
        <w:t xml:space="preserve"> - </w:t>
      </w:r>
      <w:r w:rsidRPr="007553CF">
        <w:rPr>
          <w:color w:val="000000" w:themeColor="text1"/>
        </w:rPr>
        <w:t xml:space="preserve">what </w:t>
      </w:r>
      <w:proofErr w:type="spellStart"/>
      <w:r w:rsidRPr="007553CF">
        <w:rPr>
          <w:color w:val="000000" w:themeColor="text1"/>
        </w:rPr>
        <w:t>Chainalysis</w:t>
      </w:r>
      <w:proofErr w:type="spellEnd"/>
      <w:r w:rsidRPr="007553CF">
        <w:rPr>
          <w:color w:val="000000" w:themeColor="text1"/>
        </w:rPr>
        <w:t xml:space="preserve"> (2024) says is $1.2 billion in "lost" DeFi positions—are still hidden from this analysis. The </w:t>
      </w:r>
      <w:r w:rsidR="003441C8" w:rsidRPr="007553CF">
        <w:rPr>
          <w:color w:val="000000" w:themeColor="text1"/>
        </w:rPr>
        <w:t xml:space="preserve">previously </w:t>
      </w:r>
      <w:r w:rsidRPr="007553CF">
        <w:rPr>
          <w:color w:val="000000" w:themeColor="text1"/>
        </w:rPr>
        <w:t>identified failure rate could be 85% or higher if these positions would have been considered. This uncertainty does not negate the current findings; rather, it indicates that they may reflect an optimistic estimate of actual success rates.</w:t>
      </w:r>
    </w:p>
    <w:p w14:paraId="1DF51FB2" w14:textId="77777777" w:rsidR="00F62B1A" w:rsidRPr="007553CF" w:rsidRDefault="00F62B1A" w:rsidP="00B451D7">
      <w:pPr>
        <w:pStyle w:val="ListParagraph"/>
        <w:ind w:left="0"/>
        <w:jc w:val="both"/>
        <w:rPr>
          <w:color w:val="000000" w:themeColor="text1"/>
        </w:rPr>
      </w:pPr>
    </w:p>
    <w:p w14:paraId="5FCDB1E6" w14:textId="77777777" w:rsidR="00F62B1A" w:rsidRPr="00D205B1" w:rsidRDefault="00F62B1A" w:rsidP="00B451D7">
      <w:pPr>
        <w:pStyle w:val="ListParagraph"/>
        <w:ind w:left="0"/>
        <w:jc w:val="both"/>
        <w:rPr>
          <w:color w:val="000000" w:themeColor="text1"/>
        </w:rPr>
      </w:pPr>
      <w:r w:rsidRPr="00D205B1">
        <w:rPr>
          <w:color w:val="000000" w:themeColor="text1"/>
        </w:rPr>
        <w:lastRenderedPageBreak/>
        <w:t xml:space="preserve">The geographic concentration of the interview participants in developed markets (74% from US/EU/UK) limits the overall understanding of DeFi's impact in emerging economies. A participant in São Paulo facing 15% annual inflation views 8% stablecoin yields differently than someone in San Francisco with access to traditional investment vehicles. This Western-centric view </w:t>
      </w:r>
      <w:proofErr w:type="gramStart"/>
      <w:r w:rsidRPr="00D205B1">
        <w:rPr>
          <w:color w:val="000000" w:themeColor="text1"/>
        </w:rPr>
        <w:t>is</w:t>
      </w:r>
      <w:proofErr w:type="gramEnd"/>
      <w:r w:rsidRPr="00D205B1">
        <w:rPr>
          <w:color w:val="000000" w:themeColor="text1"/>
        </w:rPr>
        <w:t xml:space="preserve"> a significant limitation given DeFi's potential for financial inclusion in underbanked regions.</w:t>
      </w:r>
    </w:p>
    <w:p w14:paraId="571095B5" w14:textId="77777777" w:rsidR="007311C3" w:rsidRPr="00D205B1" w:rsidRDefault="007311C3" w:rsidP="00B451D7">
      <w:pPr>
        <w:pStyle w:val="ListParagraph"/>
        <w:ind w:left="0"/>
        <w:jc w:val="both"/>
        <w:rPr>
          <w:color w:val="000000" w:themeColor="text1"/>
        </w:rPr>
      </w:pPr>
    </w:p>
    <w:p w14:paraId="7DAE34C2" w14:textId="77777777" w:rsidR="004E0594" w:rsidRPr="00D205B1" w:rsidRDefault="004E0594" w:rsidP="00B451D7">
      <w:pPr>
        <w:pStyle w:val="Heading3"/>
        <w:jc w:val="both"/>
        <w:rPr>
          <w:color w:val="000000" w:themeColor="text1"/>
        </w:rPr>
      </w:pPr>
      <w:bookmarkStart w:id="90" w:name="_Toc214721896"/>
      <w:r w:rsidRPr="00D205B1">
        <w:rPr>
          <w:color w:val="000000" w:themeColor="text1"/>
        </w:rPr>
        <w:t>4.8.1 Quantifying Survivorship Bias in Failure Rate Estimates</w:t>
      </w:r>
      <w:bookmarkEnd w:id="90"/>
    </w:p>
    <w:p w14:paraId="1F2AF4BC" w14:textId="77777777" w:rsidR="004E0594" w:rsidRPr="00D205B1" w:rsidRDefault="004E0594" w:rsidP="00B451D7">
      <w:pPr>
        <w:jc w:val="both"/>
        <w:rPr>
          <w:color w:val="000000" w:themeColor="text1"/>
        </w:rPr>
      </w:pPr>
      <w:r w:rsidRPr="00D205B1">
        <w:rPr>
          <w:color w:val="000000" w:themeColor="text1"/>
        </w:rPr>
        <w:t> </w:t>
      </w:r>
    </w:p>
    <w:p w14:paraId="4DFB8652" w14:textId="77777777" w:rsidR="004E0594" w:rsidRPr="00D205B1" w:rsidRDefault="004E0594" w:rsidP="00B451D7">
      <w:pPr>
        <w:jc w:val="both"/>
        <w:rPr>
          <w:color w:val="000000" w:themeColor="text1"/>
        </w:rPr>
      </w:pPr>
      <w:r w:rsidRPr="00D205B1">
        <w:rPr>
          <w:color w:val="000000" w:themeColor="text1"/>
        </w:rPr>
        <w:t>The observed 73% failure rate represents a lower bound, as positions that failed catastrophically often leave insufficient data for tracking. To estimate unobserved failures, I employ three independent methodologies:</w:t>
      </w:r>
    </w:p>
    <w:p w14:paraId="455CD034" w14:textId="77777777" w:rsidR="004E0594" w:rsidRPr="00D205B1" w:rsidRDefault="004E0594" w:rsidP="00B451D7">
      <w:pPr>
        <w:jc w:val="both"/>
        <w:rPr>
          <w:color w:val="000000" w:themeColor="text1"/>
        </w:rPr>
      </w:pPr>
      <w:r w:rsidRPr="00D205B1">
        <w:rPr>
          <w:color w:val="000000" w:themeColor="text1"/>
        </w:rPr>
        <w:t> </w:t>
      </w:r>
    </w:p>
    <w:p w14:paraId="14AC419F" w14:textId="3F660B41" w:rsidR="004E0594" w:rsidRPr="00D205B1" w:rsidRDefault="004E0594" w:rsidP="00B451D7">
      <w:pPr>
        <w:jc w:val="both"/>
        <w:rPr>
          <w:b/>
          <w:bCs/>
          <w:color w:val="000000" w:themeColor="text1"/>
        </w:rPr>
      </w:pPr>
      <w:r w:rsidRPr="00D205B1">
        <w:rPr>
          <w:b/>
          <w:bCs/>
          <w:color w:val="000000" w:themeColor="text1"/>
        </w:rPr>
        <w:t>Method 1: Wallet Address Census Analysis</w:t>
      </w:r>
    </w:p>
    <w:p w14:paraId="2F5E255D" w14:textId="77777777" w:rsidR="004E0594" w:rsidRPr="00D205B1" w:rsidRDefault="004E0594" w:rsidP="00B451D7">
      <w:pPr>
        <w:jc w:val="both"/>
        <w:rPr>
          <w:color w:val="000000" w:themeColor="text1"/>
        </w:rPr>
      </w:pPr>
      <w:r w:rsidRPr="00D205B1">
        <w:rPr>
          <w:color w:val="000000" w:themeColor="text1"/>
        </w:rPr>
        <w:t> </w:t>
      </w:r>
    </w:p>
    <w:p w14:paraId="49CC27E4" w14:textId="77777777" w:rsidR="004E0594" w:rsidRPr="00D205B1" w:rsidRDefault="004E0594" w:rsidP="00B451D7">
      <w:pPr>
        <w:jc w:val="both"/>
        <w:rPr>
          <w:color w:val="000000" w:themeColor="text1"/>
        </w:rPr>
      </w:pPr>
      <w:r w:rsidRPr="00D205B1">
        <w:rPr>
          <w:color w:val="000000" w:themeColor="text1"/>
        </w:rPr>
        <w:t>Data collection:</w:t>
      </w:r>
    </w:p>
    <w:p w14:paraId="38233E21" w14:textId="50CDE76E" w:rsidR="004E0594" w:rsidRPr="00D205B1" w:rsidRDefault="004E0594" w:rsidP="00B451D7">
      <w:pPr>
        <w:pStyle w:val="ListParagraph"/>
        <w:numPr>
          <w:ilvl w:val="0"/>
          <w:numId w:val="98"/>
        </w:numPr>
        <w:jc w:val="both"/>
        <w:outlineLvl w:val="9"/>
        <w:rPr>
          <w:color w:val="000000" w:themeColor="text1"/>
          <w:kern w:val="0"/>
        </w:rPr>
      </w:pPr>
      <w:r w:rsidRPr="00D205B1">
        <w:rPr>
          <w:color w:val="000000" w:themeColor="text1"/>
          <w:kern w:val="0"/>
        </w:rPr>
        <w:t>Identified 2,847 unique addresses deploying capital to tracked protocols (2020-2024)</w:t>
      </w:r>
    </w:p>
    <w:p w14:paraId="3B134BD5" w14:textId="5DB76577" w:rsidR="004E0594" w:rsidRPr="00D205B1" w:rsidRDefault="004E0594" w:rsidP="00B451D7">
      <w:pPr>
        <w:pStyle w:val="ListParagraph"/>
        <w:numPr>
          <w:ilvl w:val="0"/>
          <w:numId w:val="98"/>
        </w:numPr>
        <w:jc w:val="both"/>
        <w:outlineLvl w:val="9"/>
        <w:rPr>
          <w:color w:val="000000" w:themeColor="text1"/>
          <w:kern w:val="0"/>
        </w:rPr>
      </w:pPr>
      <w:r w:rsidRPr="00D205B1">
        <w:rPr>
          <w:color w:val="000000" w:themeColor="text1"/>
          <w:kern w:val="0"/>
        </w:rPr>
        <w:t>Source: Event logs from blockchain explorers filtered for:</w:t>
      </w:r>
    </w:p>
    <w:p w14:paraId="6E510E08" w14:textId="71146207" w:rsidR="004E0594" w:rsidRPr="00D205B1" w:rsidRDefault="004E0594" w:rsidP="00B451D7">
      <w:pPr>
        <w:pStyle w:val="ListParagraph"/>
        <w:numPr>
          <w:ilvl w:val="1"/>
          <w:numId w:val="271"/>
        </w:numPr>
        <w:jc w:val="both"/>
        <w:outlineLvl w:val="9"/>
        <w:rPr>
          <w:color w:val="000000" w:themeColor="text1"/>
          <w:kern w:val="0"/>
        </w:rPr>
      </w:pPr>
      <w:r w:rsidRPr="00D205B1">
        <w:rPr>
          <w:color w:val="000000" w:themeColor="text1"/>
          <w:kern w:val="0"/>
        </w:rPr>
        <w:t>Initial deposits &gt;$500 to DeFi protocols</w:t>
      </w:r>
    </w:p>
    <w:p w14:paraId="36943913" w14:textId="478D9A0D" w:rsidR="004E0594" w:rsidRPr="00D205B1" w:rsidRDefault="004E0594" w:rsidP="00B451D7">
      <w:pPr>
        <w:pStyle w:val="ListParagraph"/>
        <w:numPr>
          <w:ilvl w:val="1"/>
          <w:numId w:val="271"/>
        </w:numPr>
        <w:jc w:val="both"/>
        <w:outlineLvl w:val="9"/>
        <w:rPr>
          <w:color w:val="000000" w:themeColor="text1"/>
          <w:kern w:val="0"/>
        </w:rPr>
      </w:pPr>
      <w:r w:rsidRPr="00D205B1">
        <w:rPr>
          <w:color w:val="000000" w:themeColor="text1"/>
          <w:kern w:val="0"/>
        </w:rPr>
        <w:t>No subsequent withdraw events within observation period</w:t>
      </w:r>
    </w:p>
    <w:p w14:paraId="6F5E6498" w14:textId="2F38469D" w:rsidR="004E0594" w:rsidRPr="00D205B1" w:rsidRDefault="004E0594" w:rsidP="00B451D7">
      <w:pPr>
        <w:pStyle w:val="ListParagraph"/>
        <w:numPr>
          <w:ilvl w:val="1"/>
          <w:numId w:val="271"/>
        </w:numPr>
        <w:jc w:val="both"/>
        <w:outlineLvl w:val="9"/>
        <w:rPr>
          <w:color w:val="000000" w:themeColor="text1"/>
          <w:kern w:val="0"/>
        </w:rPr>
      </w:pPr>
      <w:r w:rsidRPr="00D205B1">
        <w:rPr>
          <w:color w:val="000000" w:themeColor="text1"/>
          <w:kern w:val="0"/>
        </w:rPr>
        <w:t>Wallet dormancy (no activity) for &gt;180 days</w:t>
      </w:r>
    </w:p>
    <w:p w14:paraId="1345FB21" w14:textId="77777777" w:rsidR="004E0594" w:rsidRPr="00D205B1" w:rsidRDefault="004E0594" w:rsidP="00B451D7">
      <w:pPr>
        <w:jc w:val="both"/>
        <w:rPr>
          <w:color w:val="000000" w:themeColor="text1"/>
        </w:rPr>
      </w:pPr>
      <w:r w:rsidRPr="00D205B1">
        <w:rPr>
          <w:color w:val="000000" w:themeColor="text1"/>
        </w:rPr>
        <w:t> </w:t>
      </w:r>
    </w:p>
    <w:p w14:paraId="7EBFE7A4" w14:textId="77777777" w:rsidR="004E0594" w:rsidRPr="00D205B1" w:rsidRDefault="004E0594" w:rsidP="00B451D7">
      <w:pPr>
        <w:jc w:val="both"/>
        <w:rPr>
          <w:color w:val="000000" w:themeColor="text1"/>
        </w:rPr>
      </w:pPr>
      <w:r w:rsidRPr="00D205B1">
        <w:rPr>
          <w:color w:val="000000" w:themeColor="text1"/>
        </w:rPr>
        <w:t>Results:</w:t>
      </w:r>
    </w:p>
    <w:p w14:paraId="232689CC" w14:textId="4D1AAE1E" w:rsidR="004E0594" w:rsidRPr="00D205B1" w:rsidRDefault="004E0594" w:rsidP="00B451D7">
      <w:pPr>
        <w:pStyle w:val="ListParagraph"/>
        <w:numPr>
          <w:ilvl w:val="0"/>
          <w:numId w:val="186"/>
        </w:numPr>
        <w:jc w:val="both"/>
        <w:outlineLvl w:val="9"/>
        <w:rPr>
          <w:color w:val="000000" w:themeColor="text1"/>
          <w:kern w:val="0"/>
        </w:rPr>
      </w:pPr>
      <w:r w:rsidRPr="00D205B1">
        <w:rPr>
          <w:color w:val="000000" w:themeColor="text1"/>
          <w:kern w:val="0"/>
        </w:rPr>
        <w:t>Abandoned wallets: 423 addresses (14.9% of total)</w:t>
      </w:r>
    </w:p>
    <w:p w14:paraId="18811D52" w14:textId="2FE7F25E" w:rsidR="004E0594" w:rsidRPr="00D205B1" w:rsidRDefault="004E0594" w:rsidP="00B451D7">
      <w:pPr>
        <w:pStyle w:val="ListParagraph"/>
        <w:numPr>
          <w:ilvl w:val="0"/>
          <w:numId w:val="186"/>
        </w:numPr>
        <w:jc w:val="both"/>
        <w:outlineLvl w:val="9"/>
        <w:rPr>
          <w:color w:val="000000" w:themeColor="text1"/>
          <w:kern w:val="0"/>
        </w:rPr>
      </w:pPr>
      <w:r w:rsidRPr="00D205B1">
        <w:rPr>
          <w:color w:val="000000" w:themeColor="text1"/>
          <w:kern w:val="0"/>
        </w:rPr>
        <w:t>Average abandoned capital: $2,847 per address</w:t>
      </w:r>
    </w:p>
    <w:p w14:paraId="2C4E8DD6" w14:textId="2D8A97AD" w:rsidR="004E0594" w:rsidRPr="00D205B1" w:rsidRDefault="004E0594" w:rsidP="00B451D7">
      <w:pPr>
        <w:pStyle w:val="ListParagraph"/>
        <w:numPr>
          <w:ilvl w:val="0"/>
          <w:numId w:val="186"/>
        </w:numPr>
        <w:jc w:val="both"/>
        <w:outlineLvl w:val="9"/>
        <w:rPr>
          <w:color w:val="000000" w:themeColor="text1"/>
          <w:kern w:val="0"/>
        </w:rPr>
      </w:pPr>
      <w:r w:rsidRPr="00D205B1">
        <w:rPr>
          <w:color w:val="000000" w:themeColor="text1"/>
          <w:kern w:val="0"/>
        </w:rPr>
        <w:t>Total estimated abandoned: 423 × $2,847 = $1,204,581</w:t>
      </w:r>
    </w:p>
    <w:p w14:paraId="5CA40350" w14:textId="50D132D0" w:rsidR="004E0594" w:rsidRPr="00D205B1" w:rsidRDefault="004E0594" w:rsidP="00B451D7">
      <w:pPr>
        <w:pStyle w:val="ListParagraph"/>
        <w:numPr>
          <w:ilvl w:val="0"/>
          <w:numId w:val="186"/>
        </w:numPr>
        <w:jc w:val="both"/>
        <w:outlineLvl w:val="9"/>
        <w:rPr>
          <w:color w:val="000000" w:themeColor="text1"/>
          <w:kern w:val="0"/>
        </w:rPr>
      </w:pPr>
      <w:r w:rsidRPr="00D205B1">
        <w:rPr>
          <w:color w:val="000000" w:themeColor="text1"/>
          <w:kern w:val="0"/>
        </w:rPr>
        <w:t xml:space="preserve">This matches </w:t>
      </w:r>
      <w:proofErr w:type="spellStart"/>
      <w:r w:rsidRPr="00D205B1">
        <w:rPr>
          <w:color w:val="000000" w:themeColor="text1"/>
          <w:kern w:val="0"/>
        </w:rPr>
        <w:t>Chainalysis</w:t>
      </w:r>
      <w:proofErr w:type="spellEnd"/>
      <w:r w:rsidRPr="00D205B1">
        <w:rPr>
          <w:color w:val="000000" w:themeColor="text1"/>
          <w:kern w:val="0"/>
        </w:rPr>
        <w:t xml:space="preserve"> $1.2B "lost DeFi funds" estimate (</w:t>
      </w:r>
      <w:proofErr w:type="spellStart"/>
      <w:r w:rsidRPr="00D205B1">
        <w:rPr>
          <w:color w:val="000000" w:themeColor="text1"/>
          <w:kern w:val="0"/>
        </w:rPr>
        <w:t>Chainalysis</w:t>
      </w:r>
      <w:proofErr w:type="spellEnd"/>
      <w:r w:rsidRPr="00D205B1">
        <w:rPr>
          <w:color w:val="000000" w:themeColor="text1"/>
          <w:kern w:val="0"/>
        </w:rPr>
        <w:t>, 2024)</w:t>
      </w:r>
    </w:p>
    <w:p w14:paraId="1B1FF339" w14:textId="77777777" w:rsidR="004E0594" w:rsidRPr="00D205B1" w:rsidRDefault="004E0594" w:rsidP="00B451D7">
      <w:pPr>
        <w:jc w:val="both"/>
        <w:rPr>
          <w:color w:val="000000" w:themeColor="text1"/>
        </w:rPr>
      </w:pPr>
      <w:r w:rsidRPr="00D205B1">
        <w:rPr>
          <w:color w:val="000000" w:themeColor="text1"/>
        </w:rPr>
        <w:t> </w:t>
      </w:r>
    </w:p>
    <w:p w14:paraId="33C29F69" w14:textId="77777777" w:rsidR="004E0594" w:rsidRPr="00D205B1" w:rsidRDefault="004E0594" w:rsidP="00B451D7">
      <w:pPr>
        <w:jc w:val="both"/>
        <w:rPr>
          <w:color w:val="000000" w:themeColor="text1"/>
        </w:rPr>
      </w:pPr>
      <w:r w:rsidRPr="00D205B1">
        <w:rPr>
          <w:color w:val="000000" w:themeColor="text1"/>
        </w:rPr>
        <w:t>Interpretation:</w:t>
      </w:r>
    </w:p>
    <w:p w14:paraId="4C6A407B" w14:textId="77777777" w:rsidR="004E0594" w:rsidRPr="00D205B1" w:rsidRDefault="004E0594" w:rsidP="00B451D7">
      <w:pPr>
        <w:jc w:val="both"/>
        <w:rPr>
          <w:color w:val="000000" w:themeColor="text1"/>
        </w:rPr>
      </w:pPr>
      <w:r w:rsidRPr="00D205B1">
        <w:rPr>
          <w:color w:val="000000" w:themeColor="text1"/>
        </w:rPr>
        <w:t>If my tracked sample represents the 85.1% who left observable traces, then true sample should include:</w:t>
      </w:r>
    </w:p>
    <w:p w14:paraId="23389783" w14:textId="4C8A1525" w:rsidR="004E0594" w:rsidRPr="00D205B1" w:rsidRDefault="004E0594" w:rsidP="00B451D7">
      <w:pPr>
        <w:pStyle w:val="ListParagraph"/>
        <w:numPr>
          <w:ilvl w:val="0"/>
          <w:numId w:val="187"/>
        </w:numPr>
        <w:jc w:val="both"/>
        <w:outlineLvl w:val="9"/>
        <w:rPr>
          <w:color w:val="000000" w:themeColor="text1"/>
          <w:kern w:val="0"/>
        </w:rPr>
      </w:pPr>
      <w:r w:rsidRPr="00D205B1">
        <w:rPr>
          <w:color w:val="000000" w:themeColor="text1"/>
          <w:kern w:val="0"/>
        </w:rPr>
        <w:t>Observed: 156 positions</w:t>
      </w:r>
    </w:p>
    <w:p w14:paraId="4D19347C" w14:textId="60DAAFF2" w:rsidR="004E0594" w:rsidRPr="00D205B1" w:rsidRDefault="004E0594" w:rsidP="00B451D7">
      <w:pPr>
        <w:pStyle w:val="ListParagraph"/>
        <w:numPr>
          <w:ilvl w:val="0"/>
          <w:numId w:val="187"/>
        </w:numPr>
        <w:jc w:val="both"/>
        <w:outlineLvl w:val="9"/>
        <w:rPr>
          <w:color w:val="000000" w:themeColor="text1"/>
          <w:kern w:val="0"/>
        </w:rPr>
      </w:pPr>
      <w:r w:rsidRPr="00D205B1">
        <w:rPr>
          <w:color w:val="000000" w:themeColor="text1"/>
          <w:kern w:val="0"/>
        </w:rPr>
        <w:t>Unobserved: 156 × (14.9% ÷ 85.1%) = 27.3 ≈ 27 positions</w:t>
      </w:r>
    </w:p>
    <w:p w14:paraId="5AFF6637" w14:textId="2BA824CC" w:rsidR="004E0594" w:rsidRPr="00D205B1" w:rsidRDefault="004E0594" w:rsidP="00B451D7">
      <w:pPr>
        <w:pStyle w:val="ListParagraph"/>
        <w:numPr>
          <w:ilvl w:val="0"/>
          <w:numId w:val="187"/>
        </w:numPr>
        <w:jc w:val="both"/>
        <w:outlineLvl w:val="9"/>
        <w:rPr>
          <w:color w:val="000000" w:themeColor="text1"/>
          <w:kern w:val="0"/>
        </w:rPr>
      </w:pPr>
      <w:r w:rsidRPr="00D205B1">
        <w:rPr>
          <w:color w:val="000000" w:themeColor="text1"/>
          <w:kern w:val="0"/>
        </w:rPr>
        <w:t>Adjusted total: 156 + 27 = 183 positions</w:t>
      </w:r>
    </w:p>
    <w:p w14:paraId="13013EC6" w14:textId="1D180231" w:rsidR="004E0594" w:rsidRPr="00D205B1" w:rsidRDefault="004E0594" w:rsidP="00B451D7">
      <w:pPr>
        <w:pStyle w:val="ListParagraph"/>
        <w:numPr>
          <w:ilvl w:val="0"/>
          <w:numId w:val="187"/>
        </w:numPr>
        <w:jc w:val="both"/>
        <w:outlineLvl w:val="9"/>
        <w:rPr>
          <w:color w:val="000000" w:themeColor="text1"/>
          <w:kern w:val="0"/>
        </w:rPr>
      </w:pPr>
      <w:r w:rsidRPr="00D205B1">
        <w:rPr>
          <w:color w:val="000000" w:themeColor="text1"/>
          <w:kern w:val="0"/>
        </w:rPr>
        <w:t xml:space="preserve">If all 27 unobserved are failures: (114 + 27) ÷ 183 = 77.0% failure </w:t>
      </w:r>
      <w:proofErr w:type="gramStart"/>
      <w:r w:rsidRPr="00D205B1">
        <w:rPr>
          <w:color w:val="000000" w:themeColor="text1"/>
          <w:kern w:val="0"/>
        </w:rPr>
        <w:t>rate</w:t>
      </w:r>
      <w:proofErr w:type="gramEnd"/>
    </w:p>
    <w:p w14:paraId="31D1EFE6" w14:textId="77777777" w:rsidR="004E0594" w:rsidRPr="00D205B1" w:rsidRDefault="004E0594" w:rsidP="00B451D7">
      <w:pPr>
        <w:jc w:val="both"/>
        <w:rPr>
          <w:color w:val="000000" w:themeColor="text1"/>
        </w:rPr>
      </w:pPr>
      <w:r w:rsidRPr="00D205B1">
        <w:rPr>
          <w:color w:val="000000" w:themeColor="text1"/>
        </w:rPr>
        <w:t> </w:t>
      </w:r>
    </w:p>
    <w:p w14:paraId="5DED0659" w14:textId="2F19E2C4" w:rsidR="004E0594" w:rsidRPr="00D205B1" w:rsidRDefault="004E0594" w:rsidP="00B451D7">
      <w:pPr>
        <w:jc w:val="both"/>
        <w:rPr>
          <w:b/>
          <w:bCs/>
          <w:color w:val="000000" w:themeColor="text1"/>
        </w:rPr>
      </w:pPr>
      <w:r w:rsidRPr="00D205B1">
        <w:rPr>
          <w:b/>
          <w:bCs/>
          <w:color w:val="000000" w:themeColor="text1"/>
        </w:rPr>
        <w:t>Method 2: Protocol TVL Reconciliation</w:t>
      </w:r>
    </w:p>
    <w:p w14:paraId="69195C39" w14:textId="77777777" w:rsidR="004E0594" w:rsidRPr="00D205B1" w:rsidRDefault="004E0594" w:rsidP="00B451D7">
      <w:pPr>
        <w:jc w:val="both"/>
        <w:rPr>
          <w:color w:val="000000" w:themeColor="text1"/>
        </w:rPr>
      </w:pPr>
      <w:r w:rsidRPr="00D205B1">
        <w:rPr>
          <w:color w:val="000000" w:themeColor="text1"/>
        </w:rPr>
        <w:t> </w:t>
      </w:r>
    </w:p>
    <w:p w14:paraId="0CF3D306" w14:textId="77777777" w:rsidR="004E0594" w:rsidRPr="00D205B1" w:rsidRDefault="004E0594" w:rsidP="00B451D7">
      <w:pPr>
        <w:jc w:val="both"/>
        <w:rPr>
          <w:color w:val="000000" w:themeColor="text1"/>
        </w:rPr>
      </w:pPr>
      <w:r w:rsidRPr="00D205B1">
        <w:rPr>
          <w:color w:val="000000" w:themeColor="text1"/>
        </w:rPr>
        <w:t>Methodology:</w:t>
      </w:r>
    </w:p>
    <w:p w14:paraId="00F33845" w14:textId="0355AECC" w:rsidR="004E0594" w:rsidRPr="00D205B1" w:rsidRDefault="004E0594" w:rsidP="00B451D7">
      <w:pPr>
        <w:pStyle w:val="ListParagraph"/>
        <w:numPr>
          <w:ilvl w:val="0"/>
          <w:numId w:val="188"/>
        </w:numPr>
        <w:jc w:val="both"/>
        <w:outlineLvl w:val="9"/>
        <w:rPr>
          <w:color w:val="000000" w:themeColor="text1"/>
          <w:kern w:val="0"/>
        </w:rPr>
      </w:pPr>
      <w:r w:rsidRPr="00D205B1">
        <w:rPr>
          <w:color w:val="000000" w:themeColor="text1"/>
          <w:kern w:val="0"/>
        </w:rPr>
        <w:t>Sum of tracked withdrawals: $14.2M</w:t>
      </w:r>
    </w:p>
    <w:p w14:paraId="0DC24D31" w14:textId="5033C4D0" w:rsidR="004E0594" w:rsidRPr="00D205B1" w:rsidRDefault="004E0594" w:rsidP="00B451D7">
      <w:pPr>
        <w:pStyle w:val="ListParagraph"/>
        <w:numPr>
          <w:ilvl w:val="0"/>
          <w:numId w:val="188"/>
        </w:numPr>
        <w:jc w:val="both"/>
        <w:outlineLvl w:val="9"/>
        <w:rPr>
          <w:color w:val="000000" w:themeColor="text1"/>
          <w:kern w:val="0"/>
        </w:rPr>
      </w:pPr>
      <w:r w:rsidRPr="00D205B1">
        <w:rPr>
          <w:color w:val="000000" w:themeColor="text1"/>
          <w:kern w:val="0"/>
        </w:rPr>
        <w:t>Protocol-reported TVL decrease: $17.4M</w:t>
      </w:r>
    </w:p>
    <w:p w14:paraId="72180506" w14:textId="76204345" w:rsidR="004E0594" w:rsidRPr="00D205B1" w:rsidRDefault="004E0594" w:rsidP="00B451D7">
      <w:pPr>
        <w:pStyle w:val="ListParagraph"/>
        <w:numPr>
          <w:ilvl w:val="0"/>
          <w:numId w:val="188"/>
        </w:numPr>
        <w:jc w:val="both"/>
        <w:outlineLvl w:val="9"/>
        <w:rPr>
          <w:color w:val="000000" w:themeColor="text1"/>
          <w:kern w:val="0"/>
        </w:rPr>
      </w:pPr>
      <w:r w:rsidRPr="00D205B1">
        <w:rPr>
          <w:color w:val="000000" w:themeColor="text1"/>
          <w:kern w:val="0"/>
        </w:rPr>
        <w:t>Difference: $17.4M - $14.2M = $3.2M (18.4% unaccounted)</w:t>
      </w:r>
    </w:p>
    <w:p w14:paraId="1E85B3AD" w14:textId="77777777" w:rsidR="004E0594" w:rsidRPr="00D205B1" w:rsidRDefault="004E0594" w:rsidP="00B451D7">
      <w:pPr>
        <w:jc w:val="both"/>
        <w:rPr>
          <w:color w:val="000000" w:themeColor="text1"/>
        </w:rPr>
      </w:pPr>
      <w:r w:rsidRPr="00D205B1">
        <w:rPr>
          <w:color w:val="000000" w:themeColor="text1"/>
        </w:rPr>
        <w:t> </w:t>
      </w:r>
    </w:p>
    <w:p w14:paraId="0A4AB2B7" w14:textId="77777777" w:rsidR="004E0594" w:rsidRPr="00D205B1" w:rsidRDefault="004E0594" w:rsidP="00B451D7">
      <w:pPr>
        <w:jc w:val="both"/>
        <w:rPr>
          <w:color w:val="000000" w:themeColor="text1"/>
        </w:rPr>
      </w:pPr>
      <w:r w:rsidRPr="00D205B1">
        <w:rPr>
          <w:color w:val="000000" w:themeColor="text1"/>
        </w:rPr>
        <w:t>Analysis:</w:t>
      </w:r>
    </w:p>
    <w:p w14:paraId="6EB6D92A" w14:textId="5959841B" w:rsidR="004E0594" w:rsidRPr="00D205B1" w:rsidRDefault="004E0594" w:rsidP="00B451D7">
      <w:pPr>
        <w:pStyle w:val="ListParagraph"/>
        <w:numPr>
          <w:ilvl w:val="0"/>
          <w:numId w:val="189"/>
        </w:numPr>
        <w:jc w:val="both"/>
        <w:outlineLvl w:val="9"/>
        <w:rPr>
          <w:color w:val="000000" w:themeColor="text1"/>
          <w:kern w:val="0"/>
        </w:rPr>
      </w:pPr>
      <w:r w:rsidRPr="00D205B1">
        <w:rPr>
          <w:color w:val="000000" w:themeColor="text1"/>
          <w:kern w:val="0"/>
        </w:rPr>
        <w:t>Total tracked capital: $17.4M initial deposits</w:t>
      </w:r>
    </w:p>
    <w:p w14:paraId="77B6136B" w14:textId="730CD7B2" w:rsidR="004E0594" w:rsidRPr="00D205B1" w:rsidRDefault="004E0594" w:rsidP="00B451D7">
      <w:pPr>
        <w:pStyle w:val="ListParagraph"/>
        <w:numPr>
          <w:ilvl w:val="0"/>
          <w:numId w:val="189"/>
        </w:numPr>
        <w:jc w:val="both"/>
        <w:outlineLvl w:val="9"/>
        <w:rPr>
          <w:color w:val="000000" w:themeColor="text1"/>
          <w:kern w:val="0"/>
        </w:rPr>
      </w:pPr>
      <w:r w:rsidRPr="00D205B1">
        <w:rPr>
          <w:color w:val="000000" w:themeColor="text1"/>
          <w:kern w:val="0"/>
        </w:rPr>
        <w:t>Observable exits: $14.2M (81.6%)</w:t>
      </w:r>
    </w:p>
    <w:p w14:paraId="1F13F71E" w14:textId="11C1F83E" w:rsidR="004E0594" w:rsidRPr="00D205B1" w:rsidRDefault="004E0594" w:rsidP="00B451D7">
      <w:pPr>
        <w:pStyle w:val="ListParagraph"/>
        <w:numPr>
          <w:ilvl w:val="0"/>
          <w:numId w:val="189"/>
        </w:numPr>
        <w:jc w:val="both"/>
        <w:outlineLvl w:val="9"/>
        <w:rPr>
          <w:color w:val="000000" w:themeColor="text1"/>
          <w:kern w:val="0"/>
        </w:rPr>
      </w:pPr>
      <w:r w:rsidRPr="00D205B1">
        <w:rPr>
          <w:color w:val="000000" w:themeColor="text1"/>
          <w:kern w:val="0"/>
        </w:rPr>
        <w:t>Unobservable exits: $3.2M (18.4%)</w:t>
      </w:r>
    </w:p>
    <w:p w14:paraId="5BFC0E7E" w14:textId="77777777" w:rsidR="004E0594" w:rsidRPr="00D205B1" w:rsidRDefault="004E0594" w:rsidP="00B451D7">
      <w:pPr>
        <w:jc w:val="both"/>
        <w:rPr>
          <w:color w:val="000000" w:themeColor="text1"/>
        </w:rPr>
      </w:pPr>
      <w:r w:rsidRPr="00D205B1">
        <w:rPr>
          <w:color w:val="000000" w:themeColor="text1"/>
        </w:rPr>
        <w:lastRenderedPageBreak/>
        <w:t> </w:t>
      </w:r>
    </w:p>
    <w:p w14:paraId="6FC4D462" w14:textId="77777777" w:rsidR="004E0594" w:rsidRPr="00D205B1" w:rsidRDefault="004E0594" w:rsidP="00B451D7">
      <w:pPr>
        <w:jc w:val="both"/>
        <w:rPr>
          <w:color w:val="000000" w:themeColor="text1"/>
        </w:rPr>
      </w:pPr>
      <w:r w:rsidRPr="00D205B1">
        <w:rPr>
          <w:color w:val="000000" w:themeColor="text1"/>
        </w:rPr>
        <w:t>Interpretation:</w:t>
      </w:r>
    </w:p>
    <w:p w14:paraId="6D14A0EB" w14:textId="77777777" w:rsidR="004E0594" w:rsidRPr="00D205B1" w:rsidRDefault="004E0594" w:rsidP="00B451D7">
      <w:pPr>
        <w:jc w:val="both"/>
        <w:rPr>
          <w:color w:val="000000" w:themeColor="text1"/>
        </w:rPr>
      </w:pPr>
      <w:r w:rsidRPr="00D205B1">
        <w:rPr>
          <w:color w:val="000000" w:themeColor="text1"/>
        </w:rPr>
        <w:t xml:space="preserve">If 18.4% of capital </w:t>
      </w:r>
      <w:proofErr w:type="gramStart"/>
      <w:r w:rsidRPr="00D205B1">
        <w:rPr>
          <w:color w:val="000000" w:themeColor="text1"/>
        </w:rPr>
        <w:t>exited</w:t>
      </w:r>
      <w:proofErr w:type="gramEnd"/>
      <w:r w:rsidRPr="00D205B1">
        <w:rPr>
          <w:color w:val="000000" w:themeColor="text1"/>
        </w:rPr>
        <w:t xml:space="preserve"> without observable trace, and assuming these represent failures:</w:t>
      </w:r>
    </w:p>
    <w:p w14:paraId="4B6E582C" w14:textId="43890168" w:rsidR="004E0594" w:rsidRPr="00D205B1" w:rsidRDefault="004E0594" w:rsidP="00B451D7">
      <w:pPr>
        <w:pStyle w:val="ListParagraph"/>
        <w:numPr>
          <w:ilvl w:val="0"/>
          <w:numId w:val="190"/>
        </w:numPr>
        <w:jc w:val="both"/>
        <w:outlineLvl w:val="9"/>
        <w:rPr>
          <w:color w:val="000000" w:themeColor="text1"/>
          <w:kern w:val="0"/>
        </w:rPr>
      </w:pPr>
      <w:r w:rsidRPr="00D205B1">
        <w:rPr>
          <w:color w:val="000000" w:themeColor="text1"/>
          <w:kern w:val="0"/>
        </w:rPr>
        <w:t>Original failure count: 114</w:t>
      </w:r>
    </w:p>
    <w:p w14:paraId="6339731D" w14:textId="1B067843" w:rsidR="004E0594" w:rsidRPr="00D205B1" w:rsidRDefault="004E0594" w:rsidP="00B451D7">
      <w:pPr>
        <w:pStyle w:val="ListParagraph"/>
        <w:numPr>
          <w:ilvl w:val="0"/>
          <w:numId w:val="190"/>
        </w:numPr>
        <w:jc w:val="both"/>
        <w:outlineLvl w:val="9"/>
        <w:rPr>
          <w:color w:val="000000" w:themeColor="text1"/>
          <w:kern w:val="0"/>
        </w:rPr>
      </w:pPr>
      <w:r w:rsidRPr="00D205B1">
        <w:rPr>
          <w:color w:val="000000" w:themeColor="text1"/>
          <w:kern w:val="0"/>
        </w:rPr>
        <w:t>Unobserved failures: 156 × 18.4% = 28.7 ≈ 29</w:t>
      </w:r>
    </w:p>
    <w:p w14:paraId="2E02054A" w14:textId="4525C657" w:rsidR="004E0594" w:rsidRPr="00D205B1" w:rsidRDefault="004E0594" w:rsidP="00B451D7">
      <w:pPr>
        <w:pStyle w:val="ListParagraph"/>
        <w:numPr>
          <w:ilvl w:val="0"/>
          <w:numId w:val="190"/>
        </w:numPr>
        <w:jc w:val="both"/>
        <w:outlineLvl w:val="9"/>
        <w:rPr>
          <w:color w:val="000000" w:themeColor="text1"/>
          <w:kern w:val="0"/>
        </w:rPr>
      </w:pPr>
      <w:r w:rsidRPr="00D205B1">
        <w:rPr>
          <w:color w:val="000000" w:themeColor="text1"/>
          <w:kern w:val="0"/>
        </w:rPr>
        <w:t>Adjusted failure rate: (114 + 29) ÷ 185 = 77.3%</w:t>
      </w:r>
    </w:p>
    <w:p w14:paraId="1E91B4FD" w14:textId="77777777" w:rsidR="004E0594" w:rsidRPr="00D205B1" w:rsidRDefault="004E0594" w:rsidP="00B451D7">
      <w:pPr>
        <w:jc w:val="both"/>
        <w:rPr>
          <w:color w:val="000000" w:themeColor="text1"/>
        </w:rPr>
      </w:pPr>
      <w:r w:rsidRPr="00D205B1">
        <w:rPr>
          <w:color w:val="000000" w:themeColor="text1"/>
        </w:rPr>
        <w:t> </w:t>
      </w:r>
    </w:p>
    <w:p w14:paraId="56D8FDDD" w14:textId="6A5C1623" w:rsidR="004E0594" w:rsidRPr="00D205B1" w:rsidRDefault="004E0594" w:rsidP="00B451D7">
      <w:pPr>
        <w:jc w:val="both"/>
        <w:rPr>
          <w:b/>
          <w:bCs/>
          <w:color w:val="000000" w:themeColor="text1"/>
        </w:rPr>
      </w:pPr>
      <w:r w:rsidRPr="00D205B1">
        <w:rPr>
          <w:b/>
          <w:bCs/>
          <w:color w:val="000000" w:themeColor="text1"/>
        </w:rPr>
        <w:t>Method 3: Self-Reported Additional Failures</w:t>
      </w:r>
    </w:p>
    <w:p w14:paraId="5D8FEAB7" w14:textId="77777777" w:rsidR="004E0594" w:rsidRPr="00D205B1" w:rsidRDefault="004E0594" w:rsidP="00B451D7">
      <w:pPr>
        <w:jc w:val="both"/>
        <w:rPr>
          <w:color w:val="000000" w:themeColor="text1"/>
        </w:rPr>
      </w:pPr>
      <w:r w:rsidRPr="00D205B1">
        <w:rPr>
          <w:color w:val="000000" w:themeColor="text1"/>
        </w:rPr>
        <w:t> </w:t>
      </w:r>
    </w:p>
    <w:p w14:paraId="752C49BD" w14:textId="77777777" w:rsidR="004E0594" w:rsidRPr="00D205B1" w:rsidRDefault="004E0594" w:rsidP="00B451D7">
      <w:pPr>
        <w:jc w:val="both"/>
        <w:rPr>
          <w:color w:val="000000" w:themeColor="text1"/>
        </w:rPr>
      </w:pPr>
      <w:r w:rsidRPr="00D205B1">
        <w:rPr>
          <w:color w:val="000000" w:themeColor="text1"/>
        </w:rPr>
        <w:t>Interview data (n=27):</w:t>
      </w:r>
    </w:p>
    <w:p w14:paraId="3F15E101" w14:textId="38689643" w:rsidR="004E0594" w:rsidRPr="00D205B1" w:rsidRDefault="004E0594" w:rsidP="00B451D7">
      <w:pPr>
        <w:pStyle w:val="ListParagraph"/>
        <w:numPr>
          <w:ilvl w:val="0"/>
          <w:numId w:val="191"/>
        </w:numPr>
        <w:jc w:val="both"/>
        <w:outlineLvl w:val="9"/>
        <w:rPr>
          <w:color w:val="000000" w:themeColor="text1"/>
          <w:kern w:val="0"/>
        </w:rPr>
      </w:pPr>
      <w:r w:rsidRPr="00D205B1">
        <w:rPr>
          <w:color w:val="000000" w:themeColor="text1"/>
          <w:kern w:val="0"/>
        </w:rPr>
        <w:t>Participants reporting additional failed positions: 5 (18.5%)</w:t>
      </w:r>
    </w:p>
    <w:p w14:paraId="4565BB41" w14:textId="4D9531E2" w:rsidR="004E0594" w:rsidRPr="00D205B1" w:rsidRDefault="004E0594" w:rsidP="00B451D7">
      <w:pPr>
        <w:pStyle w:val="ListParagraph"/>
        <w:numPr>
          <w:ilvl w:val="0"/>
          <w:numId w:val="191"/>
        </w:numPr>
        <w:jc w:val="both"/>
        <w:outlineLvl w:val="9"/>
        <w:rPr>
          <w:color w:val="000000" w:themeColor="text1"/>
          <w:kern w:val="0"/>
        </w:rPr>
      </w:pPr>
      <w:r w:rsidRPr="00D205B1">
        <w:rPr>
          <w:color w:val="000000" w:themeColor="text1"/>
          <w:kern w:val="0"/>
        </w:rPr>
        <w:t>Average additional failed capital: $3,200 per participant</w:t>
      </w:r>
    </w:p>
    <w:p w14:paraId="6ACD88EC" w14:textId="45F00565" w:rsidR="004E0594" w:rsidRPr="00D205B1" w:rsidRDefault="004E0594" w:rsidP="00B451D7">
      <w:pPr>
        <w:pStyle w:val="ListParagraph"/>
        <w:numPr>
          <w:ilvl w:val="0"/>
          <w:numId w:val="191"/>
        </w:numPr>
        <w:jc w:val="both"/>
        <w:outlineLvl w:val="9"/>
        <w:rPr>
          <w:color w:val="000000" w:themeColor="text1"/>
          <w:kern w:val="0"/>
        </w:rPr>
      </w:pPr>
      <w:r w:rsidRPr="00D205B1">
        <w:rPr>
          <w:color w:val="000000" w:themeColor="text1"/>
          <w:kern w:val="0"/>
        </w:rPr>
        <w:t>If 18.5% had untracked failures beyond observed positions</w:t>
      </w:r>
    </w:p>
    <w:p w14:paraId="6A0ABD8B" w14:textId="77777777" w:rsidR="004E0594" w:rsidRPr="00D205B1" w:rsidRDefault="004E0594" w:rsidP="00B451D7">
      <w:pPr>
        <w:jc w:val="both"/>
        <w:rPr>
          <w:color w:val="000000" w:themeColor="text1"/>
        </w:rPr>
      </w:pPr>
      <w:r w:rsidRPr="00D205B1">
        <w:rPr>
          <w:color w:val="000000" w:themeColor="text1"/>
        </w:rPr>
        <w:t> </w:t>
      </w:r>
    </w:p>
    <w:p w14:paraId="3916686B" w14:textId="77777777" w:rsidR="004E0594" w:rsidRPr="00D205B1" w:rsidRDefault="004E0594" w:rsidP="00B451D7">
      <w:pPr>
        <w:jc w:val="both"/>
        <w:rPr>
          <w:color w:val="000000" w:themeColor="text1"/>
        </w:rPr>
      </w:pPr>
      <w:r w:rsidRPr="00D205B1">
        <w:rPr>
          <w:color w:val="000000" w:themeColor="text1"/>
        </w:rPr>
        <w:t>Calculation:</w:t>
      </w:r>
    </w:p>
    <w:p w14:paraId="2BB0B26E" w14:textId="07693253" w:rsidR="004E0594" w:rsidRPr="00D205B1" w:rsidRDefault="004E0594" w:rsidP="00B451D7">
      <w:pPr>
        <w:pStyle w:val="ListParagraph"/>
        <w:numPr>
          <w:ilvl w:val="0"/>
          <w:numId w:val="192"/>
        </w:numPr>
        <w:jc w:val="both"/>
        <w:outlineLvl w:val="9"/>
        <w:rPr>
          <w:color w:val="000000" w:themeColor="text1"/>
          <w:kern w:val="0"/>
        </w:rPr>
      </w:pPr>
      <w:r w:rsidRPr="00D205B1">
        <w:rPr>
          <w:color w:val="000000" w:themeColor="text1"/>
          <w:kern w:val="0"/>
        </w:rPr>
        <w:t>Observed sample: 156 positions</w:t>
      </w:r>
    </w:p>
    <w:p w14:paraId="34B9EC78" w14:textId="60405995" w:rsidR="004E0594" w:rsidRPr="00D205B1" w:rsidRDefault="004E0594" w:rsidP="00B451D7">
      <w:pPr>
        <w:pStyle w:val="ListParagraph"/>
        <w:numPr>
          <w:ilvl w:val="0"/>
          <w:numId w:val="192"/>
        </w:numPr>
        <w:jc w:val="both"/>
        <w:outlineLvl w:val="9"/>
        <w:rPr>
          <w:color w:val="000000" w:themeColor="text1"/>
          <w:kern w:val="0"/>
        </w:rPr>
      </w:pPr>
      <w:r w:rsidRPr="00D205B1">
        <w:rPr>
          <w:color w:val="000000" w:themeColor="text1"/>
          <w:kern w:val="0"/>
        </w:rPr>
        <w:t>Estimated untracked: 156 × (18.5% ÷ 81.5%) = 35.4 ≈ 35</w:t>
      </w:r>
    </w:p>
    <w:p w14:paraId="5BB18E82" w14:textId="7386BEA7" w:rsidR="004E0594" w:rsidRPr="00D205B1" w:rsidRDefault="004E0594" w:rsidP="00B451D7">
      <w:pPr>
        <w:pStyle w:val="ListParagraph"/>
        <w:numPr>
          <w:ilvl w:val="0"/>
          <w:numId w:val="192"/>
        </w:numPr>
        <w:jc w:val="both"/>
        <w:outlineLvl w:val="9"/>
        <w:rPr>
          <w:color w:val="000000" w:themeColor="text1"/>
          <w:kern w:val="0"/>
        </w:rPr>
      </w:pPr>
      <w:r w:rsidRPr="00D205B1">
        <w:rPr>
          <w:color w:val="000000" w:themeColor="text1"/>
          <w:kern w:val="0"/>
        </w:rPr>
        <w:t>If all untracked are failures: (114 + 35) ÷ 191 = 78.0%</w:t>
      </w:r>
    </w:p>
    <w:p w14:paraId="45B5060A" w14:textId="77777777" w:rsidR="004E0594" w:rsidRPr="00D205B1" w:rsidRDefault="004E0594" w:rsidP="00B451D7">
      <w:pPr>
        <w:jc w:val="both"/>
        <w:rPr>
          <w:color w:val="000000" w:themeColor="text1"/>
        </w:rPr>
      </w:pPr>
      <w:r w:rsidRPr="00D205B1">
        <w:rPr>
          <w:color w:val="000000" w:themeColor="text1"/>
        </w:rPr>
        <w:t> </w:t>
      </w:r>
    </w:p>
    <w:p w14:paraId="4CB58E4A" w14:textId="4D1CAF1E" w:rsidR="004E0594" w:rsidRPr="00D205B1" w:rsidRDefault="004E0594" w:rsidP="00B451D7">
      <w:pPr>
        <w:jc w:val="both"/>
        <w:rPr>
          <w:b/>
          <w:bCs/>
          <w:color w:val="000000" w:themeColor="text1"/>
        </w:rPr>
      </w:pPr>
      <w:r w:rsidRPr="00D205B1">
        <w:rPr>
          <w:b/>
          <w:bCs/>
          <w:color w:val="000000" w:themeColor="text1"/>
        </w:rPr>
        <w:t>Synthesis and Conservative Upper Bound:</w:t>
      </w:r>
    </w:p>
    <w:p w14:paraId="6C2092DC" w14:textId="77777777" w:rsidR="004E0594" w:rsidRPr="00D205B1" w:rsidRDefault="004E0594" w:rsidP="00B451D7">
      <w:pPr>
        <w:jc w:val="both"/>
        <w:rPr>
          <w:color w:val="000000" w:themeColor="text1"/>
        </w:rPr>
      </w:pPr>
      <w:r w:rsidRPr="00D205B1">
        <w:rPr>
          <w:color w:val="000000" w:themeColor="text1"/>
        </w:rPr>
        <w:t> </w:t>
      </w:r>
    </w:p>
    <w:p w14:paraId="38AEE3EE" w14:textId="77777777" w:rsidR="004E0594" w:rsidRPr="00D205B1" w:rsidRDefault="004E0594" w:rsidP="00B451D7">
      <w:pPr>
        <w:jc w:val="both"/>
        <w:rPr>
          <w:color w:val="000000" w:themeColor="text1"/>
        </w:rPr>
      </w:pPr>
      <w:r w:rsidRPr="00D205B1">
        <w:rPr>
          <w:color w:val="000000" w:themeColor="text1"/>
        </w:rPr>
        <w:t>Three independent methods yield adjusted failure rates:</w:t>
      </w:r>
    </w:p>
    <w:p w14:paraId="286AEB6B" w14:textId="215DE878" w:rsidR="004E0594" w:rsidRPr="00D205B1" w:rsidRDefault="004E0594" w:rsidP="00B451D7">
      <w:pPr>
        <w:pStyle w:val="ListParagraph"/>
        <w:numPr>
          <w:ilvl w:val="1"/>
          <w:numId w:val="193"/>
        </w:numPr>
        <w:jc w:val="both"/>
        <w:outlineLvl w:val="9"/>
        <w:rPr>
          <w:color w:val="000000" w:themeColor="text1"/>
          <w:kern w:val="0"/>
        </w:rPr>
      </w:pPr>
      <w:r w:rsidRPr="00D205B1">
        <w:rPr>
          <w:color w:val="000000" w:themeColor="text1"/>
          <w:kern w:val="0"/>
        </w:rPr>
        <w:t>Method 1 (wallet census): 77.0%</w:t>
      </w:r>
    </w:p>
    <w:p w14:paraId="28D62610" w14:textId="0F962905" w:rsidR="004E0594" w:rsidRPr="00D205B1" w:rsidRDefault="004E0594" w:rsidP="00B451D7">
      <w:pPr>
        <w:pStyle w:val="ListParagraph"/>
        <w:numPr>
          <w:ilvl w:val="1"/>
          <w:numId w:val="193"/>
        </w:numPr>
        <w:jc w:val="both"/>
        <w:outlineLvl w:val="9"/>
        <w:rPr>
          <w:color w:val="000000" w:themeColor="text1"/>
          <w:kern w:val="0"/>
        </w:rPr>
      </w:pPr>
      <w:r w:rsidRPr="00D205B1">
        <w:rPr>
          <w:color w:val="000000" w:themeColor="text1"/>
          <w:kern w:val="0"/>
        </w:rPr>
        <w:t>Method 2 (TVL reconciliation): 77.3%</w:t>
      </w:r>
    </w:p>
    <w:p w14:paraId="3A7F0483" w14:textId="59F15730" w:rsidR="004E0594" w:rsidRPr="00D205B1" w:rsidRDefault="004E0594" w:rsidP="00B451D7">
      <w:pPr>
        <w:pStyle w:val="ListParagraph"/>
        <w:numPr>
          <w:ilvl w:val="1"/>
          <w:numId w:val="193"/>
        </w:numPr>
        <w:jc w:val="both"/>
        <w:outlineLvl w:val="9"/>
        <w:rPr>
          <w:color w:val="000000" w:themeColor="text1"/>
          <w:kern w:val="0"/>
        </w:rPr>
      </w:pPr>
      <w:r w:rsidRPr="00D205B1">
        <w:rPr>
          <w:color w:val="000000" w:themeColor="text1"/>
          <w:kern w:val="0"/>
        </w:rPr>
        <w:t>Method 3 (interview extrapolation): 78.0%</w:t>
      </w:r>
    </w:p>
    <w:p w14:paraId="35DCE11E" w14:textId="6BF8FEFC" w:rsidR="004E0594" w:rsidRPr="00D205B1" w:rsidRDefault="004E0594" w:rsidP="00B451D7">
      <w:pPr>
        <w:pStyle w:val="ListParagraph"/>
        <w:numPr>
          <w:ilvl w:val="1"/>
          <w:numId w:val="193"/>
        </w:numPr>
        <w:jc w:val="both"/>
        <w:outlineLvl w:val="9"/>
        <w:rPr>
          <w:color w:val="000000" w:themeColor="text1"/>
          <w:kern w:val="0"/>
        </w:rPr>
      </w:pPr>
      <w:r w:rsidRPr="00D205B1">
        <w:rPr>
          <w:color w:val="000000" w:themeColor="text1"/>
          <w:kern w:val="0"/>
        </w:rPr>
        <w:t>Mean: 77.4%</w:t>
      </w:r>
    </w:p>
    <w:p w14:paraId="75B51955" w14:textId="291C9188" w:rsidR="004E0594" w:rsidRPr="00D205B1" w:rsidRDefault="004E0594" w:rsidP="00B451D7">
      <w:pPr>
        <w:pStyle w:val="ListParagraph"/>
        <w:numPr>
          <w:ilvl w:val="1"/>
          <w:numId w:val="193"/>
        </w:numPr>
        <w:jc w:val="both"/>
        <w:outlineLvl w:val="9"/>
        <w:rPr>
          <w:color w:val="000000" w:themeColor="text1"/>
          <w:kern w:val="0"/>
        </w:rPr>
      </w:pPr>
      <w:r w:rsidRPr="00D205B1">
        <w:rPr>
          <w:color w:val="000000" w:themeColor="text1"/>
          <w:kern w:val="0"/>
        </w:rPr>
        <w:t>Range: 77.0% - 78.0%</w:t>
      </w:r>
    </w:p>
    <w:p w14:paraId="3F99BF20" w14:textId="77777777" w:rsidR="004E0594" w:rsidRPr="00D205B1" w:rsidRDefault="004E0594" w:rsidP="00B451D7">
      <w:pPr>
        <w:jc w:val="both"/>
        <w:rPr>
          <w:color w:val="000000" w:themeColor="text1"/>
        </w:rPr>
      </w:pPr>
      <w:r w:rsidRPr="00D205B1">
        <w:rPr>
          <w:color w:val="000000" w:themeColor="text1"/>
        </w:rPr>
        <w:t> </w:t>
      </w:r>
    </w:p>
    <w:p w14:paraId="08460206" w14:textId="0BCF3307" w:rsidR="004E0594" w:rsidRPr="00D205B1" w:rsidRDefault="004E0594" w:rsidP="00B451D7">
      <w:pPr>
        <w:jc w:val="both"/>
        <w:rPr>
          <w:b/>
          <w:bCs/>
          <w:color w:val="000000" w:themeColor="text1"/>
        </w:rPr>
      </w:pPr>
      <w:r w:rsidRPr="00D205B1">
        <w:rPr>
          <w:b/>
          <w:bCs/>
          <w:color w:val="000000" w:themeColor="text1"/>
        </w:rPr>
        <w:t>Reported Range Derivation:</w:t>
      </w:r>
    </w:p>
    <w:p w14:paraId="00C85A07" w14:textId="192032BB" w:rsidR="004E0594" w:rsidRPr="00D205B1" w:rsidRDefault="004E0594" w:rsidP="00B451D7">
      <w:pPr>
        <w:pStyle w:val="ListParagraph"/>
        <w:numPr>
          <w:ilvl w:val="0"/>
          <w:numId w:val="194"/>
        </w:numPr>
        <w:jc w:val="both"/>
        <w:outlineLvl w:val="9"/>
        <w:rPr>
          <w:color w:val="000000" w:themeColor="text1"/>
          <w:kern w:val="0"/>
        </w:rPr>
      </w:pPr>
      <w:r w:rsidRPr="00D205B1">
        <w:rPr>
          <w:color w:val="000000" w:themeColor="text1"/>
          <w:kern w:val="0"/>
        </w:rPr>
        <w:t>Lower bound: 73% (directly observed, 95% CI: 65%-80%)</w:t>
      </w:r>
    </w:p>
    <w:p w14:paraId="21327AB6" w14:textId="6E46CBC3" w:rsidR="004E0594" w:rsidRPr="00D205B1" w:rsidRDefault="004E0594" w:rsidP="00B451D7">
      <w:pPr>
        <w:pStyle w:val="ListParagraph"/>
        <w:numPr>
          <w:ilvl w:val="0"/>
          <w:numId w:val="194"/>
        </w:numPr>
        <w:jc w:val="both"/>
        <w:outlineLvl w:val="9"/>
        <w:rPr>
          <w:color w:val="000000" w:themeColor="text1"/>
          <w:kern w:val="0"/>
        </w:rPr>
      </w:pPr>
      <w:r w:rsidRPr="00D205B1">
        <w:rPr>
          <w:color w:val="000000" w:themeColor="text1"/>
          <w:kern w:val="0"/>
        </w:rPr>
        <w:t>Central adjustment: 77% (average of three methods)</w:t>
      </w:r>
    </w:p>
    <w:p w14:paraId="289A6C7D" w14:textId="3A0A214A" w:rsidR="004E0594" w:rsidRPr="00D205B1" w:rsidRDefault="004E0594" w:rsidP="00B451D7">
      <w:pPr>
        <w:pStyle w:val="ListParagraph"/>
        <w:numPr>
          <w:ilvl w:val="0"/>
          <w:numId w:val="194"/>
        </w:numPr>
        <w:jc w:val="both"/>
        <w:outlineLvl w:val="9"/>
        <w:rPr>
          <w:color w:val="000000" w:themeColor="text1"/>
          <w:kern w:val="0"/>
        </w:rPr>
      </w:pPr>
      <w:r w:rsidRPr="00D205B1">
        <w:rPr>
          <w:color w:val="000000" w:themeColor="text1"/>
          <w:kern w:val="0"/>
        </w:rPr>
        <w:t>Upper bound with uncertainty: 80% (observed CI upper) + (3 × 3.3% average method variation) ≈ 90%</w:t>
      </w:r>
    </w:p>
    <w:p w14:paraId="4740CA9E" w14:textId="77777777" w:rsidR="004E0594" w:rsidRPr="00D205B1" w:rsidRDefault="004E0594" w:rsidP="00B451D7">
      <w:pPr>
        <w:jc w:val="both"/>
        <w:rPr>
          <w:color w:val="000000" w:themeColor="text1"/>
        </w:rPr>
      </w:pPr>
      <w:r w:rsidRPr="00D205B1">
        <w:rPr>
          <w:color w:val="000000" w:themeColor="text1"/>
        </w:rPr>
        <w:t> </w:t>
      </w:r>
    </w:p>
    <w:p w14:paraId="1BA9F15F" w14:textId="26E54F90" w:rsidR="004E0594" w:rsidRPr="00D205B1" w:rsidRDefault="004E0594" w:rsidP="00B451D7">
      <w:pPr>
        <w:jc w:val="both"/>
        <w:rPr>
          <w:b/>
          <w:bCs/>
          <w:color w:val="000000" w:themeColor="text1"/>
        </w:rPr>
      </w:pPr>
      <w:r w:rsidRPr="00D205B1">
        <w:rPr>
          <w:b/>
          <w:bCs/>
          <w:color w:val="000000" w:themeColor="text1"/>
        </w:rPr>
        <w:t>The "73-90%" range represents:</w:t>
      </w:r>
    </w:p>
    <w:p w14:paraId="619D7CD6" w14:textId="22AD8C04" w:rsidR="004E0594" w:rsidRPr="00D205B1" w:rsidRDefault="004E0594" w:rsidP="00B451D7">
      <w:pPr>
        <w:pStyle w:val="ListParagraph"/>
        <w:numPr>
          <w:ilvl w:val="0"/>
          <w:numId w:val="195"/>
        </w:numPr>
        <w:jc w:val="both"/>
        <w:outlineLvl w:val="9"/>
        <w:rPr>
          <w:color w:val="000000" w:themeColor="text1"/>
          <w:kern w:val="0"/>
        </w:rPr>
      </w:pPr>
      <w:r w:rsidRPr="00D205B1">
        <w:rPr>
          <w:color w:val="000000" w:themeColor="text1"/>
          <w:kern w:val="0"/>
        </w:rPr>
        <w:t>73%: Conservative estimate using only directly observable data</w:t>
      </w:r>
    </w:p>
    <w:p w14:paraId="71CB07D7" w14:textId="3CF47A1C" w:rsidR="004E0594" w:rsidRPr="00D205B1" w:rsidRDefault="004E0594" w:rsidP="00B451D7">
      <w:pPr>
        <w:pStyle w:val="ListParagraph"/>
        <w:numPr>
          <w:ilvl w:val="0"/>
          <w:numId w:val="195"/>
        </w:numPr>
        <w:jc w:val="both"/>
        <w:outlineLvl w:val="9"/>
        <w:rPr>
          <w:color w:val="000000" w:themeColor="text1"/>
          <w:kern w:val="0"/>
        </w:rPr>
      </w:pPr>
      <w:r w:rsidRPr="00D205B1">
        <w:rPr>
          <w:color w:val="000000" w:themeColor="text1"/>
          <w:kern w:val="0"/>
        </w:rPr>
        <w:t>77%: Best estimate accounting for unobservable failures</w:t>
      </w:r>
    </w:p>
    <w:p w14:paraId="14F8A4BD" w14:textId="3EACEAB3" w:rsidR="004E0594" w:rsidRPr="00D205B1" w:rsidRDefault="004E0594" w:rsidP="00B451D7">
      <w:pPr>
        <w:pStyle w:val="ListParagraph"/>
        <w:numPr>
          <w:ilvl w:val="0"/>
          <w:numId w:val="195"/>
        </w:numPr>
        <w:jc w:val="both"/>
        <w:outlineLvl w:val="9"/>
        <w:rPr>
          <w:color w:val="000000" w:themeColor="text1"/>
          <w:kern w:val="0"/>
        </w:rPr>
      </w:pPr>
      <w:r w:rsidRPr="00D205B1">
        <w:rPr>
          <w:color w:val="000000" w:themeColor="text1"/>
          <w:kern w:val="0"/>
        </w:rPr>
        <w:t>90%: Upper bound incorporating measurement uncertainty and potential underestimation in all three methods</w:t>
      </w:r>
    </w:p>
    <w:p w14:paraId="21D4B437" w14:textId="77777777" w:rsidR="004E0594" w:rsidRPr="00D205B1" w:rsidRDefault="004E0594" w:rsidP="00B451D7">
      <w:pPr>
        <w:jc w:val="both"/>
        <w:rPr>
          <w:color w:val="000000" w:themeColor="text1"/>
        </w:rPr>
      </w:pPr>
      <w:r w:rsidRPr="00D205B1">
        <w:rPr>
          <w:color w:val="000000" w:themeColor="text1"/>
        </w:rPr>
        <w:t> </w:t>
      </w:r>
    </w:p>
    <w:p w14:paraId="78125561" w14:textId="331D7C66" w:rsidR="004E0594" w:rsidRPr="00D205B1" w:rsidRDefault="004E0594" w:rsidP="00B451D7">
      <w:pPr>
        <w:jc w:val="both"/>
        <w:rPr>
          <w:color w:val="000000" w:themeColor="text1"/>
        </w:rPr>
      </w:pPr>
      <w:r w:rsidRPr="00D205B1">
        <w:rPr>
          <w:color w:val="000000" w:themeColor="text1"/>
        </w:rPr>
        <w:t>Confidence in bounds:</w:t>
      </w:r>
    </w:p>
    <w:p w14:paraId="72625B4D" w14:textId="4A15D560" w:rsidR="004E0594" w:rsidRPr="00D205B1" w:rsidRDefault="004E0594" w:rsidP="00B451D7">
      <w:pPr>
        <w:pStyle w:val="ListParagraph"/>
        <w:numPr>
          <w:ilvl w:val="0"/>
          <w:numId w:val="98"/>
        </w:numPr>
        <w:jc w:val="both"/>
        <w:outlineLvl w:val="9"/>
        <w:rPr>
          <w:color w:val="000000" w:themeColor="text1"/>
          <w:kern w:val="0"/>
        </w:rPr>
      </w:pPr>
      <w:r w:rsidRPr="00D205B1">
        <w:rPr>
          <w:color w:val="000000" w:themeColor="text1"/>
          <w:kern w:val="0"/>
        </w:rPr>
        <w:t>Lower (73%): High confidence - based on complete tracking of observable positions</w:t>
      </w:r>
    </w:p>
    <w:p w14:paraId="42559CEC" w14:textId="7A375E2D" w:rsidR="004E0594" w:rsidRPr="00D205B1" w:rsidRDefault="004E0594" w:rsidP="00B451D7">
      <w:pPr>
        <w:pStyle w:val="ListParagraph"/>
        <w:numPr>
          <w:ilvl w:val="0"/>
          <w:numId w:val="98"/>
        </w:numPr>
        <w:jc w:val="both"/>
        <w:outlineLvl w:val="9"/>
        <w:rPr>
          <w:color w:val="000000" w:themeColor="text1"/>
          <w:kern w:val="0"/>
        </w:rPr>
      </w:pPr>
      <w:r w:rsidRPr="00D205B1">
        <w:rPr>
          <w:color w:val="000000" w:themeColor="text1"/>
          <w:kern w:val="0"/>
        </w:rPr>
        <w:t>Central (77%): Moderate confidence - three independent methods converge closely</w:t>
      </w:r>
    </w:p>
    <w:p w14:paraId="6971DEA0" w14:textId="0C4002EE" w:rsidR="004E0594" w:rsidRPr="00D205B1" w:rsidRDefault="004E0594" w:rsidP="00B451D7">
      <w:pPr>
        <w:pStyle w:val="ListParagraph"/>
        <w:numPr>
          <w:ilvl w:val="0"/>
          <w:numId w:val="98"/>
        </w:numPr>
        <w:jc w:val="both"/>
        <w:outlineLvl w:val="9"/>
        <w:rPr>
          <w:color w:val="000000" w:themeColor="text1"/>
          <w:kern w:val="0"/>
        </w:rPr>
      </w:pPr>
      <w:r w:rsidRPr="00D205B1">
        <w:rPr>
          <w:color w:val="000000" w:themeColor="text1"/>
          <w:kern w:val="0"/>
        </w:rPr>
        <w:t>Upper (90%): Low confidence - includes substantial uncertainty buffer for unknown unknowns</w:t>
      </w:r>
    </w:p>
    <w:p w14:paraId="5076989C" w14:textId="77777777" w:rsidR="004E0594" w:rsidRPr="00D205B1" w:rsidRDefault="004E0594" w:rsidP="00B451D7">
      <w:pPr>
        <w:jc w:val="both"/>
        <w:rPr>
          <w:color w:val="000000" w:themeColor="text1"/>
        </w:rPr>
      </w:pPr>
      <w:r w:rsidRPr="00D205B1">
        <w:rPr>
          <w:color w:val="000000" w:themeColor="text1"/>
        </w:rPr>
        <w:t> </w:t>
      </w:r>
    </w:p>
    <w:p w14:paraId="7BADD816" w14:textId="7814866F" w:rsidR="004E0594" w:rsidRPr="00D205B1" w:rsidRDefault="004E0594" w:rsidP="00B451D7">
      <w:pPr>
        <w:jc w:val="both"/>
        <w:rPr>
          <w:color w:val="000000" w:themeColor="text1"/>
        </w:rPr>
      </w:pPr>
      <w:r w:rsidRPr="00D205B1">
        <w:rPr>
          <w:color w:val="000000" w:themeColor="text1"/>
        </w:rPr>
        <w:lastRenderedPageBreak/>
        <w:t>Throughout this dissertation, when I state "73% failure rate," this represents the conservative lower bound. The true population failure rate likely falls between 73-85%, with 90% representing an extreme but plausible upper estimate.</w:t>
      </w:r>
    </w:p>
    <w:p w14:paraId="5747B85B" w14:textId="77777777" w:rsidR="004E0594" w:rsidRPr="00D205B1" w:rsidRDefault="004E0594" w:rsidP="00B451D7">
      <w:pPr>
        <w:jc w:val="both"/>
        <w:rPr>
          <w:i/>
          <w:iCs/>
          <w:color w:val="000000" w:themeColor="text1"/>
        </w:rPr>
      </w:pPr>
      <w:r w:rsidRPr="00D205B1">
        <w:rPr>
          <w:i/>
          <w:iCs/>
          <w:color w:val="000000" w:themeColor="text1"/>
        </w:rPr>
        <w:t> </w:t>
      </w:r>
    </w:p>
    <w:p w14:paraId="0E3E0A6F" w14:textId="6775F001" w:rsidR="004E0594" w:rsidRPr="00D205B1" w:rsidRDefault="004E0594" w:rsidP="00B451D7">
      <w:pPr>
        <w:jc w:val="both"/>
        <w:rPr>
          <w:i/>
          <w:iCs/>
          <w:color w:val="000000" w:themeColor="text1"/>
        </w:rPr>
      </w:pPr>
      <w:r w:rsidRPr="00D205B1">
        <w:rPr>
          <w:i/>
          <w:iCs/>
          <w:color w:val="000000" w:themeColor="text1"/>
        </w:rPr>
        <w:t>Note: The three methods are independent in their data sources (blockchain census, protocol TVL, interviews) but not in their assumptions (all assume unobserved positions are failures). If some unobserved positions succeeded but left no trace, these estimates overstate survivorship bias. However, the mechanism for successful positions leaving no trace is unclear, making this scenario unlikely.</w:t>
      </w:r>
    </w:p>
    <w:p w14:paraId="3721E72F" w14:textId="77777777" w:rsidR="00E32BFA" w:rsidRPr="00D205B1" w:rsidRDefault="00E32BFA" w:rsidP="00B451D7">
      <w:pPr>
        <w:pStyle w:val="ListParagraph"/>
        <w:jc w:val="both"/>
        <w:rPr>
          <w:rFonts w:eastAsiaTheme="majorEastAsia"/>
          <w:bCs/>
          <w:color w:val="000000" w:themeColor="text1"/>
        </w:rPr>
      </w:pPr>
    </w:p>
    <w:p w14:paraId="5B9325E7" w14:textId="45328A29" w:rsidR="00E32BFA" w:rsidRPr="00D205B1" w:rsidRDefault="008D6F57" w:rsidP="00B451D7">
      <w:pPr>
        <w:pStyle w:val="Heading3"/>
        <w:jc w:val="both"/>
        <w:rPr>
          <w:rFonts w:eastAsiaTheme="majorEastAsia"/>
          <w:color w:val="000000" w:themeColor="text1"/>
        </w:rPr>
      </w:pPr>
      <w:bookmarkStart w:id="91" w:name="_Toc214721897"/>
      <w:r w:rsidRPr="00D205B1">
        <w:rPr>
          <w:rFonts w:eastAsiaTheme="majorEastAsia"/>
          <w:color w:val="000000" w:themeColor="text1"/>
        </w:rPr>
        <w:t>4</w:t>
      </w:r>
      <w:r w:rsidR="00E32BFA" w:rsidRPr="00D205B1">
        <w:rPr>
          <w:rFonts w:eastAsiaTheme="majorEastAsia"/>
          <w:color w:val="000000" w:themeColor="text1"/>
        </w:rPr>
        <w:t>.8.</w:t>
      </w:r>
      <w:r w:rsidR="00B41EF0" w:rsidRPr="00D205B1">
        <w:rPr>
          <w:rFonts w:eastAsiaTheme="majorEastAsia"/>
          <w:color w:val="000000" w:themeColor="text1"/>
        </w:rPr>
        <w:t>2</w:t>
      </w:r>
      <w:r w:rsidR="00E32BFA" w:rsidRPr="00D205B1">
        <w:rPr>
          <w:rFonts w:eastAsiaTheme="majorEastAsia"/>
          <w:color w:val="000000" w:themeColor="text1"/>
        </w:rPr>
        <w:t xml:space="preserve"> Methodological Boundaries and Validity</w:t>
      </w:r>
      <w:bookmarkEnd w:id="91"/>
    </w:p>
    <w:p w14:paraId="4808B122" w14:textId="5E70E78E" w:rsidR="00E32BFA" w:rsidRPr="00D205B1" w:rsidRDefault="00E32BFA" w:rsidP="00B451D7">
      <w:pPr>
        <w:jc w:val="both"/>
        <w:rPr>
          <w:rFonts w:eastAsiaTheme="majorEastAsia"/>
          <w:color w:val="000000" w:themeColor="text1"/>
        </w:rPr>
      </w:pPr>
      <w:r w:rsidRPr="00D205B1">
        <w:rPr>
          <w:rFonts w:eastAsiaTheme="majorEastAsia"/>
          <w:color w:val="000000" w:themeColor="text1"/>
        </w:rPr>
        <w:t xml:space="preserve">This research employs what Maxwell (2013) </w:t>
      </w:r>
      <w:r w:rsidR="00D17857" w:rsidRPr="00D205B1">
        <w:rPr>
          <w:rFonts w:eastAsiaTheme="majorEastAsia"/>
          <w:color w:val="000000" w:themeColor="text1"/>
        </w:rPr>
        <w:t>termed as</w:t>
      </w:r>
      <w:r w:rsidRPr="00D205B1">
        <w:rPr>
          <w:rFonts w:eastAsiaTheme="majorEastAsia"/>
          <w:color w:val="000000" w:themeColor="text1"/>
        </w:rPr>
        <w:t xml:space="preserve"> "realist validity"</w:t>
      </w:r>
      <w:r w:rsidR="00D17857" w:rsidRPr="00D205B1">
        <w:rPr>
          <w:rFonts w:eastAsiaTheme="majorEastAsia"/>
          <w:color w:val="000000" w:themeColor="text1"/>
        </w:rPr>
        <w:t xml:space="preserve">. This is the </w:t>
      </w:r>
      <w:r w:rsidRPr="00D205B1">
        <w:rPr>
          <w:rFonts w:eastAsiaTheme="majorEastAsia"/>
          <w:color w:val="000000" w:themeColor="text1"/>
        </w:rPr>
        <w:t>acknowledg</w:t>
      </w:r>
      <w:r w:rsidR="00D17857" w:rsidRPr="00D205B1">
        <w:rPr>
          <w:rFonts w:eastAsiaTheme="majorEastAsia"/>
          <w:color w:val="000000" w:themeColor="text1"/>
        </w:rPr>
        <w:t>ement</w:t>
      </w:r>
      <w:r w:rsidRPr="00D205B1">
        <w:rPr>
          <w:rFonts w:eastAsiaTheme="majorEastAsia"/>
          <w:color w:val="000000" w:themeColor="text1"/>
        </w:rPr>
        <w:t xml:space="preserve"> that findings are partial truths </w:t>
      </w:r>
      <w:r w:rsidR="00D17857" w:rsidRPr="00D205B1">
        <w:rPr>
          <w:rFonts w:eastAsiaTheme="majorEastAsia"/>
          <w:color w:val="000000" w:themeColor="text1"/>
        </w:rPr>
        <w:t>limited</w:t>
      </w:r>
      <w:r w:rsidRPr="00D205B1">
        <w:rPr>
          <w:rFonts w:eastAsiaTheme="majorEastAsia"/>
          <w:color w:val="000000" w:themeColor="text1"/>
        </w:rPr>
        <w:t xml:space="preserve"> by specific contexts rather than universal laws. The validity claims rest on three pillars:</w:t>
      </w:r>
    </w:p>
    <w:p w14:paraId="1080372D" w14:textId="77777777" w:rsidR="00E32BFA" w:rsidRPr="00D205B1" w:rsidRDefault="00E32BFA" w:rsidP="00B451D7">
      <w:pPr>
        <w:jc w:val="both"/>
        <w:rPr>
          <w:rFonts w:eastAsiaTheme="majorEastAsia"/>
          <w:color w:val="000000" w:themeColor="text1"/>
        </w:rPr>
      </w:pPr>
    </w:p>
    <w:p w14:paraId="21D17A50" w14:textId="77777777" w:rsidR="00E32BFA" w:rsidRPr="00D205B1" w:rsidRDefault="00E32BFA" w:rsidP="00B451D7">
      <w:pPr>
        <w:jc w:val="both"/>
        <w:rPr>
          <w:rFonts w:eastAsiaTheme="majorEastAsia"/>
          <w:b/>
          <w:bCs/>
          <w:color w:val="000000" w:themeColor="text1"/>
        </w:rPr>
      </w:pPr>
      <w:r w:rsidRPr="00D205B1">
        <w:rPr>
          <w:rFonts w:eastAsiaTheme="majorEastAsia"/>
          <w:b/>
          <w:bCs/>
          <w:color w:val="000000" w:themeColor="text1"/>
        </w:rPr>
        <w:t>Internal Validity:</w:t>
      </w:r>
    </w:p>
    <w:p w14:paraId="7C4E150B" w14:textId="77777777" w:rsidR="00E32BFA" w:rsidRPr="00D205B1" w:rsidRDefault="00E32BFA" w:rsidP="00B451D7">
      <w:pPr>
        <w:jc w:val="both"/>
        <w:rPr>
          <w:rFonts w:eastAsiaTheme="majorEastAsia"/>
          <w:color w:val="000000" w:themeColor="text1"/>
        </w:rPr>
      </w:pPr>
      <w:r w:rsidRPr="00D205B1">
        <w:rPr>
          <w:rFonts w:eastAsiaTheme="majorEastAsia"/>
          <w:color w:val="000000" w:themeColor="text1"/>
        </w:rPr>
        <w:t>The 156 tracked positions provide sufficient depth for mechanism identification (theoretical saturation achieved at n=89 for primary patterns). However, following Cook and Campbell (1979), several threats to internal validity must be acknowledged:</w:t>
      </w:r>
    </w:p>
    <w:p w14:paraId="5A8A39DC" w14:textId="46408B77" w:rsidR="00E32BFA" w:rsidRPr="00D205B1" w:rsidRDefault="00E32BFA" w:rsidP="00B451D7">
      <w:pPr>
        <w:pStyle w:val="ListParagraph"/>
        <w:numPr>
          <w:ilvl w:val="0"/>
          <w:numId w:val="12"/>
        </w:numPr>
        <w:jc w:val="both"/>
        <w:rPr>
          <w:rFonts w:eastAsiaTheme="majorEastAsia"/>
          <w:color w:val="000000" w:themeColor="text1"/>
        </w:rPr>
      </w:pPr>
      <w:r w:rsidRPr="00D205B1">
        <w:rPr>
          <w:rFonts w:eastAsiaTheme="majorEastAsia"/>
          <w:color w:val="000000" w:themeColor="text1"/>
        </w:rPr>
        <w:t>Selection bias: Self-selected participants likely more motivated/skilled than general population</w:t>
      </w:r>
    </w:p>
    <w:p w14:paraId="03DA984C" w14:textId="4AB3EB2B" w:rsidR="00E32BFA" w:rsidRPr="00D205B1" w:rsidRDefault="00E32BFA" w:rsidP="00B451D7">
      <w:pPr>
        <w:pStyle w:val="ListParagraph"/>
        <w:numPr>
          <w:ilvl w:val="0"/>
          <w:numId w:val="12"/>
        </w:numPr>
        <w:jc w:val="both"/>
        <w:rPr>
          <w:rFonts w:eastAsiaTheme="majorEastAsia"/>
          <w:color w:val="000000" w:themeColor="text1"/>
        </w:rPr>
      </w:pPr>
      <w:r w:rsidRPr="00D205B1">
        <w:rPr>
          <w:rFonts w:eastAsiaTheme="majorEastAsia"/>
          <w:color w:val="000000" w:themeColor="text1"/>
        </w:rPr>
        <w:t>History effects: 2020-2024 period included unprecedented monetary/regulatory conditions</w:t>
      </w:r>
    </w:p>
    <w:p w14:paraId="74115A3F" w14:textId="797930B7" w:rsidR="00E32BFA" w:rsidRPr="00D205B1" w:rsidRDefault="00E32BFA" w:rsidP="00B451D7">
      <w:pPr>
        <w:pStyle w:val="ListParagraph"/>
        <w:numPr>
          <w:ilvl w:val="0"/>
          <w:numId w:val="12"/>
        </w:numPr>
        <w:jc w:val="both"/>
        <w:rPr>
          <w:rFonts w:eastAsiaTheme="majorEastAsia"/>
          <w:color w:val="000000" w:themeColor="text1"/>
        </w:rPr>
      </w:pPr>
      <w:r w:rsidRPr="00D205B1">
        <w:rPr>
          <w:rFonts w:eastAsiaTheme="majorEastAsia"/>
          <w:color w:val="000000" w:themeColor="text1"/>
        </w:rPr>
        <w:t>Maturation: Strategies evolved during observation, confounding time-based comparisons</w:t>
      </w:r>
    </w:p>
    <w:p w14:paraId="58C01D65" w14:textId="3356E842" w:rsidR="00E32BFA" w:rsidRPr="00D205B1" w:rsidRDefault="00E32BFA" w:rsidP="00B451D7">
      <w:pPr>
        <w:pStyle w:val="ListParagraph"/>
        <w:numPr>
          <w:ilvl w:val="0"/>
          <w:numId w:val="12"/>
        </w:numPr>
        <w:jc w:val="both"/>
        <w:rPr>
          <w:rFonts w:eastAsiaTheme="majorEastAsia"/>
          <w:color w:val="000000" w:themeColor="text1"/>
        </w:rPr>
      </w:pPr>
      <w:r w:rsidRPr="00D205B1">
        <w:rPr>
          <w:rFonts w:eastAsiaTheme="majorEastAsia"/>
          <w:color w:val="000000" w:themeColor="text1"/>
        </w:rPr>
        <w:t>Attrition: 23% of initially tracked positions abandoned before 90 days</w:t>
      </w:r>
    </w:p>
    <w:p w14:paraId="5D3484EE" w14:textId="77777777" w:rsidR="00E32BFA" w:rsidRPr="00D205B1" w:rsidRDefault="00E32BFA" w:rsidP="00B451D7">
      <w:pPr>
        <w:jc w:val="both"/>
        <w:rPr>
          <w:rFonts w:eastAsiaTheme="majorEastAsia"/>
          <w:color w:val="000000" w:themeColor="text1"/>
        </w:rPr>
      </w:pPr>
    </w:p>
    <w:p w14:paraId="42DC851D" w14:textId="77777777" w:rsidR="00E32BFA" w:rsidRPr="00D205B1" w:rsidRDefault="00E32BFA" w:rsidP="00B451D7">
      <w:pPr>
        <w:jc w:val="both"/>
        <w:rPr>
          <w:rFonts w:eastAsiaTheme="majorEastAsia"/>
          <w:b/>
          <w:bCs/>
          <w:color w:val="000000" w:themeColor="text1"/>
        </w:rPr>
      </w:pPr>
      <w:r w:rsidRPr="00D205B1">
        <w:rPr>
          <w:rFonts w:eastAsiaTheme="majorEastAsia"/>
          <w:b/>
          <w:bCs/>
          <w:color w:val="000000" w:themeColor="text1"/>
        </w:rPr>
        <w:t>Construct Validity:</w:t>
      </w:r>
    </w:p>
    <w:p w14:paraId="20EB7D88" w14:textId="77777777" w:rsidR="00E32BFA" w:rsidRPr="00D205B1" w:rsidRDefault="00E32BFA" w:rsidP="00B451D7">
      <w:pPr>
        <w:jc w:val="both"/>
        <w:rPr>
          <w:rFonts w:eastAsiaTheme="majorEastAsia"/>
          <w:color w:val="000000" w:themeColor="text1"/>
        </w:rPr>
      </w:pPr>
      <w:r w:rsidRPr="00D205B1">
        <w:rPr>
          <w:rFonts w:eastAsiaTheme="majorEastAsia"/>
          <w:color w:val="000000" w:themeColor="text1"/>
        </w:rPr>
        <w:t>"Success" and "failure" definitions influence all findings. Using net returns &gt;0 as success threshold is arbitrary; alternative thresholds yield different failure rates:</w:t>
      </w:r>
    </w:p>
    <w:p w14:paraId="053B95A3" w14:textId="4E167268" w:rsidR="00E32BFA" w:rsidRPr="00D205B1" w:rsidRDefault="00E32BFA" w:rsidP="00B451D7">
      <w:pPr>
        <w:pStyle w:val="ListParagraph"/>
        <w:numPr>
          <w:ilvl w:val="0"/>
          <w:numId w:val="13"/>
        </w:numPr>
        <w:jc w:val="both"/>
        <w:rPr>
          <w:rFonts w:eastAsiaTheme="majorEastAsia"/>
          <w:color w:val="000000" w:themeColor="text1"/>
        </w:rPr>
      </w:pPr>
      <w:r w:rsidRPr="00D205B1">
        <w:rPr>
          <w:rFonts w:eastAsiaTheme="majorEastAsia"/>
          <w:color w:val="000000" w:themeColor="text1"/>
        </w:rPr>
        <w:t>&gt;0% return: 27% success rate in sample</w:t>
      </w:r>
    </w:p>
    <w:p w14:paraId="59E84FC7" w14:textId="3D107BAE" w:rsidR="00E32BFA" w:rsidRPr="00D205B1" w:rsidRDefault="00E32BFA" w:rsidP="00B451D7">
      <w:pPr>
        <w:pStyle w:val="ListParagraph"/>
        <w:numPr>
          <w:ilvl w:val="0"/>
          <w:numId w:val="13"/>
        </w:numPr>
        <w:jc w:val="both"/>
        <w:rPr>
          <w:rFonts w:eastAsiaTheme="majorEastAsia"/>
          <w:color w:val="000000" w:themeColor="text1"/>
        </w:rPr>
      </w:pPr>
      <w:r w:rsidRPr="00D205B1">
        <w:rPr>
          <w:rFonts w:eastAsiaTheme="majorEastAsia"/>
          <w:color w:val="000000" w:themeColor="text1"/>
        </w:rPr>
        <w:t>&gt;5% return: 19% success rate</w:t>
      </w:r>
    </w:p>
    <w:p w14:paraId="40495CA9" w14:textId="662D297C" w:rsidR="00E32BFA" w:rsidRPr="00D205B1" w:rsidRDefault="00E32BFA" w:rsidP="00B451D7">
      <w:pPr>
        <w:pStyle w:val="ListParagraph"/>
        <w:numPr>
          <w:ilvl w:val="0"/>
          <w:numId w:val="13"/>
        </w:numPr>
        <w:jc w:val="both"/>
        <w:rPr>
          <w:rFonts w:eastAsiaTheme="majorEastAsia"/>
          <w:color w:val="000000" w:themeColor="text1"/>
        </w:rPr>
      </w:pPr>
      <w:r w:rsidRPr="00D205B1">
        <w:rPr>
          <w:rFonts w:eastAsiaTheme="majorEastAsia"/>
          <w:color w:val="000000" w:themeColor="text1"/>
        </w:rPr>
        <w:t>&gt;Risk-free rate (4.5%): 15% success rate</w:t>
      </w:r>
    </w:p>
    <w:p w14:paraId="5974914A" w14:textId="6EB3CA9D" w:rsidR="00E32BFA" w:rsidRPr="00D205B1" w:rsidRDefault="00E32BFA" w:rsidP="00B451D7">
      <w:pPr>
        <w:pStyle w:val="ListParagraph"/>
        <w:numPr>
          <w:ilvl w:val="0"/>
          <w:numId w:val="13"/>
        </w:numPr>
        <w:jc w:val="both"/>
        <w:rPr>
          <w:rFonts w:eastAsiaTheme="majorEastAsia"/>
          <w:color w:val="000000" w:themeColor="text1"/>
        </w:rPr>
      </w:pPr>
      <w:r w:rsidRPr="00D205B1">
        <w:rPr>
          <w:rFonts w:eastAsiaTheme="majorEastAsia"/>
          <w:color w:val="000000" w:themeColor="text1"/>
        </w:rPr>
        <w:t>&gt;S&amp;P 500 equivalent: 11% success rate</w:t>
      </w:r>
    </w:p>
    <w:p w14:paraId="67F6B22D" w14:textId="77777777" w:rsidR="00E32BFA" w:rsidRPr="00D205B1" w:rsidRDefault="00E32BFA" w:rsidP="00B451D7">
      <w:pPr>
        <w:jc w:val="both"/>
        <w:rPr>
          <w:rFonts w:eastAsiaTheme="majorEastAsia"/>
          <w:b/>
          <w:bCs/>
          <w:color w:val="000000" w:themeColor="text1"/>
        </w:rPr>
      </w:pPr>
    </w:p>
    <w:p w14:paraId="7E1E5092" w14:textId="77777777" w:rsidR="00E32BFA" w:rsidRPr="00D205B1" w:rsidRDefault="00E32BFA" w:rsidP="00B451D7">
      <w:pPr>
        <w:jc w:val="both"/>
        <w:rPr>
          <w:rFonts w:eastAsiaTheme="majorEastAsia"/>
          <w:b/>
          <w:bCs/>
          <w:color w:val="000000" w:themeColor="text1"/>
        </w:rPr>
      </w:pPr>
      <w:r w:rsidRPr="00D205B1">
        <w:rPr>
          <w:rFonts w:eastAsiaTheme="majorEastAsia"/>
          <w:b/>
          <w:bCs/>
          <w:color w:val="000000" w:themeColor="text1"/>
        </w:rPr>
        <w:t>External Validity:</w:t>
      </w:r>
    </w:p>
    <w:p w14:paraId="6C05E447" w14:textId="40449063" w:rsidR="00E32BFA" w:rsidRPr="00D205B1" w:rsidRDefault="00E32BFA" w:rsidP="00B451D7">
      <w:pPr>
        <w:jc w:val="both"/>
        <w:rPr>
          <w:rFonts w:eastAsiaTheme="majorEastAsia"/>
          <w:color w:val="000000" w:themeColor="text1"/>
        </w:rPr>
      </w:pPr>
      <w:r w:rsidRPr="00D205B1">
        <w:rPr>
          <w:rFonts w:eastAsiaTheme="majorEastAsia"/>
          <w:color w:val="000000" w:themeColor="text1"/>
        </w:rPr>
        <w:t xml:space="preserve">Following </w:t>
      </w:r>
      <w:proofErr w:type="spellStart"/>
      <w:r w:rsidRPr="00D205B1">
        <w:rPr>
          <w:rFonts w:eastAsiaTheme="majorEastAsia"/>
          <w:color w:val="000000" w:themeColor="text1"/>
        </w:rPr>
        <w:t>Shadish</w:t>
      </w:r>
      <w:proofErr w:type="spellEnd"/>
      <w:r w:rsidRPr="00D205B1">
        <w:rPr>
          <w:rFonts w:eastAsiaTheme="majorEastAsia"/>
          <w:color w:val="000000" w:themeColor="text1"/>
        </w:rPr>
        <w:t xml:space="preserve"> et al. (2002), </w:t>
      </w:r>
      <w:r w:rsidR="00984BA1" w:rsidRPr="00D205B1">
        <w:rPr>
          <w:rFonts w:eastAsiaTheme="majorEastAsia"/>
          <w:color w:val="000000" w:themeColor="text1"/>
        </w:rPr>
        <w:t xml:space="preserve">I </w:t>
      </w:r>
      <w:r w:rsidRPr="00D205B1">
        <w:rPr>
          <w:rFonts w:eastAsiaTheme="majorEastAsia"/>
          <w:color w:val="000000" w:themeColor="text1"/>
        </w:rPr>
        <w:t>distinguish between:</w:t>
      </w:r>
    </w:p>
    <w:p w14:paraId="39135FB8" w14:textId="372AFD32" w:rsidR="00E32BFA" w:rsidRPr="00D205B1" w:rsidRDefault="00E32BFA" w:rsidP="00B451D7">
      <w:pPr>
        <w:pStyle w:val="ListParagraph"/>
        <w:numPr>
          <w:ilvl w:val="0"/>
          <w:numId w:val="14"/>
        </w:numPr>
        <w:jc w:val="both"/>
        <w:rPr>
          <w:rFonts w:eastAsiaTheme="majorEastAsia"/>
          <w:color w:val="000000" w:themeColor="text1"/>
        </w:rPr>
      </w:pPr>
      <w:r w:rsidRPr="00D205B1">
        <w:rPr>
          <w:rFonts w:eastAsiaTheme="majorEastAsia"/>
          <w:color w:val="000000" w:themeColor="text1"/>
        </w:rPr>
        <w:t>Statistical generalization: NOT claimed given purposive sampling</w:t>
      </w:r>
    </w:p>
    <w:p w14:paraId="374BED49" w14:textId="0D9F528B" w:rsidR="00E32BFA" w:rsidRPr="00D205B1" w:rsidRDefault="00E32BFA" w:rsidP="00B451D7">
      <w:pPr>
        <w:pStyle w:val="ListParagraph"/>
        <w:numPr>
          <w:ilvl w:val="0"/>
          <w:numId w:val="14"/>
        </w:numPr>
        <w:jc w:val="both"/>
        <w:rPr>
          <w:rFonts w:eastAsiaTheme="majorEastAsia"/>
          <w:color w:val="000000" w:themeColor="text1"/>
        </w:rPr>
      </w:pPr>
      <w:r w:rsidRPr="00D205B1">
        <w:rPr>
          <w:rFonts w:eastAsiaTheme="majorEastAsia"/>
          <w:color w:val="000000" w:themeColor="text1"/>
        </w:rPr>
        <w:t>Analytical generalization: Supported through theoretical development</w:t>
      </w:r>
    </w:p>
    <w:p w14:paraId="76DAE262" w14:textId="7C85F02A" w:rsidR="00E32BFA" w:rsidRPr="00D205B1" w:rsidRDefault="00E32BFA" w:rsidP="00B451D7">
      <w:pPr>
        <w:pStyle w:val="ListParagraph"/>
        <w:numPr>
          <w:ilvl w:val="0"/>
          <w:numId w:val="14"/>
        </w:numPr>
        <w:jc w:val="both"/>
        <w:rPr>
          <w:rFonts w:eastAsiaTheme="majorEastAsia"/>
          <w:color w:val="000000" w:themeColor="text1"/>
        </w:rPr>
      </w:pPr>
      <w:r w:rsidRPr="00D205B1">
        <w:rPr>
          <w:rFonts w:eastAsiaTheme="majorEastAsia"/>
          <w:color w:val="000000" w:themeColor="text1"/>
        </w:rPr>
        <w:t>Case-to-case transfer: Readers must assess based on context similarity</w:t>
      </w:r>
    </w:p>
    <w:p w14:paraId="462BB3C6" w14:textId="77777777" w:rsidR="00E32BFA" w:rsidRPr="00D205B1" w:rsidRDefault="00E32BFA" w:rsidP="00B451D7">
      <w:pPr>
        <w:jc w:val="both"/>
        <w:rPr>
          <w:rFonts w:eastAsiaTheme="majorEastAsia"/>
          <w:color w:val="000000" w:themeColor="text1"/>
        </w:rPr>
      </w:pPr>
    </w:p>
    <w:p w14:paraId="25975102" w14:textId="159C9B9C" w:rsidR="00E32BFA" w:rsidRPr="00D205B1" w:rsidRDefault="00E32BFA" w:rsidP="00B451D7">
      <w:pPr>
        <w:jc w:val="both"/>
        <w:rPr>
          <w:rFonts w:eastAsiaTheme="majorEastAsia"/>
          <w:color w:val="000000" w:themeColor="text1"/>
        </w:rPr>
      </w:pPr>
      <w:r w:rsidRPr="00D205B1">
        <w:rPr>
          <w:rFonts w:eastAsiaTheme="majorEastAsia"/>
          <w:color w:val="000000" w:themeColor="text1"/>
        </w:rPr>
        <w:t>The findings should be interpreted as identifying necessary but not sufficient conditions for success in similar contexts, not as predictive models for all DeFi participation.</w:t>
      </w:r>
    </w:p>
    <w:p w14:paraId="2F3BD939" w14:textId="77777777" w:rsidR="00813054" w:rsidRPr="00D205B1" w:rsidRDefault="00813054" w:rsidP="00B451D7">
      <w:pPr>
        <w:jc w:val="both"/>
        <w:rPr>
          <w:rFonts w:eastAsiaTheme="majorEastAsia"/>
          <w:bCs/>
          <w:color w:val="000000" w:themeColor="text1"/>
        </w:rPr>
      </w:pPr>
    </w:p>
    <w:p w14:paraId="5208B353" w14:textId="384A8636" w:rsidR="00E76EDA" w:rsidRPr="00D205B1" w:rsidRDefault="008D6F57" w:rsidP="00B451D7">
      <w:pPr>
        <w:pStyle w:val="Heading3"/>
        <w:jc w:val="both"/>
        <w:rPr>
          <w:rFonts w:eastAsiaTheme="majorEastAsia"/>
        </w:rPr>
      </w:pPr>
      <w:bookmarkStart w:id="92" w:name="_Toc214721898"/>
      <w:r w:rsidRPr="00D205B1">
        <w:rPr>
          <w:rFonts w:eastAsiaTheme="majorEastAsia"/>
        </w:rPr>
        <w:t>4</w:t>
      </w:r>
      <w:r w:rsidR="00E76EDA" w:rsidRPr="00D205B1">
        <w:rPr>
          <w:rFonts w:eastAsiaTheme="majorEastAsia"/>
        </w:rPr>
        <w:t>.8.</w:t>
      </w:r>
      <w:r w:rsidR="00B41EF0" w:rsidRPr="00D205B1">
        <w:rPr>
          <w:rFonts w:eastAsiaTheme="majorEastAsia"/>
        </w:rPr>
        <w:t>3</w:t>
      </w:r>
      <w:r w:rsidR="00E76EDA" w:rsidRPr="00D205B1">
        <w:rPr>
          <w:rFonts w:eastAsiaTheme="majorEastAsia"/>
        </w:rPr>
        <w:t xml:space="preserve"> Statistical Power and Sample Size Justification</w:t>
      </w:r>
      <w:bookmarkEnd w:id="92"/>
    </w:p>
    <w:p w14:paraId="32D460BA" w14:textId="77777777" w:rsidR="00E76EDA" w:rsidRPr="00D205B1" w:rsidRDefault="00E76EDA" w:rsidP="00B451D7">
      <w:pPr>
        <w:jc w:val="both"/>
        <w:rPr>
          <w:rFonts w:eastAsiaTheme="majorEastAsia"/>
          <w:color w:val="000000" w:themeColor="text1"/>
        </w:rPr>
      </w:pPr>
      <w:r w:rsidRPr="00D205B1">
        <w:rPr>
          <w:rFonts w:eastAsiaTheme="majorEastAsia"/>
          <w:color w:val="000000" w:themeColor="text1"/>
        </w:rPr>
        <w:t>Post-hoc power analysis using G*Power 3.1 (Faul et al., 2009) indicates:</w:t>
      </w:r>
    </w:p>
    <w:p w14:paraId="188F96CA" w14:textId="77777777" w:rsidR="00E76EDA" w:rsidRPr="00D205B1" w:rsidRDefault="00E76EDA" w:rsidP="00B451D7">
      <w:pPr>
        <w:jc w:val="both"/>
        <w:rPr>
          <w:rFonts w:eastAsiaTheme="majorEastAsia"/>
          <w:color w:val="000000" w:themeColor="text1"/>
        </w:rPr>
      </w:pPr>
    </w:p>
    <w:p w14:paraId="0CDAD0FD" w14:textId="3AC8449B" w:rsidR="000F6993" w:rsidRPr="00D205B1" w:rsidRDefault="000F6993" w:rsidP="00B451D7">
      <w:pPr>
        <w:pStyle w:val="ListParagraph"/>
        <w:numPr>
          <w:ilvl w:val="0"/>
          <w:numId w:val="17"/>
        </w:numPr>
        <w:jc w:val="both"/>
        <w:outlineLvl w:val="9"/>
        <w:rPr>
          <w:rFonts w:eastAsiaTheme="majorEastAsia"/>
          <w:color w:val="000000" w:themeColor="text1"/>
        </w:rPr>
      </w:pPr>
      <w:r w:rsidRPr="00D205B1">
        <w:rPr>
          <w:rFonts w:eastAsiaTheme="majorEastAsia"/>
          <w:color w:val="000000" w:themeColor="text1"/>
        </w:rPr>
        <w:t>For independent groups comparison (n=156): Power = 0.84 for d=0.5</w:t>
      </w:r>
    </w:p>
    <w:p w14:paraId="546BF227" w14:textId="37557CC0" w:rsidR="000F6993" w:rsidRPr="00D205B1" w:rsidRDefault="000F6993" w:rsidP="00B451D7">
      <w:pPr>
        <w:pStyle w:val="ListParagraph"/>
        <w:numPr>
          <w:ilvl w:val="0"/>
          <w:numId w:val="17"/>
        </w:numPr>
        <w:jc w:val="both"/>
        <w:outlineLvl w:val="9"/>
        <w:rPr>
          <w:rFonts w:eastAsiaTheme="majorEastAsia"/>
          <w:color w:val="000000" w:themeColor="text1"/>
        </w:rPr>
      </w:pPr>
      <w:r w:rsidRPr="00D205B1">
        <w:rPr>
          <w:rFonts w:eastAsiaTheme="majorEastAsia"/>
          <w:color w:val="000000" w:themeColor="text1"/>
        </w:rPr>
        <w:lastRenderedPageBreak/>
        <w:t>For repeated measures (156 positions, 90+ days): Effective power = 0.71 for d=0.5</w:t>
      </w:r>
      <w:r w:rsidR="00A14EFD" w:rsidRPr="00D205B1">
        <w:rPr>
          <w:rFonts w:eastAsiaTheme="majorEastAsia"/>
          <w:color w:val="000000" w:themeColor="text1"/>
        </w:rPr>
        <w:t xml:space="preserve"> </w:t>
      </w:r>
      <w:r w:rsidRPr="00D205B1">
        <w:rPr>
          <w:rFonts w:eastAsiaTheme="majorEastAsia"/>
          <w:color w:val="000000" w:themeColor="text1"/>
        </w:rPr>
        <w:t>(accounting for within-position correlation ρ=0.3)</w:t>
      </w:r>
    </w:p>
    <w:p w14:paraId="3F6F8D3E" w14:textId="6E4F3C2F" w:rsidR="000F6993" w:rsidRPr="00D205B1" w:rsidRDefault="000F6993" w:rsidP="00B451D7">
      <w:pPr>
        <w:pStyle w:val="ListParagraph"/>
        <w:numPr>
          <w:ilvl w:val="0"/>
          <w:numId w:val="17"/>
        </w:numPr>
        <w:jc w:val="both"/>
        <w:outlineLvl w:val="9"/>
        <w:rPr>
          <w:rFonts w:eastAsiaTheme="majorEastAsia"/>
          <w:color w:val="000000" w:themeColor="text1"/>
        </w:rPr>
      </w:pPr>
      <w:r w:rsidRPr="00D205B1">
        <w:rPr>
          <w:rFonts w:eastAsiaTheme="majorEastAsia"/>
          <w:color w:val="000000" w:themeColor="text1"/>
        </w:rPr>
        <w:t>For detecting rare events (12% incident rate): Power = 0.62 to detect difference from null rate of 5%</w:t>
      </w:r>
    </w:p>
    <w:p w14:paraId="1321D019" w14:textId="77777777" w:rsidR="001230E5" w:rsidRPr="00D205B1" w:rsidRDefault="001230E5" w:rsidP="00B451D7">
      <w:pPr>
        <w:jc w:val="both"/>
        <w:rPr>
          <w:rFonts w:eastAsiaTheme="majorEastAsia"/>
          <w:color w:val="000000" w:themeColor="text1"/>
        </w:rPr>
      </w:pPr>
    </w:p>
    <w:p w14:paraId="1A31F32E" w14:textId="72E3402C" w:rsidR="000F6993" w:rsidRPr="00D205B1" w:rsidRDefault="000F6993" w:rsidP="00B451D7">
      <w:pPr>
        <w:jc w:val="both"/>
        <w:rPr>
          <w:rFonts w:eastAsiaTheme="majorEastAsia"/>
          <w:color w:val="000000" w:themeColor="text1"/>
        </w:rPr>
      </w:pPr>
      <w:r w:rsidRPr="00D205B1">
        <w:rPr>
          <w:rFonts w:eastAsiaTheme="majorEastAsia"/>
          <w:color w:val="000000" w:themeColor="text1"/>
        </w:rPr>
        <w:t>Note: Purposive sampling limits power analysis interpretability; these calculations assume random sampling.</w:t>
      </w:r>
    </w:p>
    <w:p w14:paraId="3130320B" w14:textId="77777777" w:rsidR="00E76EDA" w:rsidRPr="00D205B1" w:rsidRDefault="00E76EDA" w:rsidP="00B451D7">
      <w:pPr>
        <w:pStyle w:val="ListParagraph"/>
        <w:jc w:val="both"/>
        <w:outlineLvl w:val="9"/>
        <w:rPr>
          <w:rFonts w:eastAsiaTheme="majorEastAsia"/>
          <w:color w:val="000000" w:themeColor="text1"/>
        </w:rPr>
      </w:pPr>
    </w:p>
    <w:p w14:paraId="1FEA0A02" w14:textId="77777777" w:rsidR="002132CB" w:rsidRPr="00D205B1" w:rsidRDefault="00E76EDA" w:rsidP="00B451D7">
      <w:pPr>
        <w:jc w:val="both"/>
        <w:rPr>
          <w:rFonts w:eastAsiaTheme="majorEastAsia"/>
          <w:color w:val="000000" w:themeColor="text1"/>
        </w:rPr>
      </w:pPr>
      <w:r w:rsidRPr="00D205B1">
        <w:rPr>
          <w:rFonts w:eastAsiaTheme="majorEastAsia"/>
          <w:color w:val="000000" w:themeColor="text1"/>
        </w:rPr>
        <w:t>These calculations confirm the sample is sufficient for identifying substantial effects but may miss subtle patterns. Claims about small differences or rare events should be interpreted cautiously.</w:t>
      </w:r>
    </w:p>
    <w:p w14:paraId="2C2508BA" w14:textId="77777777" w:rsidR="002132CB" w:rsidRPr="00D205B1" w:rsidRDefault="002132CB" w:rsidP="00B451D7">
      <w:pPr>
        <w:jc w:val="both"/>
        <w:rPr>
          <w:rFonts w:eastAsiaTheme="majorEastAsia"/>
          <w:color w:val="000000" w:themeColor="text1"/>
        </w:rPr>
      </w:pPr>
    </w:p>
    <w:p w14:paraId="1717C2B1" w14:textId="3B3F67B9" w:rsidR="002132CB" w:rsidRPr="00D205B1" w:rsidRDefault="008D6F57" w:rsidP="00B451D7">
      <w:pPr>
        <w:pStyle w:val="Heading3"/>
        <w:jc w:val="both"/>
        <w:rPr>
          <w:rFonts w:eastAsiaTheme="majorEastAsia"/>
        </w:rPr>
      </w:pPr>
      <w:bookmarkStart w:id="93" w:name="_Toc214721899"/>
      <w:r w:rsidRPr="00D205B1">
        <w:rPr>
          <w:rFonts w:eastAsiaTheme="majorEastAsia"/>
        </w:rPr>
        <w:t>4</w:t>
      </w:r>
      <w:r w:rsidR="002132CB" w:rsidRPr="00D205B1">
        <w:rPr>
          <w:rFonts w:eastAsiaTheme="majorEastAsia"/>
        </w:rPr>
        <w:t>.8.</w:t>
      </w:r>
      <w:r w:rsidR="00B41EF0" w:rsidRPr="00D205B1">
        <w:rPr>
          <w:rFonts w:eastAsiaTheme="majorEastAsia"/>
        </w:rPr>
        <w:t>4</w:t>
      </w:r>
      <w:r w:rsidR="002132CB" w:rsidRPr="00D205B1">
        <w:rPr>
          <w:rFonts w:eastAsiaTheme="majorEastAsia"/>
        </w:rPr>
        <w:t xml:space="preserve"> Statistical Uncertainty and Interval Estimation</w:t>
      </w:r>
      <w:bookmarkEnd w:id="93"/>
    </w:p>
    <w:p w14:paraId="0594C790" w14:textId="77777777" w:rsidR="002132CB" w:rsidRPr="00D205B1" w:rsidRDefault="002132CB" w:rsidP="00B451D7">
      <w:pPr>
        <w:jc w:val="both"/>
        <w:rPr>
          <w:rFonts w:eastAsiaTheme="majorEastAsia"/>
          <w:color w:val="000000" w:themeColor="text1"/>
        </w:rPr>
      </w:pPr>
      <w:r w:rsidRPr="00D205B1">
        <w:rPr>
          <w:rFonts w:eastAsiaTheme="majorEastAsia"/>
          <w:color w:val="000000" w:themeColor="text1"/>
        </w:rPr>
        <w:t>All statistical estimates in this dissertation incorporate multiple sources of uncertainty:</w:t>
      </w:r>
    </w:p>
    <w:p w14:paraId="37B888D3" w14:textId="77777777" w:rsidR="002132CB" w:rsidRPr="00D205B1" w:rsidRDefault="002132CB" w:rsidP="00B451D7">
      <w:pPr>
        <w:jc w:val="both"/>
        <w:rPr>
          <w:rFonts w:eastAsiaTheme="majorEastAsia"/>
          <w:color w:val="000000" w:themeColor="text1"/>
        </w:rPr>
      </w:pPr>
    </w:p>
    <w:p w14:paraId="3D65D241" w14:textId="4A701E0E" w:rsidR="002132CB" w:rsidRPr="00D205B1" w:rsidRDefault="002132CB" w:rsidP="00B451D7">
      <w:pPr>
        <w:jc w:val="both"/>
        <w:rPr>
          <w:rFonts w:eastAsiaTheme="majorEastAsia"/>
          <w:color w:val="000000" w:themeColor="text1"/>
        </w:rPr>
      </w:pPr>
      <w:r w:rsidRPr="00D205B1">
        <w:rPr>
          <w:rFonts w:eastAsiaTheme="majorEastAsia"/>
          <w:b/>
          <w:bCs/>
          <w:color w:val="000000" w:themeColor="text1"/>
        </w:rPr>
        <w:t>Sampling Uncertainty:</w:t>
      </w:r>
      <w:r w:rsidRPr="00D205B1">
        <w:rPr>
          <w:rFonts w:eastAsiaTheme="majorEastAsia"/>
          <w:color w:val="000000" w:themeColor="text1"/>
        </w:rPr>
        <w:t xml:space="preserve"> With n=156 positions from purposive sampling, confidence intervals are wide. </w:t>
      </w:r>
      <w:r w:rsidR="00984BA1" w:rsidRPr="00D205B1">
        <w:rPr>
          <w:rFonts w:eastAsiaTheme="majorEastAsia"/>
          <w:color w:val="000000" w:themeColor="text1"/>
        </w:rPr>
        <w:t xml:space="preserve">I </w:t>
      </w:r>
      <w:r w:rsidRPr="00D205B1">
        <w:rPr>
          <w:rFonts w:eastAsiaTheme="majorEastAsia"/>
          <w:color w:val="000000" w:themeColor="text1"/>
        </w:rPr>
        <w:t>use:</w:t>
      </w:r>
    </w:p>
    <w:p w14:paraId="063FEC05" w14:textId="608A5D05" w:rsidR="002132CB" w:rsidRPr="00D205B1" w:rsidRDefault="002132CB" w:rsidP="00B451D7">
      <w:pPr>
        <w:pStyle w:val="ListParagraph"/>
        <w:numPr>
          <w:ilvl w:val="0"/>
          <w:numId w:val="15"/>
        </w:numPr>
        <w:jc w:val="both"/>
        <w:outlineLvl w:val="9"/>
        <w:rPr>
          <w:rFonts w:eastAsiaTheme="majorEastAsia"/>
          <w:color w:val="000000" w:themeColor="text1"/>
        </w:rPr>
      </w:pPr>
      <w:r w:rsidRPr="00D205B1">
        <w:rPr>
          <w:rFonts w:eastAsiaTheme="majorEastAsia"/>
          <w:color w:val="000000" w:themeColor="text1"/>
        </w:rPr>
        <w:t>Wilson score intervals for proportions (better for small samples than normal approximation)</w:t>
      </w:r>
    </w:p>
    <w:p w14:paraId="5D4E3E93" w14:textId="569FE35D" w:rsidR="002132CB" w:rsidRPr="00D205B1" w:rsidRDefault="002132CB" w:rsidP="00B451D7">
      <w:pPr>
        <w:pStyle w:val="ListParagraph"/>
        <w:numPr>
          <w:ilvl w:val="0"/>
          <w:numId w:val="15"/>
        </w:numPr>
        <w:jc w:val="both"/>
        <w:outlineLvl w:val="9"/>
        <w:rPr>
          <w:rFonts w:eastAsiaTheme="majorEastAsia"/>
          <w:color w:val="000000" w:themeColor="text1"/>
        </w:rPr>
      </w:pPr>
      <w:r w:rsidRPr="00D205B1">
        <w:rPr>
          <w:rFonts w:eastAsiaTheme="majorEastAsia"/>
          <w:color w:val="000000" w:themeColor="text1"/>
        </w:rPr>
        <w:t xml:space="preserve">Bootstrap </w:t>
      </w:r>
      <w:proofErr w:type="spellStart"/>
      <w:r w:rsidRPr="00D205B1">
        <w:rPr>
          <w:rFonts w:eastAsiaTheme="majorEastAsia"/>
          <w:color w:val="000000" w:themeColor="text1"/>
        </w:rPr>
        <w:t>BCa</w:t>
      </w:r>
      <w:proofErr w:type="spellEnd"/>
      <w:r w:rsidRPr="00D205B1">
        <w:rPr>
          <w:rFonts w:eastAsiaTheme="majorEastAsia"/>
          <w:color w:val="000000" w:themeColor="text1"/>
        </w:rPr>
        <w:t xml:space="preserve"> intervals for complex statistics (10,000 replications)</w:t>
      </w:r>
    </w:p>
    <w:p w14:paraId="1DC3878A" w14:textId="22064C4D" w:rsidR="002132CB" w:rsidRPr="00D205B1" w:rsidRDefault="002132CB" w:rsidP="00B451D7">
      <w:pPr>
        <w:pStyle w:val="ListParagraph"/>
        <w:numPr>
          <w:ilvl w:val="0"/>
          <w:numId w:val="15"/>
        </w:numPr>
        <w:jc w:val="both"/>
        <w:outlineLvl w:val="9"/>
        <w:rPr>
          <w:rFonts w:eastAsiaTheme="majorEastAsia"/>
          <w:color w:val="000000" w:themeColor="text1"/>
        </w:rPr>
      </w:pPr>
      <w:r w:rsidRPr="00D205B1">
        <w:rPr>
          <w:rFonts w:eastAsiaTheme="majorEastAsia"/>
          <w:color w:val="000000" w:themeColor="text1"/>
        </w:rPr>
        <w:t>Exact binomial where appropriate for rare events</w:t>
      </w:r>
    </w:p>
    <w:p w14:paraId="00B542B1" w14:textId="77777777" w:rsidR="00F721B8" w:rsidRPr="00D205B1" w:rsidRDefault="00F721B8" w:rsidP="00B451D7">
      <w:pPr>
        <w:jc w:val="both"/>
        <w:rPr>
          <w:rFonts w:eastAsiaTheme="majorEastAsia"/>
          <w:color w:val="000000" w:themeColor="text1"/>
        </w:rPr>
      </w:pPr>
    </w:p>
    <w:p w14:paraId="5D47A96E" w14:textId="4A3DDF5E" w:rsidR="002132CB" w:rsidRPr="00D205B1" w:rsidRDefault="002132CB" w:rsidP="00B451D7">
      <w:pPr>
        <w:jc w:val="both"/>
        <w:rPr>
          <w:rFonts w:eastAsiaTheme="majorEastAsia"/>
          <w:color w:val="000000" w:themeColor="text1"/>
        </w:rPr>
      </w:pPr>
      <w:r w:rsidRPr="00D205B1">
        <w:rPr>
          <w:rFonts w:eastAsiaTheme="majorEastAsia"/>
          <w:b/>
          <w:bCs/>
          <w:color w:val="000000" w:themeColor="text1"/>
        </w:rPr>
        <w:t>Model Uncertainty:</w:t>
      </w:r>
      <w:r w:rsidRPr="00D205B1">
        <w:rPr>
          <w:rFonts w:eastAsiaTheme="majorEastAsia"/>
          <w:color w:val="000000" w:themeColor="text1"/>
        </w:rPr>
        <w:t xml:space="preserve"> Alternative model specifications yield different estimates:</w:t>
      </w:r>
    </w:p>
    <w:p w14:paraId="213BB735" w14:textId="420631BB" w:rsidR="002132CB" w:rsidRPr="00D205B1" w:rsidRDefault="002132CB" w:rsidP="00B451D7">
      <w:pPr>
        <w:pStyle w:val="ListParagraph"/>
        <w:numPr>
          <w:ilvl w:val="0"/>
          <w:numId w:val="15"/>
        </w:numPr>
        <w:jc w:val="both"/>
        <w:outlineLvl w:val="9"/>
        <w:rPr>
          <w:rFonts w:eastAsiaTheme="majorEastAsia"/>
          <w:color w:val="000000" w:themeColor="text1"/>
        </w:rPr>
      </w:pPr>
      <w:r w:rsidRPr="00D205B1">
        <w:rPr>
          <w:rFonts w:eastAsiaTheme="majorEastAsia"/>
          <w:color w:val="000000" w:themeColor="text1"/>
        </w:rPr>
        <w:t xml:space="preserve">  Failure rates: 65%-85% depending on success definition</w:t>
      </w:r>
    </w:p>
    <w:p w14:paraId="0AF0225B" w14:textId="604E9710" w:rsidR="002132CB" w:rsidRPr="00D205B1" w:rsidRDefault="002132CB" w:rsidP="00B451D7">
      <w:pPr>
        <w:pStyle w:val="ListParagraph"/>
        <w:numPr>
          <w:ilvl w:val="0"/>
          <w:numId w:val="15"/>
        </w:numPr>
        <w:jc w:val="both"/>
        <w:outlineLvl w:val="9"/>
        <w:rPr>
          <w:rFonts w:eastAsiaTheme="majorEastAsia"/>
          <w:color w:val="000000" w:themeColor="text1"/>
        </w:rPr>
      </w:pPr>
      <w:r w:rsidRPr="00D205B1">
        <w:rPr>
          <w:rFonts w:eastAsiaTheme="majorEastAsia"/>
          <w:color w:val="000000" w:themeColor="text1"/>
        </w:rPr>
        <w:t xml:space="preserve">  Returns: -2% to +11% median depending on cost inclusion</w:t>
      </w:r>
    </w:p>
    <w:p w14:paraId="3962B614" w14:textId="02AEA283" w:rsidR="002132CB" w:rsidRPr="00D205B1" w:rsidRDefault="002132CB" w:rsidP="00B451D7">
      <w:pPr>
        <w:pStyle w:val="ListParagraph"/>
        <w:numPr>
          <w:ilvl w:val="0"/>
          <w:numId w:val="15"/>
        </w:numPr>
        <w:jc w:val="both"/>
        <w:outlineLvl w:val="9"/>
        <w:rPr>
          <w:rFonts w:eastAsiaTheme="majorEastAsia"/>
          <w:color w:val="000000" w:themeColor="text1"/>
        </w:rPr>
      </w:pPr>
      <w:r w:rsidRPr="00D205B1">
        <w:rPr>
          <w:rFonts w:eastAsiaTheme="majorEastAsia"/>
          <w:color w:val="000000" w:themeColor="text1"/>
        </w:rPr>
        <w:t xml:space="preserve">  Capital requirements: ±40% depending on gas price assumptions</w:t>
      </w:r>
    </w:p>
    <w:p w14:paraId="1AEFFFE0" w14:textId="77777777" w:rsidR="002132CB" w:rsidRPr="00D205B1" w:rsidRDefault="002132CB" w:rsidP="00B451D7">
      <w:pPr>
        <w:jc w:val="both"/>
        <w:rPr>
          <w:rFonts w:eastAsiaTheme="majorEastAsia"/>
          <w:color w:val="000000" w:themeColor="text1"/>
        </w:rPr>
      </w:pPr>
    </w:p>
    <w:p w14:paraId="0437E95A" w14:textId="42AF02A6" w:rsidR="002132CB" w:rsidRPr="00D205B1" w:rsidRDefault="002132CB" w:rsidP="00B451D7">
      <w:pPr>
        <w:jc w:val="both"/>
        <w:rPr>
          <w:rFonts w:eastAsiaTheme="majorEastAsia"/>
          <w:color w:val="000000" w:themeColor="text1"/>
        </w:rPr>
      </w:pPr>
      <w:r w:rsidRPr="00D205B1">
        <w:rPr>
          <w:rFonts w:eastAsiaTheme="majorEastAsia"/>
          <w:b/>
          <w:bCs/>
          <w:color w:val="000000" w:themeColor="text1"/>
        </w:rPr>
        <w:t>Temporal Instability:</w:t>
      </w:r>
      <w:r w:rsidRPr="00D205B1">
        <w:rPr>
          <w:rFonts w:eastAsiaTheme="majorEastAsia"/>
          <w:color w:val="000000" w:themeColor="text1"/>
        </w:rPr>
        <w:t xml:space="preserve"> Rolling window analysis shows parameters vary substantially:</w:t>
      </w:r>
    </w:p>
    <w:p w14:paraId="6FFFE547" w14:textId="321AB261" w:rsidR="002132CB" w:rsidRPr="00D205B1" w:rsidRDefault="002132CB" w:rsidP="00B451D7">
      <w:pPr>
        <w:pStyle w:val="ListParagraph"/>
        <w:numPr>
          <w:ilvl w:val="0"/>
          <w:numId w:val="15"/>
        </w:numPr>
        <w:jc w:val="both"/>
        <w:outlineLvl w:val="9"/>
        <w:rPr>
          <w:rFonts w:eastAsiaTheme="majorEastAsia"/>
          <w:color w:val="000000" w:themeColor="text1"/>
        </w:rPr>
      </w:pPr>
      <w:r w:rsidRPr="00D205B1">
        <w:rPr>
          <w:rFonts w:eastAsiaTheme="majorEastAsia"/>
          <w:color w:val="000000" w:themeColor="text1"/>
        </w:rPr>
        <w:t xml:space="preserve">  Failure rates: 31%-89% across different 6-month windows</w:t>
      </w:r>
    </w:p>
    <w:p w14:paraId="470BCEDA" w14:textId="4539FDF1" w:rsidR="002132CB" w:rsidRPr="00D205B1" w:rsidRDefault="002132CB" w:rsidP="00B451D7">
      <w:pPr>
        <w:pStyle w:val="ListParagraph"/>
        <w:numPr>
          <w:ilvl w:val="0"/>
          <w:numId w:val="15"/>
        </w:numPr>
        <w:jc w:val="both"/>
        <w:outlineLvl w:val="9"/>
        <w:rPr>
          <w:rFonts w:eastAsiaTheme="majorEastAsia"/>
          <w:color w:val="000000" w:themeColor="text1"/>
        </w:rPr>
      </w:pPr>
      <w:r w:rsidRPr="00D205B1">
        <w:rPr>
          <w:rFonts w:eastAsiaTheme="majorEastAsia"/>
          <w:color w:val="000000" w:themeColor="text1"/>
        </w:rPr>
        <w:t xml:space="preserve">  Returns: -15% to +23% median across periods</w:t>
      </w:r>
    </w:p>
    <w:p w14:paraId="2B0B56FD" w14:textId="5CCFE40F" w:rsidR="002132CB" w:rsidRPr="00D205B1" w:rsidRDefault="002132CB" w:rsidP="00B451D7">
      <w:pPr>
        <w:pStyle w:val="ListParagraph"/>
        <w:numPr>
          <w:ilvl w:val="0"/>
          <w:numId w:val="15"/>
        </w:numPr>
        <w:jc w:val="both"/>
        <w:outlineLvl w:val="9"/>
        <w:rPr>
          <w:rFonts w:eastAsiaTheme="majorEastAsia"/>
          <w:color w:val="000000" w:themeColor="text1"/>
        </w:rPr>
      </w:pPr>
      <w:r w:rsidRPr="00D205B1">
        <w:rPr>
          <w:rFonts w:eastAsiaTheme="majorEastAsia"/>
          <w:color w:val="000000" w:themeColor="text1"/>
        </w:rPr>
        <w:t xml:space="preserve">  Capital requirements: 2x variation between bull/bear markets</w:t>
      </w:r>
    </w:p>
    <w:p w14:paraId="6D1500EC" w14:textId="77777777" w:rsidR="002132CB" w:rsidRPr="00D205B1" w:rsidRDefault="002132CB" w:rsidP="00B451D7">
      <w:pPr>
        <w:pStyle w:val="ListParagraph"/>
        <w:ind w:left="540"/>
        <w:jc w:val="both"/>
        <w:outlineLvl w:val="9"/>
        <w:rPr>
          <w:rFonts w:eastAsiaTheme="majorEastAsia"/>
          <w:color w:val="000000" w:themeColor="text1"/>
        </w:rPr>
      </w:pPr>
    </w:p>
    <w:p w14:paraId="59D155D8" w14:textId="6351BF38" w:rsidR="002132CB" w:rsidRPr="00D205B1" w:rsidRDefault="002132CB" w:rsidP="00B451D7">
      <w:pPr>
        <w:jc w:val="both"/>
        <w:rPr>
          <w:rFonts w:eastAsiaTheme="majorEastAsia"/>
          <w:color w:val="000000" w:themeColor="text1"/>
        </w:rPr>
      </w:pPr>
      <w:r w:rsidRPr="00D205B1">
        <w:rPr>
          <w:rFonts w:eastAsiaTheme="majorEastAsia"/>
          <w:color w:val="000000" w:themeColor="text1"/>
        </w:rPr>
        <w:t>Following Cumming (2014</w:t>
      </w:r>
      <w:r w:rsidR="001E6F5E" w:rsidRPr="00D205B1">
        <w:rPr>
          <w:rFonts w:eastAsiaTheme="majorEastAsia"/>
          <w:color w:val="000000" w:themeColor="text1"/>
        </w:rPr>
        <w:t>), the</w:t>
      </w:r>
      <w:r w:rsidR="00D17857" w:rsidRPr="00D205B1">
        <w:rPr>
          <w:rFonts w:eastAsiaTheme="majorEastAsia"/>
          <w:color w:val="000000" w:themeColor="text1"/>
        </w:rPr>
        <w:t xml:space="preserve"> </w:t>
      </w:r>
      <w:r w:rsidR="00956A29" w:rsidRPr="00D205B1">
        <w:rPr>
          <w:rFonts w:eastAsiaTheme="majorEastAsia"/>
          <w:color w:val="000000" w:themeColor="text1"/>
        </w:rPr>
        <w:t>study</w:t>
      </w:r>
      <w:r w:rsidR="00D17857" w:rsidRPr="00D205B1">
        <w:rPr>
          <w:rFonts w:eastAsiaTheme="majorEastAsia"/>
          <w:color w:val="000000" w:themeColor="text1"/>
        </w:rPr>
        <w:t xml:space="preserve"> here </w:t>
      </w:r>
      <w:r w:rsidRPr="00D205B1">
        <w:rPr>
          <w:rFonts w:eastAsiaTheme="majorEastAsia"/>
          <w:color w:val="000000" w:themeColor="text1"/>
        </w:rPr>
        <w:t>present confidence intervals as "compatibility intervals"</w:t>
      </w:r>
      <w:r w:rsidR="00D17857" w:rsidRPr="00D205B1">
        <w:rPr>
          <w:rFonts w:eastAsiaTheme="majorEastAsia"/>
          <w:color w:val="000000" w:themeColor="text1"/>
        </w:rPr>
        <w:t xml:space="preserve">. These are </w:t>
      </w:r>
      <w:r w:rsidRPr="00D205B1">
        <w:rPr>
          <w:rFonts w:eastAsiaTheme="majorEastAsia"/>
          <w:color w:val="000000" w:themeColor="text1"/>
        </w:rPr>
        <w:t xml:space="preserve">ranges of values compatible with </w:t>
      </w:r>
      <w:r w:rsidR="00D17857" w:rsidRPr="00D205B1">
        <w:rPr>
          <w:rFonts w:eastAsiaTheme="majorEastAsia"/>
          <w:color w:val="000000" w:themeColor="text1"/>
        </w:rPr>
        <w:t>the</w:t>
      </w:r>
      <w:r w:rsidR="00231D5B" w:rsidRPr="00D205B1">
        <w:rPr>
          <w:rFonts w:eastAsiaTheme="majorEastAsia"/>
          <w:color w:val="000000" w:themeColor="text1"/>
        </w:rPr>
        <w:t xml:space="preserve"> </w:t>
      </w:r>
      <w:r w:rsidRPr="00D205B1">
        <w:rPr>
          <w:rFonts w:eastAsiaTheme="majorEastAsia"/>
          <w:color w:val="000000" w:themeColor="text1"/>
        </w:rPr>
        <w:t>data given the model</w:t>
      </w:r>
      <w:r w:rsidR="00D17857" w:rsidRPr="00D205B1">
        <w:rPr>
          <w:rFonts w:eastAsiaTheme="majorEastAsia"/>
          <w:color w:val="000000" w:themeColor="text1"/>
        </w:rPr>
        <w:t xml:space="preserve"> but </w:t>
      </w:r>
      <w:r w:rsidRPr="00D205B1">
        <w:rPr>
          <w:rFonts w:eastAsiaTheme="majorEastAsia"/>
          <w:color w:val="000000" w:themeColor="text1"/>
        </w:rPr>
        <w:t xml:space="preserve">not </w:t>
      </w:r>
      <w:r w:rsidR="00D17857" w:rsidRPr="00D205B1">
        <w:rPr>
          <w:rFonts w:eastAsiaTheme="majorEastAsia"/>
          <w:color w:val="000000" w:themeColor="text1"/>
        </w:rPr>
        <w:t xml:space="preserve">the </w:t>
      </w:r>
      <w:r w:rsidRPr="00D205B1">
        <w:rPr>
          <w:rFonts w:eastAsiaTheme="majorEastAsia"/>
          <w:color w:val="000000" w:themeColor="text1"/>
        </w:rPr>
        <w:t>probability statements about parameters. Readers should focus on interval width as much as point estimates, with wider intervals indicating greater uncertainty.</w:t>
      </w:r>
    </w:p>
    <w:p w14:paraId="4ED71FE7" w14:textId="77777777" w:rsidR="002132CB" w:rsidRPr="00D205B1" w:rsidRDefault="002132CB" w:rsidP="00B451D7">
      <w:pPr>
        <w:jc w:val="both"/>
        <w:rPr>
          <w:rFonts w:eastAsiaTheme="majorEastAsia"/>
          <w:color w:val="000000" w:themeColor="text1"/>
        </w:rPr>
      </w:pPr>
    </w:p>
    <w:p w14:paraId="2DEFB1FE" w14:textId="77777777" w:rsidR="002132CB" w:rsidRPr="00D205B1" w:rsidRDefault="002132CB" w:rsidP="00B451D7">
      <w:pPr>
        <w:jc w:val="both"/>
        <w:rPr>
          <w:rFonts w:eastAsiaTheme="majorEastAsia"/>
          <w:color w:val="000000" w:themeColor="text1"/>
        </w:rPr>
      </w:pPr>
      <w:r w:rsidRPr="00D205B1">
        <w:rPr>
          <w:rFonts w:eastAsiaTheme="majorEastAsia"/>
          <w:color w:val="000000" w:themeColor="text1"/>
        </w:rPr>
        <w:t>Point Estimate Interpretation Guidelines:</w:t>
      </w:r>
    </w:p>
    <w:p w14:paraId="5F8C2547" w14:textId="195DF87B" w:rsidR="002132CB" w:rsidRPr="00D205B1" w:rsidRDefault="002132CB" w:rsidP="00B451D7">
      <w:pPr>
        <w:pStyle w:val="ListParagraph"/>
        <w:numPr>
          <w:ilvl w:val="0"/>
          <w:numId w:val="15"/>
        </w:numPr>
        <w:jc w:val="both"/>
        <w:outlineLvl w:val="9"/>
        <w:rPr>
          <w:rFonts w:eastAsiaTheme="majorEastAsia"/>
          <w:color w:val="000000" w:themeColor="text1"/>
        </w:rPr>
      </w:pPr>
      <w:r w:rsidRPr="00D205B1">
        <w:rPr>
          <w:rFonts w:eastAsiaTheme="majorEastAsia"/>
          <w:color w:val="000000" w:themeColor="text1"/>
        </w:rPr>
        <w:t>When CI width &gt; 50% of estimate: Very uncertain, use with extreme caution</w:t>
      </w:r>
    </w:p>
    <w:p w14:paraId="1E7F03FD" w14:textId="45124C24" w:rsidR="002132CB" w:rsidRPr="00D205B1" w:rsidRDefault="002132CB" w:rsidP="00B451D7">
      <w:pPr>
        <w:pStyle w:val="ListParagraph"/>
        <w:numPr>
          <w:ilvl w:val="0"/>
          <w:numId w:val="15"/>
        </w:numPr>
        <w:jc w:val="both"/>
        <w:outlineLvl w:val="9"/>
        <w:rPr>
          <w:rFonts w:eastAsiaTheme="majorEastAsia"/>
          <w:color w:val="000000" w:themeColor="text1"/>
        </w:rPr>
      </w:pPr>
      <w:r w:rsidRPr="00D205B1">
        <w:rPr>
          <w:rFonts w:eastAsiaTheme="majorEastAsia"/>
          <w:color w:val="000000" w:themeColor="text1"/>
        </w:rPr>
        <w:t>When CI width = 20-50% of estimate: Moderately certain, likely directionally correct</w:t>
      </w:r>
    </w:p>
    <w:p w14:paraId="09C8C9AB" w14:textId="69FFE987" w:rsidR="002132CB" w:rsidRPr="00D205B1" w:rsidRDefault="002132CB" w:rsidP="00B451D7">
      <w:pPr>
        <w:pStyle w:val="ListParagraph"/>
        <w:numPr>
          <w:ilvl w:val="0"/>
          <w:numId w:val="15"/>
        </w:numPr>
        <w:jc w:val="both"/>
        <w:outlineLvl w:val="9"/>
        <w:rPr>
          <w:rFonts w:eastAsiaTheme="majorEastAsia"/>
          <w:color w:val="000000" w:themeColor="text1"/>
        </w:rPr>
      </w:pPr>
      <w:r w:rsidRPr="00D205B1">
        <w:rPr>
          <w:rFonts w:eastAsiaTheme="majorEastAsia"/>
          <w:color w:val="000000" w:themeColor="text1"/>
        </w:rPr>
        <w:t>When CI width &lt; 20% of estimate: Relatively precise within model assumptions</w:t>
      </w:r>
    </w:p>
    <w:p w14:paraId="76ED66E8" w14:textId="77777777" w:rsidR="002132CB" w:rsidRPr="00D205B1" w:rsidRDefault="002132CB" w:rsidP="00B451D7">
      <w:pPr>
        <w:jc w:val="both"/>
        <w:rPr>
          <w:rFonts w:eastAsiaTheme="majorEastAsia"/>
          <w:color w:val="000000" w:themeColor="text1"/>
        </w:rPr>
      </w:pPr>
    </w:p>
    <w:p w14:paraId="165909A3" w14:textId="77777777" w:rsidR="00F721B8" w:rsidRPr="00D205B1" w:rsidRDefault="002132CB" w:rsidP="00B451D7">
      <w:pPr>
        <w:jc w:val="both"/>
        <w:rPr>
          <w:rFonts w:eastAsiaTheme="majorEastAsia"/>
          <w:color w:val="000000" w:themeColor="text1"/>
        </w:rPr>
      </w:pPr>
      <w:r w:rsidRPr="00D205B1">
        <w:rPr>
          <w:rFonts w:eastAsiaTheme="majorEastAsia"/>
          <w:color w:val="000000" w:themeColor="text1"/>
        </w:rPr>
        <w:t xml:space="preserve">Most estimates in this dissertation fall </w:t>
      </w:r>
      <w:proofErr w:type="gramStart"/>
      <w:r w:rsidRPr="00D205B1">
        <w:rPr>
          <w:rFonts w:eastAsiaTheme="majorEastAsia"/>
          <w:color w:val="000000" w:themeColor="text1"/>
        </w:rPr>
        <w:t>in</w:t>
      </w:r>
      <w:proofErr w:type="gramEnd"/>
      <w:r w:rsidRPr="00D205B1">
        <w:rPr>
          <w:rFonts w:eastAsiaTheme="majorEastAsia"/>
          <w:color w:val="000000" w:themeColor="text1"/>
        </w:rPr>
        <w:t xml:space="preserve"> the "moderately certain" category, appropriate for identifying patterns but not precise prediction.</w:t>
      </w:r>
    </w:p>
    <w:p w14:paraId="779DD83B" w14:textId="77777777" w:rsidR="00F721B8" w:rsidRPr="00D205B1" w:rsidRDefault="00F721B8" w:rsidP="00B451D7">
      <w:pPr>
        <w:jc w:val="both"/>
        <w:rPr>
          <w:rFonts w:eastAsiaTheme="majorEastAsia"/>
          <w:color w:val="000000" w:themeColor="text1"/>
        </w:rPr>
      </w:pPr>
    </w:p>
    <w:p w14:paraId="6D63616C" w14:textId="77777777" w:rsidR="00F721B8" w:rsidRPr="00D205B1" w:rsidRDefault="00F721B8" w:rsidP="00B451D7">
      <w:pPr>
        <w:jc w:val="both"/>
        <w:rPr>
          <w:rFonts w:eastAsiaTheme="majorEastAsia"/>
          <w:color w:val="000000" w:themeColor="text1"/>
        </w:rPr>
      </w:pPr>
      <w:r w:rsidRPr="00D205B1">
        <w:rPr>
          <w:rFonts w:eastAsiaTheme="majorEastAsia"/>
          <w:color w:val="000000" w:themeColor="text1"/>
        </w:rPr>
        <w:t xml:space="preserve">Confidence Interval Selection Criteria: </w:t>
      </w:r>
    </w:p>
    <w:p w14:paraId="4F018435" w14:textId="77777777" w:rsidR="00F721B8" w:rsidRPr="00D205B1" w:rsidRDefault="00F721B8" w:rsidP="00B451D7">
      <w:pPr>
        <w:pStyle w:val="ListParagraph"/>
        <w:numPr>
          <w:ilvl w:val="0"/>
          <w:numId w:val="18"/>
        </w:numPr>
        <w:jc w:val="both"/>
        <w:outlineLvl w:val="9"/>
        <w:rPr>
          <w:rFonts w:eastAsiaTheme="majorEastAsia"/>
          <w:color w:val="000000" w:themeColor="text1"/>
        </w:rPr>
      </w:pPr>
      <w:r w:rsidRPr="00D205B1">
        <w:rPr>
          <w:rFonts w:eastAsiaTheme="majorEastAsia"/>
          <w:color w:val="000000" w:themeColor="text1"/>
        </w:rPr>
        <w:t xml:space="preserve">Proportions with n&lt;40 or p&lt;0.1 or p&gt;0.9: Exact binomial (Clopper-Pearson) </w:t>
      </w:r>
    </w:p>
    <w:p w14:paraId="44C35359" w14:textId="77777777" w:rsidR="00F721B8" w:rsidRPr="00D205B1" w:rsidRDefault="00F721B8" w:rsidP="00B451D7">
      <w:pPr>
        <w:pStyle w:val="ListParagraph"/>
        <w:numPr>
          <w:ilvl w:val="0"/>
          <w:numId w:val="18"/>
        </w:numPr>
        <w:jc w:val="both"/>
        <w:outlineLvl w:val="9"/>
        <w:rPr>
          <w:rFonts w:eastAsiaTheme="majorEastAsia"/>
          <w:color w:val="000000" w:themeColor="text1"/>
        </w:rPr>
      </w:pPr>
      <w:r w:rsidRPr="00D205B1">
        <w:rPr>
          <w:rFonts w:eastAsiaTheme="majorEastAsia"/>
          <w:color w:val="000000" w:themeColor="text1"/>
        </w:rPr>
        <w:t xml:space="preserve">Proportions with 40≤n≤200: Wilson score interval - Proportions with n&gt;200: Normal approximation with continuity correction </w:t>
      </w:r>
    </w:p>
    <w:p w14:paraId="4702AC7E" w14:textId="77777777" w:rsidR="00F721B8" w:rsidRPr="00D205B1" w:rsidRDefault="00F721B8" w:rsidP="00B451D7">
      <w:pPr>
        <w:pStyle w:val="ListParagraph"/>
        <w:numPr>
          <w:ilvl w:val="0"/>
          <w:numId w:val="18"/>
        </w:numPr>
        <w:jc w:val="both"/>
        <w:outlineLvl w:val="9"/>
        <w:rPr>
          <w:rFonts w:eastAsiaTheme="majorEastAsia"/>
          <w:color w:val="000000" w:themeColor="text1"/>
        </w:rPr>
      </w:pPr>
      <w:r w:rsidRPr="00D205B1">
        <w:rPr>
          <w:rFonts w:eastAsiaTheme="majorEastAsia"/>
          <w:color w:val="000000" w:themeColor="text1"/>
        </w:rPr>
        <w:lastRenderedPageBreak/>
        <w:t xml:space="preserve">Median/percentiles: Bootstrap </w:t>
      </w:r>
      <w:proofErr w:type="spellStart"/>
      <w:r w:rsidRPr="00D205B1">
        <w:rPr>
          <w:rFonts w:eastAsiaTheme="majorEastAsia"/>
          <w:color w:val="000000" w:themeColor="text1"/>
        </w:rPr>
        <w:t>BCa</w:t>
      </w:r>
      <w:proofErr w:type="spellEnd"/>
      <w:r w:rsidRPr="00D205B1">
        <w:rPr>
          <w:rFonts w:eastAsiaTheme="majorEastAsia"/>
          <w:color w:val="000000" w:themeColor="text1"/>
        </w:rPr>
        <w:t xml:space="preserve"> (10,000 resamples)</w:t>
      </w:r>
    </w:p>
    <w:p w14:paraId="663C29DF" w14:textId="77777777" w:rsidR="00F721B8" w:rsidRPr="00D205B1" w:rsidRDefault="00F721B8" w:rsidP="00B451D7">
      <w:pPr>
        <w:pStyle w:val="ListParagraph"/>
        <w:numPr>
          <w:ilvl w:val="0"/>
          <w:numId w:val="18"/>
        </w:numPr>
        <w:jc w:val="both"/>
        <w:outlineLvl w:val="9"/>
        <w:rPr>
          <w:rFonts w:eastAsiaTheme="majorEastAsia"/>
          <w:color w:val="000000" w:themeColor="text1"/>
        </w:rPr>
      </w:pPr>
      <w:r w:rsidRPr="00D205B1">
        <w:rPr>
          <w:rFonts w:eastAsiaTheme="majorEastAsia"/>
          <w:color w:val="000000" w:themeColor="text1"/>
        </w:rPr>
        <w:t>Regression coefficients: Profile likelihood when available, Wald otherwise</w:t>
      </w:r>
    </w:p>
    <w:p w14:paraId="7C90C279" w14:textId="77777777" w:rsidR="00F721B8" w:rsidRPr="00D205B1" w:rsidRDefault="00F721B8" w:rsidP="00B451D7">
      <w:pPr>
        <w:jc w:val="both"/>
        <w:rPr>
          <w:rFonts w:eastAsiaTheme="majorEastAsia"/>
          <w:color w:val="000000" w:themeColor="text1"/>
        </w:rPr>
      </w:pPr>
    </w:p>
    <w:p w14:paraId="2EAE14C8" w14:textId="77777777" w:rsidR="00F721B8" w:rsidRPr="00D205B1" w:rsidRDefault="00F721B8" w:rsidP="00B451D7">
      <w:pPr>
        <w:jc w:val="both"/>
        <w:rPr>
          <w:rFonts w:eastAsiaTheme="majorEastAsia"/>
          <w:color w:val="000000" w:themeColor="text1"/>
        </w:rPr>
      </w:pPr>
      <w:r w:rsidRPr="00D205B1">
        <w:rPr>
          <w:rFonts w:eastAsiaTheme="majorEastAsia"/>
          <w:color w:val="000000" w:themeColor="text1"/>
        </w:rPr>
        <w:t xml:space="preserve">Bootstrap Convergence Verification: </w:t>
      </w:r>
    </w:p>
    <w:p w14:paraId="19C4467C" w14:textId="77777777" w:rsidR="00F721B8" w:rsidRPr="00D205B1" w:rsidRDefault="00F721B8" w:rsidP="00B451D7">
      <w:pPr>
        <w:jc w:val="both"/>
        <w:rPr>
          <w:rFonts w:eastAsiaTheme="majorEastAsia"/>
          <w:color w:val="000000" w:themeColor="text1"/>
        </w:rPr>
      </w:pPr>
      <w:r w:rsidRPr="00D205B1">
        <w:rPr>
          <w:rFonts w:eastAsiaTheme="majorEastAsia"/>
          <w:color w:val="000000" w:themeColor="text1"/>
        </w:rPr>
        <w:t xml:space="preserve">Tested with 1,000, 5,000, 10,000, and 20,000 resamples </w:t>
      </w:r>
    </w:p>
    <w:p w14:paraId="65C24D91" w14:textId="77777777" w:rsidR="00F721B8" w:rsidRPr="00D205B1" w:rsidRDefault="00F721B8" w:rsidP="00B451D7">
      <w:pPr>
        <w:pStyle w:val="ListParagraph"/>
        <w:numPr>
          <w:ilvl w:val="0"/>
          <w:numId w:val="19"/>
        </w:numPr>
        <w:jc w:val="both"/>
        <w:outlineLvl w:val="9"/>
        <w:rPr>
          <w:rFonts w:eastAsiaTheme="majorEastAsia"/>
          <w:color w:val="000000" w:themeColor="text1"/>
        </w:rPr>
      </w:pPr>
      <w:r w:rsidRPr="00D205B1">
        <w:rPr>
          <w:rFonts w:eastAsiaTheme="majorEastAsia"/>
          <w:color w:val="000000" w:themeColor="text1"/>
        </w:rPr>
        <w:t xml:space="preserve">Failure rate CI width: 15.3%, 15.1%, 15.0%, 15.0% </w:t>
      </w:r>
    </w:p>
    <w:p w14:paraId="695C9595" w14:textId="77777777" w:rsidR="00F721B8" w:rsidRPr="00D205B1" w:rsidRDefault="00F721B8" w:rsidP="00B451D7">
      <w:pPr>
        <w:pStyle w:val="ListParagraph"/>
        <w:numPr>
          <w:ilvl w:val="0"/>
          <w:numId w:val="19"/>
        </w:numPr>
        <w:jc w:val="both"/>
        <w:outlineLvl w:val="9"/>
        <w:rPr>
          <w:rFonts w:eastAsiaTheme="majorEastAsia"/>
          <w:color w:val="000000" w:themeColor="text1"/>
        </w:rPr>
      </w:pPr>
      <w:r w:rsidRPr="00D205B1">
        <w:rPr>
          <w:rFonts w:eastAsiaTheme="majorEastAsia"/>
          <w:color w:val="000000" w:themeColor="text1"/>
        </w:rPr>
        <w:t xml:space="preserve">Median return CI width: 6.2%, 6.3%, 6.3%, 6.3% </w:t>
      </w:r>
    </w:p>
    <w:p w14:paraId="7A1E2E4D" w14:textId="77777777" w:rsidR="001230E5" w:rsidRPr="00D205B1" w:rsidRDefault="001230E5" w:rsidP="00B451D7">
      <w:pPr>
        <w:jc w:val="both"/>
        <w:rPr>
          <w:rFonts w:eastAsiaTheme="majorEastAsia"/>
          <w:color w:val="000000" w:themeColor="text1"/>
        </w:rPr>
      </w:pPr>
    </w:p>
    <w:p w14:paraId="37098FD6" w14:textId="3BF326A4" w:rsidR="00EA499B" w:rsidRPr="00D205B1" w:rsidRDefault="00F721B8" w:rsidP="00B451D7">
      <w:pPr>
        <w:jc w:val="both"/>
        <w:rPr>
          <w:rFonts w:eastAsiaTheme="majorEastAsia"/>
          <w:color w:val="000000" w:themeColor="text1"/>
        </w:rPr>
      </w:pPr>
      <w:r w:rsidRPr="00D205B1">
        <w:rPr>
          <w:rFonts w:eastAsiaTheme="majorEastAsia"/>
          <w:color w:val="000000" w:themeColor="text1"/>
        </w:rPr>
        <w:t xml:space="preserve">Conclusion: 10,000 </w:t>
      </w:r>
      <w:proofErr w:type="gramStart"/>
      <w:r w:rsidRPr="00D205B1">
        <w:rPr>
          <w:rFonts w:eastAsiaTheme="majorEastAsia"/>
          <w:color w:val="000000" w:themeColor="text1"/>
        </w:rPr>
        <w:t>resamples sufficient</w:t>
      </w:r>
      <w:proofErr w:type="gramEnd"/>
      <w:r w:rsidRPr="00D205B1">
        <w:rPr>
          <w:rFonts w:eastAsiaTheme="majorEastAsia"/>
          <w:color w:val="000000" w:themeColor="text1"/>
        </w:rPr>
        <w:t xml:space="preserve"> (stabilization at &lt;1% change)</w:t>
      </w:r>
    </w:p>
    <w:p w14:paraId="1B98C9BC" w14:textId="77777777" w:rsidR="00EA499B" w:rsidRPr="00D205B1" w:rsidRDefault="00EA499B" w:rsidP="00B451D7">
      <w:pPr>
        <w:jc w:val="both"/>
        <w:rPr>
          <w:rFonts w:eastAsiaTheme="majorEastAsia"/>
          <w:b/>
          <w:bCs/>
          <w:color w:val="000000" w:themeColor="text1"/>
        </w:rPr>
      </w:pPr>
    </w:p>
    <w:p w14:paraId="0FD08DBE" w14:textId="2D56AE2D" w:rsidR="002C5A24" w:rsidRPr="00D205B1" w:rsidRDefault="008D6F57" w:rsidP="00B451D7">
      <w:pPr>
        <w:pStyle w:val="Heading3"/>
        <w:jc w:val="both"/>
        <w:rPr>
          <w:rFonts w:eastAsiaTheme="majorEastAsia"/>
        </w:rPr>
      </w:pPr>
      <w:bookmarkStart w:id="94" w:name="_Toc214721900"/>
      <w:r w:rsidRPr="00D205B1">
        <w:rPr>
          <w:rFonts w:eastAsiaTheme="majorEastAsia"/>
        </w:rPr>
        <w:t>4</w:t>
      </w:r>
      <w:r w:rsidR="00EA499B" w:rsidRPr="00D205B1">
        <w:rPr>
          <w:rFonts w:eastAsiaTheme="majorEastAsia"/>
        </w:rPr>
        <w:t>.8.</w:t>
      </w:r>
      <w:r w:rsidR="00B41EF0" w:rsidRPr="00D205B1">
        <w:rPr>
          <w:rFonts w:eastAsiaTheme="majorEastAsia"/>
        </w:rPr>
        <w:t>5</w:t>
      </w:r>
      <w:r w:rsidR="00EA499B" w:rsidRPr="00D205B1">
        <w:rPr>
          <w:rFonts w:eastAsiaTheme="majorEastAsia"/>
        </w:rPr>
        <w:t xml:space="preserve"> Statistical Limitations</w:t>
      </w:r>
      <w:bookmarkEnd w:id="94"/>
    </w:p>
    <w:p w14:paraId="28928ADF" w14:textId="18A81616" w:rsidR="002C5A24" w:rsidRPr="00D205B1" w:rsidRDefault="002C5A24" w:rsidP="00B451D7">
      <w:pPr>
        <w:pStyle w:val="ListParagraph"/>
        <w:numPr>
          <w:ilvl w:val="0"/>
          <w:numId w:val="20"/>
        </w:numPr>
        <w:jc w:val="both"/>
        <w:outlineLvl w:val="9"/>
        <w:rPr>
          <w:rFonts w:eastAsiaTheme="majorEastAsia"/>
          <w:color w:val="000000" w:themeColor="text1"/>
        </w:rPr>
      </w:pPr>
      <w:r w:rsidRPr="00D205B1">
        <w:rPr>
          <w:rFonts w:eastAsiaTheme="majorEastAsia"/>
          <w:color w:val="000000" w:themeColor="text1"/>
        </w:rPr>
        <w:t xml:space="preserve">Sampling: Purposive, not random. Statistical inference </w:t>
      </w:r>
      <w:r w:rsidR="00D17857" w:rsidRPr="00D205B1">
        <w:rPr>
          <w:rFonts w:eastAsiaTheme="majorEastAsia"/>
          <w:color w:val="000000" w:themeColor="text1"/>
        </w:rPr>
        <w:t>is limited</w:t>
      </w:r>
      <w:r w:rsidRPr="00D205B1">
        <w:rPr>
          <w:rFonts w:eastAsiaTheme="majorEastAsia"/>
          <w:color w:val="000000" w:themeColor="text1"/>
        </w:rPr>
        <w:t xml:space="preserve"> to describing patterns within </w:t>
      </w:r>
      <w:r w:rsidR="00D17857" w:rsidRPr="00D205B1">
        <w:rPr>
          <w:rFonts w:eastAsiaTheme="majorEastAsia"/>
          <w:color w:val="000000" w:themeColor="text1"/>
        </w:rPr>
        <w:t xml:space="preserve">the </w:t>
      </w:r>
      <w:r w:rsidRPr="00D205B1">
        <w:rPr>
          <w:rFonts w:eastAsiaTheme="majorEastAsia"/>
          <w:color w:val="000000" w:themeColor="text1"/>
        </w:rPr>
        <w:t xml:space="preserve">sample, not </w:t>
      </w:r>
      <w:r w:rsidR="00D17857" w:rsidRPr="00D205B1">
        <w:rPr>
          <w:rFonts w:eastAsiaTheme="majorEastAsia"/>
          <w:color w:val="000000" w:themeColor="text1"/>
        </w:rPr>
        <w:t xml:space="preserve">the </w:t>
      </w:r>
      <w:r w:rsidRPr="00D205B1">
        <w:rPr>
          <w:rFonts w:eastAsiaTheme="majorEastAsia"/>
          <w:color w:val="000000" w:themeColor="text1"/>
        </w:rPr>
        <w:t>population parameters.</w:t>
      </w:r>
    </w:p>
    <w:p w14:paraId="5EA9C5F9" w14:textId="37F53D01" w:rsidR="002C5A24" w:rsidRPr="00D205B1" w:rsidRDefault="002C5A24" w:rsidP="00B451D7">
      <w:pPr>
        <w:pStyle w:val="ListParagraph"/>
        <w:numPr>
          <w:ilvl w:val="0"/>
          <w:numId w:val="20"/>
        </w:numPr>
        <w:jc w:val="both"/>
        <w:outlineLvl w:val="9"/>
        <w:rPr>
          <w:rFonts w:eastAsiaTheme="majorEastAsia"/>
          <w:color w:val="000000" w:themeColor="text1"/>
        </w:rPr>
      </w:pPr>
      <w:r w:rsidRPr="00D205B1">
        <w:rPr>
          <w:rFonts w:eastAsiaTheme="majorEastAsia"/>
          <w:color w:val="000000" w:themeColor="text1"/>
        </w:rPr>
        <w:t xml:space="preserve">Power: Adequate for medium effects (d≥0.5) but underpowered for small effects. Null findings </w:t>
      </w:r>
      <w:r w:rsidR="00D17857" w:rsidRPr="00D205B1">
        <w:rPr>
          <w:rFonts w:eastAsiaTheme="majorEastAsia"/>
          <w:color w:val="000000" w:themeColor="text1"/>
        </w:rPr>
        <w:t>are inconclusive</w:t>
      </w:r>
      <w:r w:rsidRPr="00D205B1">
        <w:rPr>
          <w:rFonts w:eastAsiaTheme="majorEastAsia"/>
          <w:color w:val="000000" w:themeColor="text1"/>
        </w:rPr>
        <w:t xml:space="preserve"> for small effects.</w:t>
      </w:r>
    </w:p>
    <w:p w14:paraId="0A9F2045" w14:textId="128103A1" w:rsidR="002C5A24" w:rsidRPr="00D205B1" w:rsidRDefault="002C5A24" w:rsidP="00B451D7">
      <w:pPr>
        <w:pStyle w:val="ListParagraph"/>
        <w:numPr>
          <w:ilvl w:val="0"/>
          <w:numId w:val="20"/>
        </w:numPr>
        <w:jc w:val="both"/>
        <w:outlineLvl w:val="9"/>
        <w:rPr>
          <w:rFonts w:eastAsiaTheme="majorEastAsia"/>
          <w:color w:val="000000" w:themeColor="text1"/>
        </w:rPr>
      </w:pPr>
      <w:r w:rsidRPr="00D205B1">
        <w:rPr>
          <w:rFonts w:eastAsiaTheme="majorEastAsia"/>
          <w:color w:val="000000" w:themeColor="text1"/>
        </w:rPr>
        <w:t>Multiple Testing: 50+ tests conducted. Even with adjustment, some findings may be false positives (Type I errors).</w:t>
      </w:r>
    </w:p>
    <w:p w14:paraId="7125018E" w14:textId="5221BD48" w:rsidR="002C5A24" w:rsidRPr="00D205B1" w:rsidRDefault="002C5A24" w:rsidP="00B451D7">
      <w:pPr>
        <w:pStyle w:val="ListParagraph"/>
        <w:numPr>
          <w:ilvl w:val="0"/>
          <w:numId w:val="20"/>
        </w:numPr>
        <w:jc w:val="both"/>
        <w:outlineLvl w:val="9"/>
        <w:rPr>
          <w:rFonts w:eastAsiaTheme="majorEastAsia"/>
          <w:color w:val="000000" w:themeColor="text1"/>
        </w:rPr>
      </w:pPr>
      <w:r w:rsidRPr="00D205B1">
        <w:rPr>
          <w:rFonts w:eastAsiaTheme="majorEastAsia"/>
          <w:color w:val="000000" w:themeColor="text1"/>
        </w:rPr>
        <w:t xml:space="preserve">Temporal Dependence: Observations during </w:t>
      </w:r>
      <w:r w:rsidR="00D17857" w:rsidRPr="00D205B1">
        <w:rPr>
          <w:rFonts w:eastAsiaTheme="majorEastAsia"/>
          <w:color w:val="000000" w:themeColor="text1"/>
        </w:rPr>
        <w:t xml:space="preserve">the </w:t>
      </w:r>
      <w:r w:rsidRPr="00D205B1">
        <w:rPr>
          <w:rFonts w:eastAsiaTheme="majorEastAsia"/>
          <w:color w:val="000000" w:themeColor="text1"/>
        </w:rPr>
        <w:t xml:space="preserve">extraordinary period (2020-2024). Stationarity assumption </w:t>
      </w:r>
      <w:r w:rsidR="00D17857" w:rsidRPr="00D205B1">
        <w:rPr>
          <w:rFonts w:eastAsiaTheme="majorEastAsia"/>
          <w:color w:val="000000" w:themeColor="text1"/>
        </w:rPr>
        <w:t>is likely</w:t>
      </w:r>
      <w:r w:rsidRPr="00D205B1">
        <w:rPr>
          <w:rFonts w:eastAsiaTheme="majorEastAsia"/>
          <w:color w:val="000000" w:themeColor="text1"/>
        </w:rPr>
        <w:t xml:space="preserve"> violated.</w:t>
      </w:r>
    </w:p>
    <w:p w14:paraId="5C767D06" w14:textId="060EB201" w:rsidR="002C5A24" w:rsidRPr="00D205B1" w:rsidRDefault="002C5A24" w:rsidP="00B451D7">
      <w:pPr>
        <w:pStyle w:val="ListParagraph"/>
        <w:numPr>
          <w:ilvl w:val="0"/>
          <w:numId w:val="20"/>
        </w:numPr>
        <w:jc w:val="both"/>
        <w:outlineLvl w:val="9"/>
        <w:rPr>
          <w:rFonts w:eastAsiaTheme="majorEastAsia"/>
          <w:color w:val="000000" w:themeColor="text1"/>
        </w:rPr>
      </w:pPr>
      <w:r w:rsidRPr="00D205B1">
        <w:rPr>
          <w:rFonts w:eastAsiaTheme="majorEastAsia"/>
          <w:color w:val="000000" w:themeColor="text1"/>
        </w:rPr>
        <w:t>Selection Bias: Survivorship bias, self-selection, and platform bias cannot be quantified but</w:t>
      </w:r>
      <w:r w:rsidR="00D17857" w:rsidRPr="00D205B1">
        <w:rPr>
          <w:rFonts w:eastAsiaTheme="majorEastAsia"/>
          <w:color w:val="000000" w:themeColor="text1"/>
        </w:rPr>
        <w:t xml:space="preserve"> is</w:t>
      </w:r>
      <w:r w:rsidRPr="00D205B1">
        <w:rPr>
          <w:rFonts w:eastAsiaTheme="majorEastAsia"/>
          <w:color w:val="000000" w:themeColor="text1"/>
        </w:rPr>
        <w:t xml:space="preserve"> likely substantial.</w:t>
      </w:r>
    </w:p>
    <w:p w14:paraId="54ABBF23" w14:textId="1948958F" w:rsidR="002C5A24" w:rsidRPr="00D205B1" w:rsidRDefault="002C5A24" w:rsidP="00B451D7">
      <w:pPr>
        <w:pStyle w:val="ListParagraph"/>
        <w:numPr>
          <w:ilvl w:val="0"/>
          <w:numId w:val="20"/>
        </w:numPr>
        <w:jc w:val="both"/>
        <w:outlineLvl w:val="9"/>
        <w:rPr>
          <w:rFonts w:eastAsiaTheme="majorEastAsia"/>
          <w:color w:val="000000" w:themeColor="text1"/>
        </w:rPr>
      </w:pPr>
      <w:r w:rsidRPr="00D205B1">
        <w:rPr>
          <w:rFonts w:eastAsiaTheme="majorEastAsia"/>
          <w:color w:val="000000" w:themeColor="text1"/>
        </w:rPr>
        <w:t xml:space="preserve">Measurement Error: Self-reported hours/returns subject </w:t>
      </w:r>
      <w:r w:rsidR="001E6F5E" w:rsidRPr="00D205B1">
        <w:rPr>
          <w:rFonts w:eastAsiaTheme="majorEastAsia"/>
          <w:color w:val="000000" w:themeColor="text1"/>
        </w:rPr>
        <w:t>recall may</w:t>
      </w:r>
      <w:r w:rsidR="00D17857" w:rsidRPr="00D205B1">
        <w:rPr>
          <w:rFonts w:eastAsiaTheme="majorEastAsia"/>
          <w:color w:val="000000" w:themeColor="text1"/>
        </w:rPr>
        <w:t xml:space="preserve"> be </w:t>
      </w:r>
      <w:r w:rsidRPr="00D205B1">
        <w:rPr>
          <w:rFonts w:eastAsiaTheme="majorEastAsia"/>
          <w:color w:val="000000" w:themeColor="text1"/>
        </w:rPr>
        <w:t>bias</w:t>
      </w:r>
      <w:r w:rsidR="00D17857" w:rsidRPr="00D205B1">
        <w:rPr>
          <w:rFonts w:eastAsiaTheme="majorEastAsia"/>
          <w:color w:val="000000" w:themeColor="text1"/>
        </w:rPr>
        <w:t>ed</w:t>
      </w:r>
      <w:r w:rsidRPr="00D205B1">
        <w:rPr>
          <w:rFonts w:eastAsiaTheme="majorEastAsia"/>
          <w:color w:val="000000" w:themeColor="text1"/>
        </w:rPr>
        <w:t xml:space="preserve">. On-chain data </w:t>
      </w:r>
      <w:r w:rsidR="00D17857" w:rsidRPr="00D205B1">
        <w:rPr>
          <w:rFonts w:eastAsiaTheme="majorEastAsia"/>
          <w:color w:val="000000" w:themeColor="text1"/>
        </w:rPr>
        <w:t xml:space="preserve">is </w:t>
      </w:r>
      <w:r w:rsidRPr="00D205B1">
        <w:rPr>
          <w:rFonts w:eastAsiaTheme="majorEastAsia"/>
          <w:color w:val="000000" w:themeColor="text1"/>
        </w:rPr>
        <w:t>accurate but may miss off-chain activity.</w:t>
      </w:r>
    </w:p>
    <w:p w14:paraId="5BD07C01" w14:textId="77777777" w:rsidR="002C5A24" w:rsidRPr="00D205B1" w:rsidRDefault="002C5A24" w:rsidP="00B451D7">
      <w:pPr>
        <w:jc w:val="both"/>
        <w:rPr>
          <w:rFonts w:eastAsiaTheme="majorEastAsia"/>
          <w:color w:val="000000" w:themeColor="text1"/>
        </w:rPr>
      </w:pPr>
    </w:p>
    <w:p w14:paraId="3E14E4D8" w14:textId="77777777" w:rsidR="00773822" w:rsidRPr="00D205B1" w:rsidRDefault="002C5A24" w:rsidP="00B451D7">
      <w:pPr>
        <w:jc w:val="both"/>
        <w:rPr>
          <w:rFonts w:eastAsiaTheme="majorEastAsia"/>
          <w:color w:val="000000" w:themeColor="text1"/>
        </w:rPr>
      </w:pPr>
      <w:r w:rsidRPr="00D205B1">
        <w:rPr>
          <w:rFonts w:eastAsiaTheme="majorEastAsia"/>
          <w:color w:val="000000" w:themeColor="text1"/>
        </w:rPr>
        <w:t>Readers should interpret all statistics as exploratory findings requiring replication, not confirmatory evidence.</w:t>
      </w:r>
    </w:p>
    <w:p w14:paraId="78689AAB" w14:textId="77777777" w:rsidR="00773822" w:rsidRPr="00D205B1" w:rsidRDefault="00773822" w:rsidP="00B451D7">
      <w:pPr>
        <w:jc w:val="both"/>
        <w:rPr>
          <w:rFonts w:eastAsiaTheme="majorEastAsia"/>
          <w:color w:val="000000" w:themeColor="text1"/>
        </w:rPr>
      </w:pPr>
    </w:p>
    <w:p w14:paraId="12653BF1" w14:textId="4252841A" w:rsidR="00773822" w:rsidRPr="00D205B1" w:rsidRDefault="008D6F57" w:rsidP="00B451D7">
      <w:pPr>
        <w:pStyle w:val="Heading3"/>
        <w:jc w:val="both"/>
        <w:rPr>
          <w:rFonts w:eastAsiaTheme="majorEastAsia"/>
        </w:rPr>
      </w:pPr>
      <w:bookmarkStart w:id="95" w:name="_Toc214721901"/>
      <w:r w:rsidRPr="00D205B1">
        <w:rPr>
          <w:rFonts w:eastAsiaTheme="majorEastAsia"/>
        </w:rPr>
        <w:t>4</w:t>
      </w:r>
      <w:r w:rsidR="00773822" w:rsidRPr="00D205B1">
        <w:rPr>
          <w:rFonts w:eastAsiaTheme="majorEastAsia"/>
        </w:rPr>
        <w:t>.8.</w:t>
      </w:r>
      <w:r w:rsidR="00B41EF0" w:rsidRPr="00D205B1">
        <w:rPr>
          <w:rFonts w:eastAsiaTheme="majorEastAsia"/>
        </w:rPr>
        <w:t>6</w:t>
      </w:r>
      <w:r w:rsidR="00773822" w:rsidRPr="00D205B1">
        <w:rPr>
          <w:rFonts w:eastAsiaTheme="majorEastAsia"/>
        </w:rPr>
        <w:t xml:space="preserve"> Operational Definitions and Construct Validity</w:t>
      </w:r>
      <w:bookmarkEnd w:id="95"/>
    </w:p>
    <w:p w14:paraId="401BA50D" w14:textId="77777777" w:rsidR="00EA0B75" w:rsidRPr="00D205B1" w:rsidRDefault="00EA0B75" w:rsidP="00B451D7">
      <w:pPr>
        <w:jc w:val="both"/>
        <w:rPr>
          <w:rFonts w:eastAsiaTheme="majorEastAsia"/>
          <w:color w:val="000000" w:themeColor="text1"/>
        </w:rPr>
      </w:pPr>
      <w:r w:rsidRPr="00D205B1">
        <w:rPr>
          <w:rFonts w:eastAsiaTheme="majorEastAsia"/>
          <w:color w:val="000000" w:themeColor="text1"/>
        </w:rPr>
        <w:t xml:space="preserve">In this study, success is defined as getting positive net returns after </w:t>
      </w:r>
      <w:proofErr w:type="gramStart"/>
      <w:r w:rsidRPr="00D205B1">
        <w:rPr>
          <w:rFonts w:eastAsiaTheme="majorEastAsia"/>
          <w:color w:val="000000" w:themeColor="text1"/>
        </w:rPr>
        <w:t>taking into account</w:t>
      </w:r>
      <w:proofErr w:type="gramEnd"/>
      <w:r w:rsidRPr="00D205B1">
        <w:rPr>
          <w:rFonts w:eastAsiaTheme="majorEastAsia"/>
          <w:color w:val="000000" w:themeColor="text1"/>
        </w:rPr>
        <w:t xml:space="preserve"> all costs, such as gas fees, failed transactions, and the value of time. This definition is intentionally strict: a position that earns 0.1% a year is considered successful, and one that loses 0.1% is considered unsuccessful. Using risk-free Treasury rates (4.5%) as the benchmark would lower the success rate in this sample to about 15%.</w:t>
      </w:r>
    </w:p>
    <w:p w14:paraId="7F97B8EA" w14:textId="77777777" w:rsidR="00EA0B75" w:rsidRPr="00D205B1" w:rsidRDefault="00EA0B75" w:rsidP="00B451D7">
      <w:pPr>
        <w:jc w:val="both"/>
        <w:rPr>
          <w:rFonts w:eastAsiaTheme="majorEastAsia"/>
          <w:color w:val="000000" w:themeColor="text1"/>
        </w:rPr>
      </w:pPr>
    </w:p>
    <w:p w14:paraId="7A9DD700" w14:textId="77777777" w:rsidR="00EA0B75" w:rsidRPr="00D205B1" w:rsidRDefault="00EA0B75" w:rsidP="00B451D7">
      <w:pPr>
        <w:jc w:val="both"/>
        <w:rPr>
          <w:rFonts w:eastAsiaTheme="majorEastAsia"/>
          <w:color w:val="000000" w:themeColor="text1"/>
        </w:rPr>
      </w:pPr>
      <w:r w:rsidRPr="00D205B1">
        <w:rPr>
          <w:rFonts w:eastAsiaTheme="majorEastAsia"/>
          <w:color w:val="000000" w:themeColor="text1"/>
        </w:rPr>
        <w:t xml:space="preserve">The concept of "passive income" presented challenges during the research as DeFi marketing uses this term a lot, but </w:t>
      </w:r>
      <w:proofErr w:type="gramStart"/>
      <w:r w:rsidRPr="00D205B1">
        <w:rPr>
          <w:rFonts w:eastAsiaTheme="majorEastAsia"/>
          <w:color w:val="000000" w:themeColor="text1"/>
        </w:rPr>
        <w:t>my working</w:t>
      </w:r>
      <w:proofErr w:type="gramEnd"/>
      <w:r w:rsidRPr="00D205B1">
        <w:rPr>
          <w:rFonts w:eastAsiaTheme="majorEastAsia"/>
          <w:color w:val="000000" w:themeColor="text1"/>
        </w:rPr>
        <w:t xml:space="preserve"> definition says that it means making money without having to manage it more than 5 hours a week. None of the tracked positions met the criteria for being truly passive according to this definition. This gap between marketing language and how things really work is a key finding, not a problem with the measurements.</w:t>
      </w:r>
    </w:p>
    <w:p w14:paraId="5D71A324" w14:textId="77777777" w:rsidR="00A16681" w:rsidRPr="00D205B1" w:rsidRDefault="00A16681" w:rsidP="00B451D7">
      <w:pPr>
        <w:jc w:val="both"/>
        <w:rPr>
          <w:rFonts w:eastAsiaTheme="majorEastAsia"/>
          <w:b/>
          <w:bCs/>
          <w:color w:val="000000" w:themeColor="text1"/>
        </w:rPr>
      </w:pPr>
    </w:p>
    <w:p w14:paraId="27711638" w14:textId="5C68C8C6" w:rsidR="00A16681" w:rsidRPr="00D205B1" w:rsidRDefault="008D6F57" w:rsidP="00B451D7">
      <w:pPr>
        <w:pStyle w:val="Heading2"/>
        <w:jc w:val="both"/>
        <w:rPr>
          <w:rFonts w:eastAsiaTheme="majorEastAsia"/>
          <w:sz w:val="24"/>
        </w:rPr>
      </w:pPr>
      <w:bookmarkStart w:id="96" w:name="_Toc214721902"/>
      <w:r w:rsidRPr="00D205B1">
        <w:rPr>
          <w:rFonts w:eastAsiaTheme="majorEastAsia"/>
          <w:sz w:val="24"/>
        </w:rPr>
        <w:t>4</w:t>
      </w:r>
      <w:r w:rsidR="00A16681" w:rsidRPr="00D205B1">
        <w:rPr>
          <w:rFonts w:eastAsiaTheme="majorEastAsia"/>
          <w:sz w:val="24"/>
        </w:rPr>
        <w:t>.9 Statistical Calculations and Uncertainty Quantification</w:t>
      </w:r>
      <w:bookmarkEnd w:id="96"/>
    </w:p>
    <w:p w14:paraId="159FD132" w14:textId="77777777" w:rsidR="00EA0B75" w:rsidRPr="00D205B1" w:rsidRDefault="00EA0B75" w:rsidP="00B451D7">
      <w:pPr>
        <w:jc w:val="both"/>
        <w:rPr>
          <w:rFonts w:eastAsiaTheme="majorEastAsia"/>
          <w:color w:val="000000" w:themeColor="text1"/>
        </w:rPr>
      </w:pPr>
      <w:r w:rsidRPr="00D205B1">
        <w:rPr>
          <w:rFonts w:eastAsiaTheme="majorEastAsia"/>
          <w:color w:val="000000" w:themeColor="text1"/>
        </w:rPr>
        <w:t>Every claim in this dissertation that is based on a percentage includes estimates of uncertainty that were made using the appropriate statistical methods. Because purposive sampling was used, these should be seen as showing patterns in the specific sample that might apply to other similar situations, not as population parameters.</w:t>
      </w:r>
    </w:p>
    <w:p w14:paraId="2F291A72" w14:textId="77777777" w:rsidR="00EA0B75" w:rsidRPr="00D205B1" w:rsidRDefault="00EA0B75" w:rsidP="00B451D7">
      <w:pPr>
        <w:jc w:val="both"/>
        <w:rPr>
          <w:rFonts w:eastAsiaTheme="majorEastAsia"/>
          <w:color w:val="000000" w:themeColor="text1"/>
        </w:rPr>
      </w:pPr>
    </w:p>
    <w:p w14:paraId="56E8527E" w14:textId="6FD5DB36" w:rsidR="00EA0B75" w:rsidRPr="00D205B1" w:rsidRDefault="00EA0B75" w:rsidP="00B451D7">
      <w:pPr>
        <w:jc w:val="both"/>
        <w:rPr>
          <w:rFonts w:eastAsiaTheme="majorEastAsia"/>
          <w:color w:val="000000" w:themeColor="text1"/>
        </w:rPr>
      </w:pPr>
      <w:r w:rsidRPr="00D205B1">
        <w:rPr>
          <w:rFonts w:eastAsiaTheme="majorEastAsia"/>
          <w:b/>
          <w:bCs/>
          <w:color w:val="000000" w:themeColor="text1"/>
        </w:rPr>
        <w:lastRenderedPageBreak/>
        <w:t xml:space="preserve">Failure Rate Calculation: </w:t>
      </w:r>
      <w:proofErr w:type="gramStart"/>
      <w:r w:rsidR="004E0B5D" w:rsidRPr="00D205B1">
        <w:rPr>
          <w:rFonts w:eastAsiaTheme="majorEastAsia"/>
          <w:color w:val="000000" w:themeColor="text1"/>
        </w:rPr>
        <w:t>he</w:t>
      </w:r>
      <w:proofErr w:type="gramEnd"/>
      <w:r w:rsidR="004E0B5D" w:rsidRPr="00D205B1">
        <w:rPr>
          <w:rFonts w:eastAsiaTheme="majorEastAsia"/>
          <w:color w:val="000000" w:themeColor="text1"/>
        </w:rPr>
        <w:t xml:space="preserve"> failure rate (114 of 156 positions) has a Wilson score confidence interval of 65.3% to 79.6% with 95% being the confidence level.</w:t>
      </w:r>
      <w:r w:rsidRPr="00D205B1">
        <w:rPr>
          <w:rFonts w:eastAsiaTheme="majorEastAsia"/>
          <w:color w:val="000000" w:themeColor="text1"/>
        </w:rPr>
        <w:t xml:space="preserve"> This interval is wider than a simple binomial confidence interval would suggest because positions were not independent due to failures being clustered during market stress events. Using cluster-robust standard errors that account for temporal correlation increases the confidence interval from 62.1% to 81.3%.</w:t>
      </w:r>
    </w:p>
    <w:p w14:paraId="29B185C4" w14:textId="77777777" w:rsidR="00EA0B75" w:rsidRPr="00D205B1" w:rsidRDefault="00EA0B75" w:rsidP="00B451D7">
      <w:pPr>
        <w:jc w:val="both"/>
        <w:rPr>
          <w:rFonts w:eastAsiaTheme="majorEastAsia"/>
          <w:color w:val="000000" w:themeColor="text1"/>
        </w:rPr>
      </w:pPr>
    </w:p>
    <w:p w14:paraId="1A656973" w14:textId="6E0644A4" w:rsidR="00EA0B75" w:rsidRPr="00D205B1" w:rsidRDefault="00EA0B75" w:rsidP="00B451D7">
      <w:pPr>
        <w:jc w:val="both"/>
        <w:rPr>
          <w:rFonts w:eastAsiaTheme="majorEastAsia"/>
          <w:color w:val="000000" w:themeColor="text1"/>
        </w:rPr>
      </w:pPr>
      <w:r w:rsidRPr="00D205B1">
        <w:rPr>
          <w:rFonts w:eastAsiaTheme="majorEastAsia"/>
          <w:b/>
          <w:bCs/>
          <w:color w:val="000000" w:themeColor="text1"/>
        </w:rPr>
        <w:t xml:space="preserve">Capital Thresholds: </w:t>
      </w:r>
      <w:r w:rsidRPr="00D205B1">
        <w:rPr>
          <w:rFonts w:eastAsiaTheme="majorEastAsia"/>
          <w:color w:val="000000" w:themeColor="text1"/>
        </w:rPr>
        <w:t xml:space="preserve">The minimum viable capital levels reported throughout have substantial uncertainty. For Ethereum </w:t>
      </w:r>
      <w:proofErr w:type="spellStart"/>
      <w:r w:rsidRPr="00D205B1">
        <w:rPr>
          <w:rFonts w:eastAsiaTheme="majorEastAsia"/>
          <w:color w:val="000000" w:themeColor="text1"/>
        </w:rPr>
        <w:t>mainnet's</w:t>
      </w:r>
      <w:proofErr w:type="spellEnd"/>
      <w:r w:rsidRPr="00D205B1">
        <w:rPr>
          <w:rFonts w:eastAsiaTheme="majorEastAsia"/>
          <w:color w:val="000000" w:themeColor="text1"/>
        </w:rPr>
        <w:t xml:space="preserve"> $25,000 threshold, bootstrap resampling (10,000 iterations) yields a 95% confidence interval of $18,400 to $31,600. This variation comes from three sources: gas price volatility (contributing ±$4,000), strategy efficiency differences (±$3,000), and measurement error (±$1,000). I report point estimates for </w:t>
      </w:r>
      <w:r w:rsidR="00DC2967" w:rsidRPr="00D205B1">
        <w:rPr>
          <w:rFonts w:eastAsiaTheme="majorEastAsia"/>
          <w:color w:val="000000" w:themeColor="text1"/>
        </w:rPr>
        <w:t>readability,</w:t>
      </w:r>
      <w:r w:rsidRPr="00D205B1">
        <w:rPr>
          <w:rFonts w:eastAsiaTheme="majorEastAsia"/>
          <w:color w:val="000000" w:themeColor="text1"/>
        </w:rPr>
        <w:t xml:space="preserve"> but readers should interpret these as order-of-magnitude guidance rather than precise requirements.</w:t>
      </w:r>
      <w:r w:rsidRPr="00D205B1">
        <w:rPr>
          <w:rFonts w:ascii="Calibri" w:eastAsiaTheme="majorEastAsia" w:hAnsi="Calibri" w:cs="Calibri"/>
          <w:b/>
          <w:bCs/>
          <w:color w:val="000000" w:themeColor="text1"/>
        </w:rPr>
        <w:t>﻿</w:t>
      </w:r>
    </w:p>
    <w:p w14:paraId="205CB752" w14:textId="77777777" w:rsidR="006B7A02" w:rsidRPr="00D205B1" w:rsidRDefault="006B7A02" w:rsidP="00B451D7">
      <w:pPr>
        <w:jc w:val="both"/>
        <w:rPr>
          <w:rFonts w:eastAsiaTheme="majorEastAsia"/>
          <w:b/>
          <w:bCs/>
          <w:color w:val="000000" w:themeColor="text1"/>
        </w:rPr>
      </w:pPr>
    </w:p>
    <w:p w14:paraId="7FD77FCC" w14:textId="1A75FDD0" w:rsidR="00F63C79" w:rsidRPr="00D205B1" w:rsidRDefault="00A16681" w:rsidP="00B451D7">
      <w:pPr>
        <w:jc w:val="both"/>
        <w:rPr>
          <w:rFonts w:eastAsiaTheme="majorEastAsia"/>
          <w:color w:val="000000" w:themeColor="text1"/>
        </w:rPr>
      </w:pPr>
      <w:r w:rsidRPr="00D205B1">
        <w:rPr>
          <w:rFonts w:eastAsiaTheme="majorEastAsia"/>
          <w:b/>
          <w:bCs/>
          <w:color w:val="000000" w:themeColor="text1"/>
        </w:rPr>
        <w:t xml:space="preserve">Annual Loss Probability: </w:t>
      </w:r>
      <w:r w:rsidR="00F63C79" w:rsidRPr="00D205B1">
        <w:rPr>
          <w:rFonts w:eastAsiaTheme="majorEastAsia"/>
          <w:color w:val="000000" w:themeColor="text1"/>
        </w:rPr>
        <w:t>The conversion from 12.2% quarterly to annual probability involves substantial methodological uncertainty. Three statistical approaches yield:</w:t>
      </w:r>
    </w:p>
    <w:p w14:paraId="094EA548" w14:textId="4D5F8829" w:rsidR="00F63C79" w:rsidRPr="00D205B1" w:rsidRDefault="00F63C79" w:rsidP="00B451D7">
      <w:pPr>
        <w:pStyle w:val="ListParagraph"/>
        <w:numPr>
          <w:ilvl w:val="0"/>
          <w:numId w:val="183"/>
        </w:numPr>
        <w:jc w:val="both"/>
        <w:outlineLvl w:val="9"/>
        <w:rPr>
          <w:rFonts w:eastAsiaTheme="majorEastAsia"/>
          <w:color w:val="000000" w:themeColor="text1"/>
        </w:rPr>
      </w:pPr>
      <w:r w:rsidRPr="00D205B1">
        <w:rPr>
          <w:rFonts w:eastAsiaTheme="majorEastAsia"/>
          <w:color w:val="000000" w:themeColor="text1"/>
        </w:rPr>
        <w:t>Conservative bound (correlation-adjusted): 21.7%</w:t>
      </w:r>
    </w:p>
    <w:p w14:paraId="29276B7D" w14:textId="6974F412" w:rsidR="00F63C79" w:rsidRPr="00D205B1" w:rsidRDefault="00F63C79" w:rsidP="00B451D7">
      <w:pPr>
        <w:pStyle w:val="ListParagraph"/>
        <w:numPr>
          <w:ilvl w:val="0"/>
          <w:numId w:val="183"/>
        </w:numPr>
        <w:jc w:val="both"/>
        <w:outlineLvl w:val="9"/>
        <w:rPr>
          <w:rFonts w:eastAsiaTheme="majorEastAsia"/>
          <w:color w:val="000000" w:themeColor="text1"/>
        </w:rPr>
      </w:pPr>
      <w:r w:rsidRPr="00D205B1">
        <w:rPr>
          <w:rFonts w:eastAsiaTheme="majorEastAsia"/>
          <w:color w:val="000000" w:themeColor="text1"/>
        </w:rPr>
        <w:t>Central estimates (frailty model, negative binomial): 38-42%</w:t>
      </w:r>
    </w:p>
    <w:p w14:paraId="685353F4" w14:textId="5CF4EBAF" w:rsidR="00F63C79" w:rsidRPr="00D205B1" w:rsidRDefault="00F63C79" w:rsidP="00B451D7">
      <w:pPr>
        <w:pStyle w:val="ListParagraph"/>
        <w:numPr>
          <w:ilvl w:val="0"/>
          <w:numId w:val="183"/>
        </w:numPr>
        <w:jc w:val="both"/>
        <w:outlineLvl w:val="9"/>
        <w:rPr>
          <w:rFonts w:eastAsiaTheme="majorEastAsia"/>
          <w:color w:val="000000" w:themeColor="text1"/>
        </w:rPr>
      </w:pPr>
      <w:r w:rsidRPr="00D205B1">
        <w:rPr>
          <w:rFonts w:eastAsiaTheme="majorEastAsia"/>
          <w:color w:val="000000" w:themeColor="text1"/>
        </w:rPr>
        <w:t>After accounting for clustering effects: 35-45% likely range</w:t>
      </w:r>
    </w:p>
    <w:p w14:paraId="5FC8A4A9" w14:textId="77777777" w:rsidR="00F63C79" w:rsidRPr="00D205B1" w:rsidRDefault="00F63C79" w:rsidP="00B451D7">
      <w:pPr>
        <w:jc w:val="both"/>
        <w:rPr>
          <w:rFonts w:eastAsiaTheme="majorEastAsia"/>
          <w:color w:val="000000" w:themeColor="text1"/>
        </w:rPr>
      </w:pPr>
    </w:p>
    <w:p w14:paraId="2F61CC40" w14:textId="5B2BBE5C" w:rsidR="00F63C79" w:rsidRPr="00D205B1" w:rsidRDefault="00F63C79" w:rsidP="00B451D7">
      <w:pPr>
        <w:jc w:val="both"/>
        <w:rPr>
          <w:rFonts w:eastAsiaTheme="majorEastAsia"/>
          <w:color w:val="000000" w:themeColor="text1"/>
        </w:rPr>
      </w:pPr>
      <w:r w:rsidRPr="00D205B1">
        <w:rPr>
          <w:rFonts w:eastAsiaTheme="majorEastAsia"/>
          <w:color w:val="000000" w:themeColor="text1"/>
        </w:rPr>
        <w:t xml:space="preserve">Given </w:t>
      </w:r>
      <w:r w:rsidR="00B41EBA" w:rsidRPr="00D205B1">
        <w:rPr>
          <w:rFonts w:eastAsiaTheme="majorEastAsia"/>
          <w:color w:val="000000" w:themeColor="text1"/>
        </w:rPr>
        <w:t xml:space="preserve">the </w:t>
      </w:r>
      <w:r w:rsidRPr="00D205B1">
        <w:rPr>
          <w:rFonts w:eastAsiaTheme="majorEastAsia"/>
          <w:color w:val="000000" w:themeColor="text1"/>
        </w:rPr>
        <w:t xml:space="preserve">methodological uncertainty, participants should plan for loss probabilities </w:t>
      </w:r>
    </w:p>
    <w:p w14:paraId="55E57975" w14:textId="77777777" w:rsidR="00F63C79" w:rsidRPr="00D205B1" w:rsidRDefault="00F63C79" w:rsidP="00B451D7">
      <w:pPr>
        <w:jc w:val="both"/>
        <w:rPr>
          <w:rFonts w:eastAsiaTheme="majorEastAsia"/>
          <w:color w:val="000000" w:themeColor="text1"/>
        </w:rPr>
      </w:pPr>
      <w:r w:rsidRPr="00D205B1">
        <w:rPr>
          <w:rFonts w:eastAsiaTheme="majorEastAsia"/>
          <w:color w:val="000000" w:themeColor="text1"/>
        </w:rPr>
        <w:t xml:space="preserve">potentially ranging from 20% to 45% annually, with 35-40% representing the most </w:t>
      </w:r>
    </w:p>
    <w:p w14:paraId="7967520A" w14:textId="0C602C53" w:rsidR="006B7A02" w:rsidRPr="00D205B1" w:rsidRDefault="00F63C79" w:rsidP="00B451D7">
      <w:pPr>
        <w:jc w:val="both"/>
        <w:rPr>
          <w:rFonts w:eastAsiaTheme="majorEastAsia"/>
          <w:color w:val="000000" w:themeColor="text1"/>
        </w:rPr>
      </w:pPr>
      <w:r w:rsidRPr="00D205B1">
        <w:rPr>
          <w:rFonts w:eastAsiaTheme="majorEastAsia"/>
          <w:color w:val="000000" w:themeColor="text1"/>
        </w:rPr>
        <w:t xml:space="preserve">probable range based on survival analysis and modeling. </w:t>
      </w:r>
      <w:r w:rsidRPr="00D205B1">
        <w:rPr>
          <w:color w:val="000000" w:themeColor="text1"/>
        </w:rPr>
        <w:t>This 20-45% range reflects both statistical uncertainty (captured by confidence intervals) and methodological uncertainty (across different valid approaches to modeling temporal clustering)</w:t>
      </w:r>
      <w:r w:rsidR="00B41EBA" w:rsidRPr="00D205B1">
        <w:rPr>
          <w:color w:val="000000" w:themeColor="text1"/>
        </w:rPr>
        <w:t>.</w:t>
      </w:r>
    </w:p>
    <w:p w14:paraId="5F704085" w14:textId="77777777" w:rsidR="009272B9" w:rsidRPr="00D205B1" w:rsidRDefault="009272B9" w:rsidP="00B451D7">
      <w:pPr>
        <w:jc w:val="both"/>
        <w:rPr>
          <w:rFonts w:eastAsiaTheme="majorEastAsia"/>
          <w:color w:val="000000" w:themeColor="text1"/>
        </w:rPr>
      </w:pPr>
    </w:p>
    <w:p w14:paraId="70680A7A" w14:textId="77777777" w:rsidR="009272B9" w:rsidRPr="00D205B1" w:rsidRDefault="009272B9" w:rsidP="00B451D7">
      <w:pPr>
        <w:jc w:val="both"/>
        <w:rPr>
          <w:rFonts w:eastAsiaTheme="majorEastAsia"/>
          <w:color w:val="000000" w:themeColor="text1"/>
        </w:rPr>
      </w:pPr>
      <w:r w:rsidRPr="00D205B1">
        <w:rPr>
          <w:rFonts w:eastAsiaTheme="majorEastAsia"/>
          <w:b/>
          <w:bCs/>
          <w:color w:val="000000" w:themeColor="text1"/>
        </w:rPr>
        <w:t xml:space="preserve">Return Calculations: </w:t>
      </w:r>
      <w:r w:rsidRPr="00D205B1">
        <w:rPr>
          <w:rFonts w:eastAsiaTheme="majorEastAsia"/>
          <w:color w:val="000000" w:themeColor="text1"/>
        </w:rPr>
        <w:t>All return figures leave out positions that had total loss events so that they don't skew the results down. Adding these would lower the average returns from 7% to -3.2%. Both numbers were given importance, but I stress the conditional returns (given survival) as being more helpful for making decisions. The median return of 7% has an interquartile range of 4% to 15%. This shows that even positions that survive can have very different returns.</w:t>
      </w:r>
    </w:p>
    <w:p w14:paraId="6266D431" w14:textId="77777777" w:rsidR="009272B9" w:rsidRPr="00D205B1" w:rsidRDefault="009272B9" w:rsidP="00B451D7">
      <w:pPr>
        <w:jc w:val="both"/>
        <w:rPr>
          <w:rFonts w:eastAsiaTheme="majorEastAsia"/>
          <w:color w:val="000000" w:themeColor="text1"/>
        </w:rPr>
      </w:pPr>
    </w:p>
    <w:p w14:paraId="1DE74EF8" w14:textId="21C327DB" w:rsidR="009272B9" w:rsidRPr="00D205B1" w:rsidRDefault="009272B9" w:rsidP="00B451D7">
      <w:pPr>
        <w:jc w:val="both"/>
        <w:rPr>
          <w:rFonts w:eastAsiaTheme="majorEastAsia"/>
          <w:color w:val="000000" w:themeColor="text1"/>
        </w:rPr>
      </w:pPr>
      <w:r w:rsidRPr="00D205B1">
        <w:rPr>
          <w:rFonts w:eastAsiaTheme="majorEastAsia"/>
          <w:b/>
          <w:bCs/>
          <w:color w:val="000000" w:themeColor="text1"/>
        </w:rPr>
        <w:t xml:space="preserve">Bootstrap Methodology: </w:t>
      </w:r>
      <w:r w:rsidRPr="00D205B1">
        <w:rPr>
          <w:rFonts w:eastAsiaTheme="majorEastAsia"/>
          <w:color w:val="000000" w:themeColor="text1"/>
        </w:rPr>
        <w:t xml:space="preserve">Given non-normal distributions (Shapiro-Wilk test p &lt; 0.001 for returns), bootstrap methods were used throughout </w:t>
      </w:r>
      <w:r w:rsidR="001E6F5E" w:rsidRPr="00D205B1">
        <w:rPr>
          <w:rFonts w:eastAsiaTheme="majorEastAsia"/>
          <w:color w:val="000000" w:themeColor="text1"/>
        </w:rPr>
        <w:t>the</w:t>
      </w:r>
      <w:r w:rsidRPr="00D205B1">
        <w:rPr>
          <w:rFonts w:eastAsiaTheme="majorEastAsia"/>
          <w:color w:val="000000" w:themeColor="text1"/>
        </w:rPr>
        <w:t xml:space="preserve"> analysis. All bootstrap confidence intervals use bias-corrected and accelerated (</w:t>
      </w:r>
      <w:proofErr w:type="spellStart"/>
      <w:r w:rsidRPr="00D205B1">
        <w:rPr>
          <w:rFonts w:eastAsiaTheme="majorEastAsia"/>
          <w:color w:val="000000" w:themeColor="text1"/>
        </w:rPr>
        <w:t>BCa</w:t>
      </w:r>
      <w:proofErr w:type="spellEnd"/>
      <w:r w:rsidRPr="00D205B1">
        <w:rPr>
          <w:rFonts w:eastAsiaTheme="majorEastAsia"/>
          <w:color w:val="000000" w:themeColor="text1"/>
        </w:rPr>
        <w:t xml:space="preserve">) methods with 10,000 resamples. The </w:t>
      </w:r>
      <w:r w:rsidR="001E6F5E" w:rsidRPr="00D205B1">
        <w:rPr>
          <w:rFonts w:eastAsiaTheme="majorEastAsia"/>
          <w:color w:val="000000" w:themeColor="text1"/>
        </w:rPr>
        <w:t>c</w:t>
      </w:r>
      <w:r w:rsidRPr="00D205B1">
        <w:rPr>
          <w:rFonts w:eastAsiaTheme="majorEastAsia"/>
          <w:color w:val="000000" w:themeColor="text1"/>
        </w:rPr>
        <w:t>onvergence was verified by comparing 5,000, 10,000, and 20,000 resample runs, with differences below 1% for all key statistics.</w:t>
      </w:r>
    </w:p>
    <w:p w14:paraId="4DCD3A8A" w14:textId="77777777" w:rsidR="009272B9" w:rsidRPr="00D205B1" w:rsidRDefault="009272B9" w:rsidP="00B451D7">
      <w:pPr>
        <w:jc w:val="both"/>
        <w:rPr>
          <w:rFonts w:eastAsiaTheme="majorEastAsia"/>
          <w:color w:val="000000" w:themeColor="text1"/>
        </w:rPr>
      </w:pPr>
      <w:r w:rsidRPr="00D205B1">
        <w:rPr>
          <w:rFonts w:eastAsiaTheme="majorEastAsia"/>
          <w:b/>
          <w:bCs/>
          <w:color w:val="000000" w:themeColor="text1"/>
        </w:rPr>
        <w:t> </w:t>
      </w:r>
    </w:p>
    <w:p w14:paraId="554B8DAF" w14:textId="77777777" w:rsidR="009272B9" w:rsidRPr="00D205B1" w:rsidRDefault="009272B9" w:rsidP="00B451D7">
      <w:pPr>
        <w:jc w:val="both"/>
        <w:rPr>
          <w:rFonts w:eastAsiaTheme="majorEastAsia"/>
          <w:color w:val="000000" w:themeColor="text1"/>
        </w:rPr>
      </w:pPr>
      <w:r w:rsidRPr="00D205B1">
        <w:rPr>
          <w:rFonts w:eastAsiaTheme="majorEastAsia"/>
          <w:b/>
          <w:bCs/>
          <w:color w:val="000000" w:themeColor="text1"/>
        </w:rPr>
        <w:t xml:space="preserve">Sensitivity Analysis: </w:t>
      </w:r>
      <w:r w:rsidRPr="00D205B1">
        <w:rPr>
          <w:rFonts w:eastAsiaTheme="majorEastAsia"/>
          <w:color w:val="000000" w:themeColor="text1"/>
        </w:rPr>
        <w:t>The identified key findings were tested for robustness to analytical choices. Changing the success threshold from 0% to 5%</w:t>
      </w:r>
      <w:proofErr w:type="gramStart"/>
      <w:r w:rsidRPr="00D205B1">
        <w:rPr>
          <w:rFonts w:eastAsiaTheme="majorEastAsia"/>
          <w:color w:val="000000" w:themeColor="text1"/>
        </w:rPr>
        <w:t xml:space="preserve"> returns</w:t>
      </w:r>
      <w:proofErr w:type="gramEnd"/>
      <w:r w:rsidRPr="00D205B1">
        <w:rPr>
          <w:rFonts w:eastAsiaTheme="majorEastAsia"/>
          <w:color w:val="000000" w:themeColor="text1"/>
        </w:rPr>
        <w:t xml:space="preserve"> changed the success rate from 27% to 19%. The success rate goes up to 31% when positions under $1,000 are not included. When only observing the positions that have been tracked for 180 days or more, the success rate drops to 24%. These changes do not alter the main point: most positions did not meet reasonable return expectations.</w:t>
      </w:r>
    </w:p>
    <w:p w14:paraId="1E57EB76" w14:textId="77777777" w:rsidR="00740259" w:rsidRPr="00D205B1" w:rsidRDefault="00740259" w:rsidP="00B451D7">
      <w:pPr>
        <w:jc w:val="both"/>
        <w:rPr>
          <w:rFonts w:eastAsiaTheme="majorEastAsia"/>
          <w:b/>
          <w:bCs/>
          <w:color w:val="000000" w:themeColor="text1"/>
        </w:rPr>
      </w:pPr>
    </w:p>
    <w:p w14:paraId="619921A4" w14:textId="6DBA540B" w:rsidR="00740259" w:rsidRPr="00D205B1" w:rsidRDefault="008D6F57" w:rsidP="00B451D7">
      <w:pPr>
        <w:pStyle w:val="Heading2"/>
        <w:jc w:val="both"/>
        <w:rPr>
          <w:rFonts w:eastAsiaTheme="majorEastAsia"/>
          <w:sz w:val="24"/>
        </w:rPr>
      </w:pPr>
      <w:bookmarkStart w:id="97" w:name="_Toc214721903"/>
      <w:r w:rsidRPr="00D205B1">
        <w:rPr>
          <w:rFonts w:eastAsiaTheme="majorEastAsia"/>
          <w:sz w:val="24"/>
        </w:rPr>
        <w:t>4</w:t>
      </w:r>
      <w:r w:rsidR="00740259" w:rsidRPr="00D205B1">
        <w:rPr>
          <w:rFonts w:eastAsiaTheme="majorEastAsia"/>
          <w:sz w:val="24"/>
        </w:rPr>
        <w:t>.10 Operational Definitions of Key Constructs</w:t>
      </w:r>
      <w:bookmarkEnd w:id="97"/>
    </w:p>
    <w:p w14:paraId="4AAC87CA" w14:textId="54E7B6C8" w:rsidR="00740259" w:rsidRPr="00D205B1" w:rsidRDefault="00740259" w:rsidP="00B451D7">
      <w:pPr>
        <w:jc w:val="both"/>
        <w:rPr>
          <w:rFonts w:eastAsiaTheme="majorEastAsia"/>
          <w:color w:val="000000" w:themeColor="text1"/>
        </w:rPr>
      </w:pPr>
      <w:r w:rsidRPr="00D205B1">
        <w:rPr>
          <w:rFonts w:eastAsiaTheme="majorEastAsia"/>
          <w:color w:val="000000" w:themeColor="text1"/>
        </w:rPr>
        <w:t xml:space="preserve">This research employs specific operational definitions for key </w:t>
      </w:r>
      <w:proofErr w:type="gramStart"/>
      <w:r w:rsidRPr="00D205B1">
        <w:rPr>
          <w:rFonts w:eastAsiaTheme="majorEastAsia"/>
          <w:color w:val="000000" w:themeColor="text1"/>
        </w:rPr>
        <w:t>constructs</w:t>
      </w:r>
      <w:proofErr w:type="gramEnd"/>
      <w:r w:rsidRPr="00D205B1">
        <w:rPr>
          <w:rFonts w:eastAsiaTheme="majorEastAsia"/>
          <w:color w:val="000000" w:themeColor="text1"/>
        </w:rPr>
        <w:t xml:space="preserve"> </w:t>
      </w:r>
      <w:r w:rsidR="00973510" w:rsidRPr="00D205B1">
        <w:rPr>
          <w:rFonts w:eastAsiaTheme="majorEastAsia"/>
          <w:color w:val="000000" w:themeColor="text1"/>
        </w:rPr>
        <w:t xml:space="preserve">and those </w:t>
      </w:r>
      <w:r w:rsidRPr="00D205B1">
        <w:rPr>
          <w:rFonts w:eastAsiaTheme="majorEastAsia"/>
          <w:color w:val="000000" w:themeColor="text1"/>
        </w:rPr>
        <w:t>may differ from colloquial usage or marketing terminology:</w:t>
      </w:r>
    </w:p>
    <w:p w14:paraId="5E506459" w14:textId="77777777" w:rsidR="006B7A02" w:rsidRPr="00D205B1" w:rsidRDefault="006B7A02" w:rsidP="00B451D7">
      <w:pPr>
        <w:jc w:val="both"/>
        <w:rPr>
          <w:rFonts w:eastAsiaTheme="majorEastAsia"/>
          <w:color w:val="000000" w:themeColor="text1"/>
        </w:rPr>
      </w:pPr>
    </w:p>
    <w:p w14:paraId="57E2354F" w14:textId="77777777" w:rsidR="00740259" w:rsidRPr="00D205B1" w:rsidRDefault="00740259" w:rsidP="00B451D7">
      <w:pPr>
        <w:jc w:val="both"/>
        <w:rPr>
          <w:rFonts w:eastAsiaTheme="majorEastAsia"/>
          <w:color w:val="000000" w:themeColor="text1"/>
        </w:rPr>
      </w:pPr>
      <w:r w:rsidRPr="00D205B1">
        <w:rPr>
          <w:rFonts w:eastAsiaTheme="majorEastAsia"/>
          <w:color w:val="000000" w:themeColor="text1"/>
        </w:rPr>
        <w:lastRenderedPageBreak/>
        <w:t>Passive Income: Operationally defined as returns generated with less than 5 hours weekly active management after initial setup. By this definition, none of the strategies examined qualify as truly passive, as median time investment was 17.5 hours weekly among successful participants.</w:t>
      </w:r>
    </w:p>
    <w:p w14:paraId="5A8AFE7C" w14:textId="77777777" w:rsidR="006B7A02" w:rsidRPr="00D205B1" w:rsidRDefault="006B7A02" w:rsidP="00B451D7">
      <w:pPr>
        <w:jc w:val="both"/>
        <w:rPr>
          <w:rFonts w:eastAsiaTheme="majorEastAsia"/>
          <w:b/>
          <w:bCs/>
          <w:color w:val="000000" w:themeColor="text1"/>
        </w:rPr>
      </w:pPr>
    </w:p>
    <w:p w14:paraId="1C240B3E" w14:textId="55C60BB8" w:rsidR="00740259" w:rsidRPr="00D205B1" w:rsidRDefault="00740259" w:rsidP="00B451D7">
      <w:pPr>
        <w:jc w:val="both"/>
        <w:rPr>
          <w:rFonts w:eastAsiaTheme="majorEastAsia"/>
          <w:color w:val="000000" w:themeColor="text1"/>
        </w:rPr>
      </w:pPr>
      <w:r w:rsidRPr="00D205B1">
        <w:rPr>
          <w:rFonts w:eastAsiaTheme="majorEastAsia"/>
          <w:b/>
          <w:bCs/>
          <w:color w:val="000000" w:themeColor="text1"/>
        </w:rPr>
        <w:t xml:space="preserve">Success: </w:t>
      </w:r>
      <w:r w:rsidRPr="00D205B1">
        <w:rPr>
          <w:rFonts w:eastAsiaTheme="majorEastAsia"/>
          <w:color w:val="000000" w:themeColor="text1"/>
        </w:rPr>
        <w:t xml:space="preserve">A position is classified as successful if it achieved positive net returns </w:t>
      </w:r>
      <w:r w:rsidR="009E3FC2" w:rsidRPr="00D205B1">
        <w:rPr>
          <w:rFonts w:eastAsiaTheme="majorEastAsia"/>
          <w:color w:val="000000" w:themeColor="text1"/>
        </w:rPr>
        <w:t>once</w:t>
      </w:r>
      <w:r w:rsidRPr="00D205B1">
        <w:rPr>
          <w:rFonts w:eastAsiaTheme="majorEastAsia"/>
          <w:color w:val="000000" w:themeColor="text1"/>
        </w:rPr>
        <w:t xml:space="preserve"> account</w:t>
      </w:r>
      <w:r w:rsidR="009E3FC2" w:rsidRPr="00D205B1">
        <w:rPr>
          <w:rFonts w:eastAsiaTheme="majorEastAsia"/>
          <w:color w:val="000000" w:themeColor="text1"/>
        </w:rPr>
        <w:t>ed</w:t>
      </w:r>
      <w:r w:rsidRPr="00D205B1">
        <w:rPr>
          <w:rFonts w:eastAsiaTheme="majorEastAsia"/>
          <w:color w:val="000000" w:themeColor="text1"/>
        </w:rPr>
        <w:t xml:space="preserve"> for:</w:t>
      </w:r>
    </w:p>
    <w:p w14:paraId="2DD00073" w14:textId="77777777" w:rsidR="00740259" w:rsidRPr="00D205B1" w:rsidRDefault="00740259" w:rsidP="00B451D7">
      <w:pPr>
        <w:numPr>
          <w:ilvl w:val="0"/>
          <w:numId w:val="88"/>
        </w:numPr>
        <w:jc w:val="both"/>
        <w:rPr>
          <w:rFonts w:eastAsiaTheme="majorEastAsia"/>
          <w:color w:val="000000" w:themeColor="text1"/>
        </w:rPr>
      </w:pPr>
      <w:r w:rsidRPr="00D205B1">
        <w:rPr>
          <w:rFonts w:eastAsiaTheme="majorEastAsia"/>
          <w:color w:val="000000" w:themeColor="text1"/>
        </w:rPr>
        <w:t>Gas fees and transaction costs</w:t>
      </w:r>
    </w:p>
    <w:p w14:paraId="1FADF4BA" w14:textId="77777777" w:rsidR="00740259" w:rsidRPr="00D205B1" w:rsidRDefault="00740259" w:rsidP="00B451D7">
      <w:pPr>
        <w:numPr>
          <w:ilvl w:val="0"/>
          <w:numId w:val="88"/>
        </w:numPr>
        <w:jc w:val="both"/>
        <w:rPr>
          <w:rFonts w:eastAsiaTheme="majorEastAsia"/>
          <w:color w:val="000000" w:themeColor="text1"/>
        </w:rPr>
      </w:pPr>
      <w:r w:rsidRPr="00D205B1">
        <w:rPr>
          <w:rFonts w:eastAsiaTheme="majorEastAsia"/>
          <w:color w:val="000000" w:themeColor="text1"/>
        </w:rPr>
        <w:t>Failed transaction costs</w:t>
      </w:r>
    </w:p>
    <w:p w14:paraId="6F9238D7" w14:textId="77777777" w:rsidR="00740259" w:rsidRPr="00D205B1" w:rsidRDefault="00740259" w:rsidP="00B451D7">
      <w:pPr>
        <w:numPr>
          <w:ilvl w:val="0"/>
          <w:numId w:val="88"/>
        </w:numPr>
        <w:jc w:val="both"/>
        <w:rPr>
          <w:rFonts w:eastAsiaTheme="majorEastAsia"/>
          <w:color w:val="000000" w:themeColor="text1"/>
        </w:rPr>
      </w:pPr>
      <w:r w:rsidRPr="00D205B1">
        <w:rPr>
          <w:rFonts w:eastAsiaTheme="majorEastAsia"/>
          <w:color w:val="000000" w:themeColor="text1"/>
        </w:rPr>
        <w:t>Time value (though not monetized in primary analysis)</w:t>
      </w:r>
    </w:p>
    <w:p w14:paraId="579B95ED" w14:textId="77777777" w:rsidR="00740259" w:rsidRPr="00D205B1" w:rsidRDefault="00740259" w:rsidP="00B451D7">
      <w:pPr>
        <w:numPr>
          <w:ilvl w:val="0"/>
          <w:numId w:val="88"/>
        </w:numPr>
        <w:jc w:val="both"/>
        <w:rPr>
          <w:rFonts w:eastAsiaTheme="majorEastAsia"/>
          <w:color w:val="000000" w:themeColor="text1"/>
        </w:rPr>
      </w:pPr>
      <w:r w:rsidRPr="00D205B1">
        <w:rPr>
          <w:rFonts w:eastAsiaTheme="majorEastAsia"/>
          <w:color w:val="000000" w:themeColor="text1"/>
        </w:rPr>
        <w:t>Impermanent loss or rebalancing costs Alternative success thresholds examined in sensitivity analysis include returns exceeding risk-free rate (4.5%) or market returns (S&amp;P 500).</w:t>
      </w:r>
    </w:p>
    <w:p w14:paraId="10C04FB0" w14:textId="77777777" w:rsidR="006B7A02" w:rsidRPr="00D205B1" w:rsidRDefault="006B7A02" w:rsidP="00B451D7">
      <w:pPr>
        <w:jc w:val="both"/>
        <w:rPr>
          <w:rFonts w:eastAsiaTheme="majorEastAsia"/>
          <w:b/>
          <w:bCs/>
          <w:color w:val="000000" w:themeColor="text1"/>
        </w:rPr>
      </w:pPr>
    </w:p>
    <w:p w14:paraId="06D38ED3" w14:textId="6B3CA62F" w:rsidR="00740259" w:rsidRPr="00D205B1" w:rsidRDefault="00740259" w:rsidP="00B451D7">
      <w:pPr>
        <w:jc w:val="both"/>
        <w:rPr>
          <w:rFonts w:eastAsiaTheme="majorEastAsia"/>
          <w:color w:val="000000" w:themeColor="text1"/>
        </w:rPr>
      </w:pPr>
      <w:r w:rsidRPr="00D205B1">
        <w:rPr>
          <w:rFonts w:eastAsiaTheme="majorEastAsia"/>
          <w:b/>
          <w:bCs/>
          <w:color w:val="000000" w:themeColor="text1"/>
        </w:rPr>
        <w:t xml:space="preserve">Minimal Capital: </w:t>
      </w:r>
      <w:r w:rsidRPr="00D205B1">
        <w:rPr>
          <w:rFonts w:eastAsiaTheme="majorEastAsia"/>
          <w:color w:val="000000" w:themeColor="text1"/>
        </w:rPr>
        <w:t>Defined as less than $25,000 in investable assets, based on the Federal Reserve's Survey of Consumer Finances median household financial assets. Sub-categories include:</w:t>
      </w:r>
    </w:p>
    <w:p w14:paraId="7D1AF370" w14:textId="77777777" w:rsidR="00740259" w:rsidRPr="00D205B1" w:rsidRDefault="00740259" w:rsidP="00B451D7">
      <w:pPr>
        <w:numPr>
          <w:ilvl w:val="0"/>
          <w:numId w:val="89"/>
        </w:numPr>
        <w:jc w:val="both"/>
        <w:rPr>
          <w:rFonts w:eastAsiaTheme="majorEastAsia"/>
          <w:color w:val="000000" w:themeColor="text1"/>
        </w:rPr>
      </w:pPr>
      <w:r w:rsidRPr="00D205B1">
        <w:rPr>
          <w:rFonts w:eastAsiaTheme="majorEastAsia"/>
          <w:color w:val="000000" w:themeColor="text1"/>
        </w:rPr>
        <w:t>Micro capital: $500-$3,500</w:t>
      </w:r>
    </w:p>
    <w:p w14:paraId="0DFA1823" w14:textId="77777777" w:rsidR="00740259" w:rsidRPr="00D205B1" w:rsidRDefault="00740259" w:rsidP="00B451D7">
      <w:pPr>
        <w:numPr>
          <w:ilvl w:val="0"/>
          <w:numId w:val="89"/>
        </w:numPr>
        <w:jc w:val="both"/>
        <w:rPr>
          <w:rFonts w:eastAsiaTheme="majorEastAsia"/>
          <w:color w:val="000000" w:themeColor="text1"/>
        </w:rPr>
      </w:pPr>
      <w:r w:rsidRPr="00D205B1">
        <w:rPr>
          <w:rFonts w:eastAsiaTheme="majorEastAsia"/>
          <w:color w:val="000000" w:themeColor="text1"/>
        </w:rPr>
        <w:t>Small capital: $3,500-$10,000</w:t>
      </w:r>
    </w:p>
    <w:p w14:paraId="4E7CA159" w14:textId="77777777" w:rsidR="00740259" w:rsidRPr="00D205B1" w:rsidRDefault="00740259" w:rsidP="00B451D7">
      <w:pPr>
        <w:numPr>
          <w:ilvl w:val="0"/>
          <w:numId w:val="89"/>
        </w:numPr>
        <w:jc w:val="both"/>
        <w:rPr>
          <w:rFonts w:eastAsiaTheme="majorEastAsia"/>
          <w:color w:val="000000" w:themeColor="text1"/>
        </w:rPr>
      </w:pPr>
      <w:r w:rsidRPr="00D205B1">
        <w:rPr>
          <w:rFonts w:eastAsiaTheme="majorEastAsia"/>
          <w:color w:val="000000" w:themeColor="text1"/>
        </w:rPr>
        <w:t>Modest capital: $10,000-$25,000</w:t>
      </w:r>
    </w:p>
    <w:p w14:paraId="5A438470" w14:textId="77777777" w:rsidR="006B7A02" w:rsidRPr="00D205B1" w:rsidRDefault="006B7A02" w:rsidP="00B451D7">
      <w:pPr>
        <w:jc w:val="both"/>
        <w:rPr>
          <w:rFonts w:eastAsiaTheme="majorEastAsia"/>
          <w:b/>
          <w:bCs/>
          <w:color w:val="000000" w:themeColor="text1"/>
        </w:rPr>
      </w:pPr>
    </w:p>
    <w:p w14:paraId="402B1431" w14:textId="6A29A248" w:rsidR="00740259" w:rsidRPr="00D205B1" w:rsidRDefault="00740259" w:rsidP="00B451D7">
      <w:pPr>
        <w:jc w:val="both"/>
        <w:rPr>
          <w:rFonts w:eastAsiaTheme="majorEastAsia"/>
          <w:color w:val="000000" w:themeColor="text1"/>
        </w:rPr>
      </w:pPr>
      <w:r w:rsidRPr="00D205B1">
        <w:rPr>
          <w:rFonts w:eastAsiaTheme="majorEastAsia"/>
          <w:b/>
          <w:bCs/>
          <w:color w:val="000000" w:themeColor="text1"/>
        </w:rPr>
        <w:t xml:space="preserve">Democratization: </w:t>
      </w:r>
      <w:r w:rsidRPr="00D205B1">
        <w:rPr>
          <w:rFonts w:eastAsiaTheme="majorEastAsia"/>
          <w:color w:val="000000" w:themeColor="text1"/>
        </w:rPr>
        <w:t>The expansion of access to financial services previously restricted by institutional, regulatory, or capital barriers. Measured along three dimensions:</w:t>
      </w:r>
    </w:p>
    <w:p w14:paraId="4FB26FA5" w14:textId="77777777" w:rsidR="00740259" w:rsidRPr="00D205B1" w:rsidRDefault="00740259" w:rsidP="00B451D7">
      <w:pPr>
        <w:numPr>
          <w:ilvl w:val="0"/>
          <w:numId w:val="90"/>
        </w:numPr>
        <w:jc w:val="both"/>
        <w:rPr>
          <w:rFonts w:eastAsiaTheme="majorEastAsia"/>
          <w:color w:val="000000" w:themeColor="text1"/>
        </w:rPr>
      </w:pPr>
      <w:r w:rsidRPr="00D205B1">
        <w:rPr>
          <w:rFonts w:eastAsiaTheme="majorEastAsia"/>
          <w:color w:val="000000" w:themeColor="text1"/>
        </w:rPr>
        <w:t>Access (ability to participate)</w:t>
      </w:r>
    </w:p>
    <w:p w14:paraId="0B71F099" w14:textId="77777777" w:rsidR="00740259" w:rsidRPr="00D205B1" w:rsidRDefault="00740259" w:rsidP="00B451D7">
      <w:pPr>
        <w:numPr>
          <w:ilvl w:val="0"/>
          <w:numId w:val="90"/>
        </w:numPr>
        <w:jc w:val="both"/>
        <w:rPr>
          <w:rFonts w:eastAsiaTheme="majorEastAsia"/>
          <w:color w:val="000000" w:themeColor="text1"/>
        </w:rPr>
      </w:pPr>
      <w:r w:rsidRPr="00D205B1">
        <w:rPr>
          <w:rFonts w:eastAsiaTheme="majorEastAsia"/>
          <w:color w:val="000000" w:themeColor="text1"/>
        </w:rPr>
        <w:t>Viability (ability to profit)</w:t>
      </w:r>
    </w:p>
    <w:p w14:paraId="2D27E763" w14:textId="77777777" w:rsidR="00740259" w:rsidRPr="00D205B1" w:rsidRDefault="00740259" w:rsidP="00B451D7">
      <w:pPr>
        <w:numPr>
          <w:ilvl w:val="0"/>
          <w:numId w:val="90"/>
        </w:numPr>
        <w:jc w:val="both"/>
        <w:rPr>
          <w:rFonts w:eastAsiaTheme="majorEastAsia"/>
          <w:color w:val="000000" w:themeColor="text1"/>
        </w:rPr>
      </w:pPr>
      <w:r w:rsidRPr="00D205B1">
        <w:rPr>
          <w:rFonts w:eastAsiaTheme="majorEastAsia"/>
          <w:color w:val="000000" w:themeColor="text1"/>
        </w:rPr>
        <w:t>Sustainability (persistence of opportunity)</w:t>
      </w:r>
    </w:p>
    <w:p w14:paraId="26D8E72E" w14:textId="77777777" w:rsidR="006B7A02" w:rsidRPr="00D205B1" w:rsidRDefault="006B7A02" w:rsidP="00B451D7">
      <w:pPr>
        <w:jc w:val="both"/>
        <w:rPr>
          <w:rFonts w:eastAsiaTheme="majorEastAsia"/>
          <w:b/>
          <w:bCs/>
          <w:color w:val="000000" w:themeColor="text1"/>
        </w:rPr>
      </w:pPr>
    </w:p>
    <w:p w14:paraId="6EE49794" w14:textId="063B2A78" w:rsidR="00740259" w:rsidRPr="00D205B1" w:rsidRDefault="00740259" w:rsidP="00B451D7">
      <w:pPr>
        <w:jc w:val="both"/>
        <w:rPr>
          <w:rFonts w:eastAsiaTheme="majorEastAsia"/>
          <w:color w:val="000000" w:themeColor="text1"/>
        </w:rPr>
      </w:pPr>
      <w:r w:rsidRPr="00D205B1">
        <w:rPr>
          <w:rFonts w:eastAsiaTheme="majorEastAsia"/>
          <w:b/>
          <w:bCs/>
          <w:color w:val="000000" w:themeColor="text1"/>
        </w:rPr>
        <w:t xml:space="preserve">Protocol-Level Incident: </w:t>
      </w:r>
      <w:r w:rsidRPr="00D205B1">
        <w:rPr>
          <w:rFonts w:eastAsiaTheme="majorEastAsia"/>
          <w:color w:val="000000" w:themeColor="text1"/>
        </w:rPr>
        <w:t>An event resulting in &gt;10% loss of position value from:</w:t>
      </w:r>
    </w:p>
    <w:p w14:paraId="52980811" w14:textId="77777777" w:rsidR="00740259" w:rsidRPr="00D205B1" w:rsidRDefault="00740259" w:rsidP="00B451D7">
      <w:pPr>
        <w:numPr>
          <w:ilvl w:val="0"/>
          <w:numId w:val="91"/>
        </w:numPr>
        <w:jc w:val="both"/>
        <w:rPr>
          <w:rFonts w:eastAsiaTheme="majorEastAsia"/>
          <w:color w:val="000000" w:themeColor="text1"/>
        </w:rPr>
      </w:pPr>
      <w:r w:rsidRPr="00D205B1">
        <w:rPr>
          <w:rFonts w:eastAsiaTheme="majorEastAsia"/>
          <w:color w:val="000000" w:themeColor="text1"/>
        </w:rPr>
        <w:t>Smart contract exploits</w:t>
      </w:r>
    </w:p>
    <w:p w14:paraId="2D7A6565" w14:textId="77777777" w:rsidR="00740259" w:rsidRPr="00D205B1" w:rsidRDefault="00740259" w:rsidP="00B451D7">
      <w:pPr>
        <w:numPr>
          <w:ilvl w:val="0"/>
          <w:numId w:val="91"/>
        </w:numPr>
        <w:jc w:val="both"/>
        <w:rPr>
          <w:rFonts w:eastAsiaTheme="majorEastAsia"/>
          <w:color w:val="000000" w:themeColor="text1"/>
        </w:rPr>
      </w:pPr>
      <w:r w:rsidRPr="00D205B1">
        <w:rPr>
          <w:rFonts w:eastAsiaTheme="majorEastAsia"/>
          <w:color w:val="000000" w:themeColor="text1"/>
        </w:rPr>
        <w:t>Governance attacks</w:t>
      </w:r>
    </w:p>
    <w:p w14:paraId="4B9098C6" w14:textId="77777777" w:rsidR="00740259" w:rsidRPr="00D205B1" w:rsidRDefault="00740259" w:rsidP="00B451D7">
      <w:pPr>
        <w:numPr>
          <w:ilvl w:val="0"/>
          <w:numId w:val="91"/>
        </w:numPr>
        <w:jc w:val="both"/>
        <w:rPr>
          <w:rFonts w:eastAsiaTheme="majorEastAsia"/>
          <w:color w:val="000000" w:themeColor="text1"/>
        </w:rPr>
      </w:pPr>
      <w:r w:rsidRPr="00D205B1">
        <w:rPr>
          <w:rFonts w:eastAsiaTheme="majorEastAsia"/>
          <w:color w:val="000000" w:themeColor="text1"/>
        </w:rPr>
        <w:t>Oracle failures</w:t>
      </w:r>
    </w:p>
    <w:p w14:paraId="0541CFE8" w14:textId="77777777" w:rsidR="00740259" w:rsidRPr="00D205B1" w:rsidRDefault="00740259" w:rsidP="00B451D7">
      <w:pPr>
        <w:numPr>
          <w:ilvl w:val="0"/>
          <w:numId w:val="91"/>
        </w:numPr>
        <w:jc w:val="both"/>
        <w:rPr>
          <w:rFonts w:eastAsiaTheme="majorEastAsia"/>
          <w:color w:val="000000" w:themeColor="text1"/>
        </w:rPr>
      </w:pPr>
      <w:r w:rsidRPr="00D205B1">
        <w:rPr>
          <w:rFonts w:eastAsiaTheme="majorEastAsia"/>
          <w:color w:val="000000" w:themeColor="text1"/>
        </w:rPr>
        <w:t>Protocol abandonment</w:t>
      </w:r>
    </w:p>
    <w:p w14:paraId="48D1A0F1" w14:textId="178E4EA1" w:rsidR="00740259" w:rsidRPr="00D205B1" w:rsidRDefault="00740259" w:rsidP="00B451D7">
      <w:pPr>
        <w:numPr>
          <w:ilvl w:val="0"/>
          <w:numId w:val="91"/>
        </w:numPr>
        <w:jc w:val="both"/>
        <w:rPr>
          <w:rFonts w:eastAsiaTheme="majorEastAsia"/>
          <w:color w:val="000000" w:themeColor="text1"/>
        </w:rPr>
      </w:pPr>
      <w:r w:rsidRPr="00D205B1">
        <w:rPr>
          <w:rFonts w:eastAsiaTheme="majorEastAsia"/>
          <w:color w:val="000000" w:themeColor="text1"/>
        </w:rPr>
        <w:t>Systemic de</w:t>
      </w:r>
      <w:r w:rsidR="00DC2967">
        <w:rPr>
          <w:rFonts w:eastAsiaTheme="majorEastAsia"/>
          <w:color w:val="000000" w:themeColor="text1"/>
        </w:rPr>
        <w:t>-</w:t>
      </w:r>
      <w:r w:rsidRPr="00D205B1">
        <w:rPr>
          <w:rFonts w:eastAsiaTheme="majorEastAsia"/>
          <w:color w:val="000000" w:themeColor="text1"/>
        </w:rPr>
        <w:t>pegging events</w:t>
      </w:r>
    </w:p>
    <w:p w14:paraId="22C8A3A8" w14:textId="77777777" w:rsidR="006B7A02" w:rsidRPr="00D205B1" w:rsidRDefault="006B7A02" w:rsidP="00B451D7">
      <w:pPr>
        <w:jc w:val="both"/>
        <w:rPr>
          <w:rFonts w:eastAsiaTheme="majorEastAsia"/>
          <w:b/>
          <w:bCs/>
          <w:color w:val="000000" w:themeColor="text1"/>
        </w:rPr>
      </w:pPr>
    </w:p>
    <w:p w14:paraId="2D181717" w14:textId="0D0F65FF" w:rsidR="00740259" w:rsidRPr="00D205B1" w:rsidRDefault="00740259" w:rsidP="00B451D7">
      <w:pPr>
        <w:jc w:val="both"/>
        <w:rPr>
          <w:rFonts w:eastAsiaTheme="majorEastAsia"/>
          <w:color w:val="000000" w:themeColor="text1"/>
        </w:rPr>
      </w:pPr>
      <w:r w:rsidRPr="00D205B1">
        <w:rPr>
          <w:rFonts w:eastAsiaTheme="majorEastAsia"/>
          <w:b/>
          <w:bCs/>
          <w:color w:val="000000" w:themeColor="text1"/>
        </w:rPr>
        <w:t xml:space="preserve">Liquidity Provision: </w:t>
      </w:r>
      <w:r w:rsidRPr="00D205B1">
        <w:rPr>
          <w:rFonts w:eastAsiaTheme="majorEastAsia"/>
          <w:color w:val="000000" w:themeColor="text1"/>
        </w:rPr>
        <w:t>The act of depositing token pairs into automated market maker pools to facilitate trading. Distinguished from:</w:t>
      </w:r>
    </w:p>
    <w:p w14:paraId="103AA985" w14:textId="77777777" w:rsidR="00740259" w:rsidRPr="00D205B1" w:rsidRDefault="00740259" w:rsidP="00B451D7">
      <w:pPr>
        <w:numPr>
          <w:ilvl w:val="0"/>
          <w:numId w:val="92"/>
        </w:numPr>
        <w:jc w:val="both"/>
        <w:rPr>
          <w:rFonts w:eastAsiaTheme="majorEastAsia"/>
          <w:color w:val="000000" w:themeColor="text1"/>
        </w:rPr>
      </w:pPr>
      <w:r w:rsidRPr="00D205B1">
        <w:rPr>
          <w:rFonts w:eastAsiaTheme="majorEastAsia"/>
          <w:color w:val="000000" w:themeColor="text1"/>
        </w:rPr>
        <w:t>Staking (single-asset deposits for network security)</w:t>
      </w:r>
    </w:p>
    <w:p w14:paraId="358616D4" w14:textId="77777777" w:rsidR="00740259" w:rsidRPr="00D205B1" w:rsidRDefault="00740259" w:rsidP="00B451D7">
      <w:pPr>
        <w:numPr>
          <w:ilvl w:val="0"/>
          <w:numId w:val="92"/>
        </w:numPr>
        <w:jc w:val="both"/>
        <w:rPr>
          <w:rFonts w:eastAsiaTheme="majorEastAsia"/>
          <w:color w:val="000000" w:themeColor="text1"/>
        </w:rPr>
      </w:pPr>
      <w:r w:rsidRPr="00D205B1">
        <w:rPr>
          <w:rFonts w:eastAsiaTheme="majorEastAsia"/>
          <w:color w:val="000000" w:themeColor="text1"/>
        </w:rPr>
        <w:t>Yield farming (incentivized liquidity with reward tokens)</w:t>
      </w:r>
    </w:p>
    <w:p w14:paraId="74268FBD" w14:textId="77777777" w:rsidR="00740259" w:rsidRPr="00D205B1" w:rsidRDefault="00740259" w:rsidP="00B451D7">
      <w:pPr>
        <w:numPr>
          <w:ilvl w:val="0"/>
          <w:numId w:val="92"/>
        </w:numPr>
        <w:jc w:val="both"/>
        <w:rPr>
          <w:rFonts w:eastAsiaTheme="majorEastAsia"/>
          <w:color w:val="000000" w:themeColor="text1"/>
        </w:rPr>
      </w:pPr>
      <w:r w:rsidRPr="00D205B1">
        <w:rPr>
          <w:rFonts w:eastAsiaTheme="majorEastAsia"/>
          <w:color w:val="000000" w:themeColor="text1"/>
        </w:rPr>
        <w:t>Lending (single-asset deposits for borrowing)</w:t>
      </w:r>
    </w:p>
    <w:p w14:paraId="443DAC7F" w14:textId="77777777" w:rsidR="006B7A02" w:rsidRPr="00D205B1" w:rsidRDefault="006B7A02" w:rsidP="00B451D7">
      <w:pPr>
        <w:jc w:val="both"/>
        <w:rPr>
          <w:rFonts w:eastAsiaTheme="majorEastAsia"/>
          <w:b/>
          <w:bCs/>
          <w:color w:val="000000" w:themeColor="text1"/>
        </w:rPr>
      </w:pPr>
    </w:p>
    <w:p w14:paraId="066545DE" w14:textId="5A9FEC6B" w:rsidR="00740259" w:rsidRPr="00D205B1" w:rsidRDefault="00740259" w:rsidP="00B451D7">
      <w:pPr>
        <w:jc w:val="both"/>
        <w:rPr>
          <w:rFonts w:eastAsiaTheme="majorEastAsia"/>
          <w:color w:val="000000" w:themeColor="text1"/>
        </w:rPr>
      </w:pPr>
      <w:r w:rsidRPr="00D205B1">
        <w:rPr>
          <w:rFonts w:eastAsiaTheme="majorEastAsia"/>
          <w:b/>
          <w:bCs/>
          <w:color w:val="000000" w:themeColor="text1"/>
        </w:rPr>
        <w:t xml:space="preserve">Impermanent Loss: </w:t>
      </w:r>
      <w:r w:rsidRPr="00D205B1">
        <w:rPr>
          <w:rFonts w:eastAsiaTheme="majorEastAsia"/>
          <w:color w:val="000000" w:themeColor="text1"/>
        </w:rPr>
        <w:t>The difference between holding tokens in a liquidity pool versus holding them separately, calculated as: IL = 2√(</w:t>
      </w:r>
      <w:proofErr w:type="spellStart"/>
      <w:r w:rsidRPr="00D205B1">
        <w:rPr>
          <w:rFonts w:eastAsiaTheme="majorEastAsia"/>
          <w:color w:val="000000" w:themeColor="text1"/>
        </w:rPr>
        <w:t>price_ratio</w:t>
      </w:r>
      <w:proofErr w:type="spellEnd"/>
      <w:r w:rsidRPr="00D205B1">
        <w:rPr>
          <w:rFonts w:eastAsiaTheme="majorEastAsia"/>
          <w:color w:val="000000" w:themeColor="text1"/>
        </w:rPr>
        <w:t>)/(1+price_ratio) - 1</w:t>
      </w:r>
    </w:p>
    <w:p w14:paraId="5DDF4D28" w14:textId="77777777" w:rsidR="006B7A02" w:rsidRPr="00D205B1" w:rsidRDefault="006B7A02" w:rsidP="00B451D7">
      <w:pPr>
        <w:jc w:val="both"/>
        <w:rPr>
          <w:rFonts w:eastAsiaTheme="majorEastAsia"/>
          <w:b/>
          <w:bCs/>
          <w:color w:val="000000" w:themeColor="text1"/>
        </w:rPr>
      </w:pPr>
    </w:p>
    <w:p w14:paraId="622998C8" w14:textId="77777777" w:rsidR="002D4581" w:rsidRPr="00D205B1" w:rsidRDefault="002D4581" w:rsidP="00B451D7">
      <w:pPr>
        <w:jc w:val="both"/>
        <w:rPr>
          <w:rFonts w:eastAsiaTheme="majorEastAsia"/>
          <w:color w:val="000000" w:themeColor="text1"/>
        </w:rPr>
      </w:pPr>
      <w:r w:rsidRPr="00D205B1">
        <w:rPr>
          <w:rFonts w:eastAsiaTheme="majorEastAsia"/>
          <w:b/>
          <w:bCs/>
          <w:color w:val="000000" w:themeColor="text1"/>
        </w:rPr>
        <w:t xml:space="preserve">Capital Efficiency: </w:t>
      </w:r>
      <w:r w:rsidRPr="00D205B1">
        <w:rPr>
          <w:rFonts w:eastAsiaTheme="majorEastAsia"/>
          <w:color w:val="000000" w:themeColor="text1"/>
        </w:rPr>
        <w:t>The ratio of fee generation to capital deployed, adjusted for gas costs and operational overhead. This is not to be confused with capital concentration in Uniswap v3.</w:t>
      </w:r>
    </w:p>
    <w:p w14:paraId="70D724B8" w14:textId="77777777" w:rsidR="002D4581" w:rsidRPr="00D205B1" w:rsidRDefault="002D4581" w:rsidP="00B451D7">
      <w:pPr>
        <w:jc w:val="both"/>
        <w:rPr>
          <w:rFonts w:eastAsiaTheme="majorEastAsia"/>
          <w:color w:val="000000" w:themeColor="text1"/>
        </w:rPr>
      </w:pPr>
      <w:r w:rsidRPr="00D205B1">
        <w:rPr>
          <w:rFonts w:eastAsiaTheme="majorEastAsia"/>
          <w:color w:val="000000" w:themeColor="text1"/>
        </w:rPr>
        <w:t>This definition remains consistent throughout the analysis and forms the basis for all quantitative classifications and qualitative assessments in this research.</w:t>
      </w:r>
    </w:p>
    <w:p w14:paraId="08A88E8C" w14:textId="77777777" w:rsidR="002D4581" w:rsidRPr="003C66A0" w:rsidRDefault="002D4581" w:rsidP="00B451D7">
      <w:pPr>
        <w:jc w:val="both"/>
        <w:rPr>
          <w:rFonts w:eastAsiaTheme="majorEastAsia"/>
          <w:b/>
          <w:bCs/>
          <w:color w:val="000000" w:themeColor="text1"/>
        </w:rPr>
      </w:pPr>
    </w:p>
    <w:p w14:paraId="4150966B" w14:textId="77777777" w:rsidR="00F101E6" w:rsidRPr="0005645B" w:rsidRDefault="00F101E6" w:rsidP="00B451D7">
      <w:pPr>
        <w:pStyle w:val="Heading2"/>
        <w:rPr>
          <w:color w:val="000000" w:themeColor="text1"/>
          <w:kern w:val="0"/>
          <w:sz w:val="36"/>
          <w:szCs w:val="36"/>
        </w:rPr>
      </w:pPr>
      <w:bookmarkStart w:id="98" w:name="_Toc214721904"/>
      <w:r w:rsidRPr="0005645B">
        <w:rPr>
          <w:color w:val="000000" w:themeColor="text1"/>
        </w:rPr>
        <w:t>4.11 Interpreting Findings: From Sample to Theory</w:t>
      </w:r>
      <w:bookmarkEnd w:id="98"/>
    </w:p>
    <w:p w14:paraId="4BA75D43" w14:textId="29F47608" w:rsidR="00F101E6" w:rsidRPr="0005645B" w:rsidRDefault="00F101E6" w:rsidP="00B451D7">
      <w:pPr>
        <w:pStyle w:val="whitespace-normal"/>
        <w:spacing w:before="0" w:beforeAutospacing="0" w:after="0" w:afterAutospacing="0"/>
        <w:jc w:val="both"/>
        <w:rPr>
          <w:color w:val="000000" w:themeColor="text1"/>
        </w:rPr>
      </w:pPr>
      <w:r w:rsidRPr="0005645B">
        <w:rPr>
          <w:color w:val="000000" w:themeColor="text1"/>
        </w:rPr>
        <w:lastRenderedPageBreak/>
        <w:t xml:space="preserve">The purposive sampling strategy necessitates careful interpretation of findings presented in </w:t>
      </w:r>
      <w:r w:rsidR="006773D1" w:rsidRPr="0005645B">
        <w:rPr>
          <w:color w:val="000000" w:themeColor="text1"/>
        </w:rPr>
        <w:t>the chapters below</w:t>
      </w:r>
      <w:r w:rsidRPr="0005645B">
        <w:rPr>
          <w:color w:val="000000" w:themeColor="text1"/>
        </w:rPr>
        <w:t xml:space="preserve">. Table 4.2 provides </w:t>
      </w:r>
      <w:r w:rsidR="006773D1" w:rsidRPr="0005645B">
        <w:rPr>
          <w:color w:val="000000" w:themeColor="text1"/>
        </w:rPr>
        <w:t xml:space="preserve">an </w:t>
      </w:r>
      <w:r w:rsidRPr="0005645B">
        <w:rPr>
          <w:color w:val="000000" w:themeColor="text1"/>
        </w:rPr>
        <w:t>explicit guidance for translating sample-based observations into appropriately generalized insights.</w:t>
      </w:r>
    </w:p>
    <w:p w14:paraId="5B43A541" w14:textId="77777777" w:rsidR="001826A1" w:rsidRDefault="001826A1" w:rsidP="00B451D7">
      <w:pPr>
        <w:pStyle w:val="Heading3"/>
        <w:jc w:val="both"/>
        <w:rPr>
          <w:color w:val="000000" w:themeColor="text1"/>
        </w:rPr>
      </w:pPr>
      <w:bookmarkStart w:id="99" w:name="_Toc214721905"/>
    </w:p>
    <w:p w14:paraId="14368634" w14:textId="44967642" w:rsidR="00F56226" w:rsidRPr="0005645B" w:rsidRDefault="00F101E6" w:rsidP="00B451D7">
      <w:pPr>
        <w:pStyle w:val="Heading3"/>
        <w:jc w:val="both"/>
        <w:rPr>
          <w:color w:val="000000" w:themeColor="text1"/>
        </w:rPr>
      </w:pPr>
      <w:r w:rsidRPr="0005645B">
        <w:rPr>
          <w:color w:val="000000" w:themeColor="text1"/>
        </w:rPr>
        <w:t>Table 4.</w:t>
      </w:r>
      <w:r w:rsidR="00C5607F">
        <w:rPr>
          <w:color w:val="000000" w:themeColor="text1"/>
        </w:rPr>
        <w:t>C</w:t>
      </w:r>
      <w:r w:rsidRPr="0005645B">
        <w:rPr>
          <w:color w:val="000000" w:themeColor="text1"/>
        </w:rPr>
        <w:t>: Sample Findings and Their Generalizability</w:t>
      </w:r>
      <w:bookmarkEnd w:id="99"/>
    </w:p>
    <w:p w14:paraId="0A348AB1" w14:textId="77777777" w:rsidR="00ED78F1" w:rsidRPr="0005645B" w:rsidRDefault="00ED78F1" w:rsidP="00B451D7">
      <w:pPr>
        <w:rPr>
          <w:color w:val="000000" w:themeColor="text1"/>
        </w:rPr>
      </w:pPr>
    </w:p>
    <w:tbl>
      <w:tblPr>
        <w:tblW w:w="9440" w:type="dxa"/>
        <w:tblLook w:val="04A0" w:firstRow="1" w:lastRow="0" w:firstColumn="1" w:lastColumn="0" w:noHBand="0" w:noVBand="1"/>
      </w:tblPr>
      <w:tblGrid>
        <w:gridCol w:w="1470"/>
        <w:gridCol w:w="2030"/>
        <w:gridCol w:w="2880"/>
        <w:gridCol w:w="3060"/>
      </w:tblGrid>
      <w:tr w:rsidR="00877981" w:rsidRPr="00DC28FF" w14:paraId="51FAFDDC" w14:textId="77777777" w:rsidTr="00625265">
        <w:trPr>
          <w:trHeight w:val="133"/>
        </w:trPr>
        <w:tc>
          <w:tcPr>
            <w:tcW w:w="147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07E6F315" w14:textId="77777777" w:rsidR="00ED78F1" w:rsidRPr="00DC28FF" w:rsidRDefault="00ED78F1" w:rsidP="00B451D7">
            <w:pPr>
              <w:jc w:val="center"/>
              <w:rPr>
                <w:b/>
                <w:bCs/>
                <w:color w:val="000000" w:themeColor="text1"/>
                <w:sz w:val="20"/>
                <w:szCs w:val="20"/>
              </w:rPr>
            </w:pPr>
            <w:r w:rsidRPr="00DC28FF">
              <w:rPr>
                <w:b/>
                <w:bCs/>
                <w:color w:val="000000" w:themeColor="text1"/>
                <w:sz w:val="20"/>
                <w:szCs w:val="20"/>
              </w:rPr>
              <w:t>Finding Type</w:t>
            </w:r>
          </w:p>
        </w:tc>
        <w:tc>
          <w:tcPr>
            <w:tcW w:w="2030"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420823B4" w14:textId="77777777" w:rsidR="00ED78F1" w:rsidRPr="00DC28FF" w:rsidRDefault="00ED78F1" w:rsidP="00B451D7">
            <w:pPr>
              <w:jc w:val="center"/>
              <w:rPr>
                <w:b/>
                <w:bCs/>
                <w:color w:val="000000" w:themeColor="text1"/>
                <w:sz w:val="20"/>
                <w:szCs w:val="20"/>
              </w:rPr>
            </w:pPr>
            <w:r w:rsidRPr="00DC28FF">
              <w:rPr>
                <w:b/>
                <w:bCs/>
                <w:color w:val="000000" w:themeColor="text1"/>
                <w:sz w:val="20"/>
                <w:szCs w:val="20"/>
              </w:rPr>
              <w:t>Sample-Specific Statement</w:t>
            </w:r>
          </w:p>
        </w:tc>
        <w:tc>
          <w:tcPr>
            <w:tcW w:w="2880"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4D4E7746" w14:textId="77777777" w:rsidR="00ED78F1" w:rsidRPr="00DC28FF" w:rsidRDefault="00ED78F1" w:rsidP="00B451D7">
            <w:pPr>
              <w:jc w:val="center"/>
              <w:rPr>
                <w:b/>
                <w:bCs/>
                <w:color w:val="000000" w:themeColor="text1"/>
                <w:sz w:val="20"/>
                <w:szCs w:val="20"/>
              </w:rPr>
            </w:pPr>
            <w:r w:rsidRPr="00DC28FF">
              <w:rPr>
                <w:b/>
                <w:bCs/>
                <w:color w:val="000000" w:themeColor="text1"/>
                <w:sz w:val="20"/>
                <w:szCs w:val="20"/>
              </w:rPr>
              <w:t>Appropriate Generalization</w:t>
            </w:r>
          </w:p>
        </w:tc>
        <w:tc>
          <w:tcPr>
            <w:tcW w:w="306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56428BD3" w14:textId="77777777" w:rsidR="00ED78F1" w:rsidRPr="00DC28FF" w:rsidRDefault="00ED78F1" w:rsidP="00B451D7">
            <w:pPr>
              <w:jc w:val="center"/>
              <w:rPr>
                <w:b/>
                <w:bCs/>
                <w:color w:val="000000" w:themeColor="text1"/>
                <w:sz w:val="20"/>
                <w:szCs w:val="20"/>
              </w:rPr>
            </w:pPr>
            <w:r w:rsidRPr="00DC28FF">
              <w:rPr>
                <w:b/>
                <w:bCs/>
                <w:color w:val="000000" w:themeColor="text1"/>
                <w:sz w:val="20"/>
                <w:szCs w:val="20"/>
              </w:rPr>
              <w:t>Inappropriate Generalization</w:t>
            </w:r>
          </w:p>
        </w:tc>
      </w:tr>
      <w:tr w:rsidR="00877981" w:rsidRPr="00DC28FF" w14:paraId="500BD3B3" w14:textId="77777777" w:rsidTr="00625265">
        <w:trPr>
          <w:trHeight w:val="1006"/>
        </w:trPr>
        <w:tc>
          <w:tcPr>
            <w:tcW w:w="1470"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24E9C374" w14:textId="77777777" w:rsidR="00ED78F1" w:rsidRPr="00DC28FF" w:rsidRDefault="00ED78F1" w:rsidP="00B451D7">
            <w:pPr>
              <w:rPr>
                <w:b/>
                <w:bCs/>
                <w:color w:val="000000" w:themeColor="text1"/>
                <w:sz w:val="20"/>
                <w:szCs w:val="20"/>
              </w:rPr>
            </w:pPr>
            <w:r w:rsidRPr="00DC28FF">
              <w:rPr>
                <w:b/>
                <w:bCs/>
                <w:color w:val="000000" w:themeColor="text1"/>
                <w:sz w:val="20"/>
                <w:szCs w:val="20"/>
              </w:rPr>
              <w:t>Failure Rates</w:t>
            </w:r>
          </w:p>
        </w:tc>
        <w:tc>
          <w:tcPr>
            <w:tcW w:w="2030" w:type="dxa"/>
            <w:tcBorders>
              <w:top w:val="nil"/>
              <w:left w:val="nil"/>
              <w:bottom w:val="single" w:sz="4" w:space="0" w:color="auto"/>
              <w:right w:val="single" w:sz="4" w:space="0" w:color="auto"/>
            </w:tcBorders>
            <w:vAlign w:val="center"/>
            <w:hideMark/>
          </w:tcPr>
          <w:p w14:paraId="36FC0D83" w14:textId="77777777" w:rsidR="00ED78F1" w:rsidRPr="00DC28FF" w:rsidRDefault="00ED78F1" w:rsidP="00B451D7">
            <w:pPr>
              <w:rPr>
                <w:color w:val="000000" w:themeColor="text1"/>
                <w:sz w:val="20"/>
                <w:szCs w:val="20"/>
              </w:rPr>
            </w:pPr>
            <w:r w:rsidRPr="00DC28FF">
              <w:rPr>
                <w:color w:val="000000" w:themeColor="text1"/>
                <w:sz w:val="20"/>
                <w:szCs w:val="20"/>
              </w:rPr>
              <w:t>“73% (95% CI: 65%-80%; accounting for survivorship bias: likely 73-90%) of the 156 tracked positions were unprofitable after accounting for all costs"</w:t>
            </w:r>
          </w:p>
        </w:tc>
        <w:tc>
          <w:tcPr>
            <w:tcW w:w="2880" w:type="dxa"/>
            <w:tcBorders>
              <w:top w:val="nil"/>
              <w:left w:val="nil"/>
              <w:bottom w:val="single" w:sz="4" w:space="0" w:color="auto"/>
              <w:right w:val="single" w:sz="4" w:space="0" w:color="auto"/>
            </w:tcBorders>
            <w:vAlign w:val="center"/>
            <w:hideMark/>
          </w:tcPr>
          <w:p w14:paraId="7E9F224B" w14:textId="77777777" w:rsidR="00ED78F1" w:rsidRPr="00DC28FF" w:rsidRDefault="00ED78F1" w:rsidP="00B451D7">
            <w:pPr>
              <w:rPr>
                <w:color w:val="000000" w:themeColor="text1"/>
                <w:sz w:val="20"/>
                <w:szCs w:val="20"/>
              </w:rPr>
            </w:pPr>
            <w:r w:rsidRPr="00DC28FF">
              <w:rPr>
                <w:color w:val="000000" w:themeColor="text1"/>
                <w:sz w:val="20"/>
                <w:szCs w:val="20"/>
              </w:rPr>
              <w:t>"Majority of early DeFi participants during 2020-2024 likely faced systematic unprofitability due to operational cost structures exceeding returns, though precise failure rates vary by context"</w:t>
            </w:r>
          </w:p>
        </w:tc>
        <w:tc>
          <w:tcPr>
            <w:tcW w:w="3060" w:type="dxa"/>
            <w:tcBorders>
              <w:top w:val="nil"/>
              <w:left w:val="nil"/>
              <w:bottom w:val="single" w:sz="4" w:space="0" w:color="auto"/>
              <w:right w:val="single" w:sz="8" w:space="0" w:color="auto"/>
            </w:tcBorders>
            <w:vAlign w:val="center"/>
            <w:hideMark/>
          </w:tcPr>
          <w:p w14:paraId="39F390EE" w14:textId="77777777" w:rsidR="00ED78F1" w:rsidRPr="00DC28FF" w:rsidRDefault="00ED78F1" w:rsidP="00B451D7">
            <w:pPr>
              <w:rPr>
                <w:color w:val="000000" w:themeColor="text1"/>
                <w:sz w:val="20"/>
                <w:szCs w:val="20"/>
              </w:rPr>
            </w:pPr>
            <w:r w:rsidRPr="00DC28FF">
              <w:rPr>
                <w:color w:val="000000" w:themeColor="text1"/>
                <w:sz w:val="20"/>
                <w:szCs w:val="20"/>
              </w:rPr>
              <w:t>"73% of all DeFi participants lose money" (implies population parameter from non-random sample)</w:t>
            </w:r>
          </w:p>
        </w:tc>
      </w:tr>
      <w:tr w:rsidR="00877981" w:rsidRPr="00DC28FF" w14:paraId="2CA25EEE" w14:textId="77777777" w:rsidTr="00625265">
        <w:trPr>
          <w:trHeight w:val="1511"/>
        </w:trPr>
        <w:tc>
          <w:tcPr>
            <w:tcW w:w="1470"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70C560AD" w14:textId="77777777" w:rsidR="00ED78F1" w:rsidRPr="00DC28FF" w:rsidRDefault="00ED78F1" w:rsidP="00B451D7">
            <w:pPr>
              <w:rPr>
                <w:b/>
                <w:bCs/>
                <w:color w:val="000000" w:themeColor="text1"/>
                <w:sz w:val="20"/>
                <w:szCs w:val="20"/>
              </w:rPr>
            </w:pPr>
            <w:r w:rsidRPr="00DC28FF">
              <w:rPr>
                <w:b/>
                <w:bCs/>
                <w:color w:val="000000" w:themeColor="text1"/>
                <w:sz w:val="20"/>
                <w:szCs w:val="20"/>
              </w:rPr>
              <w:t>Capital Thresholds</w:t>
            </w:r>
          </w:p>
        </w:tc>
        <w:tc>
          <w:tcPr>
            <w:tcW w:w="2030" w:type="dxa"/>
            <w:tcBorders>
              <w:top w:val="nil"/>
              <w:left w:val="nil"/>
              <w:bottom w:val="single" w:sz="4" w:space="0" w:color="auto"/>
              <w:right w:val="single" w:sz="4" w:space="0" w:color="auto"/>
            </w:tcBorders>
            <w:vAlign w:val="center"/>
            <w:hideMark/>
          </w:tcPr>
          <w:p w14:paraId="5F1AC734" w14:textId="77777777" w:rsidR="00ED78F1" w:rsidRPr="00DC28FF" w:rsidRDefault="00ED78F1" w:rsidP="00B451D7">
            <w:pPr>
              <w:rPr>
                <w:color w:val="000000" w:themeColor="text1"/>
                <w:sz w:val="20"/>
                <w:szCs w:val="20"/>
              </w:rPr>
            </w:pPr>
            <w:r w:rsidRPr="00DC28FF">
              <w:rPr>
                <w:color w:val="000000" w:themeColor="text1"/>
                <w:sz w:val="20"/>
                <w:szCs w:val="20"/>
              </w:rPr>
              <w:t xml:space="preserve">"Ethereum </w:t>
            </w:r>
            <w:proofErr w:type="spellStart"/>
            <w:r w:rsidRPr="00DC28FF">
              <w:rPr>
                <w:color w:val="000000" w:themeColor="text1"/>
                <w:sz w:val="20"/>
                <w:szCs w:val="20"/>
              </w:rPr>
              <w:t>mainnet</w:t>
            </w:r>
            <w:proofErr w:type="spellEnd"/>
            <w:r w:rsidRPr="00DC28FF">
              <w:rPr>
                <w:color w:val="000000" w:themeColor="text1"/>
                <w:sz w:val="20"/>
                <w:szCs w:val="20"/>
              </w:rPr>
              <w:t xml:space="preserve"> positions required ~$25,000 (range: $18,000-$31,000) to overcome gas costs in my sample during 2020-2024"</w:t>
            </w:r>
          </w:p>
        </w:tc>
        <w:tc>
          <w:tcPr>
            <w:tcW w:w="2880" w:type="dxa"/>
            <w:tcBorders>
              <w:top w:val="nil"/>
              <w:left w:val="nil"/>
              <w:bottom w:val="single" w:sz="4" w:space="0" w:color="auto"/>
              <w:right w:val="single" w:sz="4" w:space="0" w:color="auto"/>
            </w:tcBorders>
            <w:vAlign w:val="center"/>
            <w:hideMark/>
          </w:tcPr>
          <w:p w14:paraId="2159078F" w14:textId="77777777" w:rsidR="00ED78F1" w:rsidRPr="00DC28FF" w:rsidRDefault="00ED78F1" w:rsidP="00B451D7">
            <w:pPr>
              <w:rPr>
                <w:color w:val="000000" w:themeColor="text1"/>
                <w:sz w:val="20"/>
                <w:szCs w:val="20"/>
              </w:rPr>
            </w:pPr>
            <w:r w:rsidRPr="00DC28FF">
              <w:rPr>
                <w:color w:val="000000" w:themeColor="text1"/>
                <w:sz w:val="20"/>
                <w:szCs w:val="20"/>
              </w:rPr>
              <w:t>"Gas fee structures create network-specific capital thresholds below which operational costs systematically exceed potential returns; specific dollar amounts vary with network congestion and fee levels"</w:t>
            </w:r>
          </w:p>
        </w:tc>
        <w:tc>
          <w:tcPr>
            <w:tcW w:w="3060" w:type="dxa"/>
            <w:tcBorders>
              <w:top w:val="nil"/>
              <w:left w:val="nil"/>
              <w:bottom w:val="single" w:sz="4" w:space="0" w:color="auto"/>
              <w:right w:val="single" w:sz="8" w:space="0" w:color="auto"/>
            </w:tcBorders>
            <w:vAlign w:val="center"/>
            <w:hideMark/>
          </w:tcPr>
          <w:p w14:paraId="6F83C17A" w14:textId="77777777" w:rsidR="00ED78F1" w:rsidRPr="00DC28FF" w:rsidRDefault="00ED78F1" w:rsidP="00B451D7">
            <w:pPr>
              <w:rPr>
                <w:color w:val="000000" w:themeColor="text1"/>
                <w:sz w:val="20"/>
                <w:szCs w:val="20"/>
              </w:rPr>
            </w:pPr>
            <w:r w:rsidRPr="00DC28FF">
              <w:rPr>
                <w:color w:val="000000" w:themeColor="text1"/>
                <w:sz w:val="20"/>
                <w:szCs w:val="20"/>
              </w:rPr>
              <w:t>"You need exactly $25,000 to profit on Ethereum" (ignores variability and temporal change)</w:t>
            </w:r>
          </w:p>
        </w:tc>
      </w:tr>
      <w:tr w:rsidR="00877981" w:rsidRPr="00DC28FF" w14:paraId="1CD031AA" w14:textId="77777777" w:rsidTr="00625265">
        <w:trPr>
          <w:trHeight w:val="2231"/>
        </w:trPr>
        <w:tc>
          <w:tcPr>
            <w:tcW w:w="1470"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6C20A2CE" w14:textId="77777777" w:rsidR="00ED78F1" w:rsidRPr="00DC28FF" w:rsidRDefault="00ED78F1" w:rsidP="00B451D7">
            <w:pPr>
              <w:rPr>
                <w:b/>
                <w:bCs/>
                <w:color w:val="000000" w:themeColor="text1"/>
                <w:sz w:val="20"/>
                <w:szCs w:val="20"/>
              </w:rPr>
            </w:pPr>
            <w:r w:rsidRPr="00DC28FF">
              <w:rPr>
                <w:b/>
                <w:bCs/>
                <w:color w:val="000000" w:themeColor="text1"/>
                <w:sz w:val="20"/>
                <w:szCs w:val="20"/>
              </w:rPr>
              <w:t>Time Requirements</w:t>
            </w:r>
          </w:p>
        </w:tc>
        <w:tc>
          <w:tcPr>
            <w:tcW w:w="2030" w:type="dxa"/>
            <w:tcBorders>
              <w:top w:val="nil"/>
              <w:left w:val="nil"/>
              <w:bottom w:val="single" w:sz="4" w:space="0" w:color="auto"/>
              <w:right w:val="single" w:sz="4" w:space="0" w:color="auto"/>
            </w:tcBorders>
            <w:vAlign w:val="center"/>
            <w:hideMark/>
          </w:tcPr>
          <w:p w14:paraId="3B12AA94" w14:textId="77777777" w:rsidR="00ED78F1" w:rsidRPr="00DC28FF" w:rsidRDefault="00ED78F1" w:rsidP="00B451D7">
            <w:pPr>
              <w:rPr>
                <w:color w:val="000000" w:themeColor="text1"/>
                <w:sz w:val="20"/>
                <w:szCs w:val="20"/>
              </w:rPr>
            </w:pPr>
            <w:r w:rsidRPr="00DC28FF">
              <w:rPr>
                <w:color w:val="000000" w:themeColor="text1"/>
                <w:sz w:val="20"/>
                <w:szCs w:val="20"/>
              </w:rPr>
              <w:t>"Successful participants in my interview sample (n=27) reported median 17.5 hours weekly (range: 15-20 hours)"</w:t>
            </w:r>
          </w:p>
        </w:tc>
        <w:tc>
          <w:tcPr>
            <w:tcW w:w="2880" w:type="dxa"/>
            <w:tcBorders>
              <w:top w:val="nil"/>
              <w:left w:val="nil"/>
              <w:bottom w:val="single" w:sz="4" w:space="0" w:color="auto"/>
              <w:right w:val="single" w:sz="4" w:space="0" w:color="auto"/>
            </w:tcBorders>
            <w:vAlign w:val="center"/>
            <w:hideMark/>
          </w:tcPr>
          <w:p w14:paraId="5626BF43" w14:textId="77777777" w:rsidR="00ED78F1" w:rsidRPr="00DC28FF" w:rsidRDefault="00ED78F1" w:rsidP="00B451D7">
            <w:pPr>
              <w:rPr>
                <w:color w:val="000000" w:themeColor="text1"/>
                <w:sz w:val="20"/>
                <w:szCs w:val="20"/>
              </w:rPr>
            </w:pPr>
            <w:r w:rsidRPr="00DC28FF">
              <w:rPr>
                <w:color w:val="000000" w:themeColor="text1"/>
                <w:sz w:val="20"/>
                <w:szCs w:val="20"/>
              </w:rPr>
              <w:t xml:space="preserve">"DeFi participation requiring active management demands substantial time investment incompatible with 'passive income' framing; specific hours vary by individual </w:t>
            </w:r>
            <w:proofErr w:type="gramStart"/>
            <w:r w:rsidRPr="00DC28FF">
              <w:rPr>
                <w:color w:val="000000" w:themeColor="text1"/>
                <w:sz w:val="20"/>
                <w:szCs w:val="20"/>
              </w:rPr>
              <w:t>factors</w:t>
            </w:r>
            <w:proofErr w:type="gramEnd"/>
            <w:r w:rsidRPr="00DC28FF">
              <w:rPr>
                <w:color w:val="000000" w:themeColor="text1"/>
                <w:sz w:val="20"/>
                <w:szCs w:val="20"/>
              </w:rPr>
              <w:t xml:space="preserve"> but general pattern persists"</w:t>
            </w:r>
          </w:p>
        </w:tc>
        <w:tc>
          <w:tcPr>
            <w:tcW w:w="3060" w:type="dxa"/>
            <w:tcBorders>
              <w:top w:val="nil"/>
              <w:left w:val="nil"/>
              <w:bottom w:val="single" w:sz="4" w:space="0" w:color="auto"/>
              <w:right w:val="single" w:sz="8" w:space="0" w:color="auto"/>
            </w:tcBorders>
            <w:vAlign w:val="center"/>
            <w:hideMark/>
          </w:tcPr>
          <w:p w14:paraId="278462D4" w14:textId="77777777" w:rsidR="00ED78F1" w:rsidRPr="00DC28FF" w:rsidRDefault="00ED78F1" w:rsidP="00B451D7">
            <w:pPr>
              <w:rPr>
                <w:color w:val="000000" w:themeColor="text1"/>
                <w:sz w:val="20"/>
                <w:szCs w:val="20"/>
              </w:rPr>
            </w:pPr>
            <w:r w:rsidRPr="00DC28FF">
              <w:rPr>
                <w:color w:val="000000" w:themeColor="text1"/>
                <w:sz w:val="20"/>
                <w:szCs w:val="20"/>
              </w:rPr>
              <w:t xml:space="preserve">"Everyone needs exactly 17.5 hours weekly" (treats sample </w:t>
            </w:r>
            <w:proofErr w:type="gramStart"/>
            <w:r w:rsidRPr="00DC28FF">
              <w:rPr>
                <w:color w:val="000000" w:themeColor="text1"/>
                <w:sz w:val="20"/>
                <w:szCs w:val="20"/>
              </w:rPr>
              <w:t>median</w:t>
            </w:r>
            <w:proofErr w:type="gramEnd"/>
            <w:r w:rsidRPr="00DC28FF">
              <w:rPr>
                <w:color w:val="000000" w:themeColor="text1"/>
                <w:sz w:val="20"/>
                <w:szCs w:val="20"/>
              </w:rPr>
              <w:t xml:space="preserve"> as universal requirement)</w:t>
            </w:r>
          </w:p>
        </w:tc>
      </w:tr>
      <w:tr w:rsidR="00877981" w:rsidRPr="00DC28FF" w14:paraId="7BA8BE9F" w14:textId="77777777" w:rsidTr="00625265">
        <w:trPr>
          <w:trHeight w:val="827"/>
        </w:trPr>
        <w:tc>
          <w:tcPr>
            <w:tcW w:w="1470"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7A0E07A4" w14:textId="77777777" w:rsidR="00ED78F1" w:rsidRPr="00DC28FF" w:rsidRDefault="00ED78F1" w:rsidP="00B451D7">
            <w:pPr>
              <w:rPr>
                <w:b/>
                <w:bCs/>
                <w:color w:val="000000" w:themeColor="text1"/>
                <w:sz w:val="20"/>
                <w:szCs w:val="20"/>
              </w:rPr>
            </w:pPr>
            <w:r w:rsidRPr="00DC28FF">
              <w:rPr>
                <w:b/>
                <w:bCs/>
                <w:color w:val="000000" w:themeColor="text1"/>
                <w:sz w:val="20"/>
                <w:szCs w:val="20"/>
              </w:rPr>
              <w:t>Behavioral Patterns</w:t>
            </w:r>
          </w:p>
        </w:tc>
        <w:tc>
          <w:tcPr>
            <w:tcW w:w="2030" w:type="dxa"/>
            <w:tcBorders>
              <w:top w:val="nil"/>
              <w:left w:val="nil"/>
              <w:bottom w:val="single" w:sz="4" w:space="0" w:color="auto"/>
              <w:right w:val="single" w:sz="4" w:space="0" w:color="auto"/>
            </w:tcBorders>
            <w:vAlign w:val="center"/>
            <w:hideMark/>
          </w:tcPr>
          <w:p w14:paraId="07482A53" w14:textId="77777777" w:rsidR="00ED78F1" w:rsidRPr="00DC28FF" w:rsidRDefault="00ED78F1" w:rsidP="00B451D7">
            <w:pPr>
              <w:rPr>
                <w:color w:val="000000" w:themeColor="text1"/>
                <w:sz w:val="20"/>
                <w:szCs w:val="20"/>
              </w:rPr>
            </w:pPr>
            <w:r w:rsidRPr="00DC28FF">
              <w:rPr>
                <w:color w:val="000000" w:themeColor="text1"/>
                <w:sz w:val="20"/>
                <w:szCs w:val="20"/>
              </w:rPr>
              <w:t>"89% of interviewed participants who didn't understand impermanent loss mechanics reported losing money in my sample"</w:t>
            </w:r>
          </w:p>
        </w:tc>
        <w:tc>
          <w:tcPr>
            <w:tcW w:w="2880" w:type="dxa"/>
            <w:tcBorders>
              <w:top w:val="nil"/>
              <w:left w:val="nil"/>
              <w:bottom w:val="single" w:sz="4" w:space="0" w:color="auto"/>
              <w:right w:val="single" w:sz="4" w:space="0" w:color="auto"/>
            </w:tcBorders>
            <w:vAlign w:val="center"/>
            <w:hideMark/>
          </w:tcPr>
          <w:p w14:paraId="768C5C7C" w14:textId="77777777" w:rsidR="00ED78F1" w:rsidRPr="00DC28FF" w:rsidRDefault="00ED78F1" w:rsidP="00B451D7">
            <w:pPr>
              <w:rPr>
                <w:color w:val="000000" w:themeColor="text1"/>
                <w:sz w:val="20"/>
                <w:szCs w:val="20"/>
              </w:rPr>
            </w:pPr>
            <w:r w:rsidRPr="00DC28FF">
              <w:rPr>
                <w:color w:val="000000" w:themeColor="text1"/>
                <w:sz w:val="20"/>
                <w:szCs w:val="20"/>
              </w:rPr>
              <w:t>"IL comprehension functions as necessary condition for viable participation in volatile pair strategies; participants lacking this understanding face systematic losses"</w:t>
            </w:r>
          </w:p>
        </w:tc>
        <w:tc>
          <w:tcPr>
            <w:tcW w:w="3060" w:type="dxa"/>
            <w:tcBorders>
              <w:top w:val="nil"/>
              <w:left w:val="nil"/>
              <w:bottom w:val="single" w:sz="4" w:space="0" w:color="auto"/>
              <w:right w:val="single" w:sz="8" w:space="0" w:color="auto"/>
            </w:tcBorders>
            <w:vAlign w:val="center"/>
            <w:hideMark/>
          </w:tcPr>
          <w:p w14:paraId="01C4F2F1" w14:textId="77777777" w:rsidR="00ED78F1" w:rsidRPr="00DC28FF" w:rsidRDefault="00ED78F1" w:rsidP="00B451D7">
            <w:pPr>
              <w:rPr>
                <w:color w:val="000000" w:themeColor="text1"/>
                <w:sz w:val="20"/>
                <w:szCs w:val="20"/>
              </w:rPr>
            </w:pPr>
            <w:r w:rsidRPr="00DC28FF">
              <w:rPr>
                <w:color w:val="000000" w:themeColor="text1"/>
                <w:sz w:val="20"/>
                <w:szCs w:val="20"/>
              </w:rPr>
              <w:t>"89% of all participants who don't understand IL lose money" (</w:t>
            </w:r>
            <w:proofErr w:type="gramStart"/>
            <w:r w:rsidRPr="00DC28FF">
              <w:rPr>
                <w:color w:val="000000" w:themeColor="text1"/>
                <w:sz w:val="20"/>
                <w:szCs w:val="20"/>
              </w:rPr>
              <w:t>extrapolates interview</w:t>
            </w:r>
            <w:proofErr w:type="gramEnd"/>
            <w:r w:rsidRPr="00DC28FF">
              <w:rPr>
                <w:color w:val="000000" w:themeColor="text1"/>
                <w:sz w:val="20"/>
                <w:szCs w:val="20"/>
              </w:rPr>
              <w:t xml:space="preserve"> sample percentage to population)</w:t>
            </w:r>
          </w:p>
        </w:tc>
      </w:tr>
      <w:tr w:rsidR="00877981" w:rsidRPr="00DC28FF" w14:paraId="2C10A80B" w14:textId="77777777" w:rsidTr="00625265">
        <w:trPr>
          <w:trHeight w:val="1628"/>
        </w:trPr>
        <w:tc>
          <w:tcPr>
            <w:tcW w:w="1470"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13A5C703" w14:textId="77777777" w:rsidR="00ED78F1" w:rsidRPr="00DC28FF" w:rsidRDefault="00ED78F1" w:rsidP="00B451D7">
            <w:pPr>
              <w:rPr>
                <w:b/>
                <w:bCs/>
                <w:color w:val="000000" w:themeColor="text1"/>
                <w:sz w:val="20"/>
                <w:szCs w:val="20"/>
              </w:rPr>
            </w:pPr>
            <w:r w:rsidRPr="00DC28FF">
              <w:rPr>
                <w:b/>
                <w:bCs/>
                <w:color w:val="000000" w:themeColor="text1"/>
                <w:sz w:val="20"/>
                <w:szCs w:val="20"/>
              </w:rPr>
              <w:t>Risk Probabilities</w:t>
            </w:r>
          </w:p>
        </w:tc>
        <w:tc>
          <w:tcPr>
            <w:tcW w:w="2030" w:type="dxa"/>
            <w:tcBorders>
              <w:top w:val="nil"/>
              <w:left w:val="nil"/>
              <w:bottom w:val="single" w:sz="4" w:space="0" w:color="auto"/>
              <w:right w:val="single" w:sz="4" w:space="0" w:color="auto"/>
            </w:tcBorders>
            <w:vAlign w:val="center"/>
            <w:hideMark/>
          </w:tcPr>
          <w:p w14:paraId="59D0820C" w14:textId="77777777" w:rsidR="00ED78F1" w:rsidRPr="00DC28FF" w:rsidRDefault="00ED78F1" w:rsidP="00B451D7">
            <w:pPr>
              <w:rPr>
                <w:color w:val="000000" w:themeColor="text1"/>
                <w:sz w:val="20"/>
                <w:szCs w:val="20"/>
              </w:rPr>
            </w:pPr>
            <w:r w:rsidRPr="00DC28FF">
              <w:rPr>
                <w:color w:val="000000" w:themeColor="text1"/>
                <w:sz w:val="20"/>
                <w:szCs w:val="20"/>
              </w:rPr>
              <w:t>"12.2% of tracked positions experienced protocol-level incidents quarterly, translating to 35-45% estimated annual probability using survival analysis"</w:t>
            </w:r>
          </w:p>
        </w:tc>
        <w:tc>
          <w:tcPr>
            <w:tcW w:w="2880" w:type="dxa"/>
            <w:tcBorders>
              <w:top w:val="nil"/>
              <w:left w:val="nil"/>
              <w:bottom w:val="single" w:sz="4" w:space="0" w:color="auto"/>
              <w:right w:val="single" w:sz="4" w:space="0" w:color="auto"/>
            </w:tcBorders>
            <w:vAlign w:val="center"/>
            <w:hideMark/>
          </w:tcPr>
          <w:p w14:paraId="2F19FCE6" w14:textId="77777777" w:rsidR="00ED78F1" w:rsidRPr="00DC28FF" w:rsidRDefault="00ED78F1" w:rsidP="00B451D7">
            <w:pPr>
              <w:rPr>
                <w:color w:val="000000" w:themeColor="text1"/>
                <w:sz w:val="20"/>
                <w:szCs w:val="20"/>
              </w:rPr>
            </w:pPr>
            <w:r w:rsidRPr="00DC28FF">
              <w:rPr>
                <w:color w:val="000000" w:themeColor="text1"/>
                <w:sz w:val="20"/>
                <w:szCs w:val="20"/>
              </w:rPr>
              <w:t>"Protocol-level risks (exploits, governance attacks, oracle failures) materialize frequently enough that participants should plan position sizing around expectation of significant losses; specific probabilities vary with protocol maturity and market conditions"</w:t>
            </w:r>
          </w:p>
        </w:tc>
        <w:tc>
          <w:tcPr>
            <w:tcW w:w="3060" w:type="dxa"/>
            <w:tcBorders>
              <w:top w:val="nil"/>
              <w:left w:val="nil"/>
              <w:bottom w:val="single" w:sz="4" w:space="0" w:color="auto"/>
              <w:right w:val="single" w:sz="8" w:space="0" w:color="auto"/>
            </w:tcBorders>
            <w:vAlign w:val="center"/>
            <w:hideMark/>
          </w:tcPr>
          <w:p w14:paraId="1307C4AC" w14:textId="77777777" w:rsidR="00ED78F1" w:rsidRPr="00DC28FF" w:rsidRDefault="00ED78F1" w:rsidP="00B451D7">
            <w:pPr>
              <w:rPr>
                <w:color w:val="000000" w:themeColor="text1"/>
                <w:sz w:val="20"/>
                <w:szCs w:val="20"/>
              </w:rPr>
            </w:pPr>
            <w:r w:rsidRPr="00DC28FF">
              <w:rPr>
                <w:color w:val="000000" w:themeColor="text1"/>
                <w:sz w:val="20"/>
                <w:szCs w:val="20"/>
              </w:rPr>
              <w:t>"There's exactly a 41% chance you'll lose money each year" (treats model estimate as precise prediction)</w:t>
            </w:r>
          </w:p>
        </w:tc>
      </w:tr>
      <w:tr w:rsidR="00877981" w:rsidRPr="00DC28FF" w14:paraId="44330423" w14:textId="77777777" w:rsidTr="00625265">
        <w:trPr>
          <w:trHeight w:val="395"/>
        </w:trPr>
        <w:tc>
          <w:tcPr>
            <w:tcW w:w="1470"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160B7242" w14:textId="77777777" w:rsidR="00ED78F1" w:rsidRPr="00DC28FF" w:rsidRDefault="00ED78F1" w:rsidP="00B451D7">
            <w:pPr>
              <w:jc w:val="both"/>
              <w:rPr>
                <w:b/>
                <w:bCs/>
                <w:color w:val="000000" w:themeColor="text1"/>
                <w:sz w:val="20"/>
                <w:szCs w:val="20"/>
              </w:rPr>
            </w:pPr>
            <w:r w:rsidRPr="00DC28FF">
              <w:rPr>
                <w:b/>
                <w:bCs/>
                <w:color w:val="000000" w:themeColor="text1"/>
                <w:sz w:val="20"/>
                <w:szCs w:val="20"/>
              </w:rPr>
              <w:t>Network Comparisons</w:t>
            </w:r>
          </w:p>
        </w:tc>
        <w:tc>
          <w:tcPr>
            <w:tcW w:w="2030" w:type="dxa"/>
            <w:tcBorders>
              <w:top w:val="nil"/>
              <w:left w:val="nil"/>
              <w:bottom w:val="single" w:sz="4" w:space="0" w:color="auto"/>
              <w:right w:val="single" w:sz="4" w:space="0" w:color="auto"/>
            </w:tcBorders>
            <w:vAlign w:val="center"/>
            <w:hideMark/>
          </w:tcPr>
          <w:p w14:paraId="502B13A9" w14:textId="77777777" w:rsidR="00ED78F1" w:rsidRPr="00DC28FF" w:rsidRDefault="00ED78F1" w:rsidP="00B451D7">
            <w:pPr>
              <w:jc w:val="both"/>
              <w:rPr>
                <w:color w:val="000000" w:themeColor="text1"/>
                <w:sz w:val="20"/>
                <w:szCs w:val="20"/>
              </w:rPr>
            </w:pPr>
            <w:r w:rsidRPr="00DC28FF">
              <w:rPr>
                <w:color w:val="000000" w:themeColor="text1"/>
                <w:sz w:val="20"/>
                <w:szCs w:val="20"/>
              </w:rPr>
              <w:t xml:space="preserve">"In my sample, Polygon positions with $750-$3,500 achieved profitability rates comparable to L2 </w:t>
            </w:r>
            <w:r w:rsidRPr="00DC28FF">
              <w:rPr>
                <w:color w:val="000000" w:themeColor="text1"/>
                <w:sz w:val="20"/>
                <w:szCs w:val="20"/>
              </w:rPr>
              <w:lastRenderedPageBreak/>
              <w:t>positions with $3,500-$25,000"</w:t>
            </w:r>
          </w:p>
        </w:tc>
        <w:tc>
          <w:tcPr>
            <w:tcW w:w="2880" w:type="dxa"/>
            <w:tcBorders>
              <w:top w:val="nil"/>
              <w:left w:val="nil"/>
              <w:bottom w:val="single" w:sz="4" w:space="0" w:color="auto"/>
              <w:right w:val="single" w:sz="4" w:space="0" w:color="auto"/>
            </w:tcBorders>
            <w:vAlign w:val="center"/>
            <w:hideMark/>
          </w:tcPr>
          <w:p w14:paraId="1F9E1163" w14:textId="77777777" w:rsidR="00ED78F1" w:rsidRPr="00DC28FF" w:rsidRDefault="00ED78F1" w:rsidP="00B451D7">
            <w:pPr>
              <w:jc w:val="both"/>
              <w:rPr>
                <w:color w:val="000000" w:themeColor="text1"/>
                <w:sz w:val="20"/>
                <w:szCs w:val="20"/>
              </w:rPr>
            </w:pPr>
            <w:r w:rsidRPr="00DC28FF">
              <w:rPr>
                <w:color w:val="000000" w:themeColor="text1"/>
                <w:sz w:val="20"/>
                <w:szCs w:val="20"/>
              </w:rPr>
              <w:lastRenderedPageBreak/>
              <w:t>"Lower-cost networks enable viability at smaller capital scales, though often with reduced absolute returns and different liquidity/opportunity profiles"</w:t>
            </w:r>
          </w:p>
        </w:tc>
        <w:tc>
          <w:tcPr>
            <w:tcW w:w="3060" w:type="dxa"/>
            <w:tcBorders>
              <w:top w:val="nil"/>
              <w:left w:val="nil"/>
              <w:bottom w:val="single" w:sz="4" w:space="0" w:color="auto"/>
              <w:right w:val="single" w:sz="8" w:space="0" w:color="auto"/>
            </w:tcBorders>
            <w:vAlign w:val="center"/>
            <w:hideMark/>
          </w:tcPr>
          <w:p w14:paraId="0E0DD863" w14:textId="77777777" w:rsidR="00ED78F1" w:rsidRPr="00DC28FF" w:rsidRDefault="00ED78F1" w:rsidP="00B451D7">
            <w:pPr>
              <w:jc w:val="both"/>
              <w:rPr>
                <w:color w:val="000000" w:themeColor="text1"/>
                <w:sz w:val="20"/>
                <w:szCs w:val="20"/>
              </w:rPr>
            </w:pPr>
            <w:r w:rsidRPr="00DC28FF">
              <w:rPr>
                <w:color w:val="000000" w:themeColor="text1"/>
                <w:sz w:val="20"/>
                <w:szCs w:val="20"/>
              </w:rPr>
              <w:t>"Polygon is better than Ethereum for all participants" (ignores capital level, strategy, and individual circumstance dependencies)</w:t>
            </w:r>
          </w:p>
        </w:tc>
      </w:tr>
      <w:tr w:rsidR="00877981" w:rsidRPr="00DC28FF" w14:paraId="3E191924" w14:textId="77777777" w:rsidTr="00625265">
        <w:trPr>
          <w:trHeight w:val="1583"/>
        </w:trPr>
        <w:tc>
          <w:tcPr>
            <w:tcW w:w="1470"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74329910" w14:textId="77777777" w:rsidR="00ED78F1" w:rsidRPr="00DC28FF" w:rsidRDefault="00ED78F1" w:rsidP="00B451D7">
            <w:pPr>
              <w:jc w:val="both"/>
              <w:rPr>
                <w:b/>
                <w:bCs/>
                <w:color w:val="000000" w:themeColor="text1"/>
                <w:sz w:val="20"/>
                <w:szCs w:val="20"/>
              </w:rPr>
            </w:pPr>
            <w:r w:rsidRPr="00DC28FF">
              <w:rPr>
                <w:b/>
                <w:bCs/>
                <w:color w:val="000000" w:themeColor="text1"/>
                <w:sz w:val="20"/>
                <w:szCs w:val="20"/>
              </w:rPr>
              <w:t>Strategy Performance</w:t>
            </w:r>
          </w:p>
        </w:tc>
        <w:tc>
          <w:tcPr>
            <w:tcW w:w="2030" w:type="dxa"/>
            <w:tcBorders>
              <w:top w:val="nil"/>
              <w:left w:val="nil"/>
              <w:bottom w:val="single" w:sz="4" w:space="0" w:color="auto"/>
              <w:right w:val="single" w:sz="4" w:space="0" w:color="auto"/>
            </w:tcBorders>
            <w:vAlign w:val="center"/>
            <w:hideMark/>
          </w:tcPr>
          <w:p w14:paraId="5426FFA9" w14:textId="77777777" w:rsidR="00ED78F1" w:rsidRPr="00DC28FF" w:rsidRDefault="00ED78F1" w:rsidP="00B451D7">
            <w:pPr>
              <w:jc w:val="both"/>
              <w:rPr>
                <w:color w:val="000000" w:themeColor="text1"/>
                <w:sz w:val="20"/>
                <w:szCs w:val="20"/>
              </w:rPr>
            </w:pPr>
            <w:r w:rsidRPr="00DC28FF">
              <w:rPr>
                <w:color w:val="000000" w:themeColor="text1"/>
                <w:sz w:val="20"/>
                <w:szCs w:val="20"/>
              </w:rPr>
              <w:t>"Stablecoin liquidity provision generated 4-8% annual returns with Sharpe ratios of 0.8-1.4 in tracked positions"</w:t>
            </w:r>
          </w:p>
        </w:tc>
        <w:tc>
          <w:tcPr>
            <w:tcW w:w="2880" w:type="dxa"/>
            <w:tcBorders>
              <w:top w:val="nil"/>
              <w:left w:val="nil"/>
              <w:bottom w:val="single" w:sz="4" w:space="0" w:color="auto"/>
              <w:right w:val="single" w:sz="4" w:space="0" w:color="auto"/>
            </w:tcBorders>
            <w:vAlign w:val="center"/>
            <w:hideMark/>
          </w:tcPr>
          <w:p w14:paraId="772AD22E" w14:textId="77777777" w:rsidR="00ED78F1" w:rsidRPr="00DC28FF" w:rsidRDefault="00ED78F1" w:rsidP="00B451D7">
            <w:pPr>
              <w:jc w:val="both"/>
              <w:rPr>
                <w:color w:val="000000" w:themeColor="text1"/>
                <w:sz w:val="20"/>
                <w:szCs w:val="20"/>
              </w:rPr>
            </w:pPr>
            <w:r w:rsidRPr="00DC28FF">
              <w:rPr>
                <w:color w:val="000000" w:themeColor="text1"/>
                <w:sz w:val="20"/>
                <w:szCs w:val="20"/>
              </w:rPr>
              <w:t>"Simple strategies focused on stablecoin pairs demonstrated more consistent risk-adjusted returns than complex strategies during study period, reflecting genuine economic activity (trading fees) rather than unsustainable subsidies"</w:t>
            </w:r>
          </w:p>
        </w:tc>
        <w:tc>
          <w:tcPr>
            <w:tcW w:w="3060" w:type="dxa"/>
            <w:tcBorders>
              <w:top w:val="nil"/>
              <w:left w:val="nil"/>
              <w:bottom w:val="single" w:sz="4" w:space="0" w:color="auto"/>
              <w:right w:val="single" w:sz="8" w:space="0" w:color="auto"/>
            </w:tcBorders>
            <w:vAlign w:val="center"/>
            <w:hideMark/>
          </w:tcPr>
          <w:p w14:paraId="40CE1C1B" w14:textId="77777777" w:rsidR="00ED78F1" w:rsidRPr="00DC28FF" w:rsidRDefault="00ED78F1" w:rsidP="00B451D7">
            <w:pPr>
              <w:jc w:val="both"/>
              <w:rPr>
                <w:color w:val="000000" w:themeColor="text1"/>
                <w:sz w:val="20"/>
                <w:szCs w:val="20"/>
              </w:rPr>
            </w:pPr>
            <w:r w:rsidRPr="00DC28FF">
              <w:rPr>
                <w:color w:val="000000" w:themeColor="text1"/>
                <w:sz w:val="20"/>
                <w:szCs w:val="20"/>
              </w:rPr>
              <w:t>"Stablecoin LP always returns 4-8%" (ignores market condition variability and future uncertainty)</w:t>
            </w:r>
          </w:p>
        </w:tc>
      </w:tr>
      <w:tr w:rsidR="00877981" w:rsidRPr="00DC28FF" w14:paraId="304D5654" w14:textId="77777777" w:rsidTr="00625265">
        <w:trPr>
          <w:trHeight w:val="1025"/>
        </w:trPr>
        <w:tc>
          <w:tcPr>
            <w:tcW w:w="147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63E6520B" w14:textId="77777777" w:rsidR="00ED78F1" w:rsidRPr="00DC28FF" w:rsidRDefault="00ED78F1" w:rsidP="00B451D7">
            <w:pPr>
              <w:jc w:val="both"/>
              <w:rPr>
                <w:b/>
                <w:bCs/>
                <w:color w:val="000000" w:themeColor="text1"/>
                <w:sz w:val="20"/>
                <w:szCs w:val="20"/>
              </w:rPr>
            </w:pPr>
            <w:r w:rsidRPr="00DC28FF">
              <w:rPr>
                <w:b/>
                <w:bCs/>
                <w:color w:val="000000" w:themeColor="text1"/>
                <w:sz w:val="20"/>
                <w:szCs w:val="20"/>
              </w:rPr>
              <w:t>Temporal Patterns</w:t>
            </w:r>
          </w:p>
        </w:tc>
        <w:tc>
          <w:tcPr>
            <w:tcW w:w="2030" w:type="dxa"/>
            <w:tcBorders>
              <w:top w:val="nil"/>
              <w:left w:val="nil"/>
              <w:bottom w:val="single" w:sz="8" w:space="0" w:color="auto"/>
              <w:right w:val="single" w:sz="4" w:space="0" w:color="auto"/>
            </w:tcBorders>
            <w:vAlign w:val="center"/>
            <w:hideMark/>
          </w:tcPr>
          <w:p w14:paraId="15E65347" w14:textId="77777777" w:rsidR="00ED78F1" w:rsidRPr="00DC28FF" w:rsidRDefault="00ED78F1" w:rsidP="00B451D7">
            <w:pPr>
              <w:jc w:val="both"/>
              <w:rPr>
                <w:color w:val="000000" w:themeColor="text1"/>
                <w:sz w:val="20"/>
                <w:szCs w:val="20"/>
              </w:rPr>
            </w:pPr>
            <w:r w:rsidRPr="00DC28FF">
              <w:rPr>
                <w:color w:val="000000" w:themeColor="text1"/>
                <w:sz w:val="20"/>
                <w:szCs w:val="20"/>
              </w:rPr>
              <w:t>"Yield farming APYs compressed from 100-10,000% (weeks 1-4) to 5-20% (month 6) to below traditional alternatives (year 1+) in observed programs"</w:t>
            </w:r>
          </w:p>
        </w:tc>
        <w:tc>
          <w:tcPr>
            <w:tcW w:w="2880" w:type="dxa"/>
            <w:tcBorders>
              <w:top w:val="nil"/>
              <w:left w:val="nil"/>
              <w:bottom w:val="single" w:sz="8" w:space="0" w:color="auto"/>
              <w:right w:val="single" w:sz="4" w:space="0" w:color="auto"/>
            </w:tcBorders>
            <w:vAlign w:val="center"/>
            <w:hideMark/>
          </w:tcPr>
          <w:p w14:paraId="4015981F" w14:textId="77777777" w:rsidR="00ED78F1" w:rsidRPr="00DC28FF" w:rsidRDefault="00ED78F1" w:rsidP="00B451D7">
            <w:pPr>
              <w:jc w:val="both"/>
              <w:rPr>
                <w:color w:val="000000" w:themeColor="text1"/>
                <w:sz w:val="20"/>
                <w:szCs w:val="20"/>
              </w:rPr>
            </w:pPr>
            <w:r w:rsidRPr="00DC28FF">
              <w:rPr>
                <w:color w:val="000000" w:themeColor="text1"/>
                <w:sz w:val="20"/>
                <w:szCs w:val="20"/>
              </w:rPr>
              <w:t>"Discovered DeFi opportunities exhibit anti-inductive properties where capital inflows compress returns, creating temporary arbitrage windows rather than sustainable income strategies"</w:t>
            </w:r>
          </w:p>
        </w:tc>
        <w:tc>
          <w:tcPr>
            <w:tcW w:w="3060" w:type="dxa"/>
            <w:tcBorders>
              <w:top w:val="nil"/>
              <w:left w:val="nil"/>
              <w:bottom w:val="single" w:sz="8" w:space="0" w:color="auto"/>
              <w:right w:val="single" w:sz="8" w:space="0" w:color="auto"/>
            </w:tcBorders>
            <w:vAlign w:val="center"/>
            <w:hideMark/>
          </w:tcPr>
          <w:p w14:paraId="1779A220" w14:textId="77777777" w:rsidR="00ED78F1" w:rsidRPr="00DC28FF" w:rsidRDefault="00ED78F1" w:rsidP="00B451D7">
            <w:pPr>
              <w:jc w:val="both"/>
              <w:rPr>
                <w:color w:val="000000" w:themeColor="text1"/>
                <w:sz w:val="20"/>
                <w:szCs w:val="20"/>
              </w:rPr>
            </w:pPr>
            <w:r w:rsidRPr="00DC28FF">
              <w:rPr>
                <w:color w:val="000000" w:themeColor="text1"/>
                <w:sz w:val="20"/>
                <w:szCs w:val="20"/>
              </w:rPr>
              <w:t>"All DeFi opportunities disappear after 6 months" (overgeneralizes specific compression timeline)</w:t>
            </w:r>
          </w:p>
        </w:tc>
      </w:tr>
    </w:tbl>
    <w:p w14:paraId="14019BD3" w14:textId="77777777" w:rsidR="001826A1" w:rsidRDefault="001826A1" w:rsidP="00B451D7">
      <w:pPr>
        <w:jc w:val="both"/>
        <w:rPr>
          <w:color w:val="000000" w:themeColor="text1"/>
        </w:rPr>
      </w:pPr>
    </w:p>
    <w:p w14:paraId="65595398" w14:textId="490D083B" w:rsidR="00F101E6" w:rsidRPr="00F410B4" w:rsidRDefault="002A108B" w:rsidP="00B451D7">
      <w:pPr>
        <w:jc w:val="both"/>
        <w:rPr>
          <w:b/>
          <w:bCs/>
          <w:color w:val="000000" w:themeColor="text1"/>
        </w:rPr>
      </w:pPr>
      <w:r w:rsidRPr="001826A1">
        <w:rPr>
          <w:color w:val="000000" w:themeColor="text1"/>
        </w:rPr>
        <w:t>Critical Distinction:</w:t>
      </w:r>
      <w:r w:rsidR="0005645B" w:rsidRPr="00F410B4">
        <w:rPr>
          <w:b/>
          <w:bCs/>
          <w:color w:val="000000" w:themeColor="text1"/>
        </w:rPr>
        <w:t xml:space="preserve"> </w:t>
      </w:r>
      <w:r w:rsidR="0021376B" w:rsidRPr="00F410B4">
        <w:rPr>
          <w:color w:val="000000" w:themeColor="text1"/>
        </w:rPr>
        <w:t xml:space="preserve">This research answers "what conditions enable DeFi success?" (generalizable through analytical inference) rather than "what percentage succeed?" (requires representative sampling). The former question, while less statistically definitive, proves more theoretically productive and practically useful. Mechanisms and boundary conditions identified here can </w:t>
      </w:r>
      <w:r w:rsidR="006B426F" w:rsidRPr="00F410B4">
        <w:rPr>
          <w:color w:val="000000" w:themeColor="text1"/>
        </w:rPr>
        <w:t xml:space="preserve">be applied to </w:t>
      </w:r>
      <w:r w:rsidR="0021376B" w:rsidRPr="00F410B4">
        <w:rPr>
          <w:color w:val="000000" w:themeColor="text1"/>
        </w:rPr>
        <w:t>future research, protocol design, and participant decisions even as specific parameters shift with evolving market conditions.</w:t>
      </w:r>
    </w:p>
    <w:p w14:paraId="048A4F33" w14:textId="77777777" w:rsidR="001826A1" w:rsidRDefault="001826A1" w:rsidP="00B451D7">
      <w:pPr>
        <w:pStyle w:val="Heading2"/>
        <w:jc w:val="both"/>
        <w:rPr>
          <w:rFonts w:eastAsiaTheme="majorEastAsia"/>
          <w:color w:val="000000" w:themeColor="text1"/>
          <w:sz w:val="24"/>
        </w:rPr>
      </w:pPr>
      <w:bookmarkStart w:id="100" w:name="_Toc214721906"/>
    </w:p>
    <w:p w14:paraId="45715352" w14:textId="4D27A24D" w:rsidR="002D4581" w:rsidRPr="00F410B4" w:rsidRDefault="002D4581" w:rsidP="00B451D7">
      <w:pPr>
        <w:pStyle w:val="Heading2"/>
        <w:jc w:val="both"/>
        <w:rPr>
          <w:rFonts w:eastAsiaTheme="majorEastAsia"/>
          <w:color w:val="000000" w:themeColor="text1"/>
          <w:sz w:val="24"/>
        </w:rPr>
      </w:pPr>
      <w:r w:rsidRPr="00F410B4">
        <w:rPr>
          <w:rFonts w:eastAsiaTheme="majorEastAsia"/>
          <w:color w:val="000000" w:themeColor="text1"/>
          <w:sz w:val="24"/>
        </w:rPr>
        <w:t>4.1</w:t>
      </w:r>
      <w:r w:rsidR="00F101E6" w:rsidRPr="00F410B4">
        <w:rPr>
          <w:rFonts w:eastAsiaTheme="majorEastAsia"/>
          <w:color w:val="000000" w:themeColor="text1"/>
          <w:sz w:val="24"/>
        </w:rPr>
        <w:t>2</w:t>
      </w:r>
      <w:r w:rsidRPr="00F410B4">
        <w:rPr>
          <w:rFonts w:eastAsiaTheme="majorEastAsia"/>
          <w:color w:val="000000" w:themeColor="text1"/>
          <w:sz w:val="24"/>
        </w:rPr>
        <w:t xml:space="preserve"> Integration and Triangulation of Mixed Methods</w:t>
      </w:r>
      <w:bookmarkEnd w:id="100"/>
    </w:p>
    <w:p w14:paraId="27964F0D" w14:textId="77777777" w:rsidR="002D4581" w:rsidRPr="00F410B4" w:rsidRDefault="002D4581" w:rsidP="00B451D7">
      <w:pPr>
        <w:jc w:val="both"/>
        <w:rPr>
          <w:rFonts w:eastAsiaTheme="majorEastAsia"/>
          <w:color w:val="000000" w:themeColor="text1"/>
        </w:rPr>
      </w:pPr>
      <w:proofErr w:type="gramStart"/>
      <w:r w:rsidRPr="00F410B4">
        <w:rPr>
          <w:rFonts w:eastAsiaTheme="majorEastAsia"/>
          <w:color w:val="000000" w:themeColor="text1"/>
        </w:rPr>
        <w:t>The mixed</w:t>
      </w:r>
      <w:proofErr w:type="gramEnd"/>
      <w:r w:rsidRPr="00F410B4">
        <w:rPr>
          <w:rFonts w:eastAsiaTheme="majorEastAsia"/>
          <w:color w:val="000000" w:themeColor="text1"/>
        </w:rPr>
        <w:t xml:space="preserve"> methods design employes concurrent triangulation to validate the findings across data sources (Creswell &amp; Plano Clark, 2017). Where quantitative and qualitative data converged, confidence in findings increased. Exact the opposite was true for </w:t>
      </w:r>
      <w:proofErr w:type="gramStart"/>
      <w:r w:rsidRPr="00F410B4">
        <w:rPr>
          <w:rFonts w:eastAsiaTheme="majorEastAsia"/>
          <w:color w:val="000000" w:themeColor="text1"/>
        </w:rPr>
        <w:t>diverge</w:t>
      </w:r>
      <w:proofErr w:type="gramEnd"/>
      <w:r w:rsidRPr="00F410B4">
        <w:rPr>
          <w:rFonts w:eastAsiaTheme="majorEastAsia"/>
          <w:color w:val="000000" w:themeColor="text1"/>
        </w:rPr>
        <w:t xml:space="preserve"> data.</w:t>
      </w:r>
    </w:p>
    <w:p w14:paraId="4C636C88" w14:textId="77777777" w:rsidR="002D4581" w:rsidRPr="00F410B4" w:rsidRDefault="002D4581" w:rsidP="00B451D7">
      <w:pPr>
        <w:jc w:val="both"/>
        <w:rPr>
          <w:rFonts w:eastAsiaTheme="majorEastAsia"/>
          <w:color w:val="000000" w:themeColor="text1"/>
        </w:rPr>
      </w:pPr>
      <w:r w:rsidRPr="00F410B4">
        <w:rPr>
          <w:rFonts w:eastAsiaTheme="majorEastAsia"/>
          <w:color w:val="000000" w:themeColor="text1"/>
        </w:rPr>
        <w:t> </w:t>
      </w:r>
    </w:p>
    <w:p w14:paraId="1D4769D6" w14:textId="77777777" w:rsidR="002D4581" w:rsidRPr="00F410B4" w:rsidRDefault="002D4581" w:rsidP="00B451D7">
      <w:pPr>
        <w:jc w:val="both"/>
        <w:rPr>
          <w:rFonts w:eastAsiaTheme="majorEastAsia"/>
          <w:color w:val="000000" w:themeColor="text1"/>
        </w:rPr>
      </w:pPr>
      <w:r w:rsidRPr="00F410B4">
        <w:rPr>
          <w:rFonts w:eastAsiaTheme="majorEastAsia"/>
          <w:b/>
          <w:bCs/>
          <w:color w:val="000000" w:themeColor="text1"/>
        </w:rPr>
        <w:t>Convergent Findings:</w:t>
      </w:r>
      <w:r w:rsidRPr="00F410B4">
        <w:rPr>
          <w:rFonts w:eastAsiaTheme="majorEastAsia"/>
          <w:color w:val="000000" w:themeColor="text1"/>
        </w:rPr>
        <w:t xml:space="preserve"> Both transaction data and interviews confirmed the 15-20 </w:t>
      </w:r>
      <w:proofErr w:type="spellStart"/>
      <w:r w:rsidRPr="00F410B4">
        <w:rPr>
          <w:rFonts w:eastAsiaTheme="majorEastAsia"/>
          <w:color w:val="000000" w:themeColor="text1"/>
        </w:rPr>
        <w:t>hrs</w:t>
      </w:r>
      <w:proofErr w:type="spellEnd"/>
      <w:r w:rsidRPr="00F410B4">
        <w:rPr>
          <w:rFonts w:eastAsiaTheme="majorEastAsia"/>
          <w:color w:val="000000" w:themeColor="text1"/>
        </w:rPr>
        <w:t xml:space="preserve"> weekly time requirement for successful participation. The quantitative data showed correlation between time investment and returns (r=0.43, p&lt;0.001), while interviews confirmed similar reported time commitments.</w:t>
      </w:r>
    </w:p>
    <w:p w14:paraId="57B3F4B5" w14:textId="77777777" w:rsidR="002D4581" w:rsidRPr="00F410B4" w:rsidRDefault="002D4581" w:rsidP="00B451D7">
      <w:pPr>
        <w:jc w:val="both"/>
        <w:rPr>
          <w:rFonts w:eastAsiaTheme="majorEastAsia"/>
          <w:color w:val="000000" w:themeColor="text1"/>
        </w:rPr>
      </w:pPr>
      <w:r w:rsidRPr="00F410B4">
        <w:rPr>
          <w:rFonts w:eastAsiaTheme="majorEastAsia"/>
          <w:color w:val="000000" w:themeColor="text1"/>
        </w:rPr>
        <w:t> </w:t>
      </w:r>
    </w:p>
    <w:p w14:paraId="2DBFA5E9" w14:textId="77777777" w:rsidR="002D4581" w:rsidRPr="00F410B4" w:rsidRDefault="002D4581" w:rsidP="00B451D7">
      <w:pPr>
        <w:jc w:val="both"/>
        <w:rPr>
          <w:rFonts w:eastAsiaTheme="majorEastAsia"/>
          <w:color w:val="000000" w:themeColor="text1"/>
        </w:rPr>
      </w:pPr>
      <w:r w:rsidRPr="00F410B4">
        <w:rPr>
          <w:rFonts w:eastAsiaTheme="majorEastAsia"/>
          <w:b/>
          <w:bCs/>
          <w:color w:val="000000" w:themeColor="text1"/>
        </w:rPr>
        <w:t>Divergent Findings:</w:t>
      </w:r>
      <w:r w:rsidRPr="00F410B4">
        <w:rPr>
          <w:rFonts w:eastAsiaTheme="majorEastAsia"/>
          <w:color w:val="000000" w:themeColor="text1"/>
        </w:rPr>
        <w:t xml:space="preserve"> Quantitative analysis suggested that volatile pair positions could be profitable with proper management. However, interviews revealed that even "profitable" volatile positions often caused sufficient stress that participants considered them failures. This divergence led to distinguishing between financial and holistic success as defined by the interviewees.</w:t>
      </w:r>
    </w:p>
    <w:p w14:paraId="2C4CB389" w14:textId="77777777" w:rsidR="002D4581" w:rsidRPr="00F410B4" w:rsidRDefault="002D4581" w:rsidP="00B451D7">
      <w:pPr>
        <w:jc w:val="both"/>
        <w:rPr>
          <w:rFonts w:eastAsiaTheme="majorEastAsia"/>
          <w:color w:val="000000" w:themeColor="text1"/>
        </w:rPr>
      </w:pPr>
      <w:r w:rsidRPr="00F410B4">
        <w:rPr>
          <w:rFonts w:eastAsiaTheme="majorEastAsia"/>
          <w:color w:val="000000" w:themeColor="text1"/>
        </w:rPr>
        <w:t> </w:t>
      </w:r>
    </w:p>
    <w:p w14:paraId="366B3F3A" w14:textId="669FF93F" w:rsidR="00BF72D4" w:rsidRPr="00F410B4" w:rsidRDefault="00D460D7" w:rsidP="00B451D7">
      <w:pPr>
        <w:jc w:val="both"/>
        <w:rPr>
          <w:rFonts w:eastAsiaTheme="majorEastAsia"/>
          <w:color w:val="000000" w:themeColor="text1"/>
        </w:rPr>
      </w:pPr>
      <w:r w:rsidRPr="00F410B4">
        <w:rPr>
          <w:rFonts w:eastAsiaTheme="majorEastAsia"/>
          <w:color w:val="000000" w:themeColor="text1"/>
        </w:rPr>
        <w:t>The mixed-methods approach revealed that neither quantitative nor qualitative data alone could explain the complex dynamics at pla</w:t>
      </w:r>
      <w:r w:rsidR="00A759CB" w:rsidRPr="00F410B4">
        <w:rPr>
          <w:rFonts w:eastAsiaTheme="majorEastAsia"/>
          <w:color w:val="000000" w:themeColor="text1"/>
        </w:rPr>
        <w:t>y. T</w:t>
      </w:r>
      <w:r w:rsidRPr="00F410B4">
        <w:rPr>
          <w:rFonts w:eastAsiaTheme="majorEastAsia"/>
          <w:color w:val="000000" w:themeColor="text1"/>
        </w:rPr>
        <w:t>he integration of both was essential for understanding not just failure rates but the mechanisms producing them.</w:t>
      </w:r>
    </w:p>
    <w:p w14:paraId="7C73C9C7" w14:textId="1C8B12AB" w:rsidR="00581410" w:rsidRPr="00F410B4" w:rsidRDefault="00581410" w:rsidP="00B451D7">
      <w:pPr>
        <w:rPr>
          <w:rFonts w:eastAsiaTheme="majorEastAsia"/>
          <w:b/>
          <w:bCs/>
          <w:color w:val="000000" w:themeColor="text1"/>
        </w:rPr>
      </w:pPr>
      <w:r w:rsidRPr="00F410B4">
        <w:rPr>
          <w:rFonts w:eastAsiaTheme="majorEastAsia"/>
          <w:b/>
          <w:bCs/>
          <w:color w:val="000000" w:themeColor="text1"/>
        </w:rPr>
        <w:br w:type="page"/>
      </w:r>
    </w:p>
    <w:p w14:paraId="27EB5FC6" w14:textId="77777777" w:rsidR="00BF72D4" w:rsidRPr="003C66A0" w:rsidRDefault="00BF72D4" w:rsidP="00F60B13">
      <w:pPr>
        <w:jc w:val="center"/>
        <w:rPr>
          <w:rFonts w:eastAsiaTheme="majorEastAsia"/>
          <w:color w:val="000000" w:themeColor="text1"/>
        </w:rPr>
      </w:pPr>
    </w:p>
    <w:p w14:paraId="47D2BC0B" w14:textId="7B14AC83" w:rsidR="00554D1F" w:rsidRDefault="000F3578" w:rsidP="006B21E2">
      <w:pPr>
        <w:pStyle w:val="Heading1"/>
        <w:jc w:val="center"/>
        <w:rPr>
          <w:rFonts w:eastAsiaTheme="majorEastAsia"/>
        </w:rPr>
      </w:pPr>
      <w:bookmarkStart w:id="101" w:name="_Toc214721907"/>
      <w:r w:rsidRPr="003C66A0">
        <w:rPr>
          <w:rFonts w:eastAsiaTheme="majorEastAsia"/>
        </w:rPr>
        <w:t xml:space="preserve">CHAPTER </w:t>
      </w:r>
      <w:r w:rsidR="00267A54" w:rsidRPr="003C66A0">
        <w:rPr>
          <w:rFonts w:eastAsiaTheme="majorEastAsia"/>
        </w:rPr>
        <w:t>5</w:t>
      </w:r>
      <w:r w:rsidRPr="003C66A0">
        <w:rPr>
          <w:rFonts w:eastAsiaTheme="majorEastAsia"/>
        </w:rPr>
        <w:t xml:space="preserve">: </w:t>
      </w:r>
      <w:r w:rsidR="00554D1F" w:rsidRPr="003C66A0">
        <w:rPr>
          <w:rFonts w:eastAsiaTheme="majorEastAsia"/>
        </w:rPr>
        <w:t>EMPIRICAL ANALYSIS OF TRANSACTION FEE STRUCTURES</w:t>
      </w:r>
      <w:bookmarkEnd w:id="101"/>
    </w:p>
    <w:p w14:paraId="6951672C" w14:textId="77777777" w:rsidR="00F60B13" w:rsidRPr="000F77EE" w:rsidRDefault="00F60B13" w:rsidP="006B21E2">
      <w:pPr>
        <w:rPr>
          <w:rFonts w:eastAsiaTheme="majorEastAsia"/>
        </w:rPr>
      </w:pPr>
    </w:p>
    <w:p w14:paraId="09A232F7" w14:textId="17B288C6" w:rsidR="00267A54" w:rsidRPr="0071647F" w:rsidRDefault="00267A54" w:rsidP="006B21E2">
      <w:pPr>
        <w:jc w:val="both"/>
        <w:rPr>
          <w:rFonts w:eastAsiaTheme="majorEastAsia"/>
          <w:color w:val="000000" w:themeColor="text1"/>
        </w:rPr>
      </w:pPr>
      <w:r w:rsidRPr="0071647F">
        <w:rPr>
          <w:rFonts w:eastAsiaTheme="majorEastAsia"/>
          <w:color w:val="000000" w:themeColor="text1"/>
        </w:rPr>
        <w:t>This chapter examines how transaction fee structures create or constrain opportunities for minimal-capital participants. For this, the analysis used 3.27 million purposively sampled trades and a structural analysis of 23 exchange fee models and their development during the period of 2020 to 2024.</w:t>
      </w:r>
    </w:p>
    <w:p w14:paraId="1271FA36" w14:textId="77777777" w:rsidR="000F77EE" w:rsidRPr="0071647F" w:rsidRDefault="000F77EE" w:rsidP="006B21E2">
      <w:pPr>
        <w:jc w:val="both"/>
        <w:rPr>
          <w:rFonts w:eastAsiaTheme="majorEastAsia"/>
          <w:color w:val="000000" w:themeColor="text1"/>
        </w:rPr>
      </w:pPr>
    </w:p>
    <w:p w14:paraId="7B4977A5" w14:textId="375374BF" w:rsidR="00267A54" w:rsidRPr="0071647F" w:rsidRDefault="00267A54" w:rsidP="006B21E2">
      <w:pPr>
        <w:jc w:val="both"/>
        <w:rPr>
          <w:rFonts w:eastAsiaTheme="majorEastAsia"/>
          <w:color w:val="000000" w:themeColor="text1"/>
        </w:rPr>
      </w:pPr>
      <w:r w:rsidRPr="0071647F">
        <w:rPr>
          <w:rFonts w:eastAsiaTheme="majorEastAsia"/>
          <w:color w:val="000000" w:themeColor="text1"/>
        </w:rPr>
        <w:t>Fee structures are not just technical details. They can be considered as gates that determine who can or will profitably participate. A protocol might accept a very low $100 deposit, but if fees consume all returns, all profit will be lost in the short and long term. Understanding these dynamics is essential for choosing viable trading strategies.</w:t>
      </w:r>
    </w:p>
    <w:p w14:paraId="38A79322" w14:textId="77777777" w:rsidR="00A04269" w:rsidRPr="0071647F" w:rsidRDefault="00A04269" w:rsidP="006B21E2">
      <w:pPr>
        <w:jc w:val="both"/>
        <w:rPr>
          <w:rFonts w:eastAsiaTheme="majorEastAsia"/>
          <w:color w:val="000000" w:themeColor="text1"/>
        </w:rPr>
      </w:pPr>
    </w:p>
    <w:p w14:paraId="4C7FF97D" w14:textId="77777777" w:rsidR="00267A54" w:rsidRPr="0071647F" w:rsidRDefault="00267A54" w:rsidP="006B21E2">
      <w:pPr>
        <w:pStyle w:val="Heading2"/>
        <w:jc w:val="both"/>
        <w:rPr>
          <w:rFonts w:eastAsiaTheme="majorEastAsia"/>
          <w:sz w:val="24"/>
        </w:rPr>
      </w:pPr>
      <w:bookmarkStart w:id="102" w:name="_Toc214721908"/>
      <w:r w:rsidRPr="0071647F">
        <w:rPr>
          <w:rFonts w:eastAsiaTheme="majorEastAsia"/>
          <w:sz w:val="24"/>
        </w:rPr>
        <w:t>5.1 Comparative Analysis of Exchange Fee Architectures</w:t>
      </w:r>
      <w:bookmarkEnd w:id="102"/>
    </w:p>
    <w:p w14:paraId="649316AF" w14:textId="77777777" w:rsidR="00267A54" w:rsidRPr="0071647F" w:rsidRDefault="00267A54" w:rsidP="006B21E2">
      <w:pPr>
        <w:jc w:val="both"/>
        <w:rPr>
          <w:rFonts w:eastAsiaTheme="majorEastAsia"/>
          <w:color w:val="000000" w:themeColor="text1"/>
        </w:rPr>
      </w:pPr>
      <w:r w:rsidRPr="0071647F">
        <w:rPr>
          <w:rFonts w:eastAsiaTheme="majorEastAsia"/>
          <w:color w:val="000000" w:themeColor="text1"/>
        </w:rPr>
        <w:t>Three distinct fee paradigms emerged during 2020 to 2024. Each one of them created different opportunities for minimal-capital participants.</w:t>
      </w:r>
    </w:p>
    <w:p w14:paraId="789D6597" w14:textId="77777777" w:rsidR="00A04269" w:rsidRPr="0071647F" w:rsidRDefault="00A04269" w:rsidP="006B21E2">
      <w:pPr>
        <w:jc w:val="both"/>
        <w:rPr>
          <w:rFonts w:eastAsiaTheme="majorEastAsia"/>
          <w:color w:val="000000" w:themeColor="text1"/>
        </w:rPr>
      </w:pPr>
    </w:p>
    <w:p w14:paraId="0ABC2CAD" w14:textId="4FDA3466" w:rsidR="006A21B5" w:rsidRPr="0071647F" w:rsidRDefault="008D6F57" w:rsidP="006B21E2">
      <w:pPr>
        <w:pStyle w:val="Heading3"/>
        <w:jc w:val="both"/>
        <w:rPr>
          <w:rFonts w:eastAsiaTheme="majorEastAsia"/>
        </w:rPr>
      </w:pPr>
      <w:bookmarkStart w:id="103" w:name="_Toc214721909"/>
      <w:r w:rsidRPr="0071647F">
        <w:rPr>
          <w:rFonts w:eastAsiaTheme="majorEastAsia"/>
        </w:rPr>
        <w:t>5</w:t>
      </w:r>
      <w:r w:rsidR="006A21B5" w:rsidRPr="0071647F">
        <w:rPr>
          <w:rFonts w:eastAsiaTheme="majorEastAsia"/>
        </w:rPr>
        <w:t>.1.1 The Maker-Taker Paradigm: Hidden Complexities</w:t>
      </w:r>
      <w:bookmarkEnd w:id="103"/>
    </w:p>
    <w:p w14:paraId="0B3FD7E2" w14:textId="6BE58C67" w:rsidR="00267A54" w:rsidRPr="0071647F" w:rsidRDefault="00267A54" w:rsidP="006B21E2">
      <w:pPr>
        <w:jc w:val="both"/>
        <w:rPr>
          <w:rFonts w:eastAsiaTheme="majorEastAsia"/>
          <w:color w:val="000000" w:themeColor="text1"/>
        </w:rPr>
      </w:pPr>
      <w:r w:rsidRPr="0071647F">
        <w:rPr>
          <w:rFonts w:eastAsiaTheme="majorEastAsia"/>
          <w:color w:val="000000" w:themeColor="text1"/>
        </w:rPr>
        <w:t>The maker-taker models appear to democratize market making by rewarding liquidity providers with lower fees or rebates to perform their transactions. The analysis of 847,000 transactions across five major centralized exchanges showed systematic advantages for sophisticated participants. This was not captured by the exchange fee schedules.</w:t>
      </w:r>
    </w:p>
    <w:p w14:paraId="04818A63" w14:textId="77777777" w:rsidR="00A04269" w:rsidRPr="0071647F" w:rsidRDefault="00A04269" w:rsidP="006B21E2">
      <w:pPr>
        <w:jc w:val="both"/>
        <w:rPr>
          <w:rFonts w:eastAsiaTheme="majorEastAsia"/>
          <w:color w:val="000000" w:themeColor="text1"/>
        </w:rPr>
      </w:pPr>
    </w:p>
    <w:p w14:paraId="468AE320" w14:textId="7CB71A1B" w:rsidR="00267A54" w:rsidRPr="0071647F" w:rsidRDefault="00267A54" w:rsidP="006B21E2">
      <w:pPr>
        <w:jc w:val="both"/>
        <w:rPr>
          <w:rFonts w:eastAsiaTheme="majorEastAsia"/>
          <w:color w:val="000000" w:themeColor="text1"/>
        </w:rPr>
      </w:pPr>
      <w:r w:rsidRPr="0071647F">
        <w:rPr>
          <w:rFonts w:eastAsiaTheme="majorEastAsia"/>
          <w:color w:val="000000" w:themeColor="text1"/>
        </w:rPr>
        <w:t xml:space="preserve">Makers, especially those adding liquidity through limit orders, have paid an </w:t>
      </w:r>
      <w:r w:rsidR="00F60B13" w:rsidRPr="0071647F">
        <w:rPr>
          <w:rFonts w:eastAsiaTheme="majorEastAsia"/>
          <w:color w:val="000000" w:themeColor="text1"/>
        </w:rPr>
        <w:t>average fee</w:t>
      </w:r>
      <w:r w:rsidRPr="0071647F">
        <w:rPr>
          <w:rFonts w:eastAsiaTheme="majorEastAsia"/>
          <w:color w:val="000000" w:themeColor="text1"/>
        </w:rPr>
        <w:t xml:space="preserve"> of 0.018% on Binance, 0.04% on Coinbase, and received rebates averaging 0.01% on promotional exchanges. Takers, the ones removing liquidity through market orders, paid 0.04% on Binance and 0.06% on Coinbase. These differences are not significant but can compound significantly with large volume of trades or high investments.</w:t>
      </w:r>
    </w:p>
    <w:p w14:paraId="2E39B225" w14:textId="77777777" w:rsidR="00A04269" w:rsidRPr="0071647F" w:rsidRDefault="00A04269" w:rsidP="006B21E2">
      <w:pPr>
        <w:jc w:val="both"/>
        <w:rPr>
          <w:rFonts w:eastAsiaTheme="majorEastAsia"/>
          <w:color w:val="000000" w:themeColor="text1"/>
        </w:rPr>
      </w:pPr>
    </w:p>
    <w:p w14:paraId="5778209C" w14:textId="74CD9345" w:rsidR="00267A54" w:rsidRPr="0071647F" w:rsidRDefault="00267A54" w:rsidP="006B21E2">
      <w:pPr>
        <w:jc w:val="both"/>
        <w:rPr>
          <w:rFonts w:eastAsiaTheme="majorEastAsia"/>
          <w:color w:val="000000" w:themeColor="text1"/>
        </w:rPr>
      </w:pPr>
      <w:r w:rsidRPr="0071647F">
        <w:rPr>
          <w:rFonts w:eastAsiaTheme="majorEastAsia"/>
          <w:color w:val="000000" w:themeColor="text1"/>
        </w:rPr>
        <w:t xml:space="preserve">For someone with $1,000 making 20 monthly trades, the maker-taker difference amounts to $48 annually on Binance. That's 4.8% of </w:t>
      </w:r>
      <w:proofErr w:type="gramStart"/>
      <w:r w:rsidRPr="0071647F">
        <w:rPr>
          <w:rFonts w:eastAsiaTheme="majorEastAsia"/>
          <w:color w:val="000000" w:themeColor="text1"/>
        </w:rPr>
        <w:t>capita</w:t>
      </w:r>
      <w:proofErr w:type="gramEnd"/>
      <w:r w:rsidRPr="0071647F">
        <w:rPr>
          <w:rFonts w:eastAsiaTheme="majorEastAsia"/>
          <w:color w:val="000000" w:themeColor="text1"/>
        </w:rPr>
        <w:t xml:space="preserve"> and is significant for minimal-capital participants. However, achieving a maker status requires consistent and sophisticated order management. During volatile periods, </w:t>
      </w:r>
      <w:r w:rsidR="003441C8" w:rsidRPr="0071647F">
        <w:rPr>
          <w:rFonts w:eastAsiaTheme="majorEastAsia"/>
          <w:color w:val="000000" w:themeColor="text1"/>
        </w:rPr>
        <w:t xml:space="preserve">the previously established failure rate </w:t>
      </w:r>
      <w:r w:rsidRPr="0071647F">
        <w:rPr>
          <w:rFonts w:eastAsiaTheme="majorEastAsia"/>
          <w:color w:val="000000" w:themeColor="text1"/>
        </w:rPr>
        <w:t>of intended maker orders from participants were executed as taker orders when they crossed the spread.</w:t>
      </w:r>
    </w:p>
    <w:p w14:paraId="5BD1A1F8" w14:textId="77777777" w:rsidR="00A04269" w:rsidRPr="0071647F" w:rsidRDefault="00A04269" w:rsidP="006B21E2">
      <w:pPr>
        <w:jc w:val="both"/>
        <w:rPr>
          <w:rFonts w:eastAsiaTheme="majorEastAsia"/>
          <w:color w:val="000000" w:themeColor="text1"/>
        </w:rPr>
      </w:pPr>
    </w:p>
    <w:p w14:paraId="3687E8E6" w14:textId="1F84B5D6" w:rsidR="00267A54" w:rsidRPr="0071647F" w:rsidRDefault="00267A54" w:rsidP="006B21E2">
      <w:pPr>
        <w:jc w:val="both"/>
        <w:rPr>
          <w:rFonts w:eastAsiaTheme="majorEastAsia"/>
          <w:color w:val="000000" w:themeColor="text1"/>
        </w:rPr>
      </w:pPr>
      <w:r w:rsidRPr="0071647F">
        <w:rPr>
          <w:rFonts w:eastAsiaTheme="majorEastAsia"/>
          <w:color w:val="000000" w:themeColor="text1"/>
        </w:rPr>
        <w:t xml:space="preserve">Institutional participants accounted for 78% of maker rebates, despite making up only 31% of the total number of participants. This was achieved through </w:t>
      </w:r>
      <w:proofErr w:type="spellStart"/>
      <w:r w:rsidRPr="0071647F">
        <w:rPr>
          <w:rFonts w:eastAsiaTheme="majorEastAsia"/>
          <w:color w:val="000000" w:themeColor="text1"/>
        </w:rPr>
        <w:t>colocated</w:t>
      </w:r>
      <w:proofErr w:type="spellEnd"/>
      <w:r w:rsidRPr="0071647F">
        <w:rPr>
          <w:rFonts w:eastAsiaTheme="majorEastAsia"/>
          <w:color w:val="000000" w:themeColor="text1"/>
        </w:rPr>
        <w:t xml:space="preserve"> servers reducing latency to microseconds, direct market access bypassing retail interfaces, and algorithmic order management preventing spread crossing. The democratic fee structure does not create democratic outcomes when other advantages compound.</w:t>
      </w:r>
    </w:p>
    <w:p w14:paraId="62A129BD" w14:textId="77777777" w:rsidR="00A04269" w:rsidRPr="0071647F" w:rsidRDefault="00A04269" w:rsidP="006B21E2">
      <w:pPr>
        <w:jc w:val="both"/>
        <w:rPr>
          <w:rFonts w:eastAsiaTheme="majorEastAsia"/>
          <w:color w:val="000000" w:themeColor="text1"/>
        </w:rPr>
      </w:pPr>
    </w:p>
    <w:p w14:paraId="7019A2AA" w14:textId="3B57CC44" w:rsidR="006A21B5" w:rsidRPr="0071647F" w:rsidRDefault="008D6F57" w:rsidP="006B21E2">
      <w:pPr>
        <w:pStyle w:val="Heading3"/>
        <w:jc w:val="both"/>
        <w:rPr>
          <w:rFonts w:eastAsiaTheme="majorEastAsia"/>
        </w:rPr>
      </w:pPr>
      <w:bookmarkStart w:id="104" w:name="_Toc214721910"/>
      <w:proofErr w:type="gramStart"/>
      <w:r w:rsidRPr="0071647F">
        <w:rPr>
          <w:rFonts w:eastAsiaTheme="majorEastAsia"/>
        </w:rPr>
        <w:t>5</w:t>
      </w:r>
      <w:r w:rsidR="006A21B5" w:rsidRPr="0071647F">
        <w:rPr>
          <w:rFonts w:eastAsiaTheme="majorEastAsia"/>
        </w:rPr>
        <w:t>.1.2 Tiered</w:t>
      </w:r>
      <w:proofErr w:type="gramEnd"/>
      <w:r w:rsidR="006A21B5" w:rsidRPr="0071647F">
        <w:rPr>
          <w:rFonts w:eastAsiaTheme="majorEastAsia"/>
        </w:rPr>
        <w:t xml:space="preserve"> Fee Structures: The Treadmill Effect</w:t>
      </w:r>
      <w:bookmarkEnd w:id="104"/>
    </w:p>
    <w:p w14:paraId="7EB5D0EA" w14:textId="3893E143" w:rsidR="00040A98" w:rsidRPr="0071647F" w:rsidRDefault="00040A98" w:rsidP="006B21E2">
      <w:pPr>
        <w:jc w:val="both"/>
        <w:rPr>
          <w:rFonts w:eastAsiaTheme="majorEastAsia"/>
          <w:color w:val="000000" w:themeColor="text1"/>
        </w:rPr>
      </w:pPr>
      <w:r w:rsidRPr="0071647F">
        <w:rPr>
          <w:rFonts w:eastAsiaTheme="majorEastAsia"/>
          <w:color w:val="000000" w:themeColor="text1"/>
        </w:rPr>
        <w:t>Volume-based fee tiers ostensibly reward loyal users with better rates. Analysis of 156,000 user accounts reveals 89% never escape the highest fee tier (based on analysis of 156,000 accounts). Of those who do, 71% are institutional or professional traders.</w:t>
      </w:r>
    </w:p>
    <w:p w14:paraId="1870ECEA" w14:textId="77777777" w:rsidR="00A04269" w:rsidRPr="0071647F" w:rsidRDefault="00A04269" w:rsidP="006B21E2">
      <w:pPr>
        <w:jc w:val="both"/>
        <w:rPr>
          <w:rFonts w:eastAsiaTheme="majorEastAsia"/>
          <w:color w:val="000000" w:themeColor="text1"/>
        </w:rPr>
      </w:pPr>
    </w:p>
    <w:p w14:paraId="0527E8F4" w14:textId="1C3592A5" w:rsidR="00040A98" w:rsidRPr="0071647F" w:rsidRDefault="00040A98" w:rsidP="006B21E2">
      <w:pPr>
        <w:jc w:val="both"/>
        <w:rPr>
          <w:rFonts w:eastAsiaTheme="majorEastAsia"/>
          <w:color w:val="000000" w:themeColor="text1"/>
        </w:rPr>
      </w:pPr>
      <w:r w:rsidRPr="0071647F">
        <w:rPr>
          <w:rFonts w:eastAsiaTheme="majorEastAsia"/>
          <w:color w:val="000000" w:themeColor="text1"/>
        </w:rPr>
        <w:lastRenderedPageBreak/>
        <w:t xml:space="preserve">The mathematical concepts produce what I refer to as a treadmill effect. To achieve lower fees on Binance requires $50,000+ monthly volume. Trading $50,000 monthly at the highest tier costs $500 in fees but o </w:t>
      </w:r>
      <w:proofErr w:type="gramStart"/>
      <w:r w:rsidRPr="0071647F">
        <w:rPr>
          <w:rFonts w:eastAsiaTheme="majorEastAsia"/>
          <w:color w:val="000000" w:themeColor="text1"/>
        </w:rPr>
        <w:t>save</w:t>
      </w:r>
      <w:proofErr w:type="gramEnd"/>
      <w:r w:rsidRPr="0071647F">
        <w:rPr>
          <w:rFonts w:eastAsiaTheme="majorEastAsia"/>
          <w:color w:val="000000" w:themeColor="text1"/>
        </w:rPr>
        <w:t xml:space="preserve"> that $500 through lower tiers requires $500,000 monthly volume. For most participants, the capital required to achieve savings exceeds the savings themselves.</w:t>
      </w:r>
    </w:p>
    <w:p w14:paraId="39E93382" w14:textId="77777777" w:rsidR="00A04269" w:rsidRPr="0071647F" w:rsidRDefault="00A04269" w:rsidP="006B21E2">
      <w:pPr>
        <w:jc w:val="both"/>
        <w:rPr>
          <w:rFonts w:eastAsiaTheme="majorEastAsia"/>
          <w:color w:val="000000" w:themeColor="text1"/>
        </w:rPr>
      </w:pPr>
    </w:p>
    <w:p w14:paraId="67209854" w14:textId="77777777" w:rsidR="00040A98" w:rsidRPr="0071647F" w:rsidRDefault="00040A98" w:rsidP="006B21E2">
      <w:pPr>
        <w:jc w:val="both"/>
        <w:rPr>
          <w:rFonts w:eastAsiaTheme="majorEastAsia"/>
          <w:color w:val="000000" w:themeColor="text1"/>
        </w:rPr>
      </w:pPr>
      <w:r w:rsidRPr="0071647F">
        <w:rPr>
          <w:rFonts w:eastAsiaTheme="majorEastAsia"/>
          <w:color w:val="000000" w:themeColor="text1"/>
        </w:rPr>
        <w:t>Token-based discounts add complexity to the entire trading. An example is holding BNB to obtain 25% fee discounts, which may seem attractive at first, however when considering BNB's price volatility (standard deviation 6.7% weekly) it will not be such a good opportunity. During 2022's decline, BNB holders lost 58% while saving 25% on fees. This is not a discount but can be seen as a leveraged bet disguised as fee reduction.</w:t>
      </w:r>
    </w:p>
    <w:p w14:paraId="6F01AE51" w14:textId="77777777" w:rsidR="00A04269" w:rsidRPr="0071647F" w:rsidRDefault="00A04269" w:rsidP="006B21E2">
      <w:pPr>
        <w:jc w:val="both"/>
        <w:rPr>
          <w:rFonts w:eastAsiaTheme="majorEastAsia"/>
          <w:color w:val="000000" w:themeColor="text1"/>
        </w:rPr>
      </w:pPr>
    </w:p>
    <w:p w14:paraId="51C3F7C0" w14:textId="7928FAEB" w:rsidR="006A21B5" w:rsidRPr="0071647F" w:rsidRDefault="008D6F57" w:rsidP="006B21E2">
      <w:pPr>
        <w:pStyle w:val="Heading3"/>
        <w:jc w:val="both"/>
        <w:rPr>
          <w:rFonts w:eastAsiaTheme="majorEastAsia"/>
        </w:rPr>
      </w:pPr>
      <w:bookmarkStart w:id="105" w:name="_Toc214721911"/>
      <w:r w:rsidRPr="0071647F">
        <w:rPr>
          <w:rFonts w:eastAsiaTheme="majorEastAsia"/>
        </w:rPr>
        <w:t>5</w:t>
      </w:r>
      <w:r w:rsidR="006A21B5" w:rsidRPr="0071647F">
        <w:rPr>
          <w:rFonts w:eastAsiaTheme="majorEastAsia"/>
        </w:rPr>
        <w:t>.1.3 DEX Fee Structures: Democratic Architecture, Concentrated Outcomes</w:t>
      </w:r>
      <w:bookmarkEnd w:id="105"/>
    </w:p>
    <w:p w14:paraId="5EBEB374" w14:textId="77777777" w:rsidR="0031105B" w:rsidRPr="0071647F" w:rsidRDefault="0031105B" w:rsidP="006B21E2">
      <w:pPr>
        <w:jc w:val="both"/>
        <w:rPr>
          <w:rFonts w:eastAsiaTheme="majorEastAsia"/>
          <w:color w:val="000000" w:themeColor="text1"/>
        </w:rPr>
      </w:pPr>
      <w:r w:rsidRPr="0071647F">
        <w:rPr>
          <w:rFonts w:eastAsiaTheme="majorEastAsia"/>
          <w:color w:val="000000" w:themeColor="text1"/>
        </w:rPr>
        <w:t>Decentralized exchanges operate fundamentally differently as they distribute fees directly to liquidity providers rather than capturing platform profit. Analysis of 2.4 million DEX transactions reveals how this structural difference creates both opportunities and challenges.</w:t>
      </w:r>
    </w:p>
    <w:p w14:paraId="54F740E1" w14:textId="77777777" w:rsidR="0031105B" w:rsidRPr="0071647F" w:rsidRDefault="0031105B" w:rsidP="006B21E2">
      <w:pPr>
        <w:jc w:val="both"/>
        <w:rPr>
          <w:rFonts w:eastAsiaTheme="majorEastAsia"/>
          <w:color w:val="000000" w:themeColor="text1"/>
        </w:rPr>
      </w:pPr>
    </w:p>
    <w:p w14:paraId="2C80EC7A" w14:textId="77777777" w:rsidR="0031105B" w:rsidRPr="0071647F" w:rsidRDefault="0031105B" w:rsidP="006B21E2">
      <w:pPr>
        <w:jc w:val="both"/>
        <w:rPr>
          <w:rFonts w:eastAsiaTheme="majorEastAsia"/>
          <w:color w:val="000000" w:themeColor="text1"/>
        </w:rPr>
      </w:pPr>
      <w:r w:rsidRPr="0071647F">
        <w:rPr>
          <w:rFonts w:eastAsiaTheme="majorEastAsia"/>
          <w:color w:val="000000" w:themeColor="text1"/>
        </w:rPr>
        <w:t>Uniswap v3's multi-tier system (0.01%, 0.05%, 0.30%, 1.00%) offers choices, but liquidity concentrates predictably. 67% of stablecoin volume is in the 0.05% tier. The 0.30% tier has 71% of the volume in volatile pairs. If you pick the wrong tier, your money will sit there and earn nothing.</w:t>
      </w:r>
    </w:p>
    <w:p w14:paraId="68FCDE02" w14:textId="77777777" w:rsidR="0031105B" w:rsidRPr="0071647F" w:rsidRDefault="0031105B" w:rsidP="006B21E2">
      <w:pPr>
        <w:jc w:val="both"/>
        <w:rPr>
          <w:rFonts w:eastAsiaTheme="majorEastAsia"/>
          <w:color w:val="000000" w:themeColor="text1"/>
        </w:rPr>
      </w:pPr>
    </w:p>
    <w:p w14:paraId="47DDDCD3" w14:textId="77777777" w:rsidR="0031105B" w:rsidRPr="0071647F" w:rsidRDefault="0031105B" w:rsidP="006B21E2">
      <w:pPr>
        <w:jc w:val="both"/>
        <w:rPr>
          <w:rFonts w:eastAsiaTheme="majorEastAsia"/>
          <w:color w:val="000000" w:themeColor="text1"/>
        </w:rPr>
      </w:pPr>
      <w:r w:rsidRPr="0071647F">
        <w:rPr>
          <w:rFonts w:eastAsiaTheme="majorEastAsia"/>
          <w:color w:val="000000" w:themeColor="text1"/>
        </w:rPr>
        <w:t>An analysis of 47,000 liquidity positions shows that performance changes a lot depending on the tier chosen. Average APR for positions in the best tiers was 18.3%. Positions in suboptimal tiers made 4.2% APR. 84% of the time, professional providers chose the best tiers. Retail providers only chose the best option 41% of the time.</w:t>
      </w:r>
    </w:p>
    <w:p w14:paraId="256D6C49" w14:textId="77777777" w:rsidR="0031105B" w:rsidRPr="0071647F" w:rsidRDefault="0031105B" w:rsidP="006B21E2">
      <w:pPr>
        <w:jc w:val="both"/>
        <w:rPr>
          <w:rFonts w:eastAsiaTheme="majorEastAsia"/>
          <w:color w:val="000000" w:themeColor="text1"/>
        </w:rPr>
      </w:pPr>
    </w:p>
    <w:p w14:paraId="71DFF9FE" w14:textId="77777777" w:rsidR="0031105B" w:rsidRPr="0071647F" w:rsidRDefault="0031105B" w:rsidP="006B21E2">
      <w:pPr>
        <w:jc w:val="both"/>
        <w:rPr>
          <w:rFonts w:eastAsiaTheme="majorEastAsia"/>
          <w:color w:val="000000" w:themeColor="text1"/>
        </w:rPr>
      </w:pPr>
      <w:r w:rsidRPr="0071647F">
        <w:rPr>
          <w:rFonts w:eastAsiaTheme="majorEastAsia"/>
          <w:color w:val="000000" w:themeColor="text1"/>
        </w:rPr>
        <w:t xml:space="preserve">Curve's unique method for stablecoins shows different dynamics. The 0.04% fees don't seem </w:t>
      </w:r>
      <w:proofErr w:type="gramStart"/>
      <w:r w:rsidRPr="0071647F">
        <w:rPr>
          <w:rFonts w:eastAsiaTheme="majorEastAsia"/>
          <w:color w:val="000000" w:themeColor="text1"/>
        </w:rPr>
        <w:t>competitive</w:t>
      </w:r>
      <w:proofErr w:type="gramEnd"/>
      <w:r w:rsidRPr="0071647F">
        <w:rPr>
          <w:rFonts w:eastAsiaTheme="majorEastAsia"/>
          <w:color w:val="000000" w:themeColor="text1"/>
        </w:rPr>
        <w:t xml:space="preserve"> with Uniswap's 0.01% tier. But Curve still has 58% of the stablecoin market. The reason behind that appears to be the amplification coefficient that lowers slippage. This in turn lowers the total cost of trading even though the fees are higher. Small liquidity providers on Curve made an average of 7.3% a year, while those on Uniswap made 5.1% for the same positions.</w:t>
      </w:r>
    </w:p>
    <w:p w14:paraId="38867E6F" w14:textId="77777777" w:rsidR="0031105B" w:rsidRPr="0071647F" w:rsidRDefault="0031105B" w:rsidP="006B21E2">
      <w:pPr>
        <w:jc w:val="both"/>
        <w:rPr>
          <w:rFonts w:eastAsiaTheme="majorEastAsia"/>
          <w:color w:val="000000" w:themeColor="text1"/>
        </w:rPr>
      </w:pPr>
    </w:p>
    <w:p w14:paraId="1AAD373A" w14:textId="77777777" w:rsidR="0031105B" w:rsidRPr="0071647F" w:rsidRDefault="0031105B" w:rsidP="006B21E2">
      <w:pPr>
        <w:jc w:val="both"/>
        <w:rPr>
          <w:rFonts w:eastAsiaTheme="majorEastAsia"/>
          <w:color w:val="000000" w:themeColor="text1"/>
        </w:rPr>
      </w:pPr>
      <w:r w:rsidRPr="0071647F">
        <w:rPr>
          <w:rFonts w:eastAsiaTheme="majorEastAsia"/>
          <w:color w:val="000000" w:themeColor="text1"/>
        </w:rPr>
        <w:t xml:space="preserve">Gas costs also create minimum viable position sizes. Fees averaging $12 on Ethereum </w:t>
      </w:r>
      <w:proofErr w:type="spellStart"/>
      <w:r w:rsidRPr="0071647F">
        <w:rPr>
          <w:rFonts w:eastAsiaTheme="majorEastAsia"/>
          <w:color w:val="000000" w:themeColor="text1"/>
        </w:rPr>
        <w:t>mainnet</w:t>
      </w:r>
      <w:proofErr w:type="spellEnd"/>
      <w:r w:rsidRPr="0071647F">
        <w:rPr>
          <w:rFonts w:eastAsiaTheme="majorEastAsia"/>
          <w:color w:val="000000" w:themeColor="text1"/>
        </w:rPr>
        <w:t xml:space="preserve"> mean that positions earning less than $50 monthly lose money to operational costs. This creates minimum viable positions of approximately $5,000 on </w:t>
      </w:r>
      <w:proofErr w:type="spellStart"/>
      <w:r w:rsidRPr="0071647F">
        <w:rPr>
          <w:rFonts w:eastAsiaTheme="majorEastAsia"/>
          <w:color w:val="000000" w:themeColor="text1"/>
        </w:rPr>
        <w:t>mainnet</w:t>
      </w:r>
      <w:proofErr w:type="spellEnd"/>
      <w:r w:rsidRPr="0071647F">
        <w:rPr>
          <w:rFonts w:eastAsiaTheme="majorEastAsia"/>
          <w:color w:val="000000" w:themeColor="text1"/>
        </w:rPr>
        <w:t>, $500 on L2 solutions.</w:t>
      </w:r>
    </w:p>
    <w:p w14:paraId="6D51E844" w14:textId="77777777" w:rsidR="00E72F51" w:rsidRPr="0071647F" w:rsidRDefault="00E72F51" w:rsidP="006B21E2">
      <w:pPr>
        <w:jc w:val="both"/>
        <w:rPr>
          <w:rFonts w:eastAsiaTheme="majorEastAsia"/>
          <w:color w:val="000000" w:themeColor="text1"/>
        </w:rPr>
      </w:pPr>
    </w:p>
    <w:p w14:paraId="48E444FE" w14:textId="225907CF" w:rsidR="00E72F51" w:rsidRPr="0071647F" w:rsidRDefault="00E72F51" w:rsidP="006B21E2">
      <w:pPr>
        <w:rPr>
          <w:rFonts w:eastAsiaTheme="majorEastAsia"/>
          <w:color w:val="000000" w:themeColor="text1"/>
        </w:rPr>
      </w:pPr>
      <w:r w:rsidRPr="0071647F">
        <w:rPr>
          <w:rFonts w:eastAsiaTheme="majorEastAsia"/>
          <w:color w:val="000000" w:themeColor="text1"/>
        </w:rPr>
        <w:t>Table 5.</w:t>
      </w:r>
      <w:r w:rsidR="00C5607F">
        <w:rPr>
          <w:rFonts w:eastAsiaTheme="majorEastAsia"/>
          <w:color w:val="000000" w:themeColor="text1"/>
        </w:rPr>
        <w:t>A</w:t>
      </w:r>
      <w:r w:rsidRPr="0071647F">
        <w:rPr>
          <w:rFonts w:eastAsiaTheme="majorEastAsia"/>
          <w:color w:val="000000" w:themeColor="text1"/>
        </w:rPr>
        <w:t xml:space="preserve"> provides a comprehensive comparison of fee structures across centralized and decentralized exchanges, revealing the systematic gap between advertised democratization and empirical outcomes. </w:t>
      </w:r>
    </w:p>
    <w:p w14:paraId="09B964B3" w14:textId="77777777" w:rsidR="00E72F51" w:rsidRPr="0071647F" w:rsidRDefault="00E72F51" w:rsidP="006B21E2">
      <w:pPr>
        <w:rPr>
          <w:b/>
          <w:bCs/>
        </w:rPr>
      </w:pPr>
    </w:p>
    <w:p w14:paraId="3BE3B3CC" w14:textId="1B8042A8" w:rsidR="00E72F51" w:rsidRPr="00E72F51" w:rsidRDefault="00E72F51" w:rsidP="006B21E2">
      <w:pPr>
        <w:pStyle w:val="Heading3"/>
        <w:jc w:val="both"/>
        <w:rPr>
          <w:color w:val="000000" w:themeColor="text1"/>
        </w:rPr>
      </w:pPr>
      <w:bookmarkStart w:id="106" w:name="_Toc214721912"/>
      <w:r w:rsidRPr="00E72F51">
        <w:rPr>
          <w:color w:val="000000" w:themeColor="text1"/>
        </w:rPr>
        <w:t>Table 5.</w:t>
      </w:r>
      <w:r w:rsidR="00C5607F">
        <w:rPr>
          <w:color w:val="000000" w:themeColor="text1"/>
        </w:rPr>
        <w:t>A</w:t>
      </w:r>
      <w:r w:rsidRPr="00E72F51">
        <w:rPr>
          <w:color w:val="000000" w:themeColor="text1"/>
        </w:rPr>
        <w:t>: Fee Structure Comparison Matrix - Advertised Benefits vs Empirical Reality</w:t>
      </w:r>
      <w:bookmarkEnd w:id="106"/>
    </w:p>
    <w:p w14:paraId="29755F2B" w14:textId="77777777" w:rsidR="00E72F51" w:rsidRPr="00E72F51" w:rsidRDefault="00E72F51" w:rsidP="006B21E2"/>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00" w:type="dxa"/>
          <w:bottom w:w="100" w:type="dxa"/>
          <w:right w:w="100" w:type="dxa"/>
        </w:tblCellMar>
        <w:tblLook w:val="0000" w:firstRow="0" w:lastRow="0" w:firstColumn="0" w:lastColumn="0" w:noHBand="0" w:noVBand="0"/>
      </w:tblPr>
      <w:tblGrid>
        <w:gridCol w:w="1399"/>
        <w:gridCol w:w="1799"/>
        <w:gridCol w:w="1799"/>
        <w:gridCol w:w="1999"/>
        <w:gridCol w:w="2358"/>
      </w:tblGrid>
      <w:tr w:rsidR="00E72F51" w:rsidRPr="00E72F51" w14:paraId="14898934" w14:textId="77777777" w:rsidTr="00CF73BA">
        <w:trPr>
          <w:tblHeader/>
        </w:trPr>
        <w:tc>
          <w:tcPr>
            <w:tcW w:w="1400" w:type="dxa"/>
            <w:tcBorders>
              <w:top w:val="single" w:sz="2" w:space="0" w:color="CCCCCC"/>
              <w:left w:val="single" w:sz="2" w:space="0" w:color="CCCCCC"/>
              <w:bottom w:val="single" w:sz="2" w:space="0" w:color="CCCCCC"/>
              <w:right w:val="single" w:sz="2" w:space="0" w:color="CCCCCC"/>
            </w:tcBorders>
            <w:shd w:val="clear" w:color="auto" w:fill="E0E0E0"/>
            <w:tcMar>
              <w:top w:w="100" w:type="dxa"/>
              <w:left w:w="100" w:type="dxa"/>
              <w:bottom w:w="100" w:type="dxa"/>
              <w:right w:w="100" w:type="dxa"/>
            </w:tcMar>
            <w:vAlign w:val="center"/>
          </w:tcPr>
          <w:p w14:paraId="16D0C818" w14:textId="77777777" w:rsidR="00E72F51" w:rsidRPr="00E72F51" w:rsidRDefault="00E72F51" w:rsidP="006B21E2">
            <w:pPr>
              <w:jc w:val="center"/>
              <w:rPr>
                <w:sz w:val="20"/>
                <w:szCs w:val="20"/>
              </w:rPr>
            </w:pPr>
            <w:r w:rsidRPr="00E72F51">
              <w:rPr>
                <w:b/>
                <w:bCs/>
                <w:color w:val="000000"/>
                <w:sz w:val="20"/>
                <w:szCs w:val="20"/>
              </w:rPr>
              <w:t>Fee Structure Type</w:t>
            </w:r>
          </w:p>
        </w:tc>
        <w:tc>
          <w:tcPr>
            <w:tcW w:w="1800" w:type="dxa"/>
            <w:tcBorders>
              <w:top w:val="single" w:sz="2" w:space="0" w:color="CCCCCC"/>
              <w:left w:val="single" w:sz="2" w:space="0" w:color="CCCCCC"/>
              <w:bottom w:val="single" w:sz="2" w:space="0" w:color="CCCCCC"/>
              <w:right w:val="single" w:sz="2" w:space="0" w:color="CCCCCC"/>
            </w:tcBorders>
            <w:shd w:val="clear" w:color="auto" w:fill="E0E0E0"/>
            <w:tcMar>
              <w:top w:w="100" w:type="dxa"/>
              <w:left w:w="100" w:type="dxa"/>
              <w:bottom w:w="100" w:type="dxa"/>
              <w:right w:w="100" w:type="dxa"/>
            </w:tcMar>
            <w:vAlign w:val="center"/>
          </w:tcPr>
          <w:p w14:paraId="62990188" w14:textId="77777777" w:rsidR="00E72F51" w:rsidRPr="00E72F51" w:rsidRDefault="00E72F51" w:rsidP="006B21E2">
            <w:pPr>
              <w:jc w:val="center"/>
              <w:rPr>
                <w:sz w:val="20"/>
                <w:szCs w:val="20"/>
              </w:rPr>
            </w:pPr>
            <w:r w:rsidRPr="00E72F51">
              <w:rPr>
                <w:b/>
                <w:bCs/>
                <w:color w:val="000000"/>
                <w:sz w:val="20"/>
                <w:szCs w:val="20"/>
              </w:rPr>
              <w:t>Mechanism</w:t>
            </w:r>
          </w:p>
        </w:tc>
        <w:tc>
          <w:tcPr>
            <w:tcW w:w="1800" w:type="dxa"/>
            <w:tcBorders>
              <w:top w:val="single" w:sz="2" w:space="0" w:color="CCCCCC"/>
              <w:left w:val="single" w:sz="2" w:space="0" w:color="CCCCCC"/>
              <w:bottom w:val="single" w:sz="2" w:space="0" w:color="CCCCCC"/>
              <w:right w:val="single" w:sz="2" w:space="0" w:color="CCCCCC"/>
            </w:tcBorders>
            <w:shd w:val="clear" w:color="auto" w:fill="E0E0E0"/>
            <w:tcMar>
              <w:top w:w="100" w:type="dxa"/>
              <w:left w:w="100" w:type="dxa"/>
              <w:bottom w:w="100" w:type="dxa"/>
              <w:right w:w="100" w:type="dxa"/>
            </w:tcMar>
            <w:vAlign w:val="center"/>
          </w:tcPr>
          <w:p w14:paraId="22DC9CD1" w14:textId="77777777" w:rsidR="00E72F51" w:rsidRPr="00E72F51" w:rsidRDefault="00E72F51" w:rsidP="006B21E2">
            <w:pPr>
              <w:jc w:val="center"/>
              <w:rPr>
                <w:sz w:val="20"/>
                <w:szCs w:val="20"/>
              </w:rPr>
            </w:pPr>
            <w:r w:rsidRPr="00E72F51">
              <w:rPr>
                <w:b/>
                <w:bCs/>
                <w:color w:val="000000"/>
                <w:sz w:val="20"/>
                <w:szCs w:val="20"/>
              </w:rPr>
              <w:t>Advertised Benefit</w:t>
            </w:r>
          </w:p>
        </w:tc>
        <w:tc>
          <w:tcPr>
            <w:tcW w:w="2000" w:type="dxa"/>
            <w:tcBorders>
              <w:top w:val="single" w:sz="2" w:space="0" w:color="CCCCCC"/>
              <w:left w:val="single" w:sz="2" w:space="0" w:color="CCCCCC"/>
              <w:bottom w:val="single" w:sz="2" w:space="0" w:color="CCCCCC"/>
              <w:right w:val="single" w:sz="2" w:space="0" w:color="CCCCCC"/>
            </w:tcBorders>
            <w:shd w:val="clear" w:color="auto" w:fill="E0E0E0"/>
            <w:tcMar>
              <w:top w:w="100" w:type="dxa"/>
              <w:left w:w="100" w:type="dxa"/>
              <w:bottom w:w="100" w:type="dxa"/>
              <w:right w:w="100" w:type="dxa"/>
            </w:tcMar>
            <w:vAlign w:val="center"/>
          </w:tcPr>
          <w:p w14:paraId="0478D2AC" w14:textId="77777777" w:rsidR="00E72F51" w:rsidRPr="00E72F51" w:rsidRDefault="00E72F51" w:rsidP="006B21E2">
            <w:pPr>
              <w:jc w:val="center"/>
              <w:rPr>
                <w:sz w:val="20"/>
                <w:szCs w:val="20"/>
              </w:rPr>
            </w:pPr>
            <w:r w:rsidRPr="00E72F51">
              <w:rPr>
                <w:b/>
                <w:bCs/>
                <w:color w:val="000000"/>
                <w:sz w:val="20"/>
                <w:szCs w:val="20"/>
              </w:rPr>
              <w:t>Empirical Reality</w:t>
            </w:r>
          </w:p>
        </w:tc>
        <w:tc>
          <w:tcPr>
            <w:tcW w:w="2360" w:type="dxa"/>
            <w:tcBorders>
              <w:top w:val="single" w:sz="2" w:space="0" w:color="CCCCCC"/>
              <w:left w:val="single" w:sz="2" w:space="0" w:color="CCCCCC"/>
              <w:bottom w:val="single" w:sz="2" w:space="0" w:color="CCCCCC"/>
              <w:right w:val="single" w:sz="2" w:space="0" w:color="CCCCCC"/>
            </w:tcBorders>
            <w:shd w:val="clear" w:color="auto" w:fill="E0E0E0"/>
            <w:tcMar>
              <w:top w:w="100" w:type="dxa"/>
              <w:left w:w="100" w:type="dxa"/>
              <w:bottom w:w="100" w:type="dxa"/>
              <w:right w:w="100" w:type="dxa"/>
            </w:tcMar>
            <w:vAlign w:val="center"/>
          </w:tcPr>
          <w:p w14:paraId="2A36D4AC" w14:textId="77777777" w:rsidR="00E72F51" w:rsidRPr="00E72F51" w:rsidRDefault="00E72F51" w:rsidP="006B21E2">
            <w:pPr>
              <w:jc w:val="center"/>
              <w:rPr>
                <w:sz w:val="20"/>
                <w:szCs w:val="20"/>
              </w:rPr>
            </w:pPr>
            <w:r w:rsidRPr="00E72F51">
              <w:rPr>
                <w:b/>
                <w:bCs/>
                <w:color w:val="000000"/>
                <w:sz w:val="20"/>
                <w:szCs w:val="20"/>
              </w:rPr>
              <w:t>Who Benefits</w:t>
            </w:r>
          </w:p>
        </w:tc>
      </w:tr>
      <w:tr w:rsidR="00607B2F" w:rsidRPr="00E72F51" w14:paraId="7DDB1CA3" w14:textId="77777777" w:rsidTr="00CF73BA">
        <w:tc>
          <w:tcPr>
            <w:tcW w:w="14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7B6144A3" w14:textId="77777777" w:rsidR="00E72F51" w:rsidRPr="00E72F51" w:rsidRDefault="00E72F51" w:rsidP="006B21E2">
            <w:pPr>
              <w:rPr>
                <w:color w:val="000000" w:themeColor="text1"/>
                <w:sz w:val="20"/>
                <w:szCs w:val="20"/>
              </w:rPr>
            </w:pPr>
            <w:r w:rsidRPr="00E72F51">
              <w:rPr>
                <w:color w:val="000000" w:themeColor="text1"/>
                <w:sz w:val="20"/>
                <w:szCs w:val="20"/>
              </w:rPr>
              <w:t>Maker-Taker (CEX)</w:t>
            </w:r>
          </w:p>
        </w:tc>
        <w:tc>
          <w:tcPr>
            <w:tcW w:w="18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5D931C9F" w14:textId="77777777" w:rsidR="00E72F51" w:rsidRPr="00E72F51" w:rsidRDefault="00E72F51" w:rsidP="006B21E2">
            <w:pPr>
              <w:rPr>
                <w:color w:val="000000" w:themeColor="text1"/>
                <w:sz w:val="20"/>
                <w:szCs w:val="20"/>
              </w:rPr>
            </w:pPr>
            <w:r w:rsidRPr="00E72F51">
              <w:rPr>
                <w:color w:val="000000" w:themeColor="text1"/>
                <w:sz w:val="20"/>
                <w:szCs w:val="20"/>
              </w:rPr>
              <w:t>Makers: 0.018%-0.04%, receive rebates; Takers: 0.04%-0.06% fees</w:t>
            </w:r>
          </w:p>
        </w:tc>
        <w:tc>
          <w:tcPr>
            <w:tcW w:w="18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6FBDDFE4" w14:textId="77777777" w:rsidR="00E72F51" w:rsidRPr="00E72F51" w:rsidRDefault="00E72F51" w:rsidP="006B21E2">
            <w:pPr>
              <w:rPr>
                <w:color w:val="000000" w:themeColor="text1"/>
                <w:sz w:val="20"/>
                <w:szCs w:val="20"/>
              </w:rPr>
            </w:pPr>
            <w:r w:rsidRPr="00E72F51">
              <w:rPr>
                <w:color w:val="000000" w:themeColor="text1"/>
                <w:sz w:val="20"/>
                <w:szCs w:val="20"/>
              </w:rPr>
              <w:t>Rewards liquidity provision; democratizes market making</w:t>
            </w:r>
          </w:p>
        </w:tc>
        <w:tc>
          <w:tcPr>
            <w:tcW w:w="20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62432FC1" w14:textId="77777777" w:rsidR="00E72F51" w:rsidRPr="00E72F51" w:rsidRDefault="00E72F51" w:rsidP="006B21E2">
            <w:pPr>
              <w:rPr>
                <w:color w:val="000000" w:themeColor="text1"/>
                <w:sz w:val="20"/>
                <w:szCs w:val="20"/>
              </w:rPr>
            </w:pPr>
            <w:r w:rsidRPr="00E72F51">
              <w:rPr>
                <w:color w:val="000000" w:themeColor="text1"/>
                <w:sz w:val="20"/>
                <w:szCs w:val="20"/>
              </w:rPr>
              <w:t>23-40% of retail maker orders execute as taker; institutional 78% of rebates</w:t>
            </w:r>
          </w:p>
        </w:tc>
        <w:tc>
          <w:tcPr>
            <w:tcW w:w="236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468BD79B" w14:textId="77777777" w:rsidR="00E72F51" w:rsidRPr="00E72F51" w:rsidRDefault="00E72F51" w:rsidP="006B21E2">
            <w:pPr>
              <w:rPr>
                <w:color w:val="000000" w:themeColor="text1"/>
                <w:sz w:val="20"/>
                <w:szCs w:val="20"/>
              </w:rPr>
            </w:pPr>
            <w:r w:rsidRPr="00E72F51">
              <w:rPr>
                <w:color w:val="000000" w:themeColor="text1"/>
                <w:sz w:val="20"/>
                <w:szCs w:val="20"/>
              </w:rPr>
              <w:t>Sophisticated participants with low-latency infrastructure</w:t>
            </w:r>
          </w:p>
        </w:tc>
      </w:tr>
      <w:tr w:rsidR="00E72F51" w:rsidRPr="00E72F51" w14:paraId="18E5D40C" w14:textId="77777777" w:rsidTr="00CF73BA">
        <w:tc>
          <w:tcPr>
            <w:tcW w:w="14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59E6966B" w14:textId="77777777" w:rsidR="00E72F51" w:rsidRPr="00E72F51" w:rsidRDefault="00E72F51" w:rsidP="006B21E2">
            <w:pPr>
              <w:rPr>
                <w:sz w:val="20"/>
                <w:szCs w:val="20"/>
              </w:rPr>
            </w:pPr>
            <w:r w:rsidRPr="00E72F51">
              <w:rPr>
                <w:color w:val="000000"/>
                <w:sz w:val="20"/>
                <w:szCs w:val="20"/>
              </w:rPr>
              <w:lastRenderedPageBreak/>
              <w:t>Volume Tiers (CEX)</w:t>
            </w:r>
          </w:p>
        </w:tc>
        <w:tc>
          <w:tcPr>
            <w:tcW w:w="18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7E2574CA" w14:textId="77777777" w:rsidR="00E72F51" w:rsidRPr="00E72F51" w:rsidRDefault="00E72F51" w:rsidP="006B21E2">
            <w:pPr>
              <w:rPr>
                <w:sz w:val="20"/>
                <w:szCs w:val="20"/>
              </w:rPr>
            </w:pPr>
            <w:r w:rsidRPr="00E72F51">
              <w:rPr>
                <w:color w:val="000000"/>
                <w:sz w:val="20"/>
                <w:szCs w:val="20"/>
              </w:rPr>
              <w:t>Lower fees for higher monthly volume (e.g., $50K threshold)</w:t>
            </w:r>
          </w:p>
        </w:tc>
        <w:tc>
          <w:tcPr>
            <w:tcW w:w="18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7DFE5520" w14:textId="77777777" w:rsidR="00E72F51" w:rsidRPr="00E72F51" w:rsidRDefault="00E72F51" w:rsidP="006B21E2">
            <w:pPr>
              <w:rPr>
                <w:sz w:val="20"/>
                <w:szCs w:val="20"/>
              </w:rPr>
            </w:pPr>
            <w:r w:rsidRPr="00E72F51">
              <w:rPr>
                <w:color w:val="000000"/>
                <w:sz w:val="20"/>
                <w:szCs w:val="20"/>
              </w:rPr>
              <w:t>Loyal users rewarded; economies of scale</w:t>
            </w:r>
          </w:p>
        </w:tc>
        <w:tc>
          <w:tcPr>
            <w:tcW w:w="20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2114B479" w14:textId="77777777" w:rsidR="00E72F51" w:rsidRPr="00E72F51" w:rsidRDefault="00E72F51" w:rsidP="006B21E2">
            <w:pPr>
              <w:rPr>
                <w:sz w:val="20"/>
                <w:szCs w:val="20"/>
              </w:rPr>
            </w:pPr>
            <w:r w:rsidRPr="00E72F51">
              <w:rPr>
                <w:color w:val="000000"/>
                <w:sz w:val="20"/>
                <w:szCs w:val="20"/>
              </w:rPr>
              <w:t>89% never escape highest tier; capital required exceeds savings</w:t>
            </w:r>
          </w:p>
        </w:tc>
        <w:tc>
          <w:tcPr>
            <w:tcW w:w="236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325C4593" w14:textId="77777777" w:rsidR="00E72F51" w:rsidRPr="00E72F51" w:rsidRDefault="00E72F51" w:rsidP="006B21E2">
            <w:pPr>
              <w:rPr>
                <w:sz w:val="20"/>
                <w:szCs w:val="20"/>
              </w:rPr>
            </w:pPr>
            <w:r w:rsidRPr="00E72F51">
              <w:rPr>
                <w:color w:val="000000"/>
                <w:sz w:val="20"/>
                <w:szCs w:val="20"/>
              </w:rPr>
              <w:t>Professional traders with sufficient volume</w:t>
            </w:r>
          </w:p>
        </w:tc>
      </w:tr>
      <w:tr w:rsidR="00E72F51" w:rsidRPr="00E72F51" w14:paraId="5DEBFBF1" w14:textId="77777777" w:rsidTr="00CF73BA">
        <w:tc>
          <w:tcPr>
            <w:tcW w:w="14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44049A50" w14:textId="77777777" w:rsidR="00E72F51" w:rsidRPr="00E72F51" w:rsidRDefault="00E72F51" w:rsidP="006B21E2">
            <w:pPr>
              <w:rPr>
                <w:sz w:val="20"/>
                <w:szCs w:val="20"/>
              </w:rPr>
            </w:pPr>
            <w:r w:rsidRPr="00E72F51">
              <w:rPr>
                <w:color w:val="000000"/>
                <w:sz w:val="20"/>
                <w:szCs w:val="20"/>
              </w:rPr>
              <w:t>Token-Based Discounts</w:t>
            </w:r>
          </w:p>
        </w:tc>
        <w:tc>
          <w:tcPr>
            <w:tcW w:w="18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7FA0D39D" w14:textId="77777777" w:rsidR="00E72F51" w:rsidRPr="00E72F51" w:rsidRDefault="00E72F51" w:rsidP="006B21E2">
            <w:pPr>
              <w:rPr>
                <w:sz w:val="20"/>
                <w:szCs w:val="20"/>
              </w:rPr>
            </w:pPr>
            <w:r w:rsidRPr="00E72F51">
              <w:rPr>
                <w:color w:val="000000"/>
                <w:sz w:val="20"/>
                <w:szCs w:val="20"/>
              </w:rPr>
              <w:t>Hold exchange token (e.g., BNB) for 25% fee reduction</w:t>
            </w:r>
          </w:p>
        </w:tc>
        <w:tc>
          <w:tcPr>
            <w:tcW w:w="18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57E32518" w14:textId="77777777" w:rsidR="00E72F51" w:rsidRPr="00E72F51" w:rsidRDefault="00E72F51" w:rsidP="006B21E2">
            <w:pPr>
              <w:rPr>
                <w:sz w:val="20"/>
                <w:szCs w:val="20"/>
              </w:rPr>
            </w:pPr>
            <w:r w:rsidRPr="00E72F51">
              <w:rPr>
                <w:color w:val="000000"/>
                <w:sz w:val="20"/>
                <w:szCs w:val="20"/>
              </w:rPr>
              <w:t>Fee savings for token holders</w:t>
            </w:r>
          </w:p>
        </w:tc>
        <w:tc>
          <w:tcPr>
            <w:tcW w:w="20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4012FBAF" w14:textId="77777777" w:rsidR="00E72F51" w:rsidRPr="00E72F51" w:rsidRDefault="00E72F51" w:rsidP="006B21E2">
            <w:pPr>
              <w:rPr>
                <w:sz w:val="20"/>
                <w:szCs w:val="20"/>
              </w:rPr>
            </w:pPr>
            <w:r w:rsidRPr="00E72F51">
              <w:rPr>
                <w:color w:val="000000"/>
                <w:sz w:val="20"/>
                <w:szCs w:val="20"/>
              </w:rPr>
              <w:t>BNB lost 58% in 2022 while saving 25% on fees; net negative</w:t>
            </w:r>
          </w:p>
        </w:tc>
        <w:tc>
          <w:tcPr>
            <w:tcW w:w="236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334E4CFB" w14:textId="77777777" w:rsidR="00E72F51" w:rsidRPr="00E72F51" w:rsidRDefault="00E72F51" w:rsidP="006B21E2">
            <w:pPr>
              <w:rPr>
                <w:sz w:val="20"/>
                <w:szCs w:val="20"/>
              </w:rPr>
            </w:pPr>
            <w:r w:rsidRPr="00E72F51">
              <w:rPr>
                <w:color w:val="000000"/>
                <w:sz w:val="20"/>
                <w:szCs w:val="20"/>
              </w:rPr>
              <w:t>Token speculators who gain from appreciation</w:t>
            </w:r>
          </w:p>
        </w:tc>
      </w:tr>
      <w:tr w:rsidR="00E72F51" w:rsidRPr="00E72F51" w14:paraId="3E35D072" w14:textId="77777777" w:rsidTr="00CF73BA">
        <w:tc>
          <w:tcPr>
            <w:tcW w:w="14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412D46AF" w14:textId="77777777" w:rsidR="00E72F51" w:rsidRPr="00E72F51" w:rsidRDefault="00E72F51" w:rsidP="006B21E2">
            <w:pPr>
              <w:rPr>
                <w:sz w:val="20"/>
                <w:szCs w:val="20"/>
              </w:rPr>
            </w:pPr>
            <w:r w:rsidRPr="00E72F51">
              <w:rPr>
                <w:color w:val="000000"/>
                <w:sz w:val="20"/>
                <w:szCs w:val="20"/>
              </w:rPr>
              <w:t>Multi-Tier DEX (Uniswap v3)</w:t>
            </w:r>
          </w:p>
        </w:tc>
        <w:tc>
          <w:tcPr>
            <w:tcW w:w="18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00FD8444" w14:textId="77777777" w:rsidR="00E72F51" w:rsidRPr="00E72F51" w:rsidRDefault="00E72F51" w:rsidP="006B21E2">
            <w:pPr>
              <w:rPr>
                <w:sz w:val="20"/>
                <w:szCs w:val="20"/>
              </w:rPr>
            </w:pPr>
            <w:r w:rsidRPr="00E72F51">
              <w:rPr>
                <w:color w:val="000000"/>
                <w:sz w:val="20"/>
                <w:szCs w:val="20"/>
              </w:rPr>
              <w:t>Four fee tiers: 0.01%, 0.05%, 0.30%, 1.00%; users choose</w:t>
            </w:r>
          </w:p>
        </w:tc>
        <w:tc>
          <w:tcPr>
            <w:tcW w:w="18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18C7CC45" w14:textId="77777777" w:rsidR="00E72F51" w:rsidRPr="00E72F51" w:rsidRDefault="00E72F51" w:rsidP="006B21E2">
            <w:pPr>
              <w:rPr>
                <w:sz w:val="20"/>
                <w:szCs w:val="20"/>
              </w:rPr>
            </w:pPr>
            <w:r w:rsidRPr="00E72F51">
              <w:rPr>
                <w:color w:val="000000"/>
                <w:sz w:val="20"/>
                <w:szCs w:val="20"/>
              </w:rPr>
              <w:t>Flexibility allows optimal fee selection</w:t>
            </w:r>
          </w:p>
        </w:tc>
        <w:tc>
          <w:tcPr>
            <w:tcW w:w="20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43F422F2" w14:textId="77777777" w:rsidR="00E72F51" w:rsidRPr="00E72F51" w:rsidRDefault="00E72F51" w:rsidP="006B21E2">
            <w:pPr>
              <w:rPr>
                <w:sz w:val="20"/>
                <w:szCs w:val="20"/>
              </w:rPr>
            </w:pPr>
            <w:r w:rsidRPr="00E72F51">
              <w:rPr>
                <w:color w:val="000000"/>
                <w:sz w:val="20"/>
                <w:szCs w:val="20"/>
              </w:rPr>
              <w:t>Professional 84% optimal selection vs retail 41%; 4.2% vs 18.3% APR</w:t>
            </w:r>
          </w:p>
        </w:tc>
        <w:tc>
          <w:tcPr>
            <w:tcW w:w="236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07ED85E1" w14:textId="77777777" w:rsidR="00E72F51" w:rsidRPr="00E72F51" w:rsidRDefault="00E72F51" w:rsidP="006B21E2">
            <w:pPr>
              <w:rPr>
                <w:sz w:val="20"/>
                <w:szCs w:val="20"/>
              </w:rPr>
            </w:pPr>
            <w:r w:rsidRPr="00E72F51">
              <w:rPr>
                <w:color w:val="000000"/>
                <w:sz w:val="20"/>
                <w:szCs w:val="20"/>
              </w:rPr>
              <w:t>Participants with tier selection knowledge</w:t>
            </w:r>
          </w:p>
        </w:tc>
      </w:tr>
      <w:tr w:rsidR="00E72F51" w:rsidRPr="00E72F51" w14:paraId="5474C352" w14:textId="77777777" w:rsidTr="00CF73BA">
        <w:tc>
          <w:tcPr>
            <w:tcW w:w="14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318A78BC" w14:textId="77777777" w:rsidR="00E72F51" w:rsidRPr="00E72F51" w:rsidRDefault="00E72F51" w:rsidP="006B21E2">
            <w:pPr>
              <w:rPr>
                <w:sz w:val="20"/>
                <w:szCs w:val="20"/>
              </w:rPr>
            </w:pPr>
            <w:r w:rsidRPr="00E72F51">
              <w:rPr>
                <w:color w:val="000000"/>
                <w:sz w:val="20"/>
                <w:szCs w:val="20"/>
              </w:rPr>
              <w:t>Amplified AMM (Curve)</w:t>
            </w:r>
          </w:p>
        </w:tc>
        <w:tc>
          <w:tcPr>
            <w:tcW w:w="18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28469D8A" w14:textId="77777777" w:rsidR="00E72F51" w:rsidRPr="00E72F51" w:rsidRDefault="00E72F51" w:rsidP="006B21E2">
            <w:pPr>
              <w:rPr>
                <w:sz w:val="20"/>
                <w:szCs w:val="20"/>
              </w:rPr>
            </w:pPr>
            <w:r w:rsidRPr="00E72F51">
              <w:rPr>
                <w:color w:val="000000"/>
                <w:sz w:val="20"/>
                <w:szCs w:val="20"/>
              </w:rPr>
              <w:t>0.04% fee with amplification coefficient reducing slippage</w:t>
            </w:r>
          </w:p>
        </w:tc>
        <w:tc>
          <w:tcPr>
            <w:tcW w:w="18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3816776C" w14:textId="77777777" w:rsidR="00E72F51" w:rsidRPr="00E72F51" w:rsidRDefault="00E72F51" w:rsidP="006B21E2">
            <w:pPr>
              <w:rPr>
                <w:sz w:val="20"/>
                <w:szCs w:val="20"/>
              </w:rPr>
            </w:pPr>
            <w:r w:rsidRPr="00E72F51">
              <w:rPr>
                <w:color w:val="000000"/>
                <w:sz w:val="20"/>
                <w:szCs w:val="20"/>
              </w:rPr>
              <w:t>Lower total trading costs despite higher fees</w:t>
            </w:r>
          </w:p>
        </w:tc>
        <w:tc>
          <w:tcPr>
            <w:tcW w:w="200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50F03E3A" w14:textId="77777777" w:rsidR="00E72F51" w:rsidRPr="00E72F51" w:rsidRDefault="00E72F51" w:rsidP="006B21E2">
            <w:pPr>
              <w:rPr>
                <w:sz w:val="20"/>
                <w:szCs w:val="20"/>
              </w:rPr>
            </w:pPr>
            <w:r w:rsidRPr="00E72F51">
              <w:rPr>
                <w:color w:val="000000"/>
                <w:sz w:val="20"/>
                <w:szCs w:val="20"/>
              </w:rPr>
              <w:t>7.3% APR for small LPs vs 5.1% on Uniswap; 58% stablecoin market share</w:t>
            </w:r>
          </w:p>
        </w:tc>
        <w:tc>
          <w:tcPr>
            <w:tcW w:w="2360" w:type="dxa"/>
            <w:tcBorders>
              <w:top w:val="single" w:sz="2" w:space="0" w:color="CCCCCC"/>
              <w:left w:val="single" w:sz="2" w:space="0" w:color="CCCCCC"/>
              <w:bottom w:val="single" w:sz="2" w:space="0" w:color="CCCCCC"/>
              <w:right w:val="single" w:sz="2" w:space="0" w:color="CCCCCC"/>
            </w:tcBorders>
            <w:tcMar>
              <w:top w:w="80" w:type="dxa"/>
              <w:left w:w="100" w:type="dxa"/>
              <w:bottom w:w="80" w:type="dxa"/>
              <w:right w:w="100" w:type="dxa"/>
            </w:tcMar>
            <w:vAlign w:val="center"/>
          </w:tcPr>
          <w:p w14:paraId="2B9028AA" w14:textId="77777777" w:rsidR="00E72F51" w:rsidRPr="00E72F51" w:rsidRDefault="00E72F51" w:rsidP="006B21E2">
            <w:pPr>
              <w:rPr>
                <w:sz w:val="20"/>
                <w:szCs w:val="20"/>
              </w:rPr>
            </w:pPr>
            <w:r w:rsidRPr="00E72F51">
              <w:rPr>
                <w:color w:val="000000"/>
                <w:sz w:val="20"/>
                <w:szCs w:val="20"/>
              </w:rPr>
              <w:t>Small liquidity providers on stablecoin pairs</w:t>
            </w:r>
          </w:p>
        </w:tc>
      </w:tr>
    </w:tbl>
    <w:p w14:paraId="5920E541" w14:textId="39E5C432" w:rsidR="004A7679" w:rsidRPr="00607B2F" w:rsidRDefault="004A7679" w:rsidP="006B21E2">
      <w:pPr>
        <w:jc w:val="both"/>
        <w:rPr>
          <w:rFonts w:eastAsiaTheme="majorEastAsia"/>
          <w:color w:val="000000" w:themeColor="text1"/>
          <w:sz w:val="20"/>
          <w:szCs w:val="20"/>
        </w:rPr>
      </w:pPr>
      <w:r w:rsidRPr="00607B2F">
        <w:rPr>
          <w:rFonts w:eastAsiaTheme="majorEastAsia"/>
          <w:color w:val="000000" w:themeColor="text1"/>
          <w:sz w:val="20"/>
          <w:szCs w:val="20"/>
        </w:rPr>
        <w:t>Source: Analysis of 847,000 CEX transactions and 2.4 million DEX transactions across 23 exchanges, 2020-2024.</w:t>
      </w:r>
    </w:p>
    <w:p w14:paraId="5E07D9C2" w14:textId="77777777" w:rsidR="004A7679" w:rsidRPr="00607B2F" w:rsidRDefault="004A7679" w:rsidP="006B21E2">
      <w:pPr>
        <w:jc w:val="both"/>
        <w:rPr>
          <w:rFonts w:eastAsiaTheme="majorEastAsia"/>
          <w:color w:val="000000" w:themeColor="text1"/>
        </w:rPr>
      </w:pPr>
    </w:p>
    <w:p w14:paraId="6E39DDF0" w14:textId="458ACFB5" w:rsidR="004A7679" w:rsidRPr="00607B2F" w:rsidRDefault="004A7679" w:rsidP="006B21E2">
      <w:pPr>
        <w:jc w:val="both"/>
        <w:rPr>
          <w:rFonts w:eastAsiaTheme="majorEastAsia"/>
          <w:b/>
          <w:bCs/>
          <w:color w:val="000000" w:themeColor="text1"/>
        </w:rPr>
      </w:pPr>
      <w:r w:rsidRPr="00607B2F">
        <w:rPr>
          <w:rFonts w:eastAsiaTheme="majorEastAsia"/>
          <w:b/>
          <w:bCs/>
          <w:color w:val="000000" w:themeColor="text1"/>
        </w:rPr>
        <w:t>Critical Observations:</w:t>
      </w:r>
    </w:p>
    <w:p w14:paraId="3D0420B2" w14:textId="77777777" w:rsidR="004A7679" w:rsidRPr="0071647F" w:rsidRDefault="004A7679" w:rsidP="006B21E2">
      <w:pPr>
        <w:jc w:val="both"/>
        <w:rPr>
          <w:rFonts w:eastAsiaTheme="majorEastAsia"/>
          <w:color w:val="FF0000"/>
        </w:rPr>
      </w:pPr>
    </w:p>
    <w:p w14:paraId="626724B4" w14:textId="49E150D5" w:rsidR="004A7679" w:rsidRPr="008935F4" w:rsidRDefault="004A7679" w:rsidP="006B21E2">
      <w:pPr>
        <w:jc w:val="both"/>
        <w:rPr>
          <w:rFonts w:eastAsiaTheme="majorEastAsia"/>
          <w:color w:val="000000" w:themeColor="text1"/>
        </w:rPr>
      </w:pPr>
      <w:r w:rsidRPr="008935F4">
        <w:rPr>
          <w:rFonts w:eastAsiaTheme="majorEastAsia"/>
          <w:b/>
          <w:bCs/>
          <w:color w:val="000000" w:themeColor="text1"/>
        </w:rPr>
        <w:t>Maker-Taker Democratic Illusion:</w:t>
      </w:r>
      <w:r w:rsidRPr="008935F4">
        <w:rPr>
          <w:rFonts w:eastAsiaTheme="majorEastAsia"/>
          <w:color w:val="000000" w:themeColor="text1"/>
        </w:rPr>
        <w:t xml:space="preserve"> Despite rewarding liquidity provision equally, institutional participants captured 78% of maker rebates while representing only 31% of participants. The 23-40% retail maker-to-taker conversion rate during </w:t>
      </w:r>
      <w:r w:rsidR="008935F4" w:rsidRPr="008935F4">
        <w:rPr>
          <w:rFonts w:eastAsiaTheme="majorEastAsia"/>
          <w:color w:val="000000" w:themeColor="text1"/>
        </w:rPr>
        <w:t xml:space="preserve">a </w:t>
      </w:r>
      <w:r w:rsidRPr="008935F4">
        <w:rPr>
          <w:rFonts w:eastAsiaTheme="majorEastAsia"/>
          <w:color w:val="000000" w:themeColor="text1"/>
        </w:rPr>
        <w:t xml:space="preserve">volatility </w:t>
      </w:r>
      <w:r w:rsidR="008935F4" w:rsidRPr="008935F4">
        <w:rPr>
          <w:rFonts w:eastAsiaTheme="majorEastAsia"/>
          <w:color w:val="000000" w:themeColor="text1"/>
        </w:rPr>
        <w:t xml:space="preserve">period </w:t>
      </w:r>
      <w:r w:rsidRPr="008935F4">
        <w:rPr>
          <w:rFonts w:eastAsiaTheme="majorEastAsia"/>
          <w:color w:val="000000" w:themeColor="text1"/>
        </w:rPr>
        <w:t>demonstrates how technical access to maker status differs fundamentally from economic realization.</w:t>
      </w:r>
    </w:p>
    <w:p w14:paraId="29F7F7A4" w14:textId="77777777" w:rsidR="004A7679" w:rsidRPr="0071647F" w:rsidRDefault="004A7679" w:rsidP="006B21E2">
      <w:pPr>
        <w:jc w:val="both"/>
        <w:rPr>
          <w:rFonts w:eastAsiaTheme="majorEastAsia"/>
          <w:color w:val="FF0000"/>
        </w:rPr>
      </w:pPr>
    </w:p>
    <w:p w14:paraId="28E417C9" w14:textId="1C52F95F" w:rsidR="004A7679" w:rsidRPr="007172AA" w:rsidRDefault="004A7679" w:rsidP="006B21E2">
      <w:pPr>
        <w:jc w:val="both"/>
        <w:rPr>
          <w:rFonts w:eastAsiaTheme="majorEastAsia"/>
          <w:color w:val="000000" w:themeColor="text1"/>
        </w:rPr>
      </w:pPr>
      <w:r w:rsidRPr="007172AA">
        <w:rPr>
          <w:rFonts w:eastAsiaTheme="majorEastAsia"/>
          <w:b/>
          <w:bCs/>
          <w:i/>
          <w:iCs/>
          <w:color w:val="000000" w:themeColor="text1"/>
        </w:rPr>
        <w:t>Volume Tier Treadmill:</w:t>
      </w:r>
      <w:r w:rsidRPr="007172AA">
        <w:rPr>
          <w:rFonts w:eastAsiaTheme="majorEastAsia"/>
          <w:color w:val="000000" w:themeColor="text1"/>
        </w:rPr>
        <w:t xml:space="preserve"> The </w:t>
      </w:r>
      <w:r w:rsidR="008935F4" w:rsidRPr="007172AA">
        <w:rPr>
          <w:rFonts w:eastAsiaTheme="majorEastAsia"/>
          <w:color w:val="000000" w:themeColor="text1"/>
        </w:rPr>
        <w:t xml:space="preserve">high number of </w:t>
      </w:r>
      <w:r w:rsidRPr="007172AA">
        <w:rPr>
          <w:rFonts w:eastAsiaTheme="majorEastAsia"/>
          <w:color w:val="000000" w:themeColor="text1"/>
        </w:rPr>
        <w:t xml:space="preserve">89% of accounts </w:t>
      </w:r>
      <w:r w:rsidR="008935F4" w:rsidRPr="007172AA">
        <w:rPr>
          <w:rFonts w:eastAsiaTheme="majorEastAsia"/>
          <w:color w:val="000000" w:themeColor="text1"/>
        </w:rPr>
        <w:t xml:space="preserve">which </w:t>
      </w:r>
      <w:r w:rsidRPr="007172AA">
        <w:rPr>
          <w:rFonts w:eastAsiaTheme="majorEastAsia"/>
          <w:color w:val="000000" w:themeColor="text1"/>
        </w:rPr>
        <w:t>never escap</w:t>
      </w:r>
      <w:r w:rsidR="008935F4" w:rsidRPr="007172AA">
        <w:rPr>
          <w:rFonts w:eastAsiaTheme="majorEastAsia"/>
          <w:color w:val="000000" w:themeColor="text1"/>
        </w:rPr>
        <w:t>e</w:t>
      </w:r>
      <w:r w:rsidRPr="007172AA">
        <w:rPr>
          <w:rFonts w:eastAsiaTheme="majorEastAsia"/>
          <w:color w:val="000000" w:themeColor="text1"/>
        </w:rPr>
        <w:t xml:space="preserve"> the highest fee tier </w:t>
      </w:r>
      <w:r w:rsidR="008935F4" w:rsidRPr="007172AA">
        <w:rPr>
          <w:rFonts w:eastAsiaTheme="majorEastAsia"/>
          <w:color w:val="000000" w:themeColor="text1"/>
        </w:rPr>
        <w:t>shows a</w:t>
      </w:r>
      <w:r w:rsidRPr="007172AA">
        <w:rPr>
          <w:rFonts w:eastAsiaTheme="majorEastAsia"/>
          <w:color w:val="000000" w:themeColor="text1"/>
        </w:rPr>
        <w:t xml:space="preserve"> structural rather than individual failure</w:t>
      </w:r>
      <w:r w:rsidR="008935F4" w:rsidRPr="007172AA">
        <w:rPr>
          <w:rFonts w:eastAsiaTheme="majorEastAsia"/>
          <w:color w:val="000000" w:themeColor="text1"/>
        </w:rPr>
        <w:t xml:space="preserve"> of participants</w:t>
      </w:r>
      <w:r w:rsidRPr="007172AA">
        <w:rPr>
          <w:rFonts w:eastAsiaTheme="majorEastAsia"/>
          <w:color w:val="000000" w:themeColor="text1"/>
        </w:rPr>
        <w:t>. Capital requirements to achieve savings s</w:t>
      </w:r>
      <w:r w:rsidR="008935F4" w:rsidRPr="007172AA">
        <w:rPr>
          <w:rFonts w:eastAsiaTheme="majorEastAsia"/>
          <w:color w:val="000000" w:themeColor="text1"/>
        </w:rPr>
        <w:t>imply</w:t>
      </w:r>
      <w:r w:rsidRPr="007172AA">
        <w:rPr>
          <w:rFonts w:eastAsiaTheme="majorEastAsia"/>
          <w:color w:val="000000" w:themeColor="text1"/>
        </w:rPr>
        <w:t xml:space="preserve"> exceed the savings themselves</w:t>
      </w:r>
      <w:r w:rsidR="008935F4" w:rsidRPr="007172AA">
        <w:rPr>
          <w:rFonts w:eastAsiaTheme="majorEastAsia"/>
          <w:color w:val="000000" w:themeColor="text1"/>
        </w:rPr>
        <w:t xml:space="preserve">. </w:t>
      </w:r>
    </w:p>
    <w:p w14:paraId="51713F41" w14:textId="77777777" w:rsidR="004A7679" w:rsidRPr="0071647F" w:rsidRDefault="004A7679" w:rsidP="006B21E2">
      <w:pPr>
        <w:jc w:val="both"/>
        <w:rPr>
          <w:rFonts w:eastAsiaTheme="majorEastAsia"/>
          <w:color w:val="FF0000"/>
        </w:rPr>
      </w:pPr>
    </w:p>
    <w:p w14:paraId="0094742A" w14:textId="7BB08CAC" w:rsidR="004A7679" w:rsidRPr="0063767B" w:rsidRDefault="004A7679" w:rsidP="006B21E2">
      <w:pPr>
        <w:jc w:val="both"/>
        <w:rPr>
          <w:rFonts w:eastAsiaTheme="majorEastAsia"/>
          <w:color w:val="000000" w:themeColor="text1"/>
        </w:rPr>
      </w:pPr>
      <w:r w:rsidRPr="0063767B">
        <w:rPr>
          <w:rFonts w:eastAsiaTheme="majorEastAsia"/>
          <w:b/>
          <w:bCs/>
          <w:i/>
          <w:iCs/>
          <w:color w:val="000000" w:themeColor="text1"/>
        </w:rPr>
        <w:t>Token Discount Risk Transfer:</w:t>
      </w:r>
      <w:r w:rsidRPr="0063767B">
        <w:rPr>
          <w:rFonts w:eastAsiaTheme="majorEastAsia"/>
          <w:color w:val="000000" w:themeColor="text1"/>
        </w:rPr>
        <w:t xml:space="preserve"> The 58% BNB price decline in 2022</w:t>
      </w:r>
      <w:r w:rsidR="0063767B" w:rsidRPr="0063767B">
        <w:rPr>
          <w:rFonts w:eastAsiaTheme="majorEastAsia"/>
          <w:color w:val="000000" w:themeColor="text1"/>
        </w:rPr>
        <w:t xml:space="preserve"> - despite </w:t>
      </w:r>
      <w:r w:rsidRPr="0063767B">
        <w:rPr>
          <w:rFonts w:eastAsiaTheme="majorEastAsia"/>
          <w:color w:val="000000" w:themeColor="text1"/>
        </w:rPr>
        <w:t>offering 25</w:t>
      </w:r>
      <w:proofErr w:type="gramStart"/>
      <w:r w:rsidRPr="0063767B">
        <w:rPr>
          <w:rFonts w:eastAsiaTheme="majorEastAsia"/>
          <w:color w:val="000000" w:themeColor="text1"/>
        </w:rPr>
        <w:t>% fee</w:t>
      </w:r>
      <w:proofErr w:type="gramEnd"/>
      <w:r w:rsidRPr="0063767B">
        <w:rPr>
          <w:rFonts w:eastAsiaTheme="majorEastAsia"/>
          <w:color w:val="000000" w:themeColor="text1"/>
        </w:rPr>
        <w:t xml:space="preserve"> discounts </w:t>
      </w:r>
      <w:r w:rsidR="0063767B" w:rsidRPr="0063767B">
        <w:rPr>
          <w:rFonts w:eastAsiaTheme="majorEastAsia"/>
          <w:color w:val="000000" w:themeColor="text1"/>
        </w:rPr>
        <w:t xml:space="preserve">- </w:t>
      </w:r>
      <w:r w:rsidRPr="0063767B">
        <w:rPr>
          <w:rFonts w:eastAsiaTheme="majorEastAsia"/>
          <w:color w:val="000000" w:themeColor="text1"/>
        </w:rPr>
        <w:t xml:space="preserve">represents a -33% net outcome. Token-based </w:t>
      </w:r>
      <w:proofErr w:type="gramStart"/>
      <w:r w:rsidRPr="0063767B">
        <w:rPr>
          <w:rFonts w:eastAsiaTheme="majorEastAsia"/>
          <w:color w:val="000000" w:themeColor="text1"/>
        </w:rPr>
        <w:t xml:space="preserve">discounts </w:t>
      </w:r>
      <w:r w:rsidR="0063767B" w:rsidRPr="0063767B">
        <w:rPr>
          <w:rFonts w:eastAsiaTheme="majorEastAsia"/>
          <w:color w:val="000000" w:themeColor="text1"/>
        </w:rPr>
        <w:t>are</w:t>
      </w:r>
      <w:proofErr w:type="gramEnd"/>
      <w:r w:rsidR="0063767B" w:rsidRPr="0063767B">
        <w:rPr>
          <w:rFonts w:eastAsiaTheme="majorEastAsia"/>
          <w:color w:val="000000" w:themeColor="text1"/>
        </w:rPr>
        <w:t xml:space="preserve"> generally transferring the</w:t>
      </w:r>
      <w:r w:rsidRPr="0063767B">
        <w:rPr>
          <w:rFonts w:eastAsiaTheme="majorEastAsia"/>
          <w:color w:val="000000" w:themeColor="text1"/>
        </w:rPr>
        <w:t xml:space="preserve"> price risk to users while framing risk assumption as benefit realization.</w:t>
      </w:r>
    </w:p>
    <w:p w14:paraId="5A3910AD" w14:textId="77777777" w:rsidR="004A7679" w:rsidRPr="0063767B" w:rsidRDefault="004A7679" w:rsidP="006B21E2">
      <w:pPr>
        <w:jc w:val="both"/>
        <w:rPr>
          <w:rFonts w:eastAsiaTheme="majorEastAsia"/>
          <w:color w:val="000000" w:themeColor="text1"/>
        </w:rPr>
      </w:pPr>
    </w:p>
    <w:p w14:paraId="5A419723" w14:textId="684EDC6E" w:rsidR="004A7679" w:rsidRPr="0063767B" w:rsidRDefault="004A7679" w:rsidP="006B21E2">
      <w:pPr>
        <w:jc w:val="both"/>
        <w:rPr>
          <w:rFonts w:eastAsiaTheme="majorEastAsia"/>
          <w:color w:val="000000" w:themeColor="text1"/>
        </w:rPr>
      </w:pPr>
      <w:r w:rsidRPr="0063767B">
        <w:rPr>
          <w:rFonts w:eastAsiaTheme="majorEastAsia"/>
          <w:b/>
          <w:bCs/>
          <w:i/>
          <w:iCs/>
          <w:color w:val="000000" w:themeColor="text1"/>
        </w:rPr>
        <w:t>DEX Knowledge Barriers:</w:t>
      </w:r>
      <w:r w:rsidRPr="0063767B">
        <w:rPr>
          <w:rFonts w:eastAsiaTheme="majorEastAsia"/>
          <w:color w:val="000000" w:themeColor="text1"/>
        </w:rPr>
        <w:t xml:space="preserve"> The 84% vs 41% optimal tier selection rate (professional vs retail) on Uniswap v3, yielding 18.3% vs 4.2% APR, demonstrates that structural democratization (fee distribution to LPs) do not guarantee outcome democratization without operational knowledge.</w:t>
      </w:r>
    </w:p>
    <w:p w14:paraId="214FFA4D" w14:textId="77777777" w:rsidR="004A7679" w:rsidRPr="0071647F" w:rsidRDefault="004A7679" w:rsidP="006B21E2">
      <w:pPr>
        <w:jc w:val="both"/>
        <w:rPr>
          <w:rFonts w:eastAsiaTheme="majorEastAsia"/>
          <w:color w:val="FF0000"/>
        </w:rPr>
      </w:pPr>
    </w:p>
    <w:p w14:paraId="1442149F" w14:textId="0CC6C943" w:rsidR="004A7679" w:rsidRPr="007F1863" w:rsidRDefault="004A7679" w:rsidP="006B21E2">
      <w:pPr>
        <w:jc w:val="both"/>
        <w:rPr>
          <w:rFonts w:eastAsiaTheme="majorEastAsia"/>
          <w:color w:val="000000" w:themeColor="text1"/>
        </w:rPr>
      </w:pPr>
      <w:r w:rsidRPr="007F1863">
        <w:rPr>
          <w:rFonts w:eastAsiaTheme="majorEastAsia"/>
          <w:b/>
          <w:bCs/>
          <w:i/>
          <w:iCs/>
          <w:color w:val="000000" w:themeColor="text1"/>
        </w:rPr>
        <w:t>Curve's Viable Simplicity:</w:t>
      </w:r>
      <w:r w:rsidRPr="007F1863">
        <w:rPr>
          <w:rFonts w:eastAsiaTheme="majorEastAsia"/>
          <w:color w:val="000000" w:themeColor="text1"/>
        </w:rPr>
        <w:t xml:space="preserve"> The consistent 7.3% APR for small LPs on Curve versus 5.1% on Uniswap</w:t>
      </w:r>
      <w:r w:rsidR="007F1863" w:rsidRPr="007F1863">
        <w:rPr>
          <w:rFonts w:eastAsiaTheme="majorEastAsia"/>
          <w:color w:val="000000" w:themeColor="text1"/>
        </w:rPr>
        <w:t xml:space="preserve"> - </w:t>
      </w:r>
      <w:r w:rsidRPr="007F1863">
        <w:rPr>
          <w:rFonts w:eastAsiaTheme="majorEastAsia"/>
          <w:color w:val="000000" w:themeColor="text1"/>
        </w:rPr>
        <w:t>despite higher nominal fees (0.04% vs 0.01%)</w:t>
      </w:r>
      <w:r w:rsidR="007F1863" w:rsidRPr="007F1863">
        <w:rPr>
          <w:rFonts w:eastAsiaTheme="majorEastAsia"/>
          <w:color w:val="000000" w:themeColor="text1"/>
        </w:rPr>
        <w:t xml:space="preserve"> -</w:t>
      </w:r>
      <w:r w:rsidRPr="007F1863">
        <w:rPr>
          <w:rFonts w:eastAsiaTheme="majorEastAsia"/>
          <w:color w:val="000000" w:themeColor="text1"/>
        </w:rPr>
        <w:t xml:space="preserve"> illustrates that </w:t>
      </w:r>
      <w:r w:rsidR="007F1863" w:rsidRPr="007F1863">
        <w:rPr>
          <w:rFonts w:eastAsiaTheme="majorEastAsia"/>
          <w:color w:val="000000" w:themeColor="text1"/>
        </w:rPr>
        <w:t xml:space="preserve">the </w:t>
      </w:r>
      <w:r w:rsidRPr="007F1863">
        <w:rPr>
          <w:rFonts w:eastAsiaTheme="majorEastAsia"/>
          <w:color w:val="000000" w:themeColor="text1"/>
        </w:rPr>
        <w:t xml:space="preserve">total cost </w:t>
      </w:r>
      <w:r w:rsidR="007F1863" w:rsidRPr="007F1863">
        <w:rPr>
          <w:rFonts w:eastAsiaTheme="majorEastAsia"/>
          <w:color w:val="000000" w:themeColor="text1"/>
        </w:rPr>
        <w:t xml:space="preserve">of </w:t>
      </w:r>
      <w:r w:rsidRPr="007F1863">
        <w:rPr>
          <w:rFonts w:eastAsiaTheme="majorEastAsia"/>
          <w:color w:val="000000" w:themeColor="text1"/>
        </w:rPr>
        <w:t xml:space="preserve">optimization matters more than </w:t>
      </w:r>
      <w:r w:rsidR="007F1863" w:rsidRPr="007F1863">
        <w:rPr>
          <w:rFonts w:eastAsiaTheme="majorEastAsia"/>
          <w:color w:val="000000" w:themeColor="text1"/>
        </w:rPr>
        <w:t xml:space="preserve">the </w:t>
      </w:r>
      <w:r w:rsidRPr="007F1863">
        <w:rPr>
          <w:rFonts w:eastAsiaTheme="majorEastAsia"/>
          <w:color w:val="000000" w:themeColor="text1"/>
        </w:rPr>
        <w:t xml:space="preserve">fee minimization. Curve's amplified AMM architecture demonstrates that participant-friendly design (reducing </w:t>
      </w:r>
      <w:r w:rsidR="007F1863" w:rsidRPr="007F1863">
        <w:rPr>
          <w:rFonts w:eastAsiaTheme="majorEastAsia"/>
          <w:color w:val="000000" w:themeColor="text1"/>
        </w:rPr>
        <w:t xml:space="preserve">its </w:t>
      </w:r>
      <w:r w:rsidRPr="007F1863">
        <w:rPr>
          <w:rFonts w:eastAsiaTheme="majorEastAsia"/>
          <w:color w:val="000000" w:themeColor="text1"/>
        </w:rPr>
        <w:t>complexity) can achieve better retail outcomes than participant-accessible design (offering choice).</w:t>
      </w:r>
    </w:p>
    <w:p w14:paraId="461DD787" w14:textId="77777777" w:rsidR="004A7679" w:rsidRPr="0071647F" w:rsidRDefault="004A7679" w:rsidP="006B21E2">
      <w:pPr>
        <w:jc w:val="both"/>
        <w:rPr>
          <w:rFonts w:eastAsiaTheme="majorEastAsia"/>
          <w:color w:val="FF0000"/>
        </w:rPr>
      </w:pPr>
    </w:p>
    <w:p w14:paraId="1F7DE9C0" w14:textId="1EB32EFF" w:rsidR="004A7679" w:rsidRPr="00674161" w:rsidRDefault="004A7679" w:rsidP="006B21E2">
      <w:pPr>
        <w:jc w:val="both"/>
        <w:rPr>
          <w:rFonts w:eastAsiaTheme="majorEastAsia"/>
          <w:color w:val="000000" w:themeColor="text1"/>
        </w:rPr>
      </w:pPr>
      <w:r w:rsidRPr="00674161">
        <w:rPr>
          <w:rFonts w:eastAsiaTheme="majorEastAsia"/>
          <w:b/>
          <w:bCs/>
          <w:color w:val="000000" w:themeColor="text1"/>
        </w:rPr>
        <w:t>Theoretical Implication:</w:t>
      </w:r>
      <w:r w:rsidRPr="00674161">
        <w:rPr>
          <w:rFonts w:eastAsiaTheme="majorEastAsia"/>
          <w:color w:val="000000" w:themeColor="text1"/>
        </w:rPr>
        <w:t xml:space="preserve"> Fee structures </w:t>
      </w:r>
      <w:r w:rsidR="00674161" w:rsidRPr="00674161">
        <w:rPr>
          <w:rFonts w:eastAsiaTheme="majorEastAsia"/>
          <w:color w:val="000000" w:themeColor="text1"/>
        </w:rPr>
        <w:t xml:space="preserve">that are </w:t>
      </w:r>
      <w:r w:rsidRPr="00674161">
        <w:rPr>
          <w:rFonts w:eastAsiaTheme="majorEastAsia"/>
          <w:color w:val="000000" w:themeColor="text1"/>
        </w:rPr>
        <w:t xml:space="preserve">advertised as democratizing create concentrated outcomes </w:t>
      </w:r>
      <w:r w:rsidR="00674161" w:rsidRPr="00674161">
        <w:rPr>
          <w:rFonts w:eastAsiaTheme="majorEastAsia"/>
          <w:color w:val="000000" w:themeColor="text1"/>
        </w:rPr>
        <w:t>although not</w:t>
      </w:r>
      <w:r w:rsidRPr="00674161">
        <w:rPr>
          <w:rFonts w:eastAsiaTheme="majorEastAsia"/>
          <w:color w:val="000000" w:themeColor="text1"/>
        </w:rPr>
        <w:t xml:space="preserve"> through explicit exclusion but through differential capability requirements. </w:t>
      </w:r>
      <w:r w:rsidRPr="00674161">
        <w:rPr>
          <w:rFonts w:eastAsiaTheme="majorEastAsia"/>
          <w:color w:val="000000" w:themeColor="text1"/>
        </w:rPr>
        <w:lastRenderedPageBreak/>
        <w:t xml:space="preserve">The transformation from institutional gatekeeping (CEX tiers requiring volume) to technical gatekeeping (DEX tiers requiring knowledge) represents </w:t>
      </w:r>
      <w:r w:rsidR="00674161" w:rsidRPr="00674161">
        <w:rPr>
          <w:rFonts w:eastAsiaTheme="majorEastAsia"/>
          <w:color w:val="000000" w:themeColor="text1"/>
        </w:rPr>
        <w:t xml:space="preserve">a </w:t>
      </w:r>
      <w:r w:rsidRPr="00674161">
        <w:rPr>
          <w:rFonts w:eastAsiaTheme="majorEastAsia"/>
          <w:color w:val="000000" w:themeColor="text1"/>
        </w:rPr>
        <w:t>barrier metamorphosis rather than barrier elimination.</w:t>
      </w:r>
    </w:p>
    <w:p w14:paraId="621E76D3" w14:textId="77777777" w:rsidR="00A04269" w:rsidRPr="0071647F" w:rsidRDefault="00A04269" w:rsidP="006B21E2">
      <w:pPr>
        <w:jc w:val="both"/>
        <w:rPr>
          <w:rFonts w:eastAsiaTheme="majorEastAsia"/>
          <w:color w:val="000000" w:themeColor="text1"/>
        </w:rPr>
      </w:pPr>
    </w:p>
    <w:p w14:paraId="65207C76" w14:textId="085EC2E2" w:rsidR="006A21B5" w:rsidRPr="0071647F" w:rsidRDefault="008D6F57" w:rsidP="006B21E2">
      <w:pPr>
        <w:pStyle w:val="Heading2"/>
        <w:jc w:val="both"/>
        <w:rPr>
          <w:rFonts w:eastAsiaTheme="majorEastAsia"/>
          <w:sz w:val="24"/>
        </w:rPr>
      </w:pPr>
      <w:bookmarkStart w:id="107" w:name="_Toc214721913"/>
      <w:r w:rsidRPr="0071647F">
        <w:rPr>
          <w:rFonts w:eastAsiaTheme="majorEastAsia"/>
          <w:sz w:val="24"/>
        </w:rPr>
        <w:t>5</w:t>
      </w:r>
      <w:r w:rsidR="006A21B5" w:rsidRPr="0071647F">
        <w:rPr>
          <w:rFonts w:eastAsiaTheme="majorEastAsia"/>
          <w:sz w:val="24"/>
        </w:rPr>
        <w:t>.2 Fee Promotions and Competitive Strategies</w:t>
      </w:r>
      <w:bookmarkEnd w:id="107"/>
    </w:p>
    <w:p w14:paraId="2A53B17B" w14:textId="3051A58C" w:rsidR="006A21B5" w:rsidRPr="0071647F" w:rsidRDefault="006A21B5" w:rsidP="006B21E2">
      <w:pPr>
        <w:jc w:val="both"/>
        <w:rPr>
          <w:rFonts w:eastAsiaTheme="majorEastAsia"/>
          <w:color w:val="000000" w:themeColor="text1"/>
        </w:rPr>
      </w:pPr>
      <w:r w:rsidRPr="0071647F">
        <w:rPr>
          <w:rFonts w:eastAsiaTheme="majorEastAsia"/>
          <w:color w:val="000000" w:themeColor="text1"/>
        </w:rPr>
        <w:t>Fee promotions provide natural experiments in market microstructure, revealing how fee changes reshape dynamics and create temporary opportunities</w:t>
      </w:r>
      <w:r w:rsidR="0085059E" w:rsidRPr="0071647F">
        <w:rPr>
          <w:rFonts w:eastAsiaTheme="majorEastAsia"/>
          <w:color w:val="000000" w:themeColor="text1"/>
        </w:rPr>
        <w:t xml:space="preserve"> for all participants.</w:t>
      </w:r>
    </w:p>
    <w:p w14:paraId="2927E305" w14:textId="77777777" w:rsidR="00A04269" w:rsidRPr="0071647F" w:rsidRDefault="00A04269" w:rsidP="006B21E2">
      <w:pPr>
        <w:jc w:val="both"/>
        <w:rPr>
          <w:rFonts w:eastAsiaTheme="majorEastAsia"/>
          <w:color w:val="000000" w:themeColor="text1"/>
        </w:rPr>
      </w:pPr>
    </w:p>
    <w:p w14:paraId="67CC83C3" w14:textId="2859B3C7" w:rsidR="006A21B5" w:rsidRPr="0071647F" w:rsidRDefault="008D6F57" w:rsidP="006B21E2">
      <w:pPr>
        <w:pStyle w:val="Heading3"/>
        <w:jc w:val="both"/>
        <w:rPr>
          <w:rFonts w:eastAsiaTheme="majorEastAsia"/>
        </w:rPr>
      </w:pPr>
      <w:bookmarkStart w:id="108" w:name="_Toc214721914"/>
      <w:r w:rsidRPr="0071647F">
        <w:rPr>
          <w:rFonts w:eastAsiaTheme="majorEastAsia"/>
        </w:rPr>
        <w:t>5</w:t>
      </w:r>
      <w:r w:rsidR="006A21B5" w:rsidRPr="0071647F">
        <w:rPr>
          <w:rFonts w:eastAsiaTheme="majorEastAsia"/>
        </w:rPr>
        <w:t>.2.1 Zero-Fee Campaigns: Unintended Consequences</w:t>
      </w:r>
      <w:bookmarkEnd w:id="108"/>
    </w:p>
    <w:p w14:paraId="778ABFEF" w14:textId="77777777" w:rsidR="0085059E" w:rsidRPr="0071647F" w:rsidRDefault="0085059E" w:rsidP="006B21E2">
      <w:pPr>
        <w:jc w:val="both"/>
        <w:rPr>
          <w:rFonts w:eastAsiaTheme="majorEastAsia"/>
          <w:color w:val="000000" w:themeColor="text1"/>
        </w:rPr>
      </w:pPr>
      <w:r w:rsidRPr="0071647F">
        <w:rPr>
          <w:rFonts w:eastAsiaTheme="majorEastAsia"/>
          <w:color w:val="000000" w:themeColor="text1"/>
        </w:rPr>
        <w:t>Binance's zero-fee Bitcoin spot trading campaign that ran from July 2022 - March 2023 provides clear experimental data. When using the difference-in-differences analysis and comparing Bitcoin pairs (treatment) to Ethereum pairs (control), the results show some surprising effects.</w:t>
      </w:r>
    </w:p>
    <w:p w14:paraId="20F2263E" w14:textId="77777777" w:rsidR="0085059E" w:rsidRPr="0071647F" w:rsidRDefault="0085059E" w:rsidP="006B21E2">
      <w:pPr>
        <w:jc w:val="both"/>
        <w:rPr>
          <w:rFonts w:eastAsiaTheme="majorEastAsia"/>
          <w:color w:val="000000" w:themeColor="text1"/>
        </w:rPr>
      </w:pPr>
    </w:p>
    <w:p w14:paraId="04B1DA17" w14:textId="059218C3" w:rsidR="0085059E" w:rsidRPr="0071647F" w:rsidRDefault="0085059E" w:rsidP="006B21E2">
      <w:pPr>
        <w:jc w:val="both"/>
        <w:rPr>
          <w:rFonts w:eastAsiaTheme="majorEastAsia"/>
          <w:color w:val="000000" w:themeColor="text1"/>
        </w:rPr>
      </w:pPr>
      <w:r w:rsidRPr="0071647F">
        <w:rPr>
          <w:rFonts w:eastAsiaTheme="majorEastAsia"/>
          <w:color w:val="000000" w:themeColor="text1"/>
        </w:rPr>
        <w:t xml:space="preserve">The difference-in-differences showed that volume </w:t>
      </w:r>
      <w:r w:rsidR="00F60B13" w:rsidRPr="0071647F">
        <w:rPr>
          <w:rFonts w:eastAsiaTheme="majorEastAsia"/>
          <w:color w:val="000000" w:themeColor="text1"/>
        </w:rPr>
        <w:t>increased by</w:t>
      </w:r>
      <w:r w:rsidRPr="0071647F">
        <w:rPr>
          <w:rFonts w:eastAsiaTheme="majorEastAsia"/>
          <w:color w:val="000000" w:themeColor="text1"/>
        </w:rPr>
        <w:t xml:space="preserve"> 240% (compared to 45% for control pairs). But the makeup of the volume changed a lot. Wash trading, which can be seen through behavioral patterns, went up from 12% to 31% of the volume. There was only a 91% increase in real economic trading. The campaign brought in a lot of business, but a lot of it was fake.</w:t>
      </w:r>
    </w:p>
    <w:p w14:paraId="3608555C" w14:textId="77777777" w:rsidR="0085059E" w:rsidRPr="0071647F" w:rsidRDefault="0085059E" w:rsidP="006B21E2">
      <w:pPr>
        <w:jc w:val="both"/>
        <w:rPr>
          <w:rFonts w:eastAsiaTheme="majorEastAsia"/>
          <w:color w:val="000000" w:themeColor="text1"/>
        </w:rPr>
      </w:pPr>
    </w:p>
    <w:p w14:paraId="78BF7C51" w14:textId="77777777" w:rsidR="0085059E" w:rsidRPr="0071647F" w:rsidRDefault="0085059E" w:rsidP="006B21E2">
      <w:pPr>
        <w:jc w:val="both"/>
        <w:rPr>
          <w:rFonts w:eastAsiaTheme="majorEastAsia"/>
          <w:color w:val="000000" w:themeColor="text1"/>
        </w:rPr>
      </w:pPr>
      <w:r w:rsidRPr="0071647F">
        <w:rPr>
          <w:rFonts w:eastAsiaTheme="majorEastAsia"/>
          <w:color w:val="000000" w:themeColor="text1"/>
        </w:rPr>
        <w:t xml:space="preserve">The analyzed spread dynamics showed that the quality of the market was getting worse. Even though there were more trades happening, the bid-ask spreads grew from 0.01% to 0.03%. The market depth at 0.1% below the mid-price went down by 23%. Although traders liked the lack of fees, as shown by the increase </w:t>
      </w:r>
      <w:proofErr w:type="gramStart"/>
      <w:r w:rsidRPr="0071647F">
        <w:rPr>
          <w:rFonts w:eastAsiaTheme="majorEastAsia"/>
          <w:color w:val="000000" w:themeColor="text1"/>
        </w:rPr>
        <w:t>of</w:t>
      </w:r>
      <w:proofErr w:type="gramEnd"/>
      <w:r w:rsidRPr="0071647F">
        <w:rPr>
          <w:rFonts w:eastAsiaTheme="majorEastAsia"/>
          <w:color w:val="000000" w:themeColor="text1"/>
        </w:rPr>
        <w:t xml:space="preserve"> </w:t>
      </w:r>
      <w:proofErr w:type="gramStart"/>
      <w:r w:rsidRPr="0071647F">
        <w:rPr>
          <w:rFonts w:eastAsiaTheme="majorEastAsia"/>
          <w:color w:val="000000" w:themeColor="text1"/>
        </w:rPr>
        <w:t>trades</w:t>
      </w:r>
      <w:proofErr w:type="gramEnd"/>
      <w:r w:rsidRPr="0071647F">
        <w:rPr>
          <w:rFonts w:eastAsiaTheme="majorEastAsia"/>
          <w:color w:val="000000" w:themeColor="text1"/>
        </w:rPr>
        <w:t>, market makers did not because they could not execute spreads. Overall volume went up, but liquidity went down. That is something that under a traditional theory would not be expected.</w:t>
      </w:r>
    </w:p>
    <w:p w14:paraId="65111DB8" w14:textId="77777777" w:rsidR="0085059E" w:rsidRPr="0071647F" w:rsidRDefault="0085059E" w:rsidP="006B21E2">
      <w:pPr>
        <w:jc w:val="both"/>
        <w:rPr>
          <w:rFonts w:eastAsiaTheme="majorEastAsia"/>
          <w:color w:val="000000" w:themeColor="text1"/>
        </w:rPr>
      </w:pPr>
    </w:p>
    <w:p w14:paraId="5CAE0411" w14:textId="77777777" w:rsidR="0085059E" w:rsidRPr="0071647F" w:rsidRDefault="0085059E" w:rsidP="006B21E2">
      <w:pPr>
        <w:jc w:val="both"/>
        <w:rPr>
          <w:rFonts w:eastAsiaTheme="majorEastAsia"/>
          <w:color w:val="000000" w:themeColor="text1"/>
        </w:rPr>
      </w:pPr>
      <w:r w:rsidRPr="0071647F">
        <w:rPr>
          <w:rFonts w:eastAsiaTheme="majorEastAsia"/>
          <w:color w:val="000000" w:themeColor="text1"/>
        </w:rPr>
        <w:t>Small traders who attempted to exploit the zero-fee trade period faced various challenges they needed to navigate and understand. Without fees, competition shifted entirely to speed and sophistication. High-frequency traders captured 67% of arbitrage opportunities during zero-fee periods versus 51% normally. Retail execution quality degraded by 0.02% as they traded for free but at worse prices.</w:t>
      </w:r>
    </w:p>
    <w:p w14:paraId="1ADEF36B" w14:textId="77777777" w:rsidR="0085059E" w:rsidRPr="0071647F" w:rsidRDefault="0085059E" w:rsidP="006B21E2">
      <w:pPr>
        <w:jc w:val="both"/>
        <w:rPr>
          <w:rFonts w:eastAsiaTheme="majorEastAsia"/>
          <w:color w:val="000000" w:themeColor="text1"/>
        </w:rPr>
      </w:pPr>
    </w:p>
    <w:p w14:paraId="762D1148" w14:textId="77777777" w:rsidR="0085059E" w:rsidRPr="0071647F" w:rsidRDefault="0085059E" w:rsidP="006B21E2">
      <w:pPr>
        <w:jc w:val="both"/>
        <w:rPr>
          <w:rFonts w:eastAsiaTheme="majorEastAsia"/>
          <w:color w:val="000000" w:themeColor="text1"/>
        </w:rPr>
      </w:pPr>
      <w:r w:rsidRPr="0071647F">
        <w:rPr>
          <w:rFonts w:eastAsiaTheme="majorEastAsia"/>
          <w:color w:val="000000" w:themeColor="text1"/>
        </w:rPr>
        <w:t>Small traders who tried to take advantage of the zero-fees program had to deal with different problems. These included, but were not limited to, no fees; the only things that mattered were speed and complexity. During times when there were no fees, high-frequency traders took advantage of 67% of arbitrage opportunities, compared to 51% normally. And the quality of retail execution went down by 0.02% because even though they traded for free, they got worse prices.</w:t>
      </w:r>
    </w:p>
    <w:p w14:paraId="1064D4DC" w14:textId="77777777" w:rsidR="00A04269" w:rsidRPr="0071647F" w:rsidRDefault="00A04269" w:rsidP="006B21E2">
      <w:pPr>
        <w:rPr>
          <w:rFonts w:eastAsiaTheme="majorEastAsia"/>
          <w:color w:val="000000" w:themeColor="text1"/>
        </w:rPr>
      </w:pPr>
    </w:p>
    <w:p w14:paraId="68FBC539" w14:textId="42086409" w:rsidR="006A21B5" w:rsidRPr="0071647F" w:rsidRDefault="008D6F57" w:rsidP="006B21E2">
      <w:pPr>
        <w:pStyle w:val="Heading3"/>
        <w:rPr>
          <w:rFonts w:eastAsiaTheme="majorEastAsia"/>
        </w:rPr>
      </w:pPr>
      <w:bookmarkStart w:id="109" w:name="_Toc214721915"/>
      <w:r w:rsidRPr="0071647F">
        <w:rPr>
          <w:rFonts w:eastAsiaTheme="majorEastAsia"/>
        </w:rPr>
        <w:t>5</w:t>
      </w:r>
      <w:r w:rsidR="006A21B5" w:rsidRPr="0071647F">
        <w:rPr>
          <w:rFonts w:eastAsiaTheme="majorEastAsia"/>
        </w:rPr>
        <w:t>.2.2 Fee War Dynamics</w:t>
      </w:r>
      <w:bookmarkEnd w:id="109"/>
    </w:p>
    <w:p w14:paraId="1DCA129F" w14:textId="77777777" w:rsidR="006A21B5" w:rsidRPr="0071647F" w:rsidRDefault="006A21B5" w:rsidP="006B21E2">
      <w:pPr>
        <w:jc w:val="both"/>
        <w:rPr>
          <w:rFonts w:eastAsiaTheme="majorEastAsia"/>
          <w:color w:val="000000" w:themeColor="text1"/>
        </w:rPr>
      </w:pPr>
      <w:r w:rsidRPr="0071647F">
        <w:rPr>
          <w:rFonts w:eastAsiaTheme="majorEastAsia"/>
          <w:color w:val="000000" w:themeColor="text1"/>
        </w:rPr>
        <w:t>The 2023 fee war between exchanges provides data on competitive dynamics. When one exchange reduced fees, competitors responded within 48-72 hours on average. Following 12 competitive fee reduction events:</w:t>
      </w:r>
    </w:p>
    <w:p w14:paraId="6C391B5A" w14:textId="77777777" w:rsidR="006A21B5" w:rsidRPr="0071647F" w:rsidRDefault="006A21B5" w:rsidP="006B21E2">
      <w:pPr>
        <w:numPr>
          <w:ilvl w:val="0"/>
          <w:numId w:val="32"/>
        </w:numPr>
        <w:jc w:val="both"/>
        <w:rPr>
          <w:rFonts w:eastAsiaTheme="majorEastAsia"/>
          <w:color w:val="000000" w:themeColor="text1"/>
        </w:rPr>
      </w:pPr>
      <w:r w:rsidRPr="0071647F">
        <w:rPr>
          <w:rFonts w:eastAsiaTheme="majorEastAsia"/>
          <w:color w:val="000000" w:themeColor="text1"/>
        </w:rPr>
        <w:t>Initiating exchange gained 15-25% volume initially</w:t>
      </w:r>
    </w:p>
    <w:p w14:paraId="65DB315F" w14:textId="77777777" w:rsidR="006A21B5" w:rsidRPr="0071647F" w:rsidRDefault="006A21B5" w:rsidP="006B21E2">
      <w:pPr>
        <w:numPr>
          <w:ilvl w:val="0"/>
          <w:numId w:val="32"/>
        </w:numPr>
        <w:jc w:val="both"/>
        <w:rPr>
          <w:rFonts w:eastAsiaTheme="majorEastAsia"/>
          <w:color w:val="000000" w:themeColor="text1"/>
        </w:rPr>
      </w:pPr>
      <w:r w:rsidRPr="0071647F">
        <w:rPr>
          <w:rFonts w:eastAsiaTheme="majorEastAsia"/>
          <w:color w:val="000000" w:themeColor="text1"/>
        </w:rPr>
        <w:t>Responding exchanges recaptured 60-70% of lost volume</w:t>
      </w:r>
    </w:p>
    <w:p w14:paraId="2501F616" w14:textId="77777777" w:rsidR="006A21B5" w:rsidRPr="0071647F" w:rsidRDefault="006A21B5" w:rsidP="006B21E2">
      <w:pPr>
        <w:numPr>
          <w:ilvl w:val="0"/>
          <w:numId w:val="32"/>
        </w:numPr>
        <w:jc w:val="both"/>
        <w:rPr>
          <w:rFonts w:eastAsiaTheme="majorEastAsia"/>
          <w:color w:val="000000" w:themeColor="text1"/>
        </w:rPr>
      </w:pPr>
      <w:r w:rsidRPr="0071647F">
        <w:rPr>
          <w:rFonts w:eastAsiaTheme="majorEastAsia"/>
          <w:color w:val="000000" w:themeColor="text1"/>
        </w:rPr>
        <w:t>Net effect after equilibrium: 5-8% volume gain for initiator</w:t>
      </w:r>
    </w:p>
    <w:p w14:paraId="574A6509" w14:textId="77777777" w:rsidR="006A21B5" w:rsidRPr="0071647F" w:rsidRDefault="006A21B5" w:rsidP="006B21E2">
      <w:pPr>
        <w:numPr>
          <w:ilvl w:val="0"/>
          <w:numId w:val="32"/>
        </w:numPr>
        <w:jc w:val="both"/>
        <w:rPr>
          <w:rFonts w:eastAsiaTheme="majorEastAsia"/>
          <w:color w:val="000000" w:themeColor="text1"/>
        </w:rPr>
      </w:pPr>
      <w:r w:rsidRPr="0071647F">
        <w:rPr>
          <w:rFonts w:eastAsiaTheme="majorEastAsia"/>
          <w:color w:val="000000" w:themeColor="text1"/>
        </w:rPr>
        <w:t>Total market volume increased 12-18%</w:t>
      </w:r>
    </w:p>
    <w:p w14:paraId="5C12E934" w14:textId="77777777" w:rsidR="006A21B5" w:rsidRPr="0071647F" w:rsidRDefault="006A21B5" w:rsidP="006B21E2">
      <w:pPr>
        <w:numPr>
          <w:ilvl w:val="0"/>
          <w:numId w:val="32"/>
        </w:numPr>
        <w:jc w:val="both"/>
        <w:rPr>
          <w:rFonts w:eastAsiaTheme="majorEastAsia"/>
          <w:color w:val="000000" w:themeColor="text1"/>
        </w:rPr>
      </w:pPr>
      <w:r w:rsidRPr="0071647F">
        <w:rPr>
          <w:rFonts w:eastAsiaTheme="majorEastAsia"/>
          <w:color w:val="000000" w:themeColor="text1"/>
        </w:rPr>
        <w:t>Exchange profits decreased 20-30%</w:t>
      </w:r>
    </w:p>
    <w:p w14:paraId="3BEC42F0" w14:textId="77777777" w:rsidR="00A04269" w:rsidRPr="0071647F" w:rsidRDefault="00A04269" w:rsidP="006B21E2">
      <w:pPr>
        <w:ind w:left="720"/>
        <w:jc w:val="both"/>
        <w:rPr>
          <w:rFonts w:eastAsiaTheme="majorEastAsia"/>
          <w:color w:val="000000" w:themeColor="text1"/>
        </w:rPr>
      </w:pPr>
    </w:p>
    <w:p w14:paraId="5C894F0C" w14:textId="77777777" w:rsidR="006A21B5" w:rsidRPr="0071647F" w:rsidRDefault="006A21B5" w:rsidP="006B21E2">
      <w:pPr>
        <w:jc w:val="both"/>
        <w:rPr>
          <w:rFonts w:eastAsiaTheme="majorEastAsia"/>
          <w:color w:val="000000" w:themeColor="text1"/>
        </w:rPr>
      </w:pPr>
      <w:r w:rsidRPr="0071647F">
        <w:rPr>
          <w:rFonts w:eastAsiaTheme="majorEastAsia"/>
          <w:color w:val="000000" w:themeColor="text1"/>
        </w:rPr>
        <w:lastRenderedPageBreak/>
        <w:t xml:space="preserve">For minimal-capital participants, fee wars created windows of opportunity. During transition periods lasting 24-48 hours, cross-exchange arbitrage opportunities increased 300%. These windows were long enough for prepared participants to </w:t>
      </w:r>
      <w:proofErr w:type="gramStart"/>
      <w:r w:rsidRPr="0071647F">
        <w:rPr>
          <w:rFonts w:eastAsiaTheme="majorEastAsia"/>
          <w:color w:val="000000" w:themeColor="text1"/>
        </w:rPr>
        <w:t>profit</w:t>
      </w:r>
      <w:proofErr w:type="gramEnd"/>
      <w:r w:rsidRPr="0071647F">
        <w:rPr>
          <w:rFonts w:eastAsiaTheme="majorEastAsia"/>
          <w:color w:val="000000" w:themeColor="text1"/>
        </w:rPr>
        <w:t xml:space="preserve"> but short enough that many missed them.</w:t>
      </w:r>
    </w:p>
    <w:p w14:paraId="3E6C61DA" w14:textId="77777777" w:rsidR="00A04269" w:rsidRPr="0071647F" w:rsidRDefault="00A04269" w:rsidP="006B21E2">
      <w:pPr>
        <w:jc w:val="both"/>
        <w:rPr>
          <w:rFonts w:eastAsiaTheme="majorEastAsia"/>
          <w:color w:val="000000" w:themeColor="text1"/>
        </w:rPr>
      </w:pPr>
    </w:p>
    <w:p w14:paraId="1AAA736D" w14:textId="2FF13D75" w:rsidR="006A21B5" w:rsidRPr="0071647F" w:rsidRDefault="008D6F57" w:rsidP="006B21E2">
      <w:pPr>
        <w:pStyle w:val="Heading2"/>
        <w:jc w:val="both"/>
        <w:rPr>
          <w:rFonts w:eastAsiaTheme="majorEastAsia"/>
          <w:sz w:val="24"/>
        </w:rPr>
      </w:pPr>
      <w:bookmarkStart w:id="110" w:name="_Toc214721916"/>
      <w:r w:rsidRPr="0071647F">
        <w:rPr>
          <w:rFonts w:eastAsiaTheme="majorEastAsia"/>
          <w:sz w:val="24"/>
        </w:rPr>
        <w:t>5</w:t>
      </w:r>
      <w:r w:rsidR="006A21B5" w:rsidRPr="0071647F">
        <w:rPr>
          <w:rFonts w:eastAsiaTheme="majorEastAsia"/>
          <w:sz w:val="24"/>
        </w:rPr>
        <w:t>.3 Liquidity Provision Economics: Reality Versus Theory</w:t>
      </w:r>
      <w:bookmarkEnd w:id="110"/>
    </w:p>
    <w:p w14:paraId="181ADDF0" w14:textId="77777777" w:rsidR="006A21B5" w:rsidRPr="0071647F" w:rsidRDefault="006A21B5" w:rsidP="006B21E2">
      <w:pPr>
        <w:jc w:val="both"/>
        <w:rPr>
          <w:rFonts w:eastAsiaTheme="majorEastAsia"/>
          <w:color w:val="000000" w:themeColor="text1"/>
        </w:rPr>
      </w:pPr>
      <w:r w:rsidRPr="0071647F">
        <w:rPr>
          <w:rFonts w:eastAsiaTheme="majorEastAsia"/>
          <w:color w:val="000000" w:themeColor="text1"/>
        </w:rPr>
        <w:t>Theoretical promises of democratized market-making confront empirical reality in actual position performance data.</w:t>
      </w:r>
    </w:p>
    <w:p w14:paraId="619823B3" w14:textId="77777777" w:rsidR="00C4575C" w:rsidRPr="0071647F" w:rsidRDefault="00C4575C" w:rsidP="006B21E2">
      <w:pPr>
        <w:jc w:val="both"/>
        <w:rPr>
          <w:rFonts w:eastAsiaTheme="majorEastAsia"/>
          <w:b/>
          <w:bCs/>
          <w:color w:val="000000" w:themeColor="text1"/>
        </w:rPr>
      </w:pPr>
    </w:p>
    <w:p w14:paraId="59C102A6" w14:textId="62974DFF" w:rsidR="006A21B5" w:rsidRPr="0071647F" w:rsidRDefault="008D6F57" w:rsidP="006B21E2">
      <w:pPr>
        <w:pStyle w:val="Heading3"/>
        <w:jc w:val="both"/>
        <w:rPr>
          <w:rFonts w:eastAsiaTheme="majorEastAsia"/>
        </w:rPr>
      </w:pPr>
      <w:bookmarkStart w:id="111" w:name="_Toc214721917"/>
      <w:r w:rsidRPr="0071647F">
        <w:rPr>
          <w:rFonts w:eastAsiaTheme="majorEastAsia"/>
        </w:rPr>
        <w:t>5</w:t>
      </w:r>
      <w:r w:rsidR="006A21B5" w:rsidRPr="0071647F">
        <w:rPr>
          <w:rFonts w:eastAsiaTheme="majorEastAsia"/>
        </w:rPr>
        <w:t>.3.1 Capital Efficiency: The 4000x Myth</w:t>
      </w:r>
      <w:bookmarkEnd w:id="111"/>
    </w:p>
    <w:p w14:paraId="5C8F7890" w14:textId="77777777" w:rsidR="006A21B5" w:rsidRPr="0071647F" w:rsidRDefault="006A21B5" w:rsidP="006B21E2">
      <w:pPr>
        <w:jc w:val="both"/>
        <w:rPr>
          <w:rFonts w:eastAsiaTheme="majorEastAsia"/>
          <w:color w:val="000000" w:themeColor="text1"/>
        </w:rPr>
      </w:pPr>
      <w:r w:rsidRPr="0071647F">
        <w:rPr>
          <w:rFonts w:eastAsiaTheme="majorEastAsia"/>
          <w:color w:val="000000" w:themeColor="text1"/>
        </w:rPr>
        <w:t>Uniswap v3's concentrated liquidity promises up to 4000x capital efficiency improvements. This figure assumes liquidity concentrated in a single tick (0.01% range) that always contains the trading price—mathematically possible but practically impossible given price movements and gas costs.</w:t>
      </w:r>
    </w:p>
    <w:p w14:paraId="6802F40A" w14:textId="77777777" w:rsidR="004C6A92" w:rsidRPr="0071647F" w:rsidRDefault="004C6A92" w:rsidP="006B21E2">
      <w:pPr>
        <w:jc w:val="both"/>
        <w:rPr>
          <w:rFonts w:eastAsiaTheme="majorEastAsia"/>
          <w:color w:val="000000" w:themeColor="text1"/>
        </w:rPr>
      </w:pPr>
    </w:p>
    <w:p w14:paraId="0711197D" w14:textId="77777777" w:rsidR="006A21B5" w:rsidRPr="0071647F" w:rsidRDefault="006A21B5" w:rsidP="006B21E2">
      <w:pPr>
        <w:jc w:val="both"/>
        <w:rPr>
          <w:rFonts w:eastAsiaTheme="majorEastAsia"/>
          <w:color w:val="000000" w:themeColor="text1"/>
        </w:rPr>
      </w:pPr>
      <w:r w:rsidRPr="0071647F">
        <w:rPr>
          <w:rFonts w:eastAsiaTheme="majorEastAsia"/>
          <w:color w:val="000000" w:themeColor="text1"/>
        </w:rPr>
        <w:t>Empirical measurement across 156 tracked positions reveals actual efficiency improvements:</w:t>
      </w:r>
    </w:p>
    <w:p w14:paraId="360B767A" w14:textId="77777777" w:rsidR="006A21B5" w:rsidRPr="0071647F" w:rsidRDefault="006A21B5" w:rsidP="006B21E2">
      <w:pPr>
        <w:numPr>
          <w:ilvl w:val="0"/>
          <w:numId w:val="33"/>
        </w:numPr>
        <w:jc w:val="both"/>
        <w:rPr>
          <w:rFonts w:eastAsiaTheme="majorEastAsia"/>
          <w:color w:val="000000" w:themeColor="text1"/>
        </w:rPr>
      </w:pPr>
      <w:r w:rsidRPr="0071647F">
        <w:rPr>
          <w:rFonts w:eastAsiaTheme="majorEastAsia"/>
          <w:color w:val="000000" w:themeColor="text1"/>
        </w:rPr>
        <w:t>Professional market makers: 18-25x versus v2</w:t>
      </w:r>
    </w:p>
    <w:p w14:paraId="70CCE449" w14:textId="77777777" w:rsidR="006A21B5" w:rsidRPr="0071647F" w:rsidRDefault="006A21B5" w:rsidP="006B21E2">
      <w:pPr>
        <w:numPr>
          <w:ilvl w:val="0"/>
          <w:numId w:val="33"/>
        </w:numPr>
        <w:jc w:val="both"/>
        <w:rPr>
          <w:rFonts w:eastAsiaTheme="majorEastAsia"/>
          <w:color w:val="000000" w:themeColor="text1"/>
        </w:rPr>
      </w:pPr>
      <w:r w:rsidRPr="0071647F">
        <w:rPr>
          <w:rFonts w:eastAsiaTheme="majorEastAsia"/>
          <w:color w:val="000000" w:themeColor="text1"/>
        </w:rPr>
        <w:t>Experienced DeFi users: 5-8x</w:t>
      </w:r>
    </w:p>
    <w:p w14:paraId="7F5EA6AC" w14:textId="77777777" w:rsidR="006A21B5" w:rsidRPr="0071647F" w:rsidRDefault="006A21B5" w:rsidP="006B21E2">
      <w:pPr>
        <w:numPr>
          <w:ilvl w:val="0"/>
          <w:numId w:val="33"/>
        </w:numPr>
        <w:jc w:val="both"/>
        <w:rPr>
          <w:rFonts w:eastAsiaTheme="majorEastAsia"/>
          <w:color w:val="000000" w:themeColor="text1"/>
        </w:rPr>
      </w:pPr>
      <w:r w:rsidRPr="0071647F">
        <w:rPr>
          <w:rFonts w:eastAsiaTheme="majorEastAsia"/>
          <w:color w:val="000000" w:themeColor="text1"/>
        </w:rPr>
        <w:t>New participants: 1.5-2.5x</w:t>
      </w:r>
    </w:p>
    <w:p w14:paraId="6D2D12E3" w14:textId="77777777" w:rsidR="006A21B5" w:rsidRPr="0071647F" w:rsidRDefault="006A21B5" w:rsidP="006B21E2">
      <w:pPr>
        <w:numPr>
          <w:ilvl w:val="0"/>
          <w:numId w:val="33"/>
        </w:numPr>
        <w:jc w:val="both"/>
        <w:rPr>
          <w:rFonts w:eastAsiaTheme="majorEastAsia"/>
          <w:color w:val="000000" w:themeColor="text1"/>
        </w:rPr>
      </w:pPr>
      <w:r w:rsidRPr="0071647F">
        <w:rPr>
          <w:rFonts w:eastAsiaTheme="majorEastAsia"/>
          <w:color w:val="000000" w:themeColor="text1"/>
        </w:rPr>
        <w:t>Failed positions: 0.3-0.5x (worse than v2)</w:t>
      </w:r>
    </w:p>
    <w:p w14:paraId="241B8D26" w14:textId="77777777" w:rsidR="00A04269" w:rsidRPr="0071647F" w:rsidRDefault="00A04269" w:rsidP="006B21E2">
      <w:pPr>
        <w:jc w:val="both"/>
        <w:rPr>
          <w:rFonts w:eastAsiaTheme="majorEastAsia"/>
          <w:color w:val="000000" w:themeColor="text1"/>
        </w:rPr>
      </w:pPr>
    </w:p>
    <w:p w14:paraId="7D53505B" w14:textId="48396CC6" w:rsidR="00E41B54" w:rsidRPr="0071647F" w:rsidRDefault="00E41B54" w:rsidP="006B21E2">
      <w:pPr>
        <w:jc w:val="both"/>
        <w:rPr>
          <w:rFonts w:eastAsiaTheme="majorEastAsia"/>
          <w:color w:val="000000" w:themeColor="text1"/>
        </w:rPr>
      </w:pPr>
      <w:r w:rsidRPr="0071647F">
        <w:rPr>
          <w:rFonts w:eastAsiaTheme="majorEastAsia"/>
          <w:color w:val="000000" w:themeColor="text1"/>
        </w:rPr>
        <w:t>Table 5.</w:t>
      </w:r>
      <w:r w:rsidR="00C5607F">
        <w:rPr>
          <w:rFonts w:eastAsiaTheme="majorEastAsia"/>
          <w:color w:val="000000" w:themeColor="text1"/>
        </w:rPr>
        <w:t>B</w:t>
      </w:r>
      <w:r w:rsidRPr="0071647F">
        <w:rPr>
          <w:rFonts w:eastAsiaTheme="majorEastAsia"/>
          <w:color w:val="000000" w:themeColor="text1"/>
        </w:rPr>
        <w:t xml:space="preserve"> quantifies the dramatic divergence between Uniswap v3's marketed capital efficiency and empirically achieved performance across participant categories, revealing how theoretical possibility translates to concentrated rather than democratized outcomes.</w:t>
      </w:r>
    </w:p>
    <w:p w14:paraId="491803A3" w14:textId="77777777" w:rsidR="00E41B54" w:rsidRPr="0071647F" w:rsidRDefault="00E41B54" w:rsidP="006B21E2">
      <w:pPr>
        <w:jc w:val="both"/>
        <w:rPr>
          <w:rFonts w:eastAsiaTheme="majorEastAsia"/>
          <w:color w:val="000000" w:themeColor="text1"/>
        </w:rPr>
      </w:pPr>
    </w:p>
    <w:p w14:paraId="725E0D5B" w14:textId="12B06407" w:rsidR="005070E3" w:rsidRPr="00C5607F" w:rsidRDefault="005070E3" w:rsidP="006B21E2">
      <w:pPr>
        <w:pStyle w:val="Heading3"/>
        <w:jc w:val="both"/>
        <w:rPr>
          <w:color w:val="000000" w:themeColor="text1"/>
        </w:rPr>
      </w:pPr>
      <w:bookmarkStart w:id="112" w:name="_Toc214721918"/>
      <w:r w:rsidRPr="005070E3">
        <w:rPr>
          <w:color w:val="000000" w:themeColor="text1"/>
        </w:rPr>
        <w:t>Table 5.</w:t>
      </w:r>
      <w:r w:rsidR="00C5607F">
        <w:rPr>
          <w:color w:val="000000" w:themeColor="text1"/>
        </w:rPr>
        <w:t>B</w:t>
      </w:r>
      <w:r w:rsidRPr="005070E3">
        <w:rPr>
          <w:color w:val="000000" w:themeColor="text1"/>
        </w:rPr>
        <w:t>: Capital Efficiency Reality - Uniswap v3 Theory vs Empirical Performance</w:t>
      </w:r>
      <w:bookmarkEnd w:id="112"/>
    </w:p>
    <w:p w14:paraId="3AEAA24A" w14:textId="77777777" w:rsidR="005070E3" w:rsidRDefault="005070E3" w:rsidP="006B21E2"/>
    <w:tbl>
      <w:tblPr>
        <w:tblW w:w="9350" w:type="dxa"/>
        <w:tblLook w:val="04A0" w:firstRow="1" w:lastRow="0" w:firstColumn="1" w:lastColumn="0" w:noHBand="0" w:noVBand="1"/>
      </w:tblPr>
      <w:tblGrid>
        <w:gridCol w:w="1520"/>
        <w:gridCol w:w="1540"/>
        <w:gridCol w:w="1430"/>
        <w:gridCol w:w="1620"/>
        <w:gridCol w:w="3240"/>
      </w:tblGrid>
      <w:tr w:rsidR="00F37D2A" w:rsidRPr="003140A0" w14:paraId="787B94FA" w14:textId="77777777" w:rsidTr="00765F6D">
        <w:trPr>
          <w:trHeight w:val="151"/>
        </w:trPr>
        <w:tc>
          <w:tcPr>
            <w:tcW w:w="1520" w:type="dxa"/>
            <w:tcBorders>
              <w:top w:val="single" w:sz="8" w:space="0" w:color="auto"/>
              <w:left w:val="single" w:sz="8" w:space="0" w:color="auto"/>
              <w:bottom w:val="single" w:sz="8" w:space="0" w:color="auto"/>
              <w:right w:val="single" w:sz="4" w:space="0" w:color="auto"/>
            </w:tcBorders>
            <w:shd w:val="clear" w:color="000000" w:fill="D9D9D9"/>
            <w:vAlign w:val="center"/>
            <w:hideMark/>
          </w:tcPr>
          <w:p w14:paraId="27FC2D7B" w14:textId="77777777" w:rsidR="003140A0" w:rsidRPr="003140A0" w:rsidRDefault="003140A0" w:rsidP="006B21E2">
            <w:pPr>
              <w:jc w:val="center"/>
              <w:rPr>
                <w:b/>
                <w:bCs/>
                <w:color w:val="000000"/>
                <w:sz w:val="20"/>
                <w:szCs w:val="20"/>
              </w:rPr>
            </w:pPr>
            <w:r w:rsidRPr="003140A0">
              <w:rPr>
                <w:b/>
                <w:bCs/>
                <w:color w:val="000000"/>
                <w:sz w:val="20"/>
                <w:szCs w:val="20"/>
              </w:rPr>
              <w:t>Participant Category</w:t>
            </w:r>
          </w:p>
        </w:tc>
        <w:tc>
          <w:tcPr>
            <w:tcW w:w="1540" w:type="dxa"/>
            <w:tcBorders>
              <w:top w:val="single" w:sz="8" w:space="0" w:color="auto"/>
              <w:left w:val="nil"/>
              <w:bottom w:val="single" w:sz="8" w:space="0" w:color="auto"/>
              <w:right w:val="single" w:sz="4" w:space="0" w:color="auto"/>
            </w:tcBorders>
            <w:shd w:val="clear" w:color="000000" w:fill="D9D9D9"/>
            <w:vAlign w:val="center"/>
            <w:hideMark/>
          </w:tcPr>
          <w:p w14:paraId="10699FE1" w14:textId="77777777" w:rsidR="003140A0" w:rsidRPr="003140A0" w:rsidRDefault="003140A0" w:rsidP="006B21E2">
            <w:pPr>
              <w:jc w:val="center"/>
              <w:rPr>
                <w:b/>
                <w:bCs/>
                <w:color w:val="000000"/>
                <w:sz w:val="20"/>
                <w:szCs w:val="20"/>
              </w:rPr>
            </w:pPr>
            <w:r w:rsidRPr="003140A0">
              <w:rPr>
                <w:b/>
                <w:bCs/>
                <w:color w:val="000000"/>
                <w:sz w:val="20"/>
                <w:szCs w:val="20"/>
              </w:rPr>
              <w:t>Theoretical Efficiency (Uniswap v3)</w:t>
            </w:r>
          </w:p>
        </w:tc>
        <w:tc>
          <w:tcPr>
            <w:tcW w:w="1430" w:type="dxa"/>
            <w:tcBorders>
              <w:top w:val="single" w:sz="8" w:space="0" w:color="auto"/>
              <w:left w:val="nil"/>
              <w:bottom w:val="single" w:sz="8" w:space="0" w:color="auto"/>
              <w:right w:val="single" w:sz="4" w:space="0" w:color="auto"/>
            </w:tcBorders>
            <w:shd w:val="clear" w:color="000000" w:fill="D9D9D9"/>
            <w:vAlign w:val="center"/>
            <w:hideMark/>
          </w:tcPr>
          <w:p w14:paraId="3F272632" w14:textId="77777777" w:rsidR="003140A0" w:rsidRPr="003140A0" w:rsidRDefault="003140A0" w:rsidP="006B21E2">
            <w:pPr>
              <w:jc w:val="center"/>
              <w:rPr>
                <w:b/>
                <w:bCs/>
                <w:color w:val="000000"/>
                <w:sz w:val="20"/>
                <w:szCs w:val="20"/>
              </w:rPr>
            </w:pPr>
            <w:r w:rsidRPr="003140A0">
              <w:rPr>
                <w:b/>
                <w:bCs/>
                <w:color w:val="000000"/>
                <w:sz w:val="20"/>
                <w:szCs w:val="20"/>
              </w:rPr>
              <w:t>Actual Efficiency Achieved</w:t>
            </w:r>
          </w:p>
        </w:tc>
        <w:tc>
          <w:tcPr>
            <w:tcW w:w="1620" w:type="dxa"/>
            <w:tcBorders>
              <w:top w:val="single" w:sz="8" w:space="0" w:color="auto"/>
              <w:left w:val="nil"/>
              <w:bottom w:val="single" w:sz="8" w:space="0" w:color="auto"/>
              <w:right w:val="single" w:sz="4" w:space="0" w:color="auto"/>
            </w:tcBorders>
            <w:shd w:val="clear" w:color="000000" w:fill="D9D9D9"/>
            <w:vAlign w:val="center"/>
            <w:hideMark/>
          </w:tcPr>
          <w:p w14:paraId="5BF1337D" w14:textId="77777777" w:rsidR="003140A0" w:rsidRPr="003140A0" w:rsidRDefault="003140A0" w:rsidP="006B21E2">
            <w:pPr>
              <w:jc w:val="center"/>
              <w:rPr>
                <w:b/>
                <w:bCs/>
                <w:color w:val="000000"/>
                <w:sz w:val="20"/>
                <w:szCs w:val="20"/>
              </w:rPr>
            </w:pPr>
            <w:r w:rsidRPr="003140A0">
              <w:rPr>
                <w:b/>
                <w:bCs/>
                <w:color w:val="000000"/>
                <w:sz w:val="20"/>
                <w:szCs w:val="20"/>
              </w:rPr>
              <w:t>Time In-Range</w:t>
            </w:r>
          </w:p>
        </w:tc>
        <w:tc>
          <w:tcPr>
            <w:tcW w:w="3240" w:type="dxa"/>
            <w:tcBorders>
              <w:top w:val="single" w:sz="8" w:space="0" w:color="auto"/>
              <w:left w:val="nil"/>
              <w:bottom w:val="single" w:sz="8" w:space="0" w:color="auto"/>
              <w:right w:val="single" w:sz="8" w:space="0" w:color="auto"/>
            </w:tcBorders>
            <w:shd w:val="clear" w:color="000000" w:fill="D9D9D9"/>
            <w:vAlign w:val="center"/>
            <w:hideMark/>
          </w:tcPr>
          <w:p w14:paraId="4F512EC1" w14:textId="77777777" w:rsidR="003140A0" w:rsidRPr="003140A0" w:rsidRDefault="003140A0" w:rsidP="006B21E2">
            <w:pPr>
              <w:jc w:val="center"/>
              <w:rPr>
                <w:b/>
                <w:bCs/>
                <w:color w:val="000000"/>
                <w:sz w:val="20"/>
                <w:szCs w:val="20"/>
              </w:rPr>
            </w:pPr>
            <w:r w:rsidRPr="003140A0">
              <w:rPr>
                <w:b/>
                <w:bCs/>
                <w:color w:val="000000"/>
                <w:sz w:val="20"/>
                <w:szCs w:val="20"/>
              </w:rPr>
              <w:t>Key Success Factors</w:t>
            </w:r>
          </w:p>
        </w:tc>
      </w:tr>
      <w:tr w:rsidR="00F37D2A" w:rsidRPr="003140A0" w14:paraId="2F6F16AA" w14:textId="77777777" w:rsidTr="00765F6D">
        <w:trPr>
          <w:trHeight w:val="151"/>
        </w:trPr>
        <w:tc>
          <w:tcPr>
            <w:tcW w:w="1520" w:type="dxa"/>
            <w:tcBorders>
              <w:top w:val="nil"/>
              <w:left w:val="single" w:sz="8" w:space="0" w:color="auto"/>
              <w:bottom w:val="single" w:sz="4" w:space="0" w:color="auto"/>
              <w:right w:val="single" w:sz="4" w:space="0" w:color="auto"/>
            </w:tcBorders>
            <w:shd w:val="clear" w:color="000000" w:fill="FFFFFF"/>
            <w:vAlign w:val="center"/>
            <w:hideMark/>
          </w:tcPr>
          <w:p w14:paraId="380F261E" w14:textId="77777777" w:rsidR="003140A0" w:rsidRPr="003140A0" w:rsidRDefault="003140A0" w:rsidP="006B21E2">
            <w:pPr>
              <w:rPr>
                <w:color w:val="000000"/>
                <w:sz w:val="20"/>
                <w:szCs w:val="20"/>
              </w:rPr>
            </w:pPr>
            <w:r w:rsidRPr="003140A0">
              <w:rPr>
                <w:color w:val="000000"/>
                <w:sz w:val="20"/>
                <w:szCs w:val="20"/>
              </w:rPr>
              <w:t>Theoretical Maximum</w:t>
            </w:r>
          </w:p>
        </w:tc>
        <w:tc>
          <w:tcPr>
            <w:tcW w:w="1540" w:type="dxa"/>
            <w:tcBorders>
              <w:top w:val="nil"/>
              <w:left w:val="nil"/>
              <w:bottom w:val="single" w:sz="4" w:space="0" w:color="auto"/>
              <w:right w:val="single" w:sz="4" w:space="0" w:color="auto"/>
            </w:tcBorders>
            <w:shd w:val="clear" w:color="000000" w:fill="FFFFFF"/>
            <w:vAlign w:val="center"/>
            <w:hideMark/>
          </w:tcPr>
          <w:p w14:paraId="38362AEF" w14:textId="77777777" w:rsidR="003140A0" w:rsidRPr="003140A0" w:rsidRDefault="003140A0" w:rsidP="006B21E2">
            <w:pPr>
              <w:jc w:val="center"/>
              <w:rPr>
                <w:color w:val="000000"/>
                <w:sz w:val="20"/>
                <w:szCs w:val="20"/>
              </w:rPr>
            </w:pPr>
            <w:r w:rsidRPr="003140A0">
              <w:rPr>
                <w:color w:val="000000"/>
                <w:sz w:val="20"/>
                <w:szCs w:val="20"/>
              </w:rPr>
              <w:t>4000x vs v2</w:t>
            </w:r>
          </w:p>
        </w:tc>
        <w:tc>
          <w:tcPr>
            <w:tcW w:w="1430" w:type="dxa"/>
            <w:tcBorders>
              <w:top w:val="nil"/>
              <w:left w:val="nil"/>
              <w:bottom w:val="single" w:sz="4" w:space="0" w:color="auto"/>
              <w:right w:val="single" w:sz="4" w:space="0" w:color="auto"/>
            </w:tcBorders>
            <w:shd w:val="clear" w:color="000000" w:fill="FFFFFF"/>
            <w:vAlign w:val="center"/>
            <w:hideMark/>
          </w:tcPr>
          <w:p w14:paraId="1119EB18" w14:textId="77777777" w:rsidR="003140A0" w:rsidRPr="003140A0" w:rsidRDefault="003140A0" w:rsidP="006B21E2">
            <w:pPr>
              <w:jc w:val="center"/>
              <w:rPr>
                <w:color w:val="000000"/>
                <w:sz w:val="20"/>
                <w:szCs w:val="20"/>
              </w:rPr>
            </w:pPr>
            <w:r w:rsidRPr="003140A0">
              <w:rPr>
                <w:color w:val="000000"/>
                <w:sz w:val="20"/>
                <w:szCs w:val="20"/>
              </w:rPr>
              <w:t>N/A (impossible)</w:t>
            </w:r>
          </w:p>
        </w:tc>
        <w:tc>
          <w:tcPr>
            <w:tcW w:w="1620" w:type="dxa"/>
            <w:tcBorders>
              <w:top w:val="nil"/>
              <w:left w:val="nil"/>
              <w:bottom w:val="single" w:sz="4" w:space="0" w:color="auto"/>
              <w:right w:val="single" w:sz="4" w:space="0" w:color="auto"/>
            </w:tcBorders>
            <w:shd w:val="clear" w:color="000000" w:fill="FFFFFF"/>
            <w:vAlign w:val="center"/>
            <w:hideMark/>
          </w:tcPr>
          <w:p w14:paraId="2A5CAA26" w14:textId="77777777" w:rsidR="003140A0" w:rsidRPr="003140A0" w:rsidRDefault="003140A0" w:rsidP="006B21E2">
            <w:pPr>
              <w:jc w:val="center"/>
              <w:rPr>
                <w:color w:val="000000"/>
                <w:sz w:val="20"/>
                <w:szCs w:val="20"/>
              </w:rPr>
            </w:pPr>
            <w:r w:rsidRPr="003140A0">
              <w:rPr>
                <w:color w:val="000000"/>
                <w:sz w:val="20"/>
                <w:szCs w:val="20"/>
              </w:rPr>
              <w:t>100% (impossible)</w:t>
            </w:r>
          </w:p>
        </w:tc>
        <w:tc>
          <w:tcPr>
            <w:tcW w:w="3240" w:type="dxa"/>
            <w:tcBorders>
              <w:top w:val="nil"/>
              <w:left w:val="nil"/>
              <w:bottom w:val="single" w:sz="4" w:space="0" w:color="auto"/>
              <w:right w:val="single" w:sz="8" w:space="0" w:color="auto"/>
            </w:tcBorders>
            <w:shd w:val="clear" w:color="000000" w:fill="FFFFFF"/>
            <w:vAlign w:val="center"/>
            <w:hideMark/>
          </w:tcPr>
          <w:p w14:paraId="3FF830A6" w14:textId="77777777" w:rsidR="003140A0" w:rsidRPr="003140A0" w:rsidRDefault="003140A0" w:rsidP="006B21E2">
            <w:pPr>
              <w:rPr>
                <w:color w:val="000000"/>
                <w:sz w:val="20"/>
                <w:szCs w:val="20"/>
              </w:rPr>
            </w:pPr>
            <w:r w:rsidRPr="003140A0">
              <w:rPr>
                <w:color w:val="000000"/>
                <w:sz w:val="20"/>
                <w:szCs w:val="20"/>
              </w:rPr>
              <w:t>Requires liquidity always perfectly positioned; price never moves</w:t>
            </w:r>
          </w:p>
        </w:tc>
      </w:tr>
      <w:tr w:rsidR="00F37D2A" w:rsidRPr="003140A0" w14:paraId="00120DB4" w14:textId="77777777" w:rsidTr="00765F6D">
        <w:trPr>
          <w:trHeight w:val="69"/>
        </w:trPr>
        <w:tc>
          <w:tcPr>
            <w:tcW w:w="1520" w:type="dxa"/>
            <w:tcBorders>
              <w:top w:val="nil"/>
              <w:left w:val="single" w:sz="8" w:space="0" w:color="auto"/>
              <w:bottom w:val="single" w:sz="4" w:space="0" w:color="auto"/>
              <w:right w:val="single" w:sz="4" w:space="0" w:color="auto"/>
            </w:tcBorders>
            <w:shd w:val="clear" w:color="000000" w:fill="FFFFFF"/>
            <w:vAlign w:val="center"/>
            <w:hideMark/>
          </w:tcPr>
          <w:p w14:paraId="53C540BD" w14:textId="77777777" w:rsidR="003140A0" w:rsidRPr="003140A0" w:rsidRDefault="003140A0" w:rsidP="006B21E2">
            <w:pPr>
              <w:rPr>
                <w:color w:val="000000"/>
                <w:sz w:val="20"/>
                <w:szCs w:val="20"/>
              </w:rPr>
            </w:pPr>
            <w:r w:rsidRPr="003140A0">
              <w:rPr>
                <w:color w:val="000000"/>
                <w:sz w:val="20"/>
                <w:szCs w:val="20"/>
              </w:rPr>
              <w:t>Professional Market Makers (N=8)</w:t>
            </w:r>
          </w:p>
        </w:tc>
        <w:tc>
          <w:tcPr>
            <w:tcW w:w="1540" w:type="dxa"/>
            <w:tcBorders>
              <w:top w:val="nil"/>
              <w:left w:val="nil"/>
              <w:bottom w:val="single" w:sz="4" w:space="0" w:color="auto"/>
              <w:right w:val="single" w:sz="4" w:space="0" w:color="auto"/>
            </w:tcBorders>
            <w:shd w:val="clear" w:color="000000" w:fill="FFFFFF"/>
            <w:vAlign w:val="center"/>
            <w:hideMark/>
          </w:tcPr>
          <w:p w14:paraId="5151695A" w14:textId="77777777" w:rsidR="003140A0" w:rsidRPr="003140A0" w:rsidRDefault="003140A0" w:rsidP="006B21E2">
            <w:pPr>
              <w:jc w:val="center"/>
              <w:rPr>
                <w:color w:val="000000"/>
                <w:sz w:val="20"/>
                <w:szCs w:val="20"/>
              </w:rPr>
            </w:pPr>
            <w:r w:rsidRPr="003140A0">
              <w:rPr>
                <w:color w:val="000000"/>
                <w:sz w:val="20"/>
                <w:szCs w:val="20"/>
              </w:rPr>
              <w:t>4000x vs v2</w:t>
            </w:r>
          </w:p>
        </w:tc>
        <w:tc>
          <w:tcPr>
            <w:tcW w:w="1430" w:type="dxa"/>
            <w:tcBorders>
              <w:top w:val="nil"/>
              <w:left w:val="nil"/>
              <w:bottom w:val="single" w:sz="4" w:space="0" w:color="auto"/>
              <w:right w:val="single" w:sz="4" w:space="0" w:color="auto"/>
            </w:tcBorders>
            <w:shd w:val="clear" w:color="000000" w:fill="FFFFFF"/>
            <w:vAlign w:val="center"/>
            <w:hideMark/>
          </w:tcPr>
          <w:p w14:paraId="3B43819B" w14:textId="77777777" w:rsidR="003140A0" w:rsidRPr="003140A0" w:rsidRDefault="003140A0" w:rsidP="006B21E2">
            <w:pPr>
              <w:jc w:val="center"/>
              <w:rPr>
                <w:color w:val="000000"/>
                <w:sz w:val="20"/>
                <w:szCs w:val="20"/>
              </w:rPr>
            </w:pPr>
            <w:r w:rsidRPr="003140A0">
              <w:rPr>
                <w:color w:val="000000"/>
                <w:sz w:val="20"/>
                <w:szCs w:val="20"/>
              </w:rPr>
              <w:t>18-25x vs v2</w:t>
            </w:r>
          </w:p>
        </w:tc>
        <w:tc>
          <w:tcPr>
            <w:tcW w:w="1620" w:type="dxa"/>
            <w:tcBorders>
              <w:top w:val="nil"/>
              <w:left w:val="nil"/>
              <w:bottom w:val="single" w:sz="4" w:space="0" w:color="auto"/>
              <w:right w:val="single" w:sz="4" w:space="0" w:color="auto"/>
            </w:tcBorders>
            <w:shd w:val="clear" w:color="000000" w:fill="FFFFFF"/>
            <w:vAlign w:val="center"/>
            <w:hideMark/>
          </w:tcPr>
          <w:p w14:paraId="27CFDDF8" w14:textId="77777777" w:rsidR="003140A0" w:rsidRPr="003140A0" w:rsidRDefault="003140A0" w:rsidP="006B21E2">
            <w:pPr>
              <w:jc w:val="center"/>
              <w:rPr>
                <w:color w:val="000000"/>
                <w:sz w:val="20"/>
                <w:szCs w:val="20"/>
              </w:rPr>
            </w:pPr>
            <w:r w:rsidRPr="003140A0">
              <w:rPr>
                <w:color w:val="000000"/>
                <w:sz w:val="20"/>
                <w:szCs w:val="20"/>
              </w:rPr>
              <w:t>94%</w:t>
            </w:r>
          </w:p>
        </w:tc>
        <w:tc>
          <w:tcPr>
            <w:tcW w:w="3240" w:type="dxa"/>
            <w:tcBorders>
              <w:top w:val="nil"/>
              <w:left w:val="nil"/>
              <w:bottom w:val="single" w:sz="4" w:space="0" w:color="auto"/>
              <w:right w:val="single" w:sz="8" w:space="0" w:color="auto"/>
            </w:tcBorders>
            <w:shd w:val="clear" w:color="000000" w:fill="FFFFFF"/>
            <w:vAlign w:val="center"/>
            <w:hideMark/>
          </w:tcPr>
          <w:p w14:paraId="6C833195" w14:textId="77777777" w:rsidR="003140A0" w:rsidRPr="003140A0" w:rsidRDefault="003140A0" w:rsidP="006B21E2">
            <w:pPr>
              <w:rPr>
                <w:color w:val="000000"/>
                <w:sz w:val="20"/>
                <w:szCs w:val="20"/>
              </w:rPr>
            </w:pPr>
            <w:r w:rsidRPr="003140A0">
              <w:rPr>
                <w:color w:val="000000"/>
                <w:sz w:val="20"/>
                <w:szCs w:val="20"/>
              </w:rPr>
              <w:t>Algorithmic rebalancing, co-located servers, professional infrastructure</w:t>
            </w:r>
          </w:p>
        </w:tc>
      </w:tr>
      <w:tr w:rsidR="00F37D2A" w:rsidRPr="003140A0" w14:paraId="0D8762C8" w14:textId="77777777" w:rsidTr="00765F6D">
        <w:trPr>
          <w:trHeight w:val="69"/>
        </w:trPr>
        <w:tc>
          <w:tcPr>
            <w:tcW w:w="1520" w:type="dxa"/>
            <w:tcBorders>
              <w:top w:val="nil"/>
              <w:left w:val="single" w:sz="8" w:space="0" w:color="auto"/>
              <w:bottom w:val="single" w:sz="4" w:space="0" w:color="auto"/>
              <w:right w:val="single" w:sz="4" w:space="0" w:color="auto"/>
            </w:tcBorders>
            <w:shd w:val="clear" w:color="000000" w:fill="FFFFFF"/>
            <w:vAlign w:val="center"/>
            <w:hideMark/>
          </w:tcPr>
          <w:p w14:paraId="4FA46D82" w14:textId="77777777" w:rsidR="003140A0" w:rsidRPr="003140A0" w:rsidRDefault="003140A0" w:rsidP="006B21E2">
            <w:pPr>
              <w:rPr>
                <w:color w:val="000000"/>
                <w:sz w:val="20"/>
                <w:szCs w:val="20"/>
              </w:rPr>
            </w:pPr>
            <w:r w:rsidRPr="003140A0">
              <w:rPr>
                <w:color w:val="000000"/>
                <w:sz w:val="20"/>
                <w:szCs w:val="20"/>
              </w:rPr>
              <w:t>Experienced DeFi Users (N=37)</w:t>
            </w:r>
          </w:p>
        </w:tc>
        <w:tc>
          <w:tcPr>
            <w:tcW w:w="1540" w:type="dxa"/>
            <w:tcBorders>
              <w:top w:val="nil"/>
              <w:left w:val="nil"/>
              <w:bottom w:val="single" w:sz="4" w:space="0" w:color="auto"/>
              <w:right w:val="single" w:sz="4" w:space="0" w:color="auto"/>
            </w:tcBorders>
            <w:shd w:val="clear" w:color="000000" w:fill="FFFFFF"/>
            <w:vAlign w:val="center"/>
            <w:hideMark/>
          </w:tcPr>
          <w:p w14:paraId="7209FA21" w14:textId="77777777" w:rsidR="003140A0" w:rsidRPr="003140A0" w:rsidRDefault="003140A0" w:rsidP="006B21E2">
            <w:pPr>
              <w:jc w:val="center"/>
              <w:rPr>
                <w:color w:val="000000"/>
                <w:sz w:val="20"/>
                <w:szCs w:val="20"/>
              </w:rPr>
            </w:pPr>
            <w:r w:rsidRPr="003140A0">
              <w:rPr>
                <w:color w:val="000000"/>
                <w:sz w:val="20"/>
                <w:szCs w:val="20"/>
              </w:rPr>
              <w:t>4000x vs v2</w:t>
            </w:r>
          </w:p>
        </w:tc>
        <w:tc>
          <w:tcPr>
            <w:tcW w:w="1430" w:type="dxa"/>
            <w:tcBorders>
              <w:top w:val="nil"/>
              <w:left w:val="nil"/>
              <w:bottom w:val="single" w:sz="4" w:space="0" w:color="auto"/>
              <w:right w:val="single" w:sz="4" w:space="0" w:color="auto"/>
            </w:tcBorders>
            <w:shd w:val="clear" w:color="000000" w:fill="FFFFFF"/>
            <w:vAlign w:val="center"/>
            <w:hideMark/>
          </w:tcPr>
          <w:p w14:paraId="03CDACAB" w14:textId="77777777" w:rsidR="003140A0" w:rsidRPr="003140A0" w:rsidRDefault="003140A0" w:rsidP="006B21E2">
            <w:pPr>
              <w:jc w:val="center"/>
              <w:rPr>
                <w:color w:val="000000"/>
                <w:sz w:val="20"/>
                <w:szCs w:val="20"/>
              </w:rPr>
            </w:pPr>
            <w:r w:rsidRPr="003140A0">
              <w:rPr>
                <w:color w:val="000000"/>
                <w:sz w:val="20"/>
                <w:szCs w:val="20"/>
              </w:rPr>
              <w:t>5-8x vs v2</w:t>
            </w:r>
          </w:p>
        </w:tc>
        <w:tc>
          <w:tcPr>
            <w:tcW w:w="1620" w:type="dxa"/>
            <w:tcBorders>
              <w:top w:val="nil"/>
              <w:left w:val="nil"/>
              <w:bottom w:val="single" w:sz="4" w:space="0" w:color="auto"/>
              <w:right w:val="single" w:sz="4" w:space="0" w:color="auto"/>
            </w:tcBorders>
            <w:shd w:val="clear" w:color="000000" w:fill="FFFFFF"/>
            <w:vAlign w:val="center"/>
            <w:hideMark/>
          </w:tcPr>
          <w:p w14:paraId="0465C629" w14:textId="77777777" w:rsidR="003140A0" w:rsidRPr="003140A0" w:rsidRDefault="003140A0" w:rsidP="006B21E2">
            <w:pPr>
              <w:jc w:val="center"/>
              <w:rPr>
                <w:color w:val="000000"/>
                <w:sz w:val="20"/>
                <w:szCs w:val="20"/>
              </w:rPr>
            </w:pPr>
            <w:r w:rsidRPr="003140A0">
              <w:rPr>
                <w:color w:val="000000"/>
                <w:sz w:val="20"/>
                <w:szCs w:val="20"/>
              </w:rPr>
              <w:t>78%</w:t>
            </w:r>
          </w:p>
        </w:tc>
        <w:tc>
          <w:tcPr>
            <w:tcW w:w="3240" w:type="dxa"/>
            <w:tcBorders>
              <w:top w:val="nil"/>
              <w:left w:val="nil"/>
              <w:bottom w:val="single" w:sz="4" w:space="0" w:color="auto"/>
              <w:right w:val="single" w:sz="8" w:space="0" w:color="auto"/>
            </w:tcBorders>
            <w:shd w:val="clear" w:color="000000" w:fill="FFFFFF"/>
            <w:vAlign w:val="center"/>
            <w:hideMark/>
          </w:tcPr>
          <w:p w14:paraId="4F6FC28C" w14:textId="77777777" w:rsidR="003140A0" w:rsidRPr="003140A0" w:rsidRDefault="003140A0" w:rsidP="006B21E2">
            <w:pPr>
              <w:rPr>
                <w:color w:val="000000"/>
                <w:sz w:val="20"/>
                <w:szCs w:val="20"/>
              </w:rPr>
            </w:pPr>
            <w:r w:rsidRPr="003140A0">
              <w:rPr>
                <w:color w:val="000000"/>
                <w:sz w:val="20"/>
                <w:szCs w:val="20"/>
              </w:rPr>
              <w:t>Active monitoring, manual rebalancing 2-3x weekly, gas optimization</w:t>
            </w:r>
          </w:p>
        </w:tc>
      </w:tr>
      <w:tr w:rsidR="00F37D2A" w:rsidRPr="003140A0" w14:paraId="52259B6D" w14:textId="77777777" w:rsidTr="00765F6D">
        <w:trPr>
          <w:trHeight w:val="98"/>
        </w:trPr>
        <w:tc>
          <w:tcPr>
            <w:tcW w:w="1520" w:type="dxa"/>
            <w:tcBorders>
              <w:top w:val="nil"/>
              <w:left w:val="single" w:sz="8" w:space="0" w:color="auto"/>
              <w:bottom w:val="single" w:sz="4" w:space="0" w:color="auto"/>
              <w:right w:val="single" w:sz="4" w:space="0" w:color="auto"/>
            </w:tcBorders>
            <w:shd w:val="clear" w:color="000000" w:fill="FFFFFF"/>
            <w:vAlign w:val="center"/>
            <w:hideMark/>
          </w:tcPr>
          <w:p w14:paraId="1DE5580B" w14:textId="77777777" w:rsidR="003140A0" w:rsidRPr="003140A0" w:rsidRDefault="003140A0" w:rsidP="006B21E2">
            <w:pPr>
              <w:rPr>
                <w:color w:val="000000"/>
                <w:sz w:val="20"/>
                <w:szCs w:val="20"/>
              </w:rPr>
            </w:pPr>
            <w:r w:rsidRPr="003140A0">
              <w:rPr>
                <w:color w:val="000000"/>
                <w:sz w:val="20"/>
                <w:szCs w:val="20"/>
              </w:rPr>
              <w:t>New Participants (N=83)</w:t>
            </w:r>
          </w:p>
        </w:tc>
        <w:tc>
          <w:tcPr>
            <w:tcW w:w="1540" w:type="dxa"/>
            <w:tcBorders>
              <w:top w:val="nil"/>
              <w:left w:val="nil"/>
              <w:bottom w:val="single" w:sz="4" w:space="0" w:color="auto"/>
              <w:right w:val="single" w:sz="4" w:space="0" w:color="auto"/>
            </w:tcBorders>
            <w:shd w:val="clear" w:color="000000" w:fill="FFFFFF"/>
            <w:vAlign w:val="center"/>
            <w:hideMark/>
          </w:tcPr>
          <w:p w14:paraId="026F591E" w14:textId="77777777" w:rsidR="003140A0" w:rsidRPr="003140A0" w:rsidRDefault="003140A0" w:rsidP="006B21E2">
            <w:pPr>
              <w:jc w:val="center"/>
              <w:rPr>
                <w:color w:val="000000"/>
                <w:sz w:val="20"/>
                <w:szCs w:val="20"/>
              </w:rPr>
            </w:pPr>
            <w:r w:rsidRPr="003140A0">
              <w:rPr>
                <w:color w:val="000000"/>
                <w:sz w:val="20"/>
                <w:szCs w:val="20"/>
              </w:rPr>
              <w:t>4000x vs v2</w:t>
            </w:r>
          </w:p>
        </w:tc>
        <w:tc>
          <w:tcPr>
            <w:tcW w:w="1430" w:type="dxa"/>
            <w:tcBorders>
              <w:top w:val="nil"/>
              <w:left w:val="nil"/>
              <w:bottom w:val="single" w:sz="4" w:space="0" w:color="auto"/>
              <w:right w:val="single" w:sz="4" w:space="0" w:color="auto"/>
            </w:tcBorders>
            <w:shd w:val="clear" w:color="000000" w:fill="FFFFFF"/>
            <w:vAlign w:val="center"/>
            <w:hideMark/>
          </w:tcPr>
          <w:p w14:paraId="04BA9371" w14:textId="77777777" w:rsidR="003140A0" w:rsidRPr="003140A0" w:rsidRDefault="003140A0" w:rsidP="006B21E2">
            <w:pPr>
              <w:jc w:val="center"/>
              <w:rPr>
                <w:color w:val="000000"/>
                <w:sz w:val="20"/>
                <w:szCs w:val="20"/>
              </w:rPr>
            </w:pPr>
            <w:r w:rsidRPr="003140A0">
              <w:rPr>
                <w:color w:val="000000"/>
                <w:sz w:val="20"/>
                <w:szCs w:val="20"/>
              </w:rPr>
              <w:t>1.5-2.5x vs v2</w:t>
            </w:r>
          </w:p>
        </w:tc>
        <w:tc>
          <w:tcPr>
            <w:tcW w:w="1620" w:type="dxa"/>
            <w:tcBorders>
              <w:top w:val="nil"/>
              <w:left w:val="nil"/>
              <w:bottom w:val="single" w:sz="4" w:space="0" w:color="auto"/>
              <w:right w:val="single" w:sz="4" w:space="0" w:color="auto"/>
            </w:tcBorders>
            <w:shd w:val="clear" w:color="000000" w:fill="FFFFFF"/>
            <w:vAlign w:val="center"/>
            <w:hideMark/>
          </w:tcPr>
          <w:p w14:paraId="04B70ABB" w14:textId="77777777" w:rsidR="003140A0" w:rsidRPr="003140A0" w:rsidRDefault="003140A0" w:rsidP="006B21E2">
            <w:pPr>
              <w:jc w:val="center"/>
              <w:rPr>
                <w:color w:val="000000"/>
                <w:sz w:val="20"/>
                <w:szCs w:val="20"/>
              </w:rPr>
            </w:pPr>
            <w:r w:rsidRPr="003140A0">
              <w:rPr>
                <w:color w:val="000000"/>
                <w:sz w:val="20"/>
                <w:szCs w:val="20"/>
              </w:rPr>
              <w:t>61%</w:t>
            </w:r>
          </w:p>
        </w:tc>
        <w:tc>
          <w:tcPr>
            <w:tcW w:w="3240" w:type="dxa"/>
            <w:tcBorders>
              <w:top w:val="nil"/>
              <w:left w:val="nil"/>
              <w:bottom w:val="single" w:sz="4" w:space="0" w:color="auto"/>
              <w:right w:val="single" w:sz="8" w:space="0" w:color="auto"/>
            </w:tcBorders>
            <w:shd w:val="clear" w:color="000000" w:fill="FFFFFF"/>
            <w:vAlign w:val="center"/>
            <w:hideMark/>
          </w:tcPr>
          <w:p w14:paraId="7D2366A4" w14:textId="77777777" w:rsidR="003140A0" w:rsidRPr="003140A0" w:rsidRDefault="003140A0" w:rsidP="006B21E2">
            <w:pPr>
              <w:rPr>
                <w:color w:val="000000"/>
                <w:sz w:val="20"/>
                <w:szCs w:val="20"/>
              </w:rPr>
            </w:pPr>
            <w:r w:rsidRPr="003140A0">
              <w:rPr>
                <w:color w:val="000000"/>
                <w:sz w:val="20"/>
                <w:szCs w:val="20"/>
              </w:rPr>
              <w:t>Learning curve, suboptimal range selection, delayed rebalancing</w:t>
            </w:r>
          </w:p>
        </w:tc>
      </w:tr>
      <w:tr w:rsidR="00F37D2A" w:rsidRPr="003140A0" w14:paraId="43C3F150" w14:textId="77777777" w:rsidTr="00765F6D">
        <w:trPr>
          <w:trHeight w:val="377"/>
        </w:trPr>
        <w:tc>
          <w:tcPr>
            <w:tcW w:w="1520" w:type="dxa"/>
            <w:tcBorders>
              <w:top w:val="nil"/>
              <w:left w:val="single" w:sz="8" w:space="0" w:color="auto"/>
              <w:bottom w:val="single" w:sz="8" w:space="0" w:color="auto"/>
              <w:right w:val="single" w:sz="4" w:space="0" w:color="auto"/>
            </w:tcBorders>
            <w:shd w:val="clear" w:color="000000" w:fill="FFFFFF"/>
            <w:vAlign w:val="center"/>
            <w:hideMark/>
          </w:tcPr>
          <w:p w14:paraId="07C87C58" w14:textId="77777777" w:rsidR="003140A0" w:rsidRPr="003140A0" w:rsidRDefault="003140A0" w:rsidP="006B21E2">
            <w:pPr>
              <w:rPr>
                <w:color w:val="000000"/>
                <w:sz w:val="20"/>
                <w:szCs w:val="20"/>
              </w:rPr>
            </w:pPr>
            <w:r w:rsidRPr="003140A0">
              <w:rPr>
                <w:color w:val="000000"/>
                <w:sz w:val="20"/>
                <w:szCs w:val="20"/>
              </w:rPr>
              <w:t>Failed Positions (N=28)</w:t>
            </w:r>
          </w:p>
        </w:tc>
        <w:tc>
          <w:tcPr>
            <w:tcW w:w="1540" w:type="dxa"/>
            <w:tcBorders>
              <w:top w:val="nil"/>
              <w:left w:val="nil"/>
              <w:bottom w:val="single" w:sz="8" w:space="0" w:color="auto"/>
              <w:right w:val="single" w:sz="4" w:space="0" w:color="auto"/>
            </w:tcBorders>
            <w:shd w:val="clear" w:color="000000" w:fill="FFFFFF"/>
            <w:vAlign w:val="center"/>
            <w:hideMark/>
          </w:tcPr>
          <w:p w14:paraId="3156E3FB" w14:textId="77777777" w:rsidR="003140A0" w:rsidRPr="003140A0" w:rsidRDefault="003140A0" w:rsidP="006B21E2">
            <w:pPr>
              <w:jc w:val="center"/>
              <w:rPr>
                <w:color w:val="000000"/>
                <w:sz w:val="20"/>
                <w:szCs w:val="20"/>
              </w:rPr>
            </w:pPr>
            <w:r w:rsidRPr="003140A0">
              <w:rPr>
                <w:color w:val="000000"/>
                <w:sz w:val="20"/>
                <w:szCs w:val="20"/>
              </w:rPr>
              <w:t>4000x vs v2</w:t>
            </w:r>
          </w:p>
        </w:tc>
        <w:tc>
          <w:tcPr>
            <w:tcW w:w="1430" w:type="dxa"/>
            <w:tcBorders>
              <w:top w:val="nil"/>
              <w:left w:val="nil"/>
              <w:bottom w:val="single" w:sz="8" w:space="0" w:color="auto"/>
              <w:right w:val="single" w:sz="4" w:space="0" w:color="auto"/>
            </w:tcBorders>
            <w:shd w:val="clear" w:color="000000" w:fill="FFFFFF"/>
            <w:vAlign w:val="center"/>
            <w:hideMark/>
          </w:tcPr>
          <w:p w14:paraId="6D74EDDF" w14:textId="77777777" w:rsidR="003140A0" w:rsidRPr="003140A0" w:rsidRDefault="003140A0" w:rsidP="006B21E2">
            <w:pPr>
              <w:jc w:val="center"/>
              <w:rPr>
                <w:color w:val="000000"/>
                <w:sz w:val="20"/>
                <w:szCs w:val="20"/>
              </w:rPr>
            </w:pPr>
            <w:r w:rsidRPr="003140A0">
              <w:rPr>
                <w:color w:val="000000"/>
                <w:sz w:val="20"/>
                <w:szCs w:val="20"/>
              </w:rPr>
              <w:t>0.3-0.5x vs v2</w:t>
            </w:r>
          </w:p>
        </w:tc>
        <w:tc>
          <w:tcPr>
            <w:tcW w:w="1620" w:type="dxa"/>
            <w:tcBorders>
              <w:top w:val="nil"/>
              <w:left w:val="nil"/>
              <w:bottom w:val="single" w:sz="8" w:space="0" w:color="auto"/>
              <w:right w:val="single" w:sz="4" w:space="0" w:color="auto"/>
            </w:tcBorders>
            <w:shd w:val="clear" w:color="000000" w:fill="FFFFFF"/>
            <w:vAlign w:val="center"/>
            <w:hideMark/>
          </w:tcPr>
          <w:p w14:paraId="39D66E1C" w14:textId="77777777" w:rsidR="003140A0" w:rsidRPr="003140A0" w:rsidRDefault="003140A0" w:rsidP="006B21E2">
            <w:pPr>
              <w:jc w:val="center"/>
              <w:rPr>
                <w:color w:val="000000"/>
                <w:sz w:val="20"/>
                <w:szCs w:val="20"/>
              </w:rPr>
            </w:pPr>
            <w:r w:rsidRPr="003140A0">
              <w:rPr>
                <w:color w:val="000000"/>
                <w:sz w:val="20"/>
                <w:szCs w:val="20"/>
              </w:rPr>
              <w:t>39%</w:t>
            </w:r>
          </w:p>
        </w:tc>
        <w:tc>
          <w:tcPr>
            <w:tcW w:w="3240" w:type="dxa"/>
            <w:tcBorders>
              <w:top w:val="nil"/>
              <w:left w:val="nil"/>
              <w:bottom w:val="single" w:sz="8" w:space="0" w:color="auto"/>
              <w:right w:val="single" w:sz="8" w:space="0" w:color="auto"/>
            </w:tcBorders>
            <w:shd w:val="clear" w:color="000000" w:fill="FFFFFF"/>
            <w:vAlign w:val="center"/>
            <w:hideMark/>
          </w:tcPr>
          <w:p w14:paraId="724B09CD" w14:textId="77777777" w:rsidR="003140A0" w:rsidRPr="003140A0" w:rsidRDefault="003140A0" w:rsidP="006B21E2">
            <w:pPr>
              <w:rPr>
                <w:color w:val="000000"/>
                <w:sz w:val="20"/>
                <w:szCs w:val="20"/>
              </w:rPr>
            </w:pPr>
            <w:r w:rsidRPr="003140A0">
              <w:rPr>
                <w:color w:val="000000"/>
                <w:sz w:val="20"/>
                <w:szCs w:val="20"/>
              </w:rPr>
              <w:t>Insufficient capital for rebalancing, poor range selection, abandoned positions</w:t>
            </w:r>
          </w:p>
        </w:tc>
      </w:tr>
    </w:tbl>
    <w:p w14:paraId="2AEF2380" w14:textId="0AA2E788" w:rsidR="00E808D9" w:rsidRPr="001826A1" w:rsidRDefault="00E808D9" w:rsidP="006B21E2">
      <w:pPr>
        <w:jc w:val="both"/>
        <w:rPr>
          <w:rFonts w:eastAsiaTheme="majorEastAsia"/>
          <w:i/>
          <w:iCs/>
          <w:color w:val="000000" w:themeColor="text1"/>
          <w:sz w:val="22"/>
          <w:szCs w:val="22"/>
        </w:rPr>
      </w:pPr>
      <w:r w:rsidRPr="001826A1">
        <w:rPr>
          <w:rFonts w:eastAsiaTheme="majorEastAsia"/>
          <w:i/>
          <w:iCs/>
          <w:color w:val="000000" w:themeColor="text1"/>
          <w:sz w:val="22"/>
          <w:szCs w:val="22"/>
        </w:rPr>
        <w:t>Source: Tracking of 156 Uniswap v3 liquidity positions across participant categories, 2020-2024.</w:t>
      </w:r>
    </w:p>
    <w:p w14:paraId="3331A63D" w14:textId="77777777" w:rsidR="00E808D9" w:rsidRPr="0071647F" w:rsidRDefault="00E808D9" w:rsidP="006B21E2">
      <w:pPr>
        <w:jc w:val="both"/>
        <w:rPr>
          <w:rFonts w:eastAsiaTheme="majorEastAsia"/>
          <w:color w:val="FF0000"/>
        </w:rPr>
      </w:pPr>
    </w:p>
    <w:p w14:paraId="12C3499B" w14:textId="37C37A5E" w:rsidR="00E808D9" w:rsidRPr="00577EBE" w:rsidRDefault="00E808D9" w:rsidP="006B21E2">
      <w:pPr>
        <w:jc w:val="both"/>
        <w:rPr>
          <w:rFonts w:eastAsiaTheme="majorEastAsia"/>
          <w:color w:val="000000" w:themeColor="text1"/>
        </w:rPr>
      </w:pPr>
      <w:r w:rsidRPr="00577EBE">
        <w:rPr>
          <w:rFonts w:eastAsiaTheme="majorEastAsia"/>
          <w:color w:val="000000" w:themeColor="text1"/>
        </w:rPr>
        <w:t>Notes:</w:t>
      </w:r>
    </w:p>
    <w:p w14:paraId="68EB71CF" w14:textId="569962FB" w:rsidR="00E808D9" w:rsidRPr="00577EBE" w:rsidRDefault="00E808D9" w:rsidP="006B21E2">
      <w:pPr>
        <w:pStyle w:val="ListParagraph"/>
        <w:numPr>
          <w:ilvl w:val="0"/>
          <w:numId w:val="270"/>
        </w:numPr>
        <w:jc w:val="both"/>
        <w:rPr>
          <w:rFonts w:eastAsiaTheme="majorEastAsia"/>
          <w:color w:val="000000" w:themeColor="text1"/>
        </w:rPr>
      </w:pPr>
      <w:r w:rsidRPr="00577EBE">
        <w:rPr>
          <w:rFonts w:eastAsiaTheme="majorEastAsia"/>
          <w:color w:val="000000" w:themeColor="text1"/>
        </w:rPr>
        <w:t>Efficiency Ratio: Calculated as fee income per dollar of liquidity provided, compared to Uniswap v2 baseline</w:t>
      </w:r>
    </w:p>
    <w:p w14:paraId="2B79FC60" w14:textId="0E2426C8" w:rsidR="00E808D9" w:rsidRPr="00577EBE" w:rsidRDefault="00E808D9" w:rsidP="006B21E2">
      <w:pPr>
        <w:pStyle w:val="ListParagraph"/>
        <w:numPr>
          <w:ilvl w:val="0"/>
          <w:numId w:val="270"/>
        </w:numPr>
        <w:jc w:val="both"/>
        <w:rPr>
          <w:rFonts w:eastAsiaTheme="majorEastAsia"/>
          <w:color w:val="000000" w:themeColor="text1"/>
        </w:rPr>
      </w:pPr>
      <w:r w:rsidRPr="00577EBE">
        <w:rPr>
          <w:rFonts w:eastAsiaTheme="majorEastAsia"/>
          <w:color w:val="000000" w:themeColor="text1"/>
        </w:rPr>
        <w:t>Time In-Range: Percentage of observation period where concentrated liquidity range contained trading price</w:t>
      </w:r>
    </w:p>
    <w:p w14:paraId="01D3B11E" w14:textId="1BF08FF0" w:rsidR="00E808D9" w:rsidRPr="00577EBE" w:rsidRDefault="00E808D9" w:rsidP="006B21E2">
      <w:pPr>
        <w:pStyle w:val="ListParagraph"/>
        <w:numPr>
          <w:ilvl w:val="0"/>
          <w:numId w:val="270"/>
        </w:numPr>
        <w:jc w:val="both"/>
        <w:rPr>
          <w:rFonts w:eastAsiaTheme="majorEastAsia"/>
          <w:color w:val="000000" w:themeColor="text1"/>
        </w:rPr>
      </w:pPr>
      <w:r w:rsidRPr="00577EBE">
        <w:rPr>
          <w:rFonts w:eastAsiaTheme="majorEastAsia"/>
          <w:color w:val="000000" w:themeColor="text1"/>
        </w:rPr>
        <w:lastRenderedPageBreak/>
        <w:t>Sample Sizes: Professional (N=8), Experienced (N=37), New (N=83), Failed (N=28)</w:t>
      </w:r>
    </w:p>
    <w:p w14:paraId="313E6EE4" w14:textId="77777777" w:rsidR="00E808D9" w:rsidRPr="0071647F" w:rsidRDefault="00E808D9" w:rsidP="006B21E2">
      <w:pPr>
        <w:jc w:val="both"/>
        <w:rPr>
          <w:rFonts w:eastAsiaTheme="majorEastAsia"/>
          <w:color w:val="FF0000"/>
        </w:rPr>
      </w:pPr>
    </w:p>
    <w:p w14:paraId="4330F400" w14:textId="12F10BB2" w:rsidR="00E808D9" w:rsidRPr="00EA4A82" w:rsidRDefault="00E808D9" w:rsidP="006B21E2">
      <w:pPr>
        <w:jc w:val="both"/>
        <w:rPr>
          <w:rFonts w:eastAsiaTheme="majorEastAsia"/>
          <w:b/>
          <w:bCs/>
          <w:color w:val="000000" w:themeColor="text1"/>
        </w:rPr>
      </w:pPr>
      <w:r w:rsidRPr="00EA4A82">
        <w:rPr>
          <w:rFonts w:eastAsiaTheme="majorEastAsia"/>
          <w:b/>
          <w:bCs/>
          <w:color w:val="000000" w:themeColor="text1"/>
        </w:rPr>
        <w:t>Critical Findings:</w:t>
      </w:r>
    </w:p>
    <w:p w14:paraId="480D864E" w14:textId="77777777" w:rsidR="00E808D9" w:rsidRPr="0071647F" w:rsidRDefault="00E808D9" w:rsidP="006B21E2">
      <w:pPr>
        <w:jc w:val="both"/>
        <w:rPr>
          <w:rFonts w:eastAsiaTheme="majorEastAsia"/>
          <w:color w:val="FF0000"/>
        </w:rPr>
      </w:pPr>
    </w:p>
    <w:p w14:paraId="49E6442A" w14:textId="67175F79" w:rsidR="00E808D9" w:rsidRPr="0028793C" w:rsidRDefault="00E808D9" w:rsidP="006B21E2">
      <w:pPr>
        <w:jc w:val="both"/>
        <w:rPr>
          <w:rFonts w:eastAsiaTheme="majorEastAsia"/>
          <w:color w:val="000000" w:themeColor="text1"/>
        </w:rPr>
      </w:pPr>
      <w:r w:rsidRPr="0028793C">
        <w:rPr>
          <w:rFonts w:eastAsiaTheme="majorEastAsia"/>
          <w:b/>
          <w:bCs/>
          <w:i/>
          <w:iCs/>
          <w:color w:val="000000" w:themeColor="text1"/>
        </w:rPr>
        <w:t>Theory-Practice Gap:</w:t>
      </w:r>
      <w:r w:rsidRPr="0028793C">
        <w:rPr>
          <w:rFonts w:eastAsiaTheme="majorEastAsia"/>
          <w:color w:val="000000" w:themeColor="text1"/>
        </w:rPr>
        <w:t xml:space="preserve"> The 4000x theoretical maximum versus 18-25x professional achievement (0.5-0.6% realization) demonstrates that marketing figures represent mathematical possibilities rather than achievable targets. The theoretical maximum assumes price never moves outside 0.01</w:t>
      </w:r>
      <w:proofErr w:type="gramStart"/>
      <w:r w:rsidRPr="0028793C">
        <w:rPr>
          <w:rFonts w:eastAsiaTheme="majorEastAsia"/>
          <w:color w:val="000000" w:themeColor="text1"/>
        </w:rPr>
        <w:t xml:space="preserve">% </w:t>
      </w:r>
      <w:r w:rsidR="0028793C" w:rsidRPr="0028793C">
        <w:rPr>
          <w:rFonts w:eastAsiaTheme="majorEastAsia"/>
          <w:color w:val="000000" w:themeColor="text1"/>
        </w:rPr>
        <w:t xml:space="preserve"> -</w:t>
      </w:r>
      <w:proofErr w:type="gramEnd"/>
      <w:r w:rsidR="0028793C" w:rsidRPr="0028793C">
        <w:rPr>
          <w:rFonts w:eastAsiaTheme="majorEastAsia"/>
          <w:color w:val="000000" w:themeColor="text1"/>
        </w:rPr>
        <w:t xml:space="preserve"> </w:t>
      </w:r>
      <w:r w:rsidRPr="0028793C">
        <w:rPr>
          <w:rFonts w:eastAsiaTheme="majorEastAsia"/>
          <w:color w:val="000000" w:themeColor="text1"/>
        </w:rPr>
        <w:t>a condition violated in 100% of observed positions.</w:t>
      </w:r>
    </w:p>
    <w:p w14:paraId="21D1D354" w14:textId="77777777" w:rsidR="00E808D9" w:rsidRPr="0071647F" w:rsidRDefault="00E808D9" w:rsidP="006B21E2">
      <w:pPr>
        <w:jc w:val="both"/>
        <w:rPr>
          <w:rFonts w:eastAsiaTheme="majorEastAsia"/>
          <w:color w:val="FF0000"/>
        </w:rPr>
      </w:pPr>
    </w:p>
    <w:p w14:paraId="09A50FB7" w14:textId="1B715815" w:rsidR="00E808D9" w:rsidRPr="00D36479" w:rsidRDefault="00E808D9" w:rsidP="006B21E2">
      <w:pPr>
        <w:jc w:val="both"/>
        <w:rPr>
          <w:rFonts w:eastAsiaTheme="majorEastAsia"/>
          <w:color w:val="000000" w:themeColor="text1"/>
        </w:rPr>
      </w:pPr>
      <w:r w:rsidRPr="00D36479">
        <w:rPr>
          <w:rFonts w:eastAsiaTheme="majorEastAsia"/>
          <w:b/>
          <w:bCs/>
          <w:i/>
          <w:iCs/>
          <w:color w:val="000000" w:themeColor="text1"/>
        </w:rPr>
        <w:t>Skill-Based Stratification:</w:t>
      </w:r>
      <w:r w:rsidRPr="00D36479">
        <w:rPr>
          <w:rFonts w:eastAsiaTheme="majorEastAsia"/>
          <w:color w:val="000000" w:themeColor="text1"/>
        </w:rPr>
        <w:t xml:space="preserve"> The 50x efficiency difference between professionals (18-25x) and new participants (1.5-2.5x) exceeds the 13x difference between Uniswap v3 and v2 for passive positions. </w:t>
      </w:r>
      <w:r w:rsidR="00D36479" w:rsidRPr="00D36479">
        <w:rPr>
          <w:rFonts w:eastAsiaTheme="majorEastAsia"/>
          <w:color w:val="000000" w:themeColor="text1"/>
        </w:rPr>
        <w:t>The c</w:t>
      </w:r>
      <w:r w:rsidRPr="00D36479">
        <w:rPr>
          <w:rFonts w:eastAsiaTheme="majorEastAsia"/>
          <w:color w:val="000000" w:themeColor="text1"/>
        </w:rPr>
        <w:t>oncentrated liquidity's complexity creates larger skill-based return differentials than the protocol improvement itself</w:t>
      </w:r>
      <w:r w:rsidR="00D36479" w:rsidRPr="00D36479">
        <w:rPr>
          <w:rFonts w:eastAsiaTheme="majorEastAsia"/>
          <w:color w:val="000000" w:themeColor="text1"/>
        </w:rPr>
        <w:t xml:space="preserve">. It therefore </w:t>
      </w:r>
      <w:proofErr w:type="gramStart"/>
      <w:r w:rsidR="00D36479" w:rsidRPr="00D36479">
        <w:rPr>
          <w:rFonts w:eastAsiaTheme="majorEastAsia"/>
          <w:color w:val="000000" w:themeColor="text1"/>
        </w:rPr>
        <w:t xml:space="preserve">is </w:t>
      </w:r>
      <w:r w:rsidRPr="00D36479">
        <w:rPr>
          <w:rFonts w:eastAsiaTheme="majorEastAsia"/>
          <w:color w:val="000000" w:themeColor="text1"/>
        </w:rPr>
        <w:t>concentrating</w:t>
      </w:r>
      <w:proofErr w:type="gramEnd"/>
      <w:r w:rsidRPr="00D36479">
        <w:rPr>
          <w:rFonts w:eastAsiaTheme="majorEastAsia"/>
          <w:color w:val="000000" w:themeColor="text1"/>
        </w:rPr>
        <w:t xml:space="preserve"> </w:t>
      </w:r>
      <w:r w:rsidR="00D36479">
        <w:rPr>
          <w:rFonts w:eastAsiaTheme="majorEastAsia"/>
          <w:color w:val="000000" w:themeColor="text1"/>
        </w:rPr>
        <w:t xml:space="preserve">the </w:t>
      </w:r>
      <w:r w:rsidRPr="00D36479">
        <w:rPr>
          <w:rFonts w:eastAsiaTheme="majorEastAsia"/>
          <w:color w:val="000000" w:themeColor="text1"/>
        </w:rPr>
        <w:t>benefits among sophisticated participants.</w:t>
      </w:r>
    </w:p>
    <w:p w14:paraId="1C589CED" w14:textId="77777777" w:rsidR="00E808D9" w:rsidRPr="0071647F" w:rsidRDefault="00E808D9" w:rsidP="006B21E2">
      <w:pPr>
        <w:jc w:val="both"/>
        <w:rPr>
          <w:rFonts w:eastAsiaTheme="majorEastAsia"/>
          <w:color w:val="FF0000"/>
        </w:rPr>
      </w:pPr>
    </w:p>
    <w:p w14:paraId="0E88E17B" w14:textId="55F59CA6" w:rsidR="00E808D9" w:rsidRPr="00D36479" w:rsidRDefault="00E808D9" w:rsidP="006B21E2">
      <w:pPr>
        <w:jc w:val="both"/>
        <w:rPr>
          <w:rFonts w:eastAsiaTheme="majorEastAsia"/>
          <w:color w:val="000000" w:themeColor="text1"/>
        </w:rPr>
      </w:pPr>
      <w:r w:rsidRPr="00D36479">
        <w:rPr>
          <w:rFonts w:eastAsiaTheme="majorEastAsia"/>
          <w:b/>
          <w:bCs/>
          <w:i/>
          <w:iCs/>
          <w:color w:val="000000" w:themeColor="text1"/>
        </w:rPr>
        <w:t xml:space="preserve">Time In-Range </w:t>
      </w:r>
      <w:proofErr w:type="spellStart"/>
      <w:r w:rsidRPr="00D36479">
        <w:rPr>
          <w:rFonts w:eastAsiaTheme="majorEastAsia"/>
          <w:b/>
          <w:bCs/>
          <w:i/>
          <w:iCs/>
          <w:color w:val="000000" w:themeColor="text1"/>
        </w:rPr>
        <w:t>Determinance</w:t>
      </w:r>
      <w:proofErr w:type="spellEnd"/>
      <w:r w:rsidRPr="00D36479">
        <w:rPr>
          <w:rFonts w:eastAsiaTheme="majorEastAsia"/>
          <w:b/>
          <w:bCs/>
          <w:i/>
          <w:iCs/>
          <w:color w:val="000000" w:themeColor="text1"/>
        </w:rPr>
        <w:t>:</w:t>
      </w:r>
      <w:r w:rsidRPr="00D36479">
        <w:rPr>
          <w:rFonts w:eastAsiaTheme="majorEastAsia"/>
          <w:color w:val="000000" w:themeColor="text1"/>
        </w:rPr>
        <w:t xml:space="preserve"> The strong correlation between time in-range (94% professional, 61% retail) and efficiency achievement demonstrates that capital efficiency improvements require operational intensity. The </w:t>
      </w:r>
      <w:r w:rsidR="00D36479" w:rsidRPr="00D36479">
        <w:rPr>
          <w:rFonts w:eastAsiaTheme="majorEastAsia"/>
          <w:color w:val="000000" w:themeColor="text1"/>
        </w:rPr>
        <w:t>33%</w:t>
      </w:r>
      <w:r w:rsidRPr="00D36479">
        <w:rPr>
          <w:rFonts w:eastAsiaTheme="majorEastAsia"/>
          <w:color w:val="000000" w:themeColor="text1"/>
        </w:rPr>
        <w:t xml:space="preserve"> gap represents approximately $15-60 per rebalancing event </w:t>
      </w:r>
      <w:r w:rsidR="00D36479" w:rsidRPr="00D36479">
        <w:rPr>
          <w:rFonts w:eastAsiaTheme="majorEastAsia"/>
          <w:color w:val="000000" w:themeColor="text1"/>
        </w:rPr>
        <w:t>multiplied by</w:t>
      </w:r>
      <w:r w:rsidRPr="00D36479">
        <w:rPr>
          <w:rFonts w:eastAsiaTheme="majorEastAsia"/>
          <w:color w:val="000000" w:themeColor="text1"/>
        </w:rPr>
        <w:t xml:space="preserve"> higher rebalancing frequency</w:t>
      </w:r>
      <w:r w:rsidR="00D36479" w:rsidRPr="00D36479">
        <w:rPr>
          <w:rFonts w:eastAsiaTheme="majorEastAsia"/>
          <w:color w:val="000000" w:themeColor="text1"/>
        </w:rPr>
        <w:t xml:space="preserve"> and </w:t>
      </w:r>
      <w:r w:rsidRPr="00D36479">
        <w:rPr>
          <w:rFonts w:eastAsiaTheme="majorEastAsia"/>
          <w:color w:val="000000" w:themeColor="text1"/>
        </w:rPr>
        <w:t>creating operational cost barriers.</w:t>
      </w:r>
    </w:p>
    <w:p w14:paraId="343ED3B2" w14:textId="77777777" w:rsidR="00E808D9" w:rsidRPr="0071647F" w:rsidRDefault="00E808D9" w:rsidP="006B21E2">
      <w:pPr>
        <w:jc w:val="both"/>
        <w:rPr>
          <w:rFonts w:eastAsiaTheme="majorEastAsia"/>
          <w:color w:val="FF0000"/>
        </w:rPr>
      </w:pPr>
    </w:p>
    <w:p w14:paraId="694C2D5A" w14:textId="4268CE86" w:rsidR="00E808D9" w:rsidRPr="00A7591F" w:rsidRDefault="00E808D9" w:rsidP="006B21E2">
      <w:pPr>
        <w:jc w:val="both"/>
        <w:rPr>
          <w:rFonts w:eastAsiaTheme="majorEastAsia"/>
          <w:color w:val="000000" w:themeColor="text1"/>
        </w:rPr>
      </w:pPr>
      <w:r w:rsidRPr="00A7591F">
        <w:rPr>
          <w:rFonts w:eastAsiaTheme="majorEastAsia"/>
          <w:b/>
          <w:bCs/>
          <w:i/>
          <w:iCs/>
          <w:color w:val="000000" w:themeColor="text1"/>
        </w:rPr>
        <w:t>Negative Efficiency Outcomes:</w:t>
      </w:r>
      <w:r w:rsidRPr="00A7591F">
        <w:rPr>
          <w:rFonts w:eastAsiaTheme="majorEastAsia"/>
          <w:color w:val="000000" w:themeColor="text1"/>
        </w:rPr>
        <w:t xml:space="preserve"> Failed positions achieving 0.3-0.5x efficiency (worse than simpler v2) occurred exclusively among participants with capital below </w:t>
      </w:r>
      <w:r w:rsidR="00A7591F" w:rsidRPr="00A7591F">
        <w:rPr>
          <w:rFonts w:eastAsiaTheme="majorEastAsia"/>
          <w:color w:val="000000" w:themeColor="text1"/>
        </w:rPr>
        <w:t xml:space="preserve">the identified </w:t>
      </w:r>
      <w:r w:rsidRPr="00A7591F">
        <w:rPr>
          <w:rFonts w:eastAsiaTheme="majorEastAsia"/>
          <w:color w:val="000000" w:themeColor="text1"/>
        </w:rPr>
        <w:t>rebalancing viability thresholds. For positions under $5,000, rebalancing costs ($15-60 per event) exceeded incremental fee earnings from concentration</w:t>
      </w:r>
      <w:r w:rsidR="00A7591F" w:rsidRPr="00A7591F">
        <w:rPr>
          <w:rFonts w:eastAsiaTheme="majorEastAsia"/>
          <w:color w:val="000000" w:themeColor="text1"/>
        </w:rPr>
        <w:t xml:space="preserve"> It therefore</w:t>
      </w:r>
      <w:r w:rsidRPr="00A7591F">
        <w:rPr>
          <w:rFonts w:eastAsiaTheme="majorEastAsia"/>
          <w:color w:val="000000" w:themeColor="text1"/>
        </w:rPr>
        <w:t xml:space="preserve"> creat</w:t>
      </w:r>
      <w:r w:rsidR="00A7591F" w:rsidRPr="00A7591F">
        <w:rPr>
          <w:rFonts w:eastAsiaTheme="majorEastAsia"/>
          <w:color w:val="000000" w:themeColor="text1"/>
        </w:rPr>
        <w:t>ed</w:t>
      </w:r>
      <w:r w:rsidRPr="00A7591F">
        <w:rPr>
          <w:rFonts w:eastAsiaTheme="majorEastAsia"/>
          <w:color w:val="000000" w:themeColor="text1"/>
        </w:rPr>
        <w:t xml:space="preserve"> negative expected value from "improved" protocol design.</w:t>
      </w:r>
    </w:p>
    <w:p w14:paraId="2A74BFCC" w14:textId="77777777" w:rsidR="00E808D9" w:rsidRPr="0071647F" w:rsidRDefault="00E808D9" w:rsidP="006B21E2">
      <w:pPr>
        <w:jc w:val="both"/>
        <w:rPr>
          <w:rFonts w:eastAsiaTheme="majorEastAsia"/>
          <w:color w:val="FF0000"/>
        </w:rPr>
      </w:pPr>
    </w:p>
    <w:p w14:paraId="5BEEB060" w14:textId="6555DA41" w:rsidR="00E808D9" w:rsidRPr="00441C0B" w:rsidRDefault="00E808D9" w:rsidP="006B21E2">
      <w:pPr>
        <w:jc w:val="both"/>
        <w:rPr>
          <w:rFonts w:eastAsiaTheme="majorEastAsia"/>
          <w:color w:val="000000" w:themeColor="text1"/>
        </w:rPr>
      </w:pPr>
      <w:r w:rsidRPr="00441C0B">
        <w:rPr>
          <w:rFonts w:eastAsiaTheme="majorEastAsia"/>
          <w:b/>
          <w:bCs/>
          <w:i/>
          <w:iCs/>
          <w:color w:val="000000" w:themeColor="text1"/>
        </w:rPr>
        <w:t>Professionalization Effect:</w:t>
      </w:r>
      <w:r w:rsidRPr="00441C0B">
        <w:rPr>
          <w:rFonts w:eastAsiaTheme="majorEastAsia"/>
          <w:color w:val="000000" w:themeColor="text1"/>
        </w:rPr>
        <w:t xml:space="preserve"> The restriction of 18-25x efficiency to participants with algorithmic rebalancing, co-located servers, and professional infrastructure demonstrates that concentrated liquidity transformed retail market-making into professional activit</w:t>
      </w:r>
      <w:r w:rsidR="00441C0B" w:rsidRPr="00441C0B">
        <w:rPr>
          <w:rFonts w:eastAsiaTheme="majorEastAsia"/>
          <w:color w:val="000000" w:themeColor="text1"/>
        </w:rPr>
        <w:t>ies</w:t>
      </w:r>
      <w:r w:rsidRPr="00441C0B">
        <w:rPr>
          <w:rFonts w:eastAsiaTheme="majorEastAsia"/>
          <w:color w:val="000000" w:themeColor="text1"/>
        </w:rPr>
        <w:t xml:space="preserve">. Innovation that was marketed as democratization </w:t>
      </w:r>
      <w:proofErr w:type="gramStart"/>
      <w:r w:rsidRPr="00441C0B">
        <w:rPr>
          <w:rFonts w:eastAsiaTheme="majorEastAsia"/>
          <w:color w:val="000000" w:themeColor="text1"/>
        </w:rPr>
        <w:t>actually professionalized</w:t>
      </w:r>
      <w:proofErr w:type="gramEnd"/>
      <w:r w:rsidRPr="00441C0B">
        <w:rPr>
          <w:rFonts w:eastAsiaTheme="majorEastAsia"/>
          <w:color w:val="000000" w:themeColor="text1"/>
        </w:rPr>
        <w:t xml:space="preserve"> the domain</w:t>
      </w:r>
      <w:r w:rsidR="00441C0B" w:rsidRPr="00441C0B">
        <w:rPr>
          <w:rFonts w:eastAsiaTheme="majorEastAsia"/>
          <w:color w:val="000000" w:themeColor="text1"/>
        </w:rPr>
        <w:t xml:space="preserve">. This </w:t>
      </w:r>
      <w:r w:rsidRPr="00441C0B">
        <w:rPr>
          <w:rFonts w:eastAsiaTheme="majorEastAsia"/>
          <w:color w:val="000000" w:themeColor="text1"/>
        </w:rPr>
        <w:t>rais</w:t>
      </w:r>
      <w:r w:rsidR="00441C0B" w:rsidRPr="00441C0B">
        <w:rPr>
          <w:rFonts w:eastAsiaTheme="majorEastAsia"/>
          <w:color w:val="000000" w:themeColor="text1"/>
        </w:rPr>
        <w:t>ed</w:t>
      </w:r>
      <w:r w:rsidRPr="00441C0B">
        <w:rPr>
          <w:rFonts w:eastAsiaTheme="majorEastAsia"/>
          <w:color w:val="000000" w:themeColor="text1"/>
        </w:rPr>
        <w:t xml:space="preserve"> rather than lower</w:t>
      </w:r>
      <w:r w:rsidR="00441C0B" w:rsidRPr="00441C0B">
        <w:rPr>
          <w:rFonts w:eastAsiaTheme="majorEastAsia"/>
          <w:color w:val="000000" w:themeColor="text1"/>
        </w:rPr>
        <w:t>ed</w:t>
      </w:r>
      <w:r w:rsidRPr="00441C0B">
        <w:rPr>
          <w:rFonts w:eastAsiaTheme="majorEastAsia"/>
          <w:color w:val="000000" w:themeColor="text1"/>
        </w:rPr>
        <w:t xml:space="preserve"> participation barriers.</w:t>
      </w:r>
    </w:p>
    <w:p w14:paraId="6EF146B6" w14:textId="77777777" w:rsidR="00E808D9" w:rsidRPr="0071647F" w:rsidRDefault="00E808D9" w:rsidP="006B21E2">
      <w:pPr>
        <w:jc w:val="both"/>
        <w:rPr>
          <w:rFonts w:eastAsiaTheme="majorEastAsia"/>
          <w:color w:val="FF0000"/>
        </w:rPr>
      </w:pPr>
    </w:p>
    <w:p w14:paraId="0203CB3C" w14:textId="3A3F6C17" w:rsidR="005070E3" w:rsidRPr="006B1EF5" w:rsidRDefault="00E808D9" w:rsidP="006B21E2">
      <w:pPr>
        <w:jc w:val="both"/>
        <w:rPr>
          <w:rFonts w:eastAsiaTheme="majorEastAsia"/>
          <w:color w:val="000000" w:themeColor="text1"/>
        </w:rPr>
      </w:pPr>
      <w:r w:rsidRPr="006B1EF5">
        <w:rPr>
          <w:rFonts w:eastAsiaTheme="majorEastAsia"/>
          <w:b/>
          <w:bCs/>
          <w:i/>
          <w:iCs/>
          <w:color w:val="000000" w:themeColor="text1"/>
        </w:rPr>
        <w:t>Theoretical Implication:</w:t>
      </w:r>
      <w:r w:rsidRPr="006B1EF5">
        <w:rPr>
          <w:rFonts w:eastAsiaTheme="majorEastAsia"/>
          <w:color w:val="000000" w:themeColor="text1"/>
        </w:rPr>
        <w:t xml:space="preserve"> Protocol improvements that increase complexity faster than returns create bifurcated opportunity structures. Sophisticated participants capture </w:t>
      </w:r>
      <w:r w:rsidR="006B1EF5" w:rsidRPr="006B1EF5">
        <w:rPr>
          <w:rFonts w:eastAsiaTheme="majorEastAsia"/>
          <w:color w:val="000000" w:themeColor="text1"/>
        </w:rPr>
        <w:t xml:space="preserve">the </w:t>
      </w:r>
      <w:r w:rsidRPr="006B1EF5">
        <w:rPr>
          <w:rFonts w:eastAsiaTheme="majorEastAsia"/>
          <w:color w:val="000000" w:themeColor="text1"/>
        </w:rPr>
        <w:t>disproportionate benefits (18-25x for 5% of sample) while unsophisticated participants experience degraded outcomes (0.3-0.5x for 18% of sample). The average efficiency improvement obscures bimodal distribution where most participants experience worse outcomes despite protocol "improvement."</w:t>
      </w:r>
    </w:p>
    <w:p w14:paraId="7EF2F7CD" w14:textId="77777777" w:rsidR="005070E3" w:rsidRPr="0071647F" w:rsidRDefault="005070E3" w:rsidP="006B21E2">
      <w:pPr>
        <w:jc w:val="both"/>
        <w:rPr>
          <w:rFonts w:eastAsiaTheme="majorEastAsia"/>
          <w:color w:val="000000" w:themeColor="text1"/>
        </w:rPr>
      </w:pPr>
    </w:p>
    <w:p w14:paraId="753A78C9" w14:textId="5EF2CFD2" w:rsidR="006A21B5" w:rsidRPr="0071647F" w:rsidRDefault="006A21B5" w:rsidP="006B21E2">
      <w:pPr>
        <w:jc w:val="both"/>
        <w:rPr>
          <w:rFonts w:eastAsiaTheme="majorEastAsia"/>
          <w:color w:val="000000" w:themeColor="text1"/>
        </w:rPr>
      </w:pPr>
      <w:r w:rsidRPr="0071647F">
        <w:rPr>
          <w:rFonts w:eastAsiaTheme="majorEastAsia"/>
          <w:color w:val="000000" w:themeColor="text1"/>
        </w:rPr>
        <w:t xml:space="preserve">Professional positions maintained in-range status 94% of time through proactive rebalancing. Retail positions achieved only 61% time in range. Each rebalance cost $15-60 in gas. </w:t>
      </w:r>
      <w:r w:rsidR="00737ECC" w:rsidRPr="0071647F">
        <w:rPr>
          <w:rFonts w:eastAsiaTheme="majorEastAsia"/>
          <w:color w:val="000000" w:themeColor="text1"/>
        </w:rPr>
        <w:t>For positions below the viability thresholds established in Chapter 4, rebalancing costs often exceed earnings.</w:t>
      </w:r>
    </w:p>
    <w:p w14:paraId="10C6B317" w14:textId="77777777" w:rsidR="00A04269" w:rsidRPr="0071647F" w:rsidRDefault="00A04269" w:rsidP="006B21E2">
      <w:pPr>
        <w:jc w:val="both"/>
        <w:rPr>
          <w:rFonts w:eastAsiaTheme="majorEastAsia"/>
          <w:color w:val="000000" w:themeColor="text1"/>
        </w:rPr>
      </w:pPr>
    </w:p>
    <w:p w14:paraId="28CF9182" w14:textId="5002A6D2" w:rsidR="006A21B5" w:rsidRPr="0071647F" w:rsidRDefault="006A21B5" w:rsidP="006B21E2">
      <w:pPr>
        <w:jc w:val="both"/>
        <w:rPr>
          <w:rFonts w:eastAsiaTheme="majorEastAsia"/>
          <w:color w:val="000000" w:themeColor="text1"/>
        </w:rPr>
      </w:pPr>
      <w:r w:rsidRPr="0071647F">
        <w:rPr>
          <w:rFonts w:eastAsiaTheme="majorEastAsia"/>
          <w:color w:val="000000" w:themeColor="text1"/>
        </w:rPr>
        <w:t>Capital requirements analysis reveals distinct viability thresholds:</w:t>
      </w:r>
    </w:p>
    <w:p w14:paraId="3E0DF507" w14:textId="77777777" w:rsidR="006A21B5" w:rsidRPr="0071647F" w:rsidRDefault="006A21B5" w:rsidP="006B21E2">
      <w:pPr>
        <w:numPr>
          <w:ilvl w:val="0"/>
          <w:numId w:val="34"/>
        </w:numPr>
        <w:jc w:val="both"/>
        <w:rPr>
          <w:rFonts w:eastAsiaTheme="majorEastAsia"/>
          <w:color w:val="000000" w:themeColor="text1"/>
        </w:rPr>
      </w:pPr>
      <w:r w:rsidRPr="0071647F">
        <w:rPr>
          <w:rFonts w:eastAsiaTheme="majorEastAsia"/>
          <w:color w:val="000000" w:themeColor="text1"/>
        </w:rPr>
        <w:t xml:space="preserve">Ethereum </w:t>
      </w:r>
      <w:proofErr w:type="spellStart"/>
      <w:r w:rsidRPr="0071647F">
        <w:rPr>
          <w:rFonts w:eastAsiaTheme="majorEastAsia"/>
          <w:color w:val="000000" w:themeColor="text1"/>
        </w:rPr>
        <w:t>mainnet</w:t>
      </w:r>
      <w:proofErr w:type="spellEnd"/>
      <w:r w:rsidRPr="0071647F">
        <w:rPr>
          <w:rFonts w:eastAsiaTheme="majorEastAsia"/>
          <w:color w:val="000000" w:themeColor="text1"/>
        </w:rPr>
        <w:t>: $25,000 minimum for net profitability</w:t>
      </w:r>
    </w:p>
    <w:p w14:paraId="387DEE5A" w14:textId="77777777" w:rsidR="006A21B5" w:rsidRPr="0071647F" w:rsidRDefault="006A21B5" w:rsidP="006B21E2">
      <w:pPr>
        <w:numPr>
          <w:ilvl w:val="0"/>
          <w:numId w:val="34"/>
        </w:numPr>
        <w:jc w:val="both"/>
        <w:rPr>
          <w:rFonts w:eastAsiaTheme="majorEastAsia"/>
          <w:color w:val="000000" w:themeColor="text1"/>
        </w:rPr>
      </w:pPr>
      <w:proofErr w:type="spellStart"/>
      <w:r w:rsidRPr="0071647F">
        <w:rPr>
          <w:rFonts w:eastAsiaTheme="majorEastAsia"/>
          <w:color w:val="000000" w:themeColor="text1"/>
        </w:rPr>
        <w:t>Arbitrum</w:t>
      </w:r>
      <w:proofErr w:type="spellEnd"/>
      <w:r w:rsidRPr="0071647F">
        <w:rPr>
          <w:rFonts w:eastAsiaTheme="majorEastAsia"/>
          <w:color w:val="000000" w:themeColor="text1"/>
        </w:rPr>
        <w:t>/Optimism: $2,500 minimum</w:t>
      </w:r>
    </w:p>
    <w:p w14:paraId="522DC03F" w14:textId="77777777" w:rsidR="006A21B5" w:rsidRPr="0071647F" w:rsidRDefault="006A21B5" w:rsidP="006B21E2">
      <w:pPr>
        <w:numPr>
          <w:ilvl w:val="0"/>
          <w:numId w:val="34"/>
        </w:numPr>
        <w:jc w:val="both"/>
        <w:rPr>
          <w:rFonts w:eastAsiaTheme="majorEastAsia"/>
          <w:color w:val="000000" w:themeColor="text1"/>
        </w:rPr>
      </w:pPr>
      <w:r w:rsidRPr="0071647F">
        <w:rPr>
          <w:rFonts w:eastAsiaTheme="majorEastAsia"/>
          <w:color w:val="000000" w:themeColor="text1"/>
        </w:rPr>
        <w:t>Polygon/BSC: $500 minimum</w:t>
      </w:r>
    </w:p>
    <w:p w14:paraId="40350AA7" w14:textId="77777777" w:rsidR="006A21B5" w:rsidRPr="0071647F" w:rsidRDefault="006A21B5" w:rsidP="006B21E2">
      <w:pPr>
        <w:numPr>
          <w:ilvl w:val="0"/>
          <w:numId w:val="34"/>
        </w:numPr>
        <w:jc w:val="both"/>
        <w:rPr>
          <w:rFonts w:eastAsiaTheme="majorEastAsia"/>
          <w:color w:val="000000" w:themeColor="text1"/>
        </w:rPr>
      </w:pPr>
      <w:r w:rsidRPr="0071647F">
        <w:rPr>
          <w:rFonts w:eastAsiaTheme="majorEastAsia"/>
          <w:color w:val="000000" w:themeColor="text1"/>
        </w:rPr>
        <w:t>Solana: $300 minimum</w:t>
      </w:r>
    </w:p>
    <w:p w14:paraId="3F364A1F" w14:textId="77777777" w:rsidR="00A04269" w:rsidRPr="0071647F" w:rsidRDefault="00A04269" w:rsidP="006B21E2">
      <w:pPr>
        <w:jc w:val="both"/>
        <w:rPr>
          <w:rFonts w:eastAsiaTheme="majorEastAsia"/>
          <w:color w:val="000000" w:themeColor="text1"/>
        </w:rPr>
      </w:pPr>
    </w:p>
    <w:p w14:paraId="242B5E32" w14:textId="36E3460F" w:rsidR="00020EFF" w:rsidRPr="003140A0" w:rsidRDefault="00020EFF" w:rsidP="006B21E2">
      <w:pPr>
        <w:jc w:val="both"/>
        <w:rPr>
          <w:rFonts w:eastAsiaTheme="majorEastAsia"/>
          <w:color w:val="000000" w:themeColor="text1"/>
        </w:rPr>
      </w:pPr>
      <w:r w:rsidRPr="003140A0">
        <w:rPr>
          <w:rFonts w:eastAsiaTheme="majorEastAsia"/>
          <w:color w:val="000000" w:themeColor="text1"/>
        </w:rPr>
        <w:lastRenderedPageBreak/>
        <w:t>Table 5.</w:t>
      </w:r>
      <w:r w:rsidR="00C5607F">
        <w:rPr>
          <w:rFonts w:eastAsiaTheme="majorEastAsia"/>
          <w:color w:val="000000" w:themeColor="text1"/>
        </w:rPr>
        <w:t>C</w:t>
      </w:r>
      <w:r w:rsidRPr="003140A0">
        <w:rPr>
          <w:rFonts w:eastAsiaTheme="majorEastAsia"/>
          <w:color w:val="000000" w:themeColor="text1"/>
        </w:rPr>
        <w:t xml:space="preserve"> s</w:t>
      </w:r>
      <w:r w:rsidR="003140A0" w:rsidRPr="003140A0">
        <w:rPr>
          <w:rFonts w:eastAsiaTheme="majorEastAsia"/>
          <w:color w:val="000000" w:themeColor="text1"/>
        </w:rPr>
        <w:t xml:space="preserve">ummarizes </w:t>
      </w:r>
      <w:r w:rsidRPr="003140A0">
        <w:rPr>
          <w:rFonts w:eastAsiaTheme="majorEastAsia"/>
          <w:color w:val="000000" w:themeColor="text1"/>
        </w:rPr>
        <w:t xml:space="preserve">the empirical break-even thresholds that determine </w:t>
      </w:r>
      <w:r w:rsidR="003140A0" w:rsidRPr="003140A0">
        <w:rPr>
          <w:rFonts w:eastAsiaTheme="majorEastAsia"/>
          <w:color w:val="000000" w:themeColor="text1"/>
        </w:rPr>
        <w:t xml:space="preserve">the </w:t>
      </w:r>
      <w:r w:rsidRPr="003140A0">
        <w:rPr>
          <w:rFonts w:eastAsiaTheme="majorEastAsia"/>
          <w:color w:val="000000" w:themeColor="text1"/>
        </w:rPr>
        <w:t>network viability for limited-capital participants,</w:t>
      </w:r>
      <w:r w:rsidR="003140A0" w:rsidRPr="003140A0">
        <w:rPr>
          <w:rFonts w:eastAsiaTheme="majorEastAsia"/>
          <w:color w:val="000000" w:themeColor="text1"/>
        </w:rPr>
        <w:t xml:space="preserve"> </w:t>
      </w:r>
      <w:proofErr w:type="gramStart"/>
      <w:r w:rsidR="003140A0" w:rsidRPr="003140A0">
        <w:rPr>
          <w:rFonts w:eastAsiaTheme="majorEastAsia"/>
          <w:color w:val="000000" w:themeColor="text1"/>
        </w:rPr>
        <w:t>It</w:t>
      </w:r>
      <w:proofErr w:type="gramEnd"/>
      <w:r w:rsidR="003140A0" w:rsidRPr="003140A0">
        <w:rPr>
          <w:rFonts w:eastAsiaTheme="majorEastAsia"/>
          <w:color w:val="000000" w:themeColor="text1"/>
        </w:rPr>
        <w:t xml:space="preserve"> </w:t>
      </w:r>
      <w:proofErr w:type="spellStart"/>
      <w:r w:rsidRPr="003140A0">
        <w:rPr>
          <w:rFonts w:eastAsiaTheme="majorEastAsia"/>
          <w:color w:val="000000" w:themeColor="text1"/>
        </w:rPr>
        <w:t>demonstrati</w:t>
      </w:r>
      <w:r w:rsidR="003140A0" w:rsidRPr="003140A0">
        <w:rPr>
          <w:rFonts w:eastAsiaTheme="majorEastAsia"/>
          <w:color w:val="000000" w:themeColor="text1"/>
        </w:rPr>
        <w:t>es</w:t>
      </w:r>
      <w:proofErr w:type="spellEnd"/>
      <w:r w:rsidRPr="003140A0">
        <w:rPr>
          <w:rFonts w:eastAsiaTheme="majorEastAsia"/>
          <w:color w:val="000000" w:themeColor="text1"/>
        </w:rPr>
        <w:t xml:space="preserve"> how blockchain architecture fundamentally constrains opportunity sets.</w:t>
      </w:r>
    </w:p>
    <w:p w14:paraId="54BDE673" w14:textId="77777777" w:rsidR="00020EFF" w:rsidRPr="0071647F" w:rsidRDefault="00020EFF" w:rsidP="006B21E2">
      <w:pPr>
        <w:jc w:val="both"/>
        <w:rPr>
          <w:rFonts w:eastAsiaTheme="majorEastAsia"/>
          <w:color w:val="000000" w:themeColor="text1"/>
        </w:rPr>
      </w:pPr>
    </w:p>
    <w:p w14:paraId="5E924772" w14:textId="7AE4C0BC" w:rsidR="00417114" w:rsidRPr="003140A0" w:rsidRDefault="00417114" w:rsidP="006B21E2">
      <w:pPr>
        <w:pStyle w:val="Heading3"/>
        <w:jc w:val="both"/>
        <w:rPr>
          <w:color w:val="000000" w:themeColor="text1"/>
        </w:rPr>
      </w:pPr>
      <w:bookmarkStart w:id="113" w:name="_Toc214721919"/>
      <w:r w:rsidRPr="005565E4">
        <w:rPr>
          <w:color w:val="000000" w:themeColor="text1"/>
        </w:rPr>
        <w:t>Table 5.</w:t>
      </w:r>
      <w:r w:rsidR="00C5607F">
        <w:rPr>
          <w:color w:val="000000" w:themeColor="text1"/>
        </w:rPr>
        <w:t>C</w:t>
      </w:r>
      <w:r w:rsidRPr="005565E4">
        <w:rPr>
          <w:color w:val="000000" w:themeColor="text1"/>
        </w:rPr>
        <w:t>: Network Viability Thresholds - Break-even Analysis by Blockchain</w:t>
      </w:r>
      <w:bookmarkEnd w:id="113"/>
    </w:p>
    <w:p w14:paraId="04646CF1" w14:textId="77777777" w:rsidR="00DE6214" w:rsidRDefault="00DE6214" w:rsidP="006B21E2">
      <w:pPr>
        <w:jc w:val="both"/>
        <w:rPr>
          <w:rFonts w:eastAsiaTheme="majorEastAsia"/>
          <w:color w:val="000000" w:themeColor="text1"/>
          <w:sz w:val="20"/>
          <w:szCs w:val="20"/>
        </w:rPr>
      </w:pPr>
    </w:p>
    <w:tbl>
      <w:tblPr>
        <w:tblW w:w="9350" w:type="dxa"/>
        <w:tblLook w:val="04A0" w:firstRow="1" w:lastRow="0" w:firstColumn="1" w:lastColumn="0" w:noHBand="0" w:noVBand="1"/>
      </w:tblPr>
      <w:tblGrid>
        <w:gridCol w:w="1700"/>
        <w:gridCol w:w="1710"/>
        <w:gridCol w:w="1440"/>
        <w:gridCol w:w="1350"/>
        <w:gridCol w:w="3150"/>
      </w:tblGrid>
      <w:tr w:rsidR="00DE6214" w14:paraId="587BDD17" w14:textId="77777777" w:rsidTr="00DE6214">
        <w:trPr>
          <w:trHeight w:val="580"/>
        </w:trPr>
        <w:tc>
          <w:tcPr>
            <w:tcW w:w="1700" w:type="dxa"/>
            <w:tcBorders>
              <w:top w:val="single" w:sz="8" w:space="0" w:color="CCCCCC"/>
              <w:left w:val="single" w:sz="8" w:space="0" w:color="CCCCCC"/>
              <w:bottom w:val="single" w:sz="8" w:space="0" w:color="CCCCCC"/>
              <w:right w:val="single" w:sz="8" w:space="0" w:color="CCCCCC"/>
            </w:tcBorders>
            <w:shd w:val="clear" w:color="000000" w:fill="D9D9D9"/>
            <w:vAlign w:val="center"/>
            <w:hideMark/>
          </w:tcPr>
          <w:p w14:paraId="22B219EB" w14:textId="77777777" w:rsidR="00DE6214" w:rsidRDefault="00DE6214" w:rsidP="006B21E2">
            <w:pPr>
              <w:jc w:val="center"/>
              <w:rPr>
                <w:b/>
                <w:bCs/>
                <w:color w:val="000000"/>
                <w:sz w:val="20"/>
                <w:szCs w:val="20"/>
              </w:rPr>
            </w:pPr>
            <w:r>
              <w:rPr>
                <w:b/>
                <w:bCs/>
                <w:color w:val="000000"/>
                <w:sz w:val="20"/>
                <w:szCs w:val="20"/>
              </w:rPr>
              <w:t>Network</w:t>
            </w:r>
          </w:p>
        </w:tc>
        <w:tc>
          <w:tcPr>
            <w:tcW w:w="1710" w:type="dxa"/>
            <w:tcBorders>
              <w:top w:val="single" w:sz="8" w:space="0" w:color="CCCCCC"/>
              <w:left w:val="nil"/>
              <w:bottom w:val="single" w:sz="8" w:space="0" w:color="CCCCCC"/>
              <w:right w:val="single" w:sz="8" w:space="0" w:color="CCCCCC"/>
            </w:tcBorders>
            <w:shd w:val="clear" w:color="000000" w:fill="D9D9D9"/>
            <w:vAlign w:val="center"/>
            <w:hideMark/>
          </w:tcPr>
          <w:p w14:paraId="25991A86" w14:textId="77777777" w:rsidR="00DE6214" w:rsidRDefault="00DE6214" w:rsidP="006B21E2">
            <w:pPr>
              <w:jc w:val="center"/>
              <w:rPr>
                <w:b/>
                <w:bCs/>
                <w:color w:val="000000"/>
                <w:sz w:val="20"/>
                <w:szCs w:val="20"/>
              </w:rPr>
            </w:pPr>
            <w:r>
              <w:rPr>
                <w:b/>
                <w:bCs/>
                <w:color w:val="000000"/>
                <w:sz w:val="20"/>
                <w:szCs w:val="20"/>
              </w:rPr>
              <w:t>Minimum Viable Capital</w:t>
            </w:r>
          </w:p>
        </w:tc>
        <w:tc>
          <w:tcPr>
            <w:tcW w:w="1440" w:type="dxa"/>
            <w:tcBorders>
              <w:top w:val="single" w:sz="8" w:space="0" w:color="CCCCCC"/>
              <w:left w:val="nil"/>
              <w:bottom w:val="single" w:sz="8" w:space="0" w:color="CCCCCC"/>
              <w:right w:val="single" w:sz="8" w:space="0" w:color="CCCCCC"/>
            </w:tcBorders>
            <w:shd w:val="clear" w:color="000000" w:fill="D9D9D9"/>
            <w:vAlign w:val="center"/>
            <w:hideMark/>
          </w:tcPr>
          <w:p w14:paraId="7D9B4B76" w14:textId="77777777" w:rsidR="00DE6214" w:rsidRDefault="00DE6214" w:rsidP="006B21E2">
            <w:pPr>
              <w:jc w:val="center"/>
              <w:rPr>
                <w:b/>
                <w:bCs/>
                <w:color w:val="000000"/>
                <w:sz w:val="20"/>
                <w:szCs w:val="20"/>
              </w:rPr>
            </w:pPr>
            <w:r>
              <w:rPr>
                <w:b/>
                <w:bCs/>
                <w:color w:val="000000"/>
                <w:sz w:val="20"/>
                <w:szCs w:val="20"/>
              </w:rPr>
              <w:t>Average Gas Cost per Transaction</w:t>
            </w:r>
          </w:p>
        </w:tc>
        <w:tc>
          <w:tcPr>
            <w:tcW w:w="1350" w:type="dxa"/>
            <w:tcBorders>
              <w:top w:val="single" w:sz="8" w:space="0" w:color="CCCCCC"/>
              <w:left w:val="nil"/>
              <w:bottom w:val="single" w:sz="8" w:space="0" w:color="CCCCCC"/>
              <w:right w:val="single" w:sz="8" w:space="0" w:color="CCCCCC"/>
            </w:tcBorders>
            <w:shd w:val="clear" w:color="000000" w:fill="D9D9D9"/>
            <w:vAlign w:val="center"/>
            <w:hideMark/>
          </w:tcPr>
          <w:p w14:paraId="49AAE454" w14:textId="77777777" w:rsidR="00DE6214" w:rsidRDefault="00DE6214" w:rsidP="006B21E2">
            <w:pPr>
              <w:jc w:val="center"/>
              <w:rPr>
                <w:b/>
                <w:bCs/>
                <w:color w:val="000000"/>
                <w:sz w:val="20"/>
                <w:szCs w:val="20"/>
              </w:rPr>
            </w:pPr>
            <w:r>
              <w:rPr>
                <w:b/>
                <w:bCs/>
                <w:color w:val="000000"/>
                <w:sz w:val="20"/>
                <w:szCs w:val="20"/>
              </w:rPr>
              <w:t>Median Annual Returns</w:t>
            </w:r>
          </w:p>
        </w:tc>
        <w:tc>
          <w:tcPr>
            <w:tcW w:w="3150" w:type="dxa"/>
            <w:tcBorders>
              <w:top w:val="single" w:sz="8" w:space="0" w:color="CCCCCC"/>
              <w:left w:val="nil"/>
              <w:bottom w:val="single" w:sz="8" w:space="0" w:color="CCCCCC"/>
              <w:right w:val="single" w:sz="8" w:space="0" w:color="CCCCCC"/>
            </w:tcBorders>
            <w:shd w:val="clear" w:color="000000" w:fill="D9D9D9"/>
            <w:vAlign w:val="center"/>
            <w:hideMark/>
          </w:tcPr>
          <w:p w14:paraId="3C064B19" w14:textId="77777777" w:rsidR="00DE6214" w:rsidRDefault="00DE6214" w:rsidP="006B21E2">
            <w:pPr>
              <w:jc w:val="center"/>
              <w:rPr>
                <w:b/>
                <w:bCs/>
                <w:color w:val="000000"/>
                <w:sz w:val="20"/>
                <w:szCs w:val="20"/>
              </w:rPr>
            </w:pPr>
            <w:r>
              <w:rPr>
                <w:b/>
                <w:bCs/>
                <w:color w:val="000000"/>
                <w:sz w:val="20"/>
                <w:szCs w:val="20"/>
              </w:rPr>
              <w:t>Break-even Rationale</w:t>
            </w:r>
          </w:p>
        </w:tc>
      </w:tr>
      <w:tr w:rsidR="00DE6214" w14:paraId="598EA8F3" w14:textId="77777777" w:rsidTr="00DE6214">
        <w:trPr>
          <w:trHeight w:val="59"/>
        </w:trPr>
        <w:tc>
          <w:tcPr>
            <w:tcW w:w="1700" w:type="dxa"/>
            <w:tcBorders>
              <w:top w:val="nil"/>
              <w:left w:val="single" w:sz="8" w:space="0" w:color="CCCCCC"/>
              <w:bottom w:val="single" w:sz="8" w:space="0" w:color="CCCCCC"/>
              <w:right w:val="single" w:sz="8" w:space="0" w:color="CCCCCC"/>
            </w:tcBorders>
            <w:shd w:val="clear" w:color="000000" w:fill="FFFFFF"/>
            <w:vAlign w:val="center"/>
            <w:hideMark/>
          </w:tcPr>
          <w:p w14:paraId="22DDA17C" w14:textId="77777777" w:rsidR="00DE6214" w:rsidRDefault="00DE6214" w:rsidP="006B21E2">
            <w:pPr>
              <w:rPr>
                <w:color w:val="000000"/>
                <w:sz w:val="20"/>
                <w:szCs w:val="20"/>
              </w:rPr>
            </w:pPr>
            <w:r>
              <w:rPr>
                <w:color w:val="000000"/>
                <w:sz w:val="20"/>
                <w:szCs w:val="20"/>
              </w:rPr>
              <w:t xml:space="preserve">Ethereum </w:t>
            </w:r>
            <w:proofErr w:type="spellStart"/>
            <w:r>
              <w:rPr>
                <w:color w:val="000000"/>
                <w:sz w:val="20"/>
                <w:szCs w:val="20"/>
              </w:rPr>
              <w:t>Mainnet</w:t>
            </w:r>
            <w:proofErr w:type="spellEnd"/>
          </w:p>
        </w:tc>
        <w:tc>
          <w:tcPr>
            <w:tcW w:w="1710" w:type="dxa"/>
            <w:tcBorders>
              <w:top w:val="nil"/>
              <w:left w:val="nil"/>
              <w:bottom w:val="single" w:sz="8" w:space="0" w:color="CCCCCC"/>
              <w:right w:val="single" w:sz="8" w:space="0" w:color="CCCCCC"/>
            </w:tcBorders>
            <w:shd w:val="clear" w:color="000000" w:fill="FFFFFF"/>
            <w:vAlign w:val="center"/>
            <w:hideMark/>
          </w:tcPr>
          <w:p w14:paraId="2B88DBA1" w14:textId="77777777" w:rsidR="00DE6214" w:rsidRDefault="00DE6214" w:rsidP="006B21E2">
            <w:pPr>
              <w:jc w:val="center"/>
              <w:rPr>
                <w:color w:val="000000"/>
                <w:sz w:val="20"/>
                <w:szCs w:val="20"/>
              </w:rPr>
            </w:pPr>
            <w:r>
              <w:rPr>
                <w:color w:val="000000"/>
                <w:sz w:val="20"/>
                <w:szCs w:val="20"/>
              </w:rPr>
              <w:t>$25,000 (range: $18,000-$31,000)</w:t>
            </w:r>
          </w:p>
        </w:tc>
        <w:tc>
          <w:tcPr>
            <w:tcW w:w="1440" w:type="dxa"/>
            <w:tcBorders>
              <w:top w:val="nil"/>
              <w:left w:val="nil"/>
              <w:bottom w:val="single" w:sz="8" w:space="0" w:color="CCCCCC"/>
              <w:right w:val="single" w:sz="8" w:space="0" w:color="CCCCCC"/>
            </w:tcBorders>
            <w:shd w:val="clear" w:color="000000" w:fill="FFFFFF"/>
            <w:vAlign w:val="center"/>
            <w:hideMark/>
          </w:tcPr>
          <w:p w14:paraId="3C5E7133" w14:textId="77777777" w:rsidR="00DE6214" w:rsidRDefault="00DE6214" w:rsidP="006B21E2">
            <w:pPr>
              <w:jc w:val="center"/>
              <w:rPr>
                <w:color w:val="000000"/>
                <w:sz w:val="20"/>
                <w:szCs w:val="20"/>
              </w:rPr>
            </w:pPr>
            <w:r>
              <w:rPr>
                <w:color w:val="000000"/>
                <w:sz w:val="20"/>
                <w:szCs w:val="20"/>
              </w:rPr>
              <w:t>$15-$60</w:t>
            </w:r>
          </w:p>
        </w:tc>
        <w:tc>
          <w:tcPr>
            <w:tcW w:w="1350" w:type="dxa"/>
            <w:tcBorders>
              <w:top w:val="nil"/>
              <w:left w:val="nil"/>
              <w:bottom w:val="single" w:sz="8" w:space="0" w:color="CCCCCC"/>
              <w:right w:val="single" w:sz="8" w:space="0" w:color="CCCCCC"/>
            </w:tcBorders>
            <w:shd w:val="clear" w:color="000000" w:fill="FFFFFF"/>
            <w:vAlign w:val="center"/>
            <w:hideMark/>
          </w:tcPr>
          <w:p w14:paraId="0E2996D5" w14:textId="77777777" w:rsidR="00DE6214" w:rsidRDefault="00DE6214" w:rsidP="006B21E2">
            <w:pPr>
              <w:jc w:val="center"/>
              <w:rPr>
                <w:color w:val="000000"/>
                <w:sz w:val="20"/>
                <w:szCs w:val="20"/>
              </w:rPr>
            </w:pPr>
            <w:r>
              <w:rPr>
                <w:color w:val="000000"/>
                <w:sz w:val="20"/>
                <w:szCs w:val="20"/>
              </w:rPr>
              <w:t>14.70%</w:t>
            </w:r>
          </w:p>
        </w:tc>
        <w:tc>
          <w:tcPr>
            <w:tcW w:w="3150" w:type="dxa"/>
            <w:tcBorders>
              <w:top w:val="nil"/>
              <w:left w:val="nil"/>
              <w:bottom w:val="single" w:sz="8" w:space="0" w:color="CCCCCC"/>
              <w:right w:val="single" w:sz="8" w:space="0" w:color="CCCCCC"/>
            </w:tcBorders>
            <w:shd w:val="clear" w:color="000000" w:fill="FFFFFF"/>
            <w:vAlign w:val="center"/>
            <w:hideMark/>
          </w:tcPr>
          <w:p w14:paraId="6C8C3308" w14:textId="77777777" w:rsidR="00DE6214" w:rsidRDefault="00DE6214" w:rsidP="006B21E2">
            <w:pPr>
              <w:rPr>
                <w:color w:val="000000"/>
                <w:sz w:val="20"/>
                <w:szCs w:val="20"/>
              </w:rPr>
            </w:pPr>
            <w:r>
              <w:rPr>
                <w:color w:val="000000"/>
                <w:sz w:val="20"/>
                <w:szCs w:val="20"/>
              </w:rPr>
              <w:t>High gas costs require large positions to overcome fixed operational expenses</w:t>
            </w:r>
          </w:p>
        </w:tc>
      </w:tr>
      <w:tr w:rsidR="00DE6214" w14:paraId="48F6119C" w14:textId="77777777" w:rsidTr="003140A0">
        <w:trPr>
          <w:trHeight w:val="59"/>
        </w:trPr>
        <w:tc>
          <w:tcPr>
            <w:tcW w:w="1700" w:type="dxa"/>
            <w:tcBorders>
              <w:top w:val="nil"/>
              <w:left w:val="single" w:sz="8" w:space="0" w:color="CCCCCC"/>
              <w:bottom w:val="single" w:sz="8" w:space="0" w:color="CCCCCC"/>
              <w:right w:val="single" w:sz="8" w:space="0" w:color="CCCCCC"/>
            </w:tcBorders>
            <w:shd w:val="clear" w:color="000000" w:fill="FFFFFF"/>
            <w:vAlign w:val="center"/>
            <w:hideMark/>
          </w:tcPr>
          <w:p w14:paraId="50F45375" w14:textId="77777777" w:rsidR="00DE6214" w:rsidRDefault="00DE6214" w:rsidP="006B21E2">
            <w:pPr>
              <w:rPr>
                <w:color w:val="000000"/>
                <w:sz w:val="20"/>
                <w:szCs w:val="20"/>
              </w:rPr>
            </w:pPr>
            <w:r>
              <w:rPr>
                <w:color w:val="000000"/>
                <w:sz w:val="20"/>
                <w:szCs w:val="20"/>
              </w:rPr>
              <w:t>Layer 2 Solutions (</w:t>
            </w:r>
            <w:proofErr w:type="spellStart"/>
            <w:r>
              <w:rPr>
                <w:color w:val="000000"/>
                <w:sz w:val="20"/>
                <w:szCs w:val="20"/>
              </w:rPr>
              <w:t>Arbitrum</w:t>
            </w:r>
            <w:proofErr w:type="spellEnd"/>
            <w:r>
              <w:rPr>
                <w:color w:val="000000"/>
                <w:sz w:val="20"/>
                <w:szCs w:val="20"/>
              </w:rPr>
              <w:t>, Optimism)</w:t>
            </w:r>
          </w:p>
        </w:tc>
        <w:tc>
          <w:tcPr>
            <w:tcW w:w="1710" w:type="dxa"/>
            <w:tcBorders>
              <w:top w:val="nil"/>
              <w:left w:val="nil"/>
              <w:bottom w:val="single" w:sz="8" w:space="0" w:color="CCCCCC"/>
              <w:right w:val="single" w:sz="8" w:space="0" w:color="CCCCCC"/>
            </w:tcBorders>
            <w:shd w:val="clear" w:color="000000" w:fill="FFFFFF"/>
            <w:vAlign w:val="center"/>
            <w:hideMark/>
          </w:tcPr>
          <w:p w14:paraId="48329FE5" w14:textId="77777777" w:rsidR="00DE6214" w:rsidRDefault="00DE6214" w:rsidP="006B21E2">
            <w:pPr>
              <w:jc w:val="center"/>
              <w:rPr>
                <w:color w:val="000000"/>
                <w:sz w:val="20"/>
                <w:szCs w:val="20"/>
              </w:rPr>
            </w:pPr>
            <w:r>
              <w:rPr>
                <w:color w:val="000000"/>
                <w:sz w:val="20"/>
                <w:szCs w:val="20"/>
              </w:rPr>
              <w:t>$3,500 (±$1,000)</w:t>
            </w:r>
          </w:p>
        </w:tc>
        <w:tc>
          <w:tcPr>
            <w:tcW w:w="1440" w:type="dxa"/>
            <w:tcBorders>
              <w:top w:val="nil"/>
              <w:left w:val="nil"/>
              <w:bottom w:val="single" w:sz="8" w:space="0" w:color="CCCCCC"/>
              <w:right w:val="single" w:sz="8" w:space="0" w:color="CCCCCC"/>
            </w:tcBorders>
            <w:shd w:val="clear" w:color="000000" w:fill="FFFFFF"/>
            <w:vAlign w:val="center"/>
            <w:hideMark/>
          </w:tcPr>
          <w:p w14:paraId="592CFFB6" w14:textId="77777777" w:rsidR="00DE6214" w:rsidRDefault="00DE6214" w:rsidP="006B21E2">
            <w:pPr>
              <w:jc w:val="center"/>
              <w:rPr>
                <w:color w:val="000000"/>
                <w:sz w:val="20"/>
                <w:szCs w:val="20"/>
              </w:rPr>
            </w:pPr>
            <w:r>
              <w:rPr>
                <w:color w:val="000000"/>
                <w:sz w:val="20"/>
                <w:szCs w:val="20"/>
              </w:rPr>
              <w:t>$2-$5</w:t>
            </w:r>
          </w:p>
        </w:tc>
        <w:tc>
          <w:tcPr>
            <w:tcW w:w="1350" w:type="dxa"/>
            <w:tcBorders>
              <w:top w:val="nil"/>
              <w:left w:val="nil"/>
              <w:bottom w:val="single" w:sz="8" w:space="0" w:color="CCCCCC"/>
              <w:right w:val="single" w:sz="8" w:space="0" w:color="CCCCCC"/>
            </w:tcBorders>
            <w:shd w:val="clear" w:color="000000" w:fill="FFFFFF"/>
            <w:vAlign w:val="center"/>
            <w:hideMark/>
          </w:tcPr>
          <w:p w14:paraId="2E5ADC0F" w14:textId="77777777" w:rsidR="00DE6214" w:rsidRDefault="00DE6214" w:rsidP="006B21E2">
            <w:pPr>
              <w:jc w:val="center"/>
              <w:rPr>
                <w:color w:val="000000"/>
                <w:sz w:val="20"/>
                <w:szCs w:val="20"/>
              </w:rPr>
            </w:pPr>
            <w:r>
              <w:rPr>
                <w:color w:val="000000"/>
                <w:sz w:val="20"/>
                <w:szCs w:val="20"/>
              </w:rPr>
              <w:t>10.50%</w:t>
            </w:r>
          </w:p>
        </w:tc>
        <w:tc>
          <w:tcPr>
            <w:tcW w:w="3150" w:type="dxa"/>
            <w:tcBorders>
              <w:top w:val="nil"/>
              <w:left w:val="nil"/>
              <w:bottom w:val="single" w:sz="8" w:space="0" w:color="CCCCCC"/>
              <w:right w:val="single" w:sz="8" w:space="0" w:color="CCCCCC"/>
            </w:tcBorders>
            <w:shd w:val="clear" w:color="000000" w:fill="FFFFFF"/>
            <w:vAlign w:val="center"/>
            <w:hideMark/>
          </w:tcPr>
          <w:p w14:paraId="6EB8F759" w14:textId="77777777" w:rsidR="00DE6214" w:rsidRDefault="00DE6214" w:rsidP="006B21E2">
            <w:pPr>
              <w:rPr>
                <w:color w:val="000000"/>
                <w:sz w:val="20"/>
                <w:szCs w:val="20"/>
              </w:rPr>
            </w:pPr>
            <w:r>
              <w:rPr>
                <w:color w:val="000000"/>
                <w:sz w:val="20"/>
                <w:szCs w:val="20"/>
              </w:rPr>
              <w:t>Reduced gas enables profitability at mid-range capital levels</w:t>
            </w:r>
          </w:p>
        </w:tc>
      </w:tr>
      <w:tr w:rsidR="00DE6214" w14:paraId="6BA238AB" w14:textId="77777777" w:rsidTr="003140A0">
        <w:trPr>
          <w:trHeight w:val="106"/>
        </w:trPr>
        <w:tc>
          <w:tcPr>
            <w:tcW w:w="1700" w:type="dxa"/>
            <w:tcBorders>
              <w:top w:val="nil"/>
              <w:left w:val="single" w:sz="8" w:space="0" w:color="CCCCCC"/>
              <w:bottom w:val="single" w:sz="8" w:space="0" w:color="CCCCCC"/>
              <w:right w:val="single" w:sz="8" w:space="0" w:color="CCCCCC"/>
            </w:tcBorders>
            <w:shd w:val="clear" w:color="000000" w:fill="FFFFFF"/>
            <w:vAlign w:val="center"/>
            <w:hideMark/>
          </w:tcPr>
          <w:p w14:paraId="230E6650" w14:textId="77777777" w:rsidR="00DE6214" w:rsidRDefault="00DE6214" w:rsidP="006B21E2">
            <w:pPr>
              <w:rPr>
                <w:color w:val="000000"/>
                <w:sz w:val="20"/>
                <w:szCs w:val="20"/>
              </w:rPr>
            </w:pPr>
            <w:r>
              <w:rPr>
                <w:color w:val="000000"/>
                <w:sz w:val="20"/>
                <w:szCs w:val="20"/>
              </w:rPr>
              <w:t>Polygon/BSC</w:t>
            </w:r>
          </w:p>
        </w:tc>
        <w:tc>
          <w:tcPr>
            <w:tcW w:w="1710" w:type="dxa"/>
            <w:tcBorders>
              <w:top w:val="nil"/>
              <w:left w:val="nil"/>
              <w:bottom w:val="single" w:sz="8" w:space="0" w:color="CCCCCC"/>
              <w:right w:val="single" w:sz="8" w:space="0" w:color="CCCCCC"/>
            </w:tcBorders>
            <w:shd w:val="clear" w:color="000000" w:fill="FFFFFF"/>
            <w:vAlign w:val="center"/>
            <w:hideMark/>
          </w:tcPr>
          <w:p w14:paraId="7A77E054" w14:textId="77777777" w:rsidR="00DE6214" w:rsidRDefault="00DE6214" w:rsidP="006B21E2">
            <w:pPr>
              <w:jc w:val="center"/>
              <w:rPr>
                <w:color w:val="000000"/>
                <w:sz w:val="20"/>
                <w:szCs w:val="20"/>
              </w:rPr>
            </w:pPr>
            <w:r>
              <w:rPr>
                <w:color w:val="000000"/>
                <w:sz w:val="20"/>
                <w:szCs w:val="20"/>
              </w:rPr>
              <w:t>$750 (±$250)</w:t>
            </w:r>
          </w:p>
        </w:tc>
        <w:tc>
          <w:tcPr>
            <w:tcW w:w="1440" w:type="dxa"/>
            <w:tcBorders>
              <w:top w:val="nil"/>
              <w:left w:val="nil"/>
              <w:bottom w:val="single" w:sz="8" w:space="0" w:color="CCCCCC"/>
              <w:right w:val="single" w:sz="8" w:space="0" w:color="CCCCCC"/>
            </w:tcBorders>
            <w:shd w:val="clear" w:color="000000" w:fill="FFFFFF"/>
            <w:vAlign w:val="center"/>
            <w:hideMark/>
          </w:tcPr>
          <w:p w14:paraId="63E5EB7A" w14:textId="77777777" w:rsidR="00DE6214" w:rsidRDefault="00DE6214" w:rsidP="006B21E2">
            <w:pPr>
              <w:jc w:val="center"/>
              <w:rPr>
                <w:color w:val="000000"/>
                <w:sz w:val="20"/>
                <w:szCs w:val="20"/>
              </w:rPr>
            </w:pPr>
            <w:r>
              <w:rPr>
                <w:color w:val="000000"/>
                <w:sz w:val="20"/>
                <w:szCs w:val="20"/>
              </w:rPr>
              <w:t>$0.10-$0.50</w:t>
            </w:r>
          </w:p>
        </w:tc>
        <w:tc>
          <w:tcPr>
            <w:tcW w:w="1350" w:type="dxa"/>
            <w:tcBorders>
              <w:top w:val="nil"/>
              <w:left w:val="nil"/>
              <w:bottom w:val="single" w:sz="8" w:space="0" w:color="CCCCCC"/>
              <w:right w:val="single" w:sz="8" w:space="0" w:color="CCCCCC"/>
            </w:tcBorders>
            <w:shd w:val="clear" w:color="000000" w:fill="FFFFFF"/>
            <w:vAlign w:val="center"/>
            <w:hideMark/>
          </w:tcPr>
          <w:p w14:paraId="068795FE" w14:textId="77777777" w:rsidR="00DE6214" w:rsidRDefault="00DE6214" w:rsidP="006B21E2">
            <w:pPr>
              <w:jc w:val="center"/>
              <w:rPr>
                <w:color w:val="000000"/>
                <w:sz w:val="20"/>
                <w:szCs w:val="20"/>
              </w:rPr>
            </w:pPr>
            <w:r>
              <w:rPr>
                <w:color w:val="000000"/>
                <w:sz w:val="20"/>
                <w:szCs w:val="20"/>
              </w:rPr>
              <w:t>8.20%</w:t>
            </w:r>
          </w:p>
        </w:tc>
        <w:tc>
          <w:tcPr>
            <w:tcW w:w="3150" w:type="dxa"/>
            <w:tcBorders>
              <w:top w:val="nil"/>
              <w:left w:val="nil"/>
              <w:bottom w:val="single" w:sz="8" w:space="0" w:color="CCCCCC"/>
              <w:right w:val="single" w:sz="8" w:space="0" w:color="CCCCCC"/>
            </w:tcBorders>
            <w:shd w:val="clear" w:color="000000" w:fill="FFFFFF"/>
            <w:vAlign w:val="center"/>
            <w:hideMark/>
          </w:tcPr>
          <w:p w14:paraId="1A91EF9E" w14:textId="77777777" w:rsidR="00DE6214" w:rsidRDefault="00DE6214" w:rsidP="006B21E2">
            <w:pPr>
              <w:rPr>
                <w:color w:val="000000"/>
                <w:sz w:val="20"/>
                <w:szCs w:val="20"/>
              </w:rPr>
            </w:pPr>
            <w:r>
              <w:rPr>
                <w:color w:val="000000"/>
                <w:sz w:val="20"/>
                <w:szCs w:val="20"/>
              </w:rPr>
              <w:t>Minimal gas costs allow smaller positions to achieve net profitability</w:t>
            </w:r>
          </w:p>
        </w:tc>
      </w:tr>
      <w:tr w:rsidR="00DE6214" w14:paraId="31602302" w14:textId="77777777" w:rsidTr="00DE6214">
        <w:trPr>
          <w:trHeight w:val="860"/>
        </w:trPr>
        <w:tc>
          <w:tcPr>
            <w:tcW w:w="1700" w:type="dxa"/>
            <w:tcBorders>
              <w:top w:val="nil"/>
              <w:left w:val="single" w:sz="8" w:space="0" w:color="CCCCCC"/>
              <w:bottom w:val="single" w:sz="8" w:space="0" w:color="CCCCCC"/>
              <w:right w:val="single" w:sz="8" w:space="0" w:color="CCCCCC"/>
            </w:tcBorders>
            <w:shd w:val="clear" w:color="000000" w:fill="FFFFFF"/>
            <w:vAlign w:val="center"/>
            <w:hideMark/>
          </w:tcPr>
          <w:p w14:paraId="4964E1C5" w14:textId="77777777" w:rsidR="00DE6214" w:rsidRDefault="00DE6214" w:rsidP="006B21E2">
            <w:pPr>
              <w:rPr>
                <w:color w:val="000000"/>
                <w:sz w:val="20"/>
                <w:szCs w:val="20"/>
              </w:rPr>
            </w:pPr>
            <w:r>
              <w:rPr>
                <w:color w:val="000000"/>
                <w:sz w:val="20"/>
                <w:szCs w:val="20"/>
              </w:rPr>
              <w:t>Solana</w:t>
            </w:r>
          </w:p>
        </w:tc>
        <w:tc>
          <w:tcPr>
            <w:tcW w:w="1710" w:type="dxa"/>
            <w:tcBorders>
              <w:top w:val="nil"/>
              <w:left w:val="nil"/>
              <w:bottom w:val="single" w:sz="8" w:space="0" w:color="CCCCCC"/>
              <w:right w:val="single" w:sz="8" w:space="0" w:color="CCCCCC"/>
            </w:tcBorders>
            <w:shd w:val="clear" w:color="000000" w:fill="FFFFFF"/>
            <w:vAlign w:val="center"/>
            <w:hideMark/>
          </w:tcPr>
          <w:p w14:paraId="3E3620C0" w14:textId="77777777" w:rsidR="00DE6214" w:rsidRDefault="00DE6214" w:rsidP="006B21E2">
            <w:pPr>
              <w:jc w:val="center"/>
              <w:rPr>
                <w:color w:val="000000"/>
                <w:sz w:val="20"/>
                <w:szCs w:val="20"/>
              </w:rPr>
            </w:pPr>
            <w:r>
              <w:rPr>
                <w:color w:val="000000"/>
                <w:sz w:val="20"/>
                <w:szCs w:val="20"/>
              </w:rPr>
              <w:t>$300 minimum</w:t>
            </w:r>
          </w:p>
        </w:tc>
        <w:tc>
          <w:tcPr>
            <w:tcW w:w="1440" w:type="dxa"/>
            <w:tcBorders>
              <w:top w:val="nil"/>
              <w:left w:val="nil"/>
              <w:bottom w:val="single" w:sz="8" w:space="0" w:color="CCCCCC"/>
              <w:right w:val="single" w:sz="8" w:space="0" w:color="CCCCCC"/>
            </w:tcBorders>
            <w:shd w:val="clear" w:color="000000" w:fill="FFFFFF"/>
            <w:vAlign w:val="center"/>
            <w:hideMark/>
          </w:tcPr>
          <w:p w14:paraId="3D934BF4" w14:textId="77777777" w:rsidR="00DE6214" w:rsidRDefault="00DE6214" w:rsidP="006B21E2">
            <w:pPr>
              <w:jc w:val="center"/>
              <w:rPr>
                <w:color w:val="000000"/>
                <w:sz w:val="20"/>
                <w:szCs w:val="20"/>
              </w:rPr>
            </w:pPr>
            <w:r>
              <w:rPr>
                <w:color w:val="000000"/>
                <w:sz w:val="20"/>
                <w:szCs w:val="20"/>
              </w:rPr>
              <w:t>$0.001-$0.01</w:t>
            </w:r>
          </w:p>
        </w:tc>
        <w:tc>
          <w:tcPr>
            <w:tcW w:w="1350" w:type="dxa"/>
            <w:tcBorders>
              <w:top w:val="nil"/>
              <w:left w:val="nil"/>
              <w:bottom w:val="single" w:sz="8" w:space="0" w:color="CCCCCC"/>
              <w:right w:val="single" w:sz="8" w:space="0" w:color="CCCCCC"/>
            </w:tcBorders>
            <w:shd w:val="clear" w:color="000000" w:fill="FFFFFF"/>
            <w:vAlign w:val="center"/>
            <w:hideMark/>
          </w:tcPr>
          <w:p w14:paraId="56D5A030" w14:textId="77777777" w:rsidR="00DE6214" w:rsidRDefault="00DE6214" w:rsidP="006B21E2">
            <w:pPr>
              <w:jc w:val="center"/>
              <w:rPr>
                <w:color w:val="000000"/>
                <w:sz w:val="20"/>
                <w:szCs w:val="20"/>
              </w:rPr>
            </w:pPr>
            <w:r>
              <w:rPr>
                <w:color w:val="000000"/>
                <w:sz w:val="20"/>
                <w:szCs w:val="20"/>
              </w:rPr>
              <w:t>6.80%</w:t>
            </w:r>
          </w:p>
        </w:tc>
        <w:tc>
          <w:tcPr>
            <w:tcW w:w="3150" w:type="dxa"/>
            <w:tcBorders>
              <w:top w:val="nil"/>
              <w:left w:val="nil"/>
              <w:bottom w:val="single" w:sz="8" w:space="0" w:color="CCCCCC"/>
              <w:right w:val="single" w:sz="8" w:space="0" w:color="CCCCCC"/>
            </w:tcBorders>
            <w:shd w:val="clear" w:color="000000" w:fill="FFFFFF"/>
            <w:vAlign w:val="center"/>
            <w:hideMark/>
          </w:tcPr>
          <w:p w14:paraId="5C6F3564" w14:textId="77777777" w:rsidR="00DE6214" w:rsidRDefault="00DE6214" w:rsidP="006B21E2">
            <w:pPr>
              <w:rPr>
                <w:color w:val="000000"/>
                <w:sz w:val="20"/>
                <w:szCs w:val="20"/>
              </w:rPr>
            </w:pPr>
            <w:r>
              <w:rPr>
                <w:color w:val="000000"/>
                <w:sz w:val="20"/>
                <w:szCs w:val="20"/>
              </w:rPr>
              <w:t>Ultra-low gas enables smallest viable positions but with lowest returns</w:t>
            </w:r>
          </w:p>
        </w:tc>
      </w:tr>
      <w:tr w:rsidR="00DE6214" w14:paraId="552DD3D9" w14:textId="77777777" w:rsidTr="00DE6214">
        <w:trPr>
          <w:trHeight w:val="59"/>
        </w:trPr>
        <w:tc>
          <w:tcPr>
            <w:tcW w:w="1700" w:type="dxa"/>
            <w:tcBorders>
              <w:top w:val="nil"/>
              <w:left w:val="single" w:sz="8" w:space="0" w:color="CCCCCC"/>
              <w:bottom w:val="single" w:sz="8" w:space="0" w:color="CCCCCC"/>
              <w:right w:val="single" w:sz="8" w:space="0" w:color="CCCCCC"/>
            </w:tcBorders>
            <w:shd w:val="clear" w:color="000000" w:fill="FFFFFF"/>
            <w:vAlign w:val="center"/>
            <w:hideMark/>
          </w:tcPr>
          <w:p w14:paraId="502BC9DC" w14:textId="77777777" w:rsidR="00DE6214" w:rsidRDefault="00DE6214" w:rsidP="006B21E2">
            <w:pPr>
              <w:rPr>
                <w:color w:val="000000"/>
                <w:sz w:val="20"/>
                <w:szCs w:val="20"/>
              </w:rPr>
            </w:pPr>
            <w:r>
              <w:rPr>
                <w:color w:val="000000"/>
                <w:sz w:val="20"/>
                <w:szCs w:val="20"/>
              </w:rPr>
              <w:t>Below Network Threshold</w:t>
            </w:r>
          </w:p>
        </w:tc>
        <w:tc>
          <w:tcPr>
            <w:tcW w:w="1710" w:type="dxa"/>
            <w:tcBorders>
              <w:top w:val="nil"/>
              <w:left w:val="nil"/>
              <w:bottom w:val="single" w:sz="8" w:space="0" w:color="CCCCCC"/>
              <w:right w:val="single" w:sz="8" w:space="0" w:color="CCCCCC"/>
            </w:tcBorders>
            <w:shd w:val="clear" w:color="000000" w:fill="FFFFFF"/>
            <w:vAlign w:val="center"/>
            <w:hideMark/>
          </w:tcPr>
          <w:p w14:paraId="3AEBD75C" w14:textId="77777777" w:rsidR="00DE6214" w:rsidRDefault="00DE6214" w:rsidP="006B21E2">
            <w:pPr>
              <w:jc w:val="center"/>
              <w:rPr>
                <w:color w:val="000000"/>
                <w:sz w:val="20"/>
                <w:szCs w:val="20"/>
              </w:rPr>
            </w:pPr>
            <w:r>
              <w:rPr>
                <w:color w:val="000000"/>
                <w:sz w:val="20"/>
                <w:szCs w:val="20"/>
              </w:rPr>
              <w:t>&lt;$300</w:t>
            </w:r>
          </w:p>
        </w:tc>
        <w:tc>
          <w:tcPr>
            <w:tcW w:w="1440" w:type="dxa"/>
            <w:tcBorders>
              <w:top w:val="nil"/>
              <w:left w:val="nil"/>
              <w:bottom w:val="single" w:sz="8" w:space="0" w:color="CCCCCC"/>
              <w:right w:val="single" w:sz="8" w:space="0" w:color="CCCCCC"/>
            </w:tcBorders>
            <w:shd w:val="clear" w:color="000000" w:fill="FFFFFF"/>
            <w:vAlign w:val="center"/>
            <w:hideMark/>
          </w:tcPr>
          <w:p w14:paraId="04B1C77B" w14:textId="77777777" w:rsidR="00DE6214" w:rsidRDefault="00DE6214" w:rsidP="006B21E2">
            <w:pPr>
              <w:jc w:val="center"/>
              <w:rPr>
                <w:color w:val="000000"/>
                <w:sz w:val="20"/>
                <w:szCs w:val="20"/>
              </w:rPr>
            </w:pPr>
            <w:r>
              <w:rPr>
                <w:color w:val="000000"/>
                <w:sz w:val="20"/>
                <w:szCs w:val="20"/>
              </w:rPr>
              <w:t>Varies</w:t>
            </w:r>
          </w:p>
        </w:tc>
        <w:tc>
          <w:tcPr>
            <w:tcW w:w="1350" w:type="dxa"/>
            <w:tcBorders>
              <w:top w:val="nil"/>
              <w:left w:val="nil"/>
              <w:bottom w:val="single" w:sz="8" w:space="0" w:color="CCCCCC"/>
              <w:right w:val="single" w:sz="8" w:space="0" w:color="CCCCCC"/>
            </w:tcBorders>
            <w:shd w:val="clear" w:color="000000" w:fill="FFFFFF"/>
            <w:vAlign w:val="center"/>
            <w:hideMark/>
          </w:tcPr>
          <w:p w14:paraId="333E721B" w14:textId="77777777" w:rsidR="00DE6214" w:rsidRDefault="00DE6214" w:rsidP="006B21E2">
            <w:pPr>
              <w:jc w:val="center"/>
              <w:rPr>
                <w:color w:val="000000"/>
                <w:sz w:val="20"/>
                <w:szCs w:val="20"/>
              </w:rPr>
            </w:pPr>
            <w:r>
              <w:rPr>
                <w:color w:val="000000"/>
                <w:sz w:val="20"/>
                <w:szCs w:val="20"/>
              </w:rPr>
              <w:t>Negative</w:t>
            </w:r>
          </w:p>
        </w:tc>
        <w:tc>
          <w:tcPr>
            <w:tcW w:w="3150" w:type="dxa"/>
            <w:tcBorders>
              <w:top w:val="nil"/>
              <w:left w:val="nil"/>
              <w:bottom w:val="single" w:sz="8" w:space="0" w:color="CCCCCC"/>
              <w:right w:val="single" w:sz="8" w:space="0" w:color="CCCCCC"/>
            </w:tcBorders>
            <w:shd w:val="clear" w:color="000000" w:fill="FFFFFF"/>
            <w:vAlign w:val="center"/>
            <w:hideMark/>
          </w:tcPr>
          <w:p w14:paraId="7DAC4707" w14:textId="77777777" w:rsidR="00DE6214" w:rsidRDefault="00DE6214" w:rsidP="006B21E2">
            <w:pPr>
              <w:rPr>
                <w:color w:val="000000"/>
                <w:sz w:val="20"/>
                <w:szCs w:val="20"/>
              </w:rPr>
            </w:pPr>
            <w:r>
              <w:rPr>
                <w:color w:val="000000"/>
                <w:sz w:val="20"/>
                <w:szCs w:val="20"/>
              </w:rPr>
              <w:t>Fixed costs exceed variable returns regardless of network choice</w:t>
            </w:r>
          </w:p>
        </w:tc>
      </w:tr>
    </w:tbl>
    <w:p w14:paraId="44BE8127" w14:textId="1BB3FF3E" w:rsidR="00A60DD6" w:rsidRPr="001826A1" w:rsidRDefault="00A60DD6" w:rsidP="006B21E2">
      <w:pPr>
        <w:jc w:val="both"/>
        <w:rPr>
          <w:rFonts w:eastAsiaTheme="majorEastAsia"/>
          <w:i/>
          <w:iCs/>
          <w:color w:val="000000" w:themeColor="text1"/>
          <w:sz w:val="22"/>
          <w:szCs w:val="22"/>
        </w:rPr>
      </w:pPr>
      <w:r w:rsidRPr="001826A1">
        <w:rPr>
          <w:rFonts w:eastAsiaTheme="majorEastAsia"/>
          <w:i/>
          <w:iCs/>
          <w:color w:val="000000" w:themeColor="text1"/>
          <w:sz w:val="22"/>
          <w:szCs w:val="22"/>
        </w:rPr>
        <w:t>Source: Author's analysis of 156 tracked positions across five blockchain networks, 2020-2024.</w:t>
      </w:r>
    </w:p>
    <w:p w14:paraId="5B6D9F44" w14:textId="77777777" w:rsidR="00A60DD6" w:rsidRPr="0071647F" w:rsidRDefault="00A60DD6" w:rsidP="006B21E2">
      <w:pPr>
        <w:jc w:val="both"/>
        <w:rPr>
          <w:rFonts w:eastAsiaTheme="majorEastAsia"/>
          <w:color w:val="FF0000"/>
        </w:rPr>
      </w:pPr>
    </w:p>
    <w:p w14:paraId="03DF2F00" w14:textId="77777777" w:rsidR="00E119FC" w:rsidRPr="00AE37C4" w:rsidRDefault="00A60DD6" w:rsidP="006B21E2">
      <w:pPr>
        <w:jc w:val="both"/>
        <w:rPr>
          <w:rFonts w:eastAsiaTheme="majorEastAsia"/>
          <w:b/>
          <w:bCs/>
          <w:color w:val="000000" w:themeColor="text1"/>
        </w:rPr>
      </w:pPr>
      <w:r w:rsidRPr="00AE37C4">
        <w:rPr>
          <w:rFonts w:eastAsiaTheme="majorEastAsia"/>
          <w:b/>
          <w:bCs/>
          <w:color w:val="000000" w:themeColor="text1"/>
        </w:rPr>
        <w:t xml:space="preserve">Key Finding: </w:t>
      </w:r>
    </w:p>
    <w:p w14:paraId="2B838A3B" w14:textId="43342CF2" w:rsidR="00AE37C4" w:rsidRPr="00AE37C4" w:rsidRDefault="00AE37C4" w:rsidP="006B21E2">
      <w:pPr>
        <w:jc w:val="both"/>
        <w:rPr>
          <w:rFonts w:eastAsiaTheme="majorEastAsia"/>
          <w:color w:val="000000" w:themeColor="text1"/>
        </w:rPr>
      </w:pPr>
      <w:r w:rsidRPr="00AE37C4">
        <w:rPr>
          <w:rFonts w:eastAsiaTheme="majorEastAsia"/>
          <w:color w:val="000000" w:themeColor="text1"/>
        </w:rPr>
        <w:t xml:space="preserve">The difference of 70 times in the amount of capital needed between Solana ($300) and Ethereum </w:t>
      </w:r>
      <w:proofErr w:type="spellStart"/>
      <w:r w:rsidRPr="00AE37C4">
        <w:rPr>
          <w:rFonts w:eastAsiaTheme="majorEastAsia"/>
          <w:color w:val="000000" w:themeColor="text1"/>
        </w:rPr>
        <w:t>mainnet</w:t>
      </w:r>
      <w:proofErr w:type="spellEnd"/>
      <w:r w:rsidRPr="00AE37C4">
        <w:rPr>
          <w:rFonts w:eastAsiaTheme="majorEastAsia"/>
          <w:color w:val="000000" w:themeColor="text1"/>
        </w:rPr>
        <w:t xml:space="preserve"> ($25,000) is not due to random design </w:t>
      </w:r>
      <w:r w:rsidR="007A406B" w:rsidRPr="00AE37C4">
        <w:rPr>
          <w:rFonts w:eastAsiaTheme="majorEastAsia"/>
          <w:color w:val="000000" w:themeColor="text1"/>
        </w:rPr>
        <w:t>choices but</w:t>
      </w:r>
      <w:r w:rsidRPr="00AE37C4">
        <w:rPr>
          <w:rFonts w:eastAsiaTheme="majorEastAsia"/>
          <w:color w:val="000000" w:themeColor="text1"/>
        </w:rPr>
        <w:t xml:space="preserve"> based on the way gas costs and fees are calculated. Below these levels, the participant will always lose, no matter how good the plan is or how skilled the other players are. The fact that accessibility (capital threshold) and returns (median annual %) are inversely related shows that markets are efficient: as competition rises, lower hurdles lead to lower returns. For participants with limited capital, choosing the network is the most important choice they have to make because if they choose a network that doesn't work with their level of capital, they cannot be successful, even before they choose a strategy.</w:t>
      </w:r>
    </w:p>
    <w:p w14:paraId="705AB5E6" w14:textId="77777777" w:rsidR="00AE37C4" w:rsidRPr="00AE37C4" w:rsidRDefault="00AE37C4" w:rsidP="006B21E2">
      <w:pPr>
        <w:jc w:val="both"/>
        <w:rPr>
          <w:rFonts w:eastAsiaTheme="majorEastAsia"/>
          <w:color w:val="FF0000"/>
        </w:rPr>
      </w:pPr>
    </w:p>
    <w:p w14:paraId="379C11B8" w14:textId="14112A00" w:rsidR="00A60DD6" w:rsidRPr="00AE37C4" w:rsidRDefault="00AE37C4" w:rsidP="006B21E2">
      <w:pPr>
        <w:jc w:val="both"/>
        <w:rPr>
          <w:rFonts w:eastAsiaTheme="majorEastAsia"/>
          <w:b/>
          <w:bCs/>
          <w:color w:val="000000" w:themeColor="text1"/>
        </w:rPr>
      </w:pPr>
      <w:r w:rsidRPr="00AE37C4">
        <w:rPr>
          <w:rFonts w:eastAsiaTheme="majorEastAsia"/>
          <w:b/>
          <w:bCs/>
          <w:color w:val="000000" w:themeColor="text1"/>
        </w:rPr>
        <w:t xml:space="preserve">Critical Implication: </w:t>
      </w:r>
      <w:r w:rsidRPr="00AE37C4">
        <w:rPr>
          <w:rFonts w:eastAsiaTheme="majorEastAsia"/>
          <w:color w:val="000000" w:themeColor="text1"/>
        </w:rPr>
        <w:t xml:space="preserve">These levels show real-life break-even points seen between 2020 and 2024, not </w:t>
      </w:r>
      <w:proofErr w:type="gramStart"/>
      <w:r w:rsidRPr="00AE37C4">
        <w:rPr>
          <w:rFonts w:eastAsiaTheme="majorEastAsia"/>
          <w:color w:val="000000" w:themeColor="text1"/>
        </w:rPr>
        <w:t>theoretical</w:t>
      </w:r>
      <w:proofErr w:type="gramEnd"/>
      <w:r w:rsidRPr="00AE37C4">
        <w:rPr>
          <w:rFonts w:eastAsiaTheme="majorEastAsia"/>
          <w:color w:val="000000" w:themeColor="text1"/>
        </w:rPr>
        <w:t xml:space="preserve"> lowest points. More than 90% of the positions in the tracked sample failed below these values. The table shows the accessibility-return trade-off: networks that are easy to access have the lowest returns, which creates a real democratization problem instead of just getting rid of barriers.</w:t>
      </w:r>
    </w:p>
    <w:p w14:paraId="4542B0AA" w14:textId="77777777" w:rsidR="00417114" w:rsidRPr="00AE37C4" w:rsidRDefault="00417114" w:rsidP="006B21E2">
      <w:pPr>
        <w:jc w:val="both"/>
        <w:rPr>
          <w:rFonts w:eastAsiaTheme="majorEastAsia"/>
          <w:color w:val="000000" w:themeColor="text1"/>
        </w:rPr>
      </w:pPr>
    </w:p>
    <w:p w14:paraId="4DE6735F" w14:textId="58E0DB1C" w:rsidR="006A21B5" w:rsidRPr="0071647F" w:rsidRDefault="006A21B5" w:rsidP="006B21E2">
      <w:pPr>
        <w:jc w:val="both"/>
        <w:rPr>
          <w:rFonts w:eastAsiaTheme="majorEastAsia"/>
          <w:color w:val="000000" w:themeColor="text1"/>
        </w:rPr>
      </w:pPr>
      <w:r w:rsidRPr="0071647F">
        <w:rPr>
          <w:rFonts w:eastAsiaTheme="majorEastAsia"/>
          <w:color w:val="000000" w:themeColor="text1"/>
        </w:rPr>
        <w:t xml:space="preserve">Lower requirements correlate with reduced opportunity. Polygon positions earned average 8.2% APR versus Ethereum's 14.7%. The accessible platforms offer lower </w:t>
      </w:r>
      <w:proofErr w:type="gramStart"/>
      <w:r w:rsidRPr="0071647F">
        <w:rPr>
          <w:rFonts w:eastAsiaTheme="majorEastAsia"/>
          <w:color w:val="000000" w:themeColor="text1"/>
        </w:rPr>
        <w:t>returns—</w:t>
      </w:r>
      <w:proofErr w:type="gramEnd"/>
      <w:r w:rsidRPr="0071647F">
        <w:rPr>
          <w:rFonts w:eastAsiaTheme="majorEastAsia"/>
          <w:color w:val="000000" w:themeColor="text1"/>
        </w:rPr>
        <w:t>market efficiency at work.</w:t>
      </w:r>
    </w:p>
    <w:p w14:paraId="767F28FE" w14:textId="77777777" w:rsidR="00A04269" w:rsidRPr="0071647F" w:rsidRDefault="00A04269" w:rsidP="006B21E2">
      <w:pPr>
        <w:jc w:val="both"/>
        <w:rPr>
          <w:rFonts w:eastAsiaTheme="majorEastAsia"/>
          <w:color w:val="000000" w:themeColor="text1"/>
        </w:rPr>
      </w:pPr>
    </w:p>
    <w:p w14:paraId="729F8731" w14:textId="20C6678C" w:rsidR="008C3FED" w:rsidRPr="0071647F" w:rsidRDefault="008C3FED" w:rsidP="006B21E2">
      <w:pPr>
        <w:jc w:val="both"/>
        <w:rPr>
          <w:rFonts w:eastAsiaTheme="majorEastAsia"/>
          <w:color w:val="000000" w:themeColor="text1"/>
        </w:rPr>
      </w:pPr>
      <w:r w:rsidRPr="0071647F">
        <w:rPr>
          <w:rFonts w:eastAsiaTheme="majorEastAsia"/>
          <w:color w:val="000000" w:themeColor="text1"/>
        </w:rPr>
        <w:t>(These thresholds are discussed in detail throughout this analysis and will be referenced as the 'network viability thresholds' in subsequent chapters, particularly in Chapter 7's analysis of capital requirements for successful participation.)</w:t>
      </w:r>
    </w:p>
    <w:p w14:paraId="51FA629F" w14:textId="77777777" w:rsidR="00A04269" w:rsidRPr="0071647F" w:rsidRDefault="00A04269" w:rsidP="006B21E2">
      <w:pPr>
        <w:jc w:val="both"/>
        <w:rPr>
          <w:rFonts w:eastAsiaTheme="majorEastAsia"/>
          <w:b/>
          <w:bCs/>
          <w:color w:val="000000" w:themeColor="text1"/>
        </w:rPr>
      </w:pPr>
    </w:p>
    <w:p w14:paraId="1CE4E106" w14:textId="07548EE4" w:rsidR="006A21B5" w:rsidRPr="0071647F" w:rsidRDefault="008D6F57" w:rsidP="006B21E2">
      <w:pPr>
        <w:pStyle w:val="Heading3"/>
        <w:jc w:val="both"/>
        <w:rPr>
          <w:rFonts w:eastAsiaTheme="majorEastAsia"/>
        </w:rPr>
      </w:pPr>
      <w:bookmarkStart w:id="114" w:name="_Toc214721920"/>
      <w:r w:rsidRPr="0071647F">
        <w:rPr>
          <w:rFonts w:eastAsiaTheme="majorEastAsia"/>
        </w:rPr>
        <w:t>5</w:t>
      </w:r>
      <w:r w:rsidR="006A21B5" w:rsidRPr="0071647F">
        <w:rPr>
          <w:rFonts w:eastAsiaTheme="majorEastAsia"/>
        </w:rPr>
        <w:t>.3.2 Automated Market Making Performance</w:t>
      </w:r>
      <w:bookmarkEnd w:id="114"/>
    </w:p>
    <w:p w14:paraId="13997109" w14:textId="77777777" w:rsidR="006A21B5" w:rsidRPr="0071647F" w:rsidRDefault="006A21B5" w:rsidP="006B21E2">
      <w:pPr>
        <w:jc w:val="both"/>
        <w:rPr>
          <w:rFonts w:eastAsiaTheme="majorEastAsia"/>
          <w:color w:val="000000" w:themeColor="text1"/>
        </w:rPr>
      </w:pPr>
      <w:r w:rsidRPr="0071647F">
        <w:rPr>
          <w:rFonts w:eastAsiaTheme="majorEastAsia"/>
          <w:color w:val="000000" w:themeColor="text1"/>
        </w:rPr>
        <w:lastRenderedPageBreak/>
        <w:t>"Passive" liquidity provision generated median returns of 6.3% annually across tracked positions. But the distribution shows extreme skewness:</w:t>
      </w:r>
    </w:p>
    <w:p w14:paraId="00920F2F" w14:textId="77777777" w:rsidR="006A21B5" w:rsidRPr="0071647F" w:rsidRDefault="006A21B5" w:rsidP="006B21E2">
      <w:pPr>
        <w:numPr>
          <w:ilvl w:val="0"/>
          <w:numId w:val="35"/>
        </w:numPr>
        <w:jc w:val="both"/>
        <w:rPr>
          <w:rFonts w:eastAsiaTheme="majorEastAsia"/>
          <w:color w:val="000000" w:themeColor="text1"/>
        </w:rPr>
      </w:pPr>
      <w:r w:rsidRPr="0071647F">
        <w:rPr>
          <w:rFonts w:eastAsiaTheme="majorEastAsia"/>
          <w:color w:val="000000" w:themeColor="text1"/>
        </w:rPr>
        <w:t>Top quartile: 24.7% average returns</w:t>
      </w:r>
    </w:p>
    <w:p w14:paraId="7E5D384A" w14:textId="77777777" w:rsidR="006A21B5" w:rsidRPr="0071647F" w:rsidRDefault="006A21B5" w:rsidP="006B21E2">
      <w:pPr>
        <w:numPr>
          <w:ilvl w:val="0"/>
          <w:numId w:val="35"/>
        </w:numPr>
        <w:jc w:val="both"/>
        <w:rPr>
          <w:rFonts w:eastAsiaTheme="majorEastAsia"/>
          <w:color w:val="000000" w:themeColor="text1"/>
        </w:rPr>
      </w:pPr>
      <w:r w:rsidRPr="0071647F">
        <w:rPr>
          <w:rFonts w:eastAsiaTheme="majorEastAsia"/>
          <w:color w:val="000000" w:themeColor="text1"/>
        </w:rPr>
        <w:t>Second quartile: 8.3%</w:t>
      </w:r>
    </w:p>
    <w:p w14:paraId="59457441" w14:textId="77777777" w:rsidR="006A21B5" w:rsidRPr="0071647F" w:rsidRDefault="006A21B5" w:rsidP="006B21E2">
      <w:pPr>
        <w:numPr>
          <w:ilvl w:val="0"/>
          <w:numId w:val="35"/>
        </w:numPr>
        <w:jc w:val="both"/>
        <w:rPr>
          <w:rFonts w:eastAsiaTheme="majorEastAsia"/>
          <w:color w:val="000000" w:themeColor="text1"/>
        </w:rPr>
      </w:pPr>
      <w:r w:rsidRPr="0071647F">
        <w:rPr>
          <w:rFonts w:eastAsiaTheme="majorEastAsia"/>
          <w:color w:val="000000" w:themeColor="text1"/>
        </w:rPr>
        <w:t>Third quartile: 2.1%</w:t>
      </w:r>
    </w:p>
    <w:p w14:paraId="5889D347" w14:textId="77777777" w:rsidR="006A21B5" w:rsidRPr="0071647F" w:rsidRDefault="006A21B5" w:rsidP="006B21E2">
      <w:pPr>
        <w:numPr>
          <w:ilvl w:val="0"/>
          <w:numId w:val="35"/>
        </w:numPr>
        <w:jc w:val="both"/>
        <w:rPr>
          <w:rFonts w:eastAsiaTheme="majorEastAsia"/>
          <w:color w:val="000000" w:themeColor="text1"/>
        </w:rPr>
      </w:pPr>
      <w:r w:rsidRPr="0071647F">
        <w:rPr>
          <w:rFonts w:eastAsiaTheme="majorEastAsia"/>
          <w:color w:val="000000" w:themeColor="text1"/>
        </w:rPr>
        <w:t>Bottom quartile: -11.2%</w:t>
      </w:r>
    </w:p>
    <w:p w14:paraId="3E9FD5EC" w14:textId="77777777" w:rsidR="00A04269" w:rsidRPr="0071647F" w:rsidRDefault="00A04269" w:rsidP="006B21E2">
      <w:pPr>
        <w:jc w:val="both"/>
        <w:rPr>
          <w:rFonts w:eastAsiaTheme="majorEastAsia"/>
          <w:color w:val="000000" w:themeColor="text1"/>
        </w:rPr>
      </w:pPr>
    </w:p>
    <w:p w14:paraId="3A7B39B0" w14:textId="0DA64488" w:rsidR="006A21B5" w:rsidRPr="0071647F" w:rsidRDefault="006A21B5" w:rsidP="006B21E2">
      <w:pPr>
        <w:jc w:val="both"/>
        <w:rPr>
          <w:rFonts w:eastAsiaTheme="majorEastAsia"/>
          <w:color w:val="000000" w:themeColor="text1"/>
        </w:rPr>
      </w:pPr>
      <w:r w:rsidRPr="0071647F">
        <w:rPr>
          <w:rFonts w:eastAsiaTheme="majorEastAsia"/>
          <w:color w:val="000000" w:themeColor="text1"/>
        </w:rPr>
        <w:t>Three factors dominate performance variance:</w:t>
      </w:r>
    </w:p>
    <w:p w14:paraId="2460E82F" w14:textId="77777777" w:rsidR="006A21B5" w:rsidRPr="0071647F" w:rsidRDefault="006A21B5" w:rsidP="006B21E2">
      <w:pPr>
        <w:pStyle w:val="ListParagraph"/>
        <w:numPr>
          <w:ilvl w:val="0"/>
          <w:numId w:val="109"/>
        </w:numPr>
        <w:jc w:val="both"/>
        <w:outlineLvl w:val="9"/>
        <w:rPr>
          <w:rFonts w:eastAsiaTheme="majorEastAsia"/>
          <w:color w:val="000000" w:themeColor="text1"/>
        </w:rPr>
      </w:pPr>
      <w:r w:rsidRPr="0071647F">
        <w:rPr>
          <w:rFonts w:eastAsiaTheme="majorEastAsia"/>
          <w:color w:val="000000" w:themeColor="text1"/>
        </w:rPr>
        <w:t>Asset selection explains 34% of variance. Stablecoin pairs generated consistent 5-8% returns with 0.8 Sharpe ratio. Volatile pairs showed -5% to +35% returns with 0.3 Sharpe ratio.</w:t>
      </w:r>
    </w:p>
    <w:p w14:paraId="34B82559" w14:textId="77777777" w:rsidR="006A21B5" w:rsidRPr="0071647F" w:rsidRDefault="006A21B5" w:rsidP="006B21E2">
      <w:pPr>
        <w:pStyle w:val="ListParagraph"/>
        <w:numPr>
          <w:ilvl w:val="0"/>
          <w:numId w:val="109"/>
        </w:numPr>
        <w:jc w:val="both"/>
        <w:outlineLvl w:val="9"/>
        <w:rPr>
          <w:rFonts w:eastAsiaTheme="majorEastAsia"/>
          <w:color w:val="000000" w:themeColor="text1"/>
        </w:rPr>
      </w:pPr>
      <w:r w:rsidRPr="0071647F">
        <w:rPr>
          <w:rFonts w:eastAsiaTheme="majorEastAsia"/>
          <w:color w:val="000000" w:themeColor="text1"/>
        </w:rPr>
        <w:t>Timing explains 28% of variance. Positions initiated during high volatility underperformed by 12% annually. Best entry: calm periods preceding volatility.</w:t>
      </w:r>
    </w:p>
    <w:p w14:paraId="177D8BBF" w14:textId="77777777" w:rsidR="006A21B5" w:rsidRPr="0071647F" w:rsidRDefault="006A21B5" w:rsidP="006B21E2">
      <w:pPr>
        <w:pStyle w:val="ListParagraph"/>
        <w:numPr>
          <w:ilvl w:val="0"/>
          <w:numId w:val="109"/>
        </w:numPr>
        <w:jc w:val="both"/>
        <w:outlineLvl w:val="9"/>
        <w:rPr>
          <w:rFonts w:eastAsiaTheme="majorEastAsia"/>
          <w:color w:val="000000" w:themeColor="text1"/>
        </w:rPr>
      </w:pPr>
      <w:r w:rsidRPr="0071647F">
        <w:rPr>
          <w:rFonts w:eastAsiaTheme="majorEastAsia"/>
          <w:color w:val="000000" w:themeColor="text1"/>
        </w:rPr>
        <w:t>Protocol selection explains 21% of variance. Established protocols generated 8% higher returns than newer alternatives despite lower advertised yields.</w:t>
      </w:r>
    </w:p>
    <w:p w14:paraId="3712194C" w14:textId="77777777" w:rsidR="00A04269" w:rsidRPr="0071647F" w:rsidRDefault="00A04269" w:rsidP="006B21E2">
      <w:pPr>
        <w:jc w:val="both"/>
        <w:rPr>
          <w:rFonts w:eastAsiaTheme="majorEastAsia"/>
          <w:color w:val="000000" w:themeColor="text1"/>
        </w:rPr>
      </w:pPr>
    </w:p>
    <w:p w14:paraId="38854B93" w14:textId="3B9B9265" w:rsidR="006A21B5" w:rsidRPr="0071647F" w:rsidRDefault="008D6F57" w:rsidP="006B21E2">
      <w:pPr>
        <w:pStyle w:val="Heading2"/>
        <w:jc w:val="both"/>
        <w:rPr>
          <w:rFonts w:eastAsiaTheme="majorEastAsia"/>
          <w:sz w:val="24"/>
        </w:rPr>
      </w:pPr>
      <w:bookmarkStart w:id="115" w:name="_Toc214721921"/>
      <w:r w:rsidRPr="0071647F">
        <w:rPr>
          <w:rFonts w:eastAsiaTheme="majorEastAsia"/>
          <w:sz w:val="24"/>
        </w:rPr>
        <w:t>5</w:t>
      </w:r>
      <w:r w:rsidR="006A21B5" w:rsidRPr="0071647F">
        <w:rPr>
          <w:rFonts w:eastAsiaTheme="majorEastAsia"/>
          <w:sz w:val="24"/>
        </w:rPr>
        <w:t>.4 Market Fragmentation and Arbitrage Economics</w:t>
      </w:r>
      <w:bookmarkEnd w:id="115"/>
    </w:p>
    <w:p w14:paraId="6CB123B0" w14:textId="2BA8A075" w:rsidR="006A21B5" w:rsidRPr="0071647F" w:rsidRDefault="006A21B5" w:rsidP="006B21E2">
      <w:pPr>
        <w:jc w:val="both"/>
        <w:rPr>
          <w:rFonts w:eastAsiaTheme="majorEastAsia"/>
          <w:color w:val="000000" w:themeColor="text1"/>
        </w:rPr>
      </w:pPr>
      <w:r w:rsidRPr="0071647F">
        <w:rPr>
          <w:rFonts w:eastAsiaTheme="majorEastAsia"/>
          <w:color w:val="000000" w:themeColor="text1"/>
        </w:rPr>
        <w:t xml:space="preserve">Market fragmentation across 400+ exchanges creates price discrepancies appearing as free money. </w:t>
      </w:r>
      <w:r w:rsidR="004C6A92" w:rsidRPr="0071647F">
        <w:rPr>
          <w:rFonts w:eastAsiaTheme="majorEastAsia"/>
          <w:color w:val="000000" w:themeColor="text1"/>
        </w:rPr>
        <w:t>However,</w:t>
      </w:r>
      <w:r w:rsidR="00CE5DDA" w:rsidRPr="0071647F">
        <w:rPr>
          <w:rFonts w:eastAsiaTheme="majorEastAsia"/>
          <w:color w:val="000000" w:themeColor="text1"/>
        </w:rPr>
        <w:t xml:space="preserve"> the a</w:t>
      </w:r>
      <w:r w:rsidRPr="0071647F">
        <w:rPr>
          <w:rFonts w:eastAsiaTheme="majorEastAsia"/>
          <w:color w:val="000000" w:themeColor="text1"/>
        </w:rPr>
        <w:t>nalysis of 127,000 arbitrage opportunities reveals complex economics</w:t>
      </w:r>
      <w:r w:rsidR="00CE5DDA" w:rsidRPr="0071647F">
        <w:rPr>
          <w:rFonts w:eastAsiaTheme="majorEastAsia"/>
          <w:color w:val="000000" w:themeColor="text1"/>
        </w:rPr>
        <w:t xml:space="preserve"> as shown below.</w:t>
      </w:r>
    </w:p>
    <w:p w14:paraId="734D7291" w14:textId="77777777" w:rsidR="00A04269" w:rsidRPr="0071647F" w:rsidRDefault="00A04269" w:rsidP="006B21E2">
      <w:pPr>
        <w:jc w:val="both"/>
        <w:rPr>
          <w:rFonts w:eastAsiaTheme="majorEastAsia"/>
          <w:b/>
          <w:bCs/>
          <w:color w:val="000000" w:themeColor="text1"/>
        </w:rPr>
      </w:pPr>
    </w:p>
    <w:p w14:paraId="62B2F63F" w14:textId="226AB925" w:rsidR="006A21B5" w:rsidRPr="0071647F" w:rsidRDefault="008D6F57" w:rsidP="006B21E2">
      <w:pPr>
        <w:pStyle w:val="Heading3"/>
        <w:jc w:val="both"/>
        <w:rPr>
          <w:rFonts w:eastAsiaTheme="majorEastAsia"/>
        </w:rPr>
      </w:pPr>
      <w:bookmarkStart w:id="116" w:name="_Toc214721922"/>
      <w:r w:rsidRPr="0071647F">
        <w:rPr>
          <w:rFonts w:eastAsiaTheme="majorEastAsia"/>
        </w:rPr>
        <w:t>5</w:t>
      </w:r>
      <w:r w:rsidR="006A21B5" w:rsidRPr="0071647F">
        <w:rPr>
          <w:rFonts w:eastAsiaTheme="majorEastAsia"/>
        </w:rPr>
        <w:t>.4.1 Arbitrage Opportunity Structure</w:t>
      </w:r>
      <w:bookmarkEnd w:id="116"/>
    </w:p>
    <w:p w14:paraId="069DAA87" w14:textId="77777777" w:rsidR="006A21B5" w:rsidRPr="0071647F" w:rsidRDefault="006A21B5" w:rsidP="006B21E2">
      <w:pPr>
        <w:jc w:val="both"/>
        <w:rPr>
          <w:rFonts w:eastAsiaTheme="majorEastAsia"/>
          <w:color w:val="000000" w:themeColor="text1"/>
        </w:rPr>
      </w:pPr>
      <w:r w:rsidRPr="0071647F">
        <w:rPr>
          <w:rFonts w:eastAsiaTheme="majorEastAsia"/>
          <w:color w:val="000000" w:themeColor="text1"/>
        </w:rPr>
        <w:t>Price discrepancies follow predictable patterns:</w:t>
      </w:r>
    </w:p>
    <w:p w14:paraId="69A3B623" w14:textId="77777777" w:rsidR="006A21B5" w:rsidRPr="0071647F" w:rsidRDefault="006A21B5" w:rsidP="006B21E2">
      <w:pPr>
        <w:numPr>
          <w:ilvl w:val="0"/>
          <w:numId w:val="36"/>
        </w:numPr>
        <w:jc w:val="both"/>
        <w:rPr>
          <w:rFonts w:eastAsiaTheme="majorEastAsia"/>
          <w:color w:val="000000" w:themeColor="text1"/>
        </w:rPr>
      </w:pPr>
      <w:r w:rsidRPr="0071647F">
        <w:rPr>
          <w:rFonts w:eastAsiaTheme="majorEastAsia"/>
          <w:color w:val="000000" w:themeColor="text1"/>
        </w:rPr>
        <w:t>CEX-CEX spreads: 0.08-0.15% average</w:t>
      </w:r>
    </w:p>
    <w:p w14:paraId="488F464A" w14:textId="77777777" w:rsidR="006A21B5" w:rsidRPr="0071647F" w:rsidRDefault="006A21B5" w:rsidP="006B21E2">
      <w:pPr>
        <w:numPr>
          <w:ilvl w:val="0"/>
          <w:numId w:val="36"/>
        </w:numPr>
        <w:jc w:val="both"/>
        <w:rPr>
          <w:rFonts w:eastAsiaTheme="majorEastAsia"/>
          <w:color w:val="000000" w:themeColor="text1"/>
        </w:rPr>
      </w:pPr>
      <w:r w:rsidRPr="0071647F">
        <w:rPr>
          <w:rFonts w:eastAsiaTheme="majorEastAsia"/>
          <w:color w:val="000000" w:themeColor="text1"/>
        </w:rPr>
        <w:t>CEX-DEX spreads: 0.25-0.45%</w:t>
      </w:r>
    </w:p>
    <w:p w14:paraId="3B885C1A" w14:textId="77777777" w:rsidR="006A21B5" w:rsidRPr="0071647F" w:rsidRDefault="006A21B5" w:rsidP="006B21E2">
      <w:pPr>
        <w:numPr>
          <w:ilvl w:val="0"/>
          <w:numId w:val="36"/>
        </w:numPr>
        <w:jc w:val="both"/>
        <w:rPr>
          <w:rFonts w:eastAsiaTheme="majorEastAsia"/>
          <w:color w:val="000000" w:themeColor="text1"/>
        </w:rPr>
      </w:pPr>
      <w:r w:rsidRPr="0071647F">
        <w:rPr>
          <w:rFonts w:eastAsiaTheme="majorEastAsia"/>
          <w:color w:val="000000" w:themeColor="text1"/>
        </w:rPr>
        <w:t>Cross-chain spreads: 0.40-0.80%</w:t>
      </w:r>
    </w:p>
    <w:p w14:paraId="5E9A9D5A" w14:textId="77777777" w:rsidR="00A04269" w:rsidRPr="0071647F" w:rsidRDefault="00A04269" w:rsidP="006B21E2">
      <w:pPr>
        <w:jc w:val="both"/>
        <w:rPr>
          <w:rFonts w:eastAsiaTheme="majorEastAsia"/>
          <w:color w:val="000000" w:themeColor="text1"/>
        </w:rPr>
      </w:pPr>
    </w:p>
    <w:p w14:paraId="79421567" w14:textId="7D31125E" w:rsidR="006A21B5" w:rsidRPr="0071647F" w:rsidRDefault="00276EA4" w:rsidP="006B21E2">
      <w:pPr>
        <w:jc w:val="both"/>
        <w:rPr>
          <w:rFonts w:eastAsiaTheme="majorEastAsia"/>
          <w:color w:val="000000" w:themeColor="text1"/>
        </w:rPr>
      </w:pPr>
      <w:r w:rsidRPr="0071647F">
        <w:rPr>
          <w:rFonts w:eastAsiaTheme="majorEastAsia"/>
          <w:color w:val="000000" w:themeColor="text1"/>
        </w:rPr>
        <w:t xml:space="preserve">Larger spreads do not mean better opportunities, as shown in the research </w:t>
      </w:r>
      <w:proofErr w:type="gramStart"/>
      <w:r w:rsidRPr="0071647F">
        <w:rPr>
          <w:rFonts w:eastAsiaTheme="majorEastAsia"/>
          <w:color w:val="000000" w:themeColor="text1"/>
        </w:rPr>
        <w:t>of</w:t>
      </w:r>
      <w:proofErr w:type="gramEnd"/>
      <w:r w:rsidRPr="0071647F">
        <w:rPr>
          <w:rFonts w:eastAsiaTheme="majorEastAsia"/>
          <w:color w:val="000000" w:themeColor="text1"/>
        </w:rPr>
        <w:t xml:space="preserve"> CEX-CEX arbitrage. With 0.10% spread it offered 94% execution probability but required &lt;100ms speed. A cross-chain arbitrage with a 0.60% spread offered a 67% execution probability and with a </w:t>
      </w:r>
      <w:proofErr w:type="gramStart"/>
      <w:r w:rsidRPr="0071647F">
        <w:rPr>
          <w:rFonts w:eastAsiaTheme="majorEastAsia"/>
          <w:color w:val="000000" w:themeColor="text1"/>
        </w:rPr>
        <w:t>15-45 minute</w:t>
      </w:r>
      <w:proofErr w:type="gramEnd"/>
      <w:r w:rsidRPr="0071647F">
        <w:rPr>
          <w:rFonts w:eastAsiaTheme="majorEastAsia"/>
          <w:color w:val="000000" w:themeColor="text1"/>
        </w:rPr>
        <w:t xml:space="preserve"> capital lockup and a 0.1% bridge failure risk</w:t>
      </w:r>
      <w:r w:rsidR="006A21B5" w:rsidRPr="0071647F">
        <w:rPr>
          <w:rFonts w:eastAsiaTheme="majorEastAsia"/>
          <w:color w:val="000000" w:themeColor="text1"/>
        </w:rPr>
        <w:t>.</w:t>
      </w:r>
    </w:p>
    <w:p w14:paraId="3585D76F" w14:textId="77777777" w:rsidR="00A04269" w:rsidRPr="0071647F" w:rsidRDefault="00A04269" w:rsidP="006B21E2">
      <w:pPr>
        <w:jc w:val="both"/>
        <w:rPr>
          <w:rFonts w:eastAsiaTheme="majorEastAsia"/>
          <w:color w:val="000000" w:themeColor="text1"/>
        </w:rPr>
      </w:pPr>
    </w:p>
    <w:p w14:paraId="773C06F4" w14:textId="45359FCF" w:rsidR="006A21B5" w:rsidRPr="0071647F" w:rsidRDefault="00276EA4" w:rsidP="006B21E2">
      <w:pPr>
        <w:jc w:val="both"/>
        <w:rPr>
          <w:rFonts w:eastAsiaTheme="majorEastAsia"/>
          <w:color w:val="000000" w:themeColor="text1"/>
        </w:rPr>
      </w:pPr>
      <w:r w:rsidRPr="0071647F">
        <w:rPr>
          <w:rFonts w:eastAsiaTheme="majorEastAsia"/>
          <w:color w:val="000000" w:themeColor="text1"/>
        </w:rPr>
        <w:t xml:space="preserve">For capital-constrained participants, capital efficiency matters more than gross returns and </w:t>
      </w:r>
      <w:r w:rsidR="00C4575C" w:rsidRPr="0071647F">
        <w:rPr>
          <w:rFonts w:eastAsiaTheme="majorEastAsia"/>
          <w:color w:val="000000" w:themeColor="text1"/>
        </w:rPr>
        <w:t>research</w:t>
      </w:r>
      <w:r w:rsidRPr="0071647F">
        <w:rPr>
          <w:rFonts w:eastAsiaTheme="majorEastAsia"/>
          <w:color w:val="000000" w:themeColor="text1"/>
        </w:rPr>
        <w:t xml:space="preserve"> shows that quick and small opportunities beat large, slow ones</w:t>
      </w:r>
      <w:r w:rsidR="006A21B5" w:rsidRPr="0071647F">
        <w:rPr>
          <w:rFonts w:eastAsiaTheme="majorEastAsia"/>
          <w:color w:val="000000" w:themeColor="text1"/>
        </w:rPr>
        <w:t>.</w:t>
      </w:r>
    </w:p>
    <w:p w14:paraId="18A26022" w14:textId="77777777" w:rsidR="003C56D9" w:rsidRPr="0071647F" w:rsidRDefault="003C56D9" w:rsidP="006B21E2">
      <w:pPr>
        <w:jc w:val="both"/>
        <w:rPr>
          <w:rFonts w:eastAsiaTheme="majorEastAsia"/>
          <w:color w:val="000000" w:themeColor="text1"/>
        </w:rPr>
      </w:pPr>
    </w:p>
    <w:p w14:paraId="50359CA1" w14:textId="76CD9881" w:rsidR="003C56D9" w:rsidRPr="006B3B2C" w:rsidRDefault="003C56D9" w:rsidP="006B21E2">
      <w:pPr>
        <w:jc w:val="both"/>
        <w:rPr>
          <w:rFonts w:eastAsiaTheme="majorEastAsia"/>
          <w:color w:val="000000" w:themeColor="text1"/>
        </w:rPr>
      </w:pPr>
      <w:r w:rsidRPr="006B3B2C">
        <w:rPr>
          <w:rFonts w:eastAsiaTheme="majorEastAsia"/>
          <w:color w:val="000000" w:themeColor="text1"/>
        </w:rPr>
        <w:t>Table 5.</w:t>
      </w:r>
      <w:r w:rsidR="00C5607F">
        <w:rPr>
          <w:rFonts w:eastAsiaTheme="majorEastAsia"/>
          <w:color w:val="000000" w:themeColor="text1"/>
        </w:rPr>
        <w:t>D</w:t>
      </w:r>
      <w:r w:rsidRPr="006B3B2C">
        <w:rPr>
          <w:rFonts w:eastAsiaTheme="majorEastAsia"/>
          <w:color w:val="000000" w:themeColor="text1"/>
        </w:rPr>
        <w:t xml:space="preserve"> quantifies the relationship between arbitrage spread magnitude and execution viability for capital-constrained participants</w:t>
      </w:r>
      <w:r w:rsidR="006B3B2C" w:rsidRPr="006B3B2C">
        <w:rPr>
          <w:rFonts w:eastAsiaTheme="majorEastAsia"/>
          <w:color w:val="000000" w:themeColor="text1"/>
        </w:rPr>
        <w:t>. It</w:t>
      </w:r>
      <w:r w:rsidRPr="006B3B2C">
        <w:rPr>
          <w:rFonts w:eastAsiaTheme="majorEastAsia"/>
          <w:color w:val="000000" w:themeColor="text1"/>
        </w:rPr>
        <w:t xml:space="preserve"> reveal</w:t>
      </w:r>
      <w:r w:rsidR="006B3B2C" w:rsidRPr="006B3B2C">
        <w:rPr>
          <w:rFonts w:eastAsiaTheme="majorEastAsia"/>
          <w:color w:val="000000" w:themeColor="text1"/>
        </w:rPr>
        <w:t>s</w:t>
      </w:r>
      <w:r w:rsidRPr="006B3B2C">
        <w:rPr>
          <w:rFonts w:eastAsiaTheme="majorEastAsia"/>
          <w:color w:val="000000" w:themeColor="text1"/>
        </w:rPr>
        <w:t xml:space="preserve"> why larger spreads do not translate to </w:t>
      </w:r>
      <w:r w:rsidR="006B3B2C" w:rsidRPr="006B3B2C">
        <w:rPr>
          <w:rFonts w:eastAsiaTheme="majorEastAsia"/>
          <w:color w:val="000000" w:themeColor="text1"/>
        </w:rPr>
        <w:t xml:space="preserve">better </w:t>
      </w:r>
      <w:r w:rsidRPr="006B3B2C">
        <w:rPr>
          <w:rFonts w:eastAsiaTheme="majorEastAsia"/>
          <w:color w:val="000000" w:themeColor="text1"/>
        </w:rPr>
        <w:t>opportunities.</w:t>
      </w:r>
    </w:p>
    <w:p w14:paraId="393132CC" w14:textId="77777777" w:rsidR="003C56D9" w:rsidRPr="0071647F" w:rsidRDefault="003C56D9" w:rsidP="006B21E2">
      <w:pPr>
        <w:jc w:val="both"/>
        <w:rPr>
          <w:rFonts w:eastAsiaTheme="majorEastAsia"/>
          <w:color w:val="000000" w:themeColor="text1"/>
        </w:rPr>
      </w:pPr>
    </w:p>
    <w:p w14:paraId="704C9F4D" w14:textId="12BB005B" w:rsidR="003C56D9" w:rsidRPr="00C5607F" w:rsidRDefault="003C56D9" w:rsidP="006B21E2">
      <w:pPr>
        <w:pStyle w:val="Heading3"/>
        <w:jc w:val="both"/>
        <w:rPr>
          <w:color w:val="000000" w:themeColor="text1"/>
        </w:rPr>
      </w:pPr>
      <w:bookmarkStart w:id="117" w:name="_Toc214721923"/>
      <w:r w:rsidRPr="003C56D9">
        <w:rPr>
          <w:color w:val="000000" w:themeColor="text1"/>
        </w:rPr>
        <w:t>Table 5.</w:t>
      </w:r>
      <w:r w:rsidR="00C5607F">
        <w:rPr>
          <w:color w:val="000000" w:themeColor="text1"/>
        </w:rPr>
        <w:t>D</w:t>
      </w:r>
      <w:r w:rsidRPr="003C56D9">
        <w:rPr>
          <w:color w:val="000000" w:themeColor="text1"/>
        </w:rPr>
        <w:t>: Arbitrage Opportunity Economics - Spread vs Execution Reality</w:t>
      </w:r>
      <w:bookmarkEnd w:id="117"/>
    </w:p>
    <w:p w14:paraId="644C4C0E" w14:textId="77777777" w:rsidR="00032F48" w:rsidRDefault="00032F48" w:rsidP="006B21E2">
      <w:pPr>
        <w:jc w:val="both"/>
        <w:rPr>
          <w:i/>
          <w:iCs/>
          <w:color w:val="FF0000"/>
          <w:sz w:val="20"/>
          <w:szCs w:val="20"/>
        </w:rPr>
      </w:pPr>
    </w:p>
    <w:tbl>
      <w:tblPr>
        <w:tblW w:w="9350" w:type="dxa"/>
        <w:tblLayout w:type="fixed"/>
        <w:tblLook w:val="04A0" w:firstRow="1" w:lastRow="0" w:firstColumn="1" w:lastColumn="0" w:noHBand="0" w:noVBand="1"/>
      </w:tblPr>
      <w:tblGrid>
        <w:gridCol w:w="1300"/>
        <w:gridCol w:w="1840"/>
        <w:gridCol w:w="1800"/>
        <w:gridCol w:w="1170"/>
        <w:gridCol w:w="3240"/>
      </w:tblGrid>
      <w:tr w:rsidR="00032F48" w14:paraId="58FE29BA" w14:textId="77777777" w:rsidTr="00032F48">
        <w:trPr>
          <w:trHeight w:val="580"/>
        </w:trPr>
        <w:tc>
          <w:tcPr>
            <w:tcW w:w="1300" w:type="dxa"/>
            <w:tcBorders>
              <w:top w:val="single" w:sz="8" w:space="0" w:color="auto"/>
              <w:left w:val="single" w:sz="8" w:space="0" w:color="auto"/>
              <w:bottom w:val="single" w:sz="8" w:space="0" w:color="auto"/>
              <w:right w:val="single" w:sz="4" w:space="0" w:color="auto"/>
            </w:tcBorders>
            <w:shd w:val="clear" w:color="000000" w:fill="D9D9D9"/>
            <w:vAlign w:val="center"/>
            <w:hideMark/>
          </w:tcPr>
          <w:p w14:paraId="06174435" w14:textId="77777777" w:rsidR="00032F48" w:rsidRDefault="00032F48" w:rsidP="006B21E2">
            <w:pPr>
              <w:jc w:val="center"/>
              <w:rPr>
                <w:b/>
                <w:bCs/>
                <w:color w:val="000000"/>
                <w:sz w:val="20"/>
                <w:szCs w:val="20"/>
              </w:rPr>
            </w:pPr>
            <w:r>
              <w:rPr>
                <w:b/>
                <w:bCs/>
                <w:color w:val="000000"/>
                <w:sz w:val="20"/>
                <w:szCs w:val="20"/>
              </w:rPr>
              <w:t>Time Period</w:t>
            </w:r>
          </w:p>
        </w:tc>
        <w:tc>
          <w:tcPr>
            <w:tcW w:w="1840" w:type="dxa"/>
            <w:tcBorders>
              <w:top w:val="single" w:sz="8" w:space="0" w:color="auto"/>
              <w:left w:val="nil"/>
              <w:bottom w:val="single" w:sz="8" w:space="0" w:color="auto"/>
              <w:right w:val="single" w:sz="4" w:space="0" w:color="auto"/>
            </w:tcBorders>
            <w:shd w:val="clear" w:color="000000" w:fill="D9D9D9"/>
            <w:vAlign w:val="center"/>
            <w:hideMark/>
          </w:tcPr>
          <w:p w14:paraId="45A06564" w14:textId="77777777" w:rsidR="00032F48" w:rsidRDefault="00032F48" w:rsidP="006B21E2">
            <w:pPr>
              <w:jc w:val="center"/>
              <w:rPr>
                <w:b/>
                <w:bCs/>
                <w:color w:val="000000"/>
                <w:sz w:val="20"/>
                <w:szCs w:val="20"/>
              </w:rPr>
            </w:pPr>
            <w:r>
              <w:rPr>
                <w:b/>
                <w:bCs/>
                <w:color w:val="000000"/>
                <w:sz w:val="20"/>
                <w:szCs w:val="20"/>
              </w:rPr>
              <w:t>Optimal Window</w:t>
            </w:r>
          </w:p>
        </w:tc>
        <w:tc>
          <w:tcPr>
            <w:tcW w:w="1800" w:type="dxa"/>
            <w:tcBorders>
              <w:top w:val="single" w:sz="8" w:space="0" w:color="auto"/>
              <w:left w:val="nil"/>
              <w:bottom w:val="single" w:sz="8" w:space="0" w:color="auto"/>
              <w:right w:val="single" w:sz="4" w:space="0" w:color="auto"/>
            </w:tcBorders>
            <w:shd w:val="clear" w:color="000000" w:fill="D9D9D9"/>
            <w:vAlign w:val="center"/>
            <w:hideMark/>
          </w:tcPr>
          <w:p w14:paraId="355E99C0" w14:textId="77777777" w:rsidR="00032F48" w:rsidRDefault="00032F48" w:rsidP="006B21E2">
            <w:pPr>
              <w:jc w:val="center"/>
              <w:rPr>
                <w:b/>
                <w:bCs/>
                <w:color w:val="000000"/>
                <w:sz w:val="20"/>
                <w:szCs w:val="20"/>
              </w:rPr>
            </w:pPr>
            <w:r>
              <w:rPr>
                <w:b/>
                <w:bCs/>
                <w:color w:val="000000"/>
                <w:sz w:val="20"/>
                <w:szCs w:val="20"/>
              </w:rPr>
              <w:t>Peak Window</w:t>
            </w:r>
          </w:p>
        </w:tc>
        <w:tc>
          <w:tcPr>
            <w:tcW w:w="1170" w:type="dxa"/>
            <w:tcBorders>
              <w:top w:val="single" w:sz="8" w:space="0" w:color="auto"/>
              <w:left w:val="nil"/>
              <w:bottom w:val="single" w:sz="8" w:space="0" w:color="auto"/>
              <w:right w:val="single" w:sz="4" w:space="0" w:color="auto"/>
            </w:tcBorders>
            <w:shd w:val="clear" w:color="000000" w:fill="D9D9D9"/>
            <w:vAlign w:val="center"/>
            <w:hideMark/>
          </w:tcPr>
          <w:p w14:paraId="093D2E39" w14:textId="77777777" w:rsidR="00032F48" w:rsidRDefault="00032F48" w:rsidP="006B21E2">
            <w:pPr>
              <w:jc w:val="center"/>
              <w:rPr>
                <w:b/>
                <w:bCs/>
                <w:color w:val="000000"/>
                <w:sz w:val="20"/>
                <w:szCs w:val="20"/>
              </w:rPr>
            </w:pPr>
            <w:r>
              <w:rPr>
                <w:b/>
                <w:bCs/>
                <w:color w:val="000000"/>
                <w:sz w:val="20"/>
                <w:szCs w:val="20"/>
              </w:rPr>
              <w:t>Cost Difference</w:t>
            </w:r>
          </w:p>
        </w:tc>
        <w:tc>
          <w:tcPr>
            <w:tcW w:w="3240" w:type="dxa"/>
            <w:tcBorders>
              <w:top w:val="single" w:sz="8" w:space="0" w:color="auto"/>
              <w:left w:val="nil"/>
              <w:bottom w:val="single" w:sz="8" w:space="0" w:color="auto"/>
              <w:right w:val="single" w:sz="8" w:space="0" w:color="auto"/>
            </w:tcBorders>
            <w:shd w:val="clear" w:color="000000" w:fill="D9D9D9"/>
            <w:vAlign w:val="center"/>
            <w:hideMark/>
          </w:tcPr>
          <w:p w14:paraId="0B230186" w14:textId="77777777" w:rsidR="00032F48" w:rsidRDefault="00032F48" w:rsidP="006B21E2">
            <w:pPr>
              <w:jc w:val="center"/>
              <w:rPr>
                <w:b/>
                <w:bCs/>
                <w:color w:val="000000"/>
                <w:sz w:val="20"/>
                <w:szCs w:val="20"/>
              </w:rPr>
            </w:pPr>
            <w:r>
              <w:rPr>
                <w:b/>
                <w:bCs/>
                <w:color w:val="000000"/>
                <w:sz w:val="20"/>
                <w:szCs w:val="20"/>
              </w:rPr>
              <w:t>Strategic Implication</w:t>
            </w:r>
          </w:p>
        </w:tc>
      </w:tr>
      <w:tr w:rsidR="00032F48" w14:paraId="5C8EF293" w14:textId="77777777" w:rsidTr="00ED11DB">
        <w:trPr>
          <w:trHeight w:val="241"/>
        </w:trPr>
        <w:tc>
          <w:tcPr>
            <w:tcW w:w="1300" w:type="dxa"/>
            <w:tcBorders>
              <w:top w:val="nil"/>
              <w:left w:val="single" w:sz="8" w:space="0" w:color="auto"/>
              <w:bottom w:val="single" w:sz="4" w:space="0" w:color="auto"/>
              <w:right w:val="single" w:sz="4" w:space="0" w:color="auto"/>
            </w:tcBorders>
            <w:shd w:val="clear" w:color="000000" w:fill="FFFFFF"/>
            <w:vAlign w:val="center"/>
            <w:hideMark/>
          </w:tcPr>
          <w:p w14:paraId="29939951" w14:textId="77777777" w:rsidR="00032F48" w:rsidRDefault="00032F48" w:rsidP="006B21E2">
            <w:pPr>
              <w:rPr>
                <w:color w:val="000000"/>
                <w:sz w:val="20"/>
                <w:szCs w:val="20"/>
              </w:rPr>
            </w:pPr>
            <w:r>
              <w:rPr>
                <w:color w:val="000000"/>
                <w:sz w:val="20"/>
                <w:szCs w:val="20"/>
              </w:rPr>
              <w:t>Daily Pattern</w:t>
            </w:r>
          </w:p>
        </w:tc>
        <w:tc>
          <w:tcPr>
            <w:tcW w:w="1840" w:type="dxa"/>
            <w:tcBorders>
              <w:top w:val="nil"/>
              <w:left w:val="nil"/>
              <w:bottom w:val="single" w:sz="4" w:space="0" w:color="auto"/>
              <w:right w:val="single" w:sz="4" w:space="0" w:color="auto"/>
            </w:tcBorders>
            <w:shd w:val="clear" w:color="000000" w:fill="FFFFFF"/>
            <w:vAlign w:val="center"/>
            <w:hideMark/>
          </w:tcPr>
          <w:p w14:paraId="1E6D7C9D" w14:textId="77777777" w:rsidR="00032F48" w:rsidRDefault="00032F48" w:rsidP="006B21E2">
            <w:pPr>
              <w:jc w:val="center"/>
              <w:rPr>
                <w:color w:val="000000"/>
                <w:sz w:val="20"/>
                <w:szCs w:val="20"/>
              </w:rPr>
            </w:pPr>
            <w:r>
              <w:rPr>
                <w:color w:val="000000"/>
                <w:sz w:val="20"/>
                <w:szCs w:val="20"/>
              </w:rPr>
              <w:t>4:00-6:00 AM UTC (0.6x average)</w:t>
            </w:r>
          </w:p>
        </w:tc>
        <w:tc>
          <w:tcPr>
            <w:tcW w:w="1800" w:type="dxa"/>
            <w:tcBorders>
              <w:top w:val="nil"/>
              <w:left w:val="nil"/>
              <w:bottom w:val="single" w:sz="4" w:space="0" w:color="auto"/>
              <w:right w:val="single" w:sz="4" w:space="0" w:color="auto"/>
            </w:tcBorders>
            <w:shd w:val="clear" w:color="000000" w:fill="FFFFFF"/>
            <w:vAlign w:val="center"/>
            <w:hideMark/>
          </w:tcPr>
          <w:p w14:paraId="695251BF" w14:textId="77777777" w:rsidR="00032F48" w:rsidRDefault="00032F48" w:rsidP="006B21E2">
            <w:pPr>
              <w:jc w:val="center"/>
              <w:rPr>
                <w:color w:val="000000"/>
                <w:sz w:val="20"/>
                <w:szCs w:val="20"/>
              </w:rPr>
            </w:pPr>
            <w:r>
              <w:rPr>
                <w:color w:val="000000"/>
                <w:sz w:val="20"/>
                <w:szCs w:val="20"/>
              </w:rPr>
              <w:t>2:00-4:00 PM UTC (1.4x average)</w:t>
            </w:r>
          </w:p>
        </w:tc>
        <w:tc>
          <w:tcPr>
            <w:tcW w:w="1170" w:type="dxa"/>
            <w:tcBorders>
              <w:top w:val="nil"/>
              <w:left w:val="nil"/>
              <w:bottom w:val="single" w:sz="4" w:space="0" w:color="auto"/>
              <w:right w:val="single" w:sz="4" w:space="0" w:color="auto"/>
            </w:tcBorders>
            <w:shd w:val="clear" w:color="000000" w:fill="FFFFFF"/>
            <w:vAlign w:val="center"/>
            <w:hideMark/>
          </w:tcPr>
          <w:p w14:paraId="16170DDE" w14:textId="77777777" w:rsidR="00032F48" w:rsidRDefault="00032F48" w:rsidP="006B21E2">
            <w:pPr>
              <w:jc w:val="center"/>
              <w:rPr>
                <w:color w:val="000000"/>
                <w:sz w:val="20"/>
                <w:szCs w:val="20"/>
              </w:rPr>
            </w:pPr>
            <w:r>
              <w:rPr>
                <w:color w:val="000000"/>
                <w:sz w:val="20"/>
                <w:szCs w:val="20"/>
              </w:rPr>
              <w:t>2.33x difference</w:t>
            </w:r>
          </w:p>
        </w:tc>
        <w:tc>
          <w:tcPr>
            <w:tcW w:w="3240" w:type="dxa"/>
            <w:tcBorders>
              <w:top w:val="nil"/>
              <w:left w:val="nil"/>
              <w:bottom w:val="single" w:sz="4" w:space="0" w:color="auto"/>
              <w:right w:val="single" w:sz="8" w:space="0" w:color="auto"/>
            </w:tcBorders>
            <w:shd w:val="clear" w:color="000000" w:fill="FFFFFF"/>
            <w:vAlign w:val="center"/>
            <w:hideMark/>
          </w:tcPr>
          <w:p w14:paraId="0D7BAC55" w14:textId="77777777" w:rsidR="00032F48" w:rsidRDefault="00032F48" w:rsidP="006B21E2">
            <w:pPr>
              <w:rPr>
                <w:color w:val="000000"/>
                <w:sz w:val="20"/>
                <w:szCs w:val="20"/>
              </w:rPr>
            </w:pPr>
            <w:r>
              <w:rPr>
                <w:color w:val="000000"/>
                <w:sz w:val="20"/>
                <w:szCs w:val="20"/>
              </w:rPr>
              <w:t>Routine operations in low-cost windows; time-sensitive trades execute immediately</w:t>
            </w:r>
          </w:p>
        </w:tc>
      </w:tr>
      <w:tr w:rsidR="00032F48" w14:paraId="0CD359F5" w14:textId="77777777" w:rsidTr="00ED11DB">
        <w:trPr>
          <w:trHeight w:val="260"/>
        </w:trPr>
        <w:tc>
          <w:tcPr>
            <w:tcW w:w="1300" w:type="dxa"/>
            <w:tcBorders>
              <w:top w:val="nil"/>
              <w:left w:val="single" w:sz="8" w:space="0" w:color="auto"/>
              <w:bottom w:val="single" w:sz="4" w:space="0" w:color="auto"/>
              <w:right w:val="single" w:sz="4" w:space="0" w:color="auto"/>
            </w:tcBorders>
            <w:shd w:val="clear" w:color="000000" w:fill="FFFFFF"/>
            <w:vAlign w:val="center"/>
            <w:hideMark/>
          </w:tcPr>
          <w:p w14:paraId="72FCC5FE" w14:textId="77777777" w:rsidR="00032F48" w:rsidRDefault="00032F48" w:rsidP="006B21E2">
            <w:pPr>
              <w:rPr>
                <w:color w:val="000000"/>
                <w:sz w:val="20"/>
                <w:szCs w:val="20"/>
              </w:rPr>
            </w:pPr>
            <w:r>
              <w:rPr>
                <w:color w:val="000000"/>
                <w:sz w:val="20"/>
                <w:szCs w:val="20"/>
              </w:rPr>
              <w:t>Weekly Pattern</w:t>
            </w:r>
          </w:p>
        </w:tc>
        <w:tc>
          <w:tcPr>
            <w:tcW w:w="1840" w:type="dxa"/>
            <w:tcBorders>
              <w:top w:val="nil"/>
              <w:left w:val="nil"/>
              <w:bottom w:val="single" w:sz="4" w:space="0" w:color="auto"/>
              <w:right w:val="single" w:sz="4" w:space="0" w:color="auto"/>
            </w:tcBorders>
            <w:shd w:val="clear" w:color="000000" w:fill="FFFFFF"/>
            <w:vAlign w:val="center"/>
            <w:hideMark/>
          </w:tcPr>
          <w:p w14:paraId="6644A43F" w14:textId="77777777" w:rsidR="00032F48" w:rsidRDefault="00032F48" w:rsidP="006B21E2">
            <w:pPr>
              <w:jc w:val="center"/>
              <w:rPr>
                <w:color w:val="000000"/>
                <w:sz w:val="20"/>
                <w:szCs w:val="20"/>
              </w:rPr>
            </w:pPr>
            <w:r>
              <w:rPr>
                <w:color w:val="000000"/>
                <w:sz w:val="20"/>
                <w:szCs w:val="20"/>
              </w:rPr>
              <w:t>Weekends (15% below average)</w:t>
            </w:r>
          </w:p>
        </w:tc>
        <w:tc>
          <w:tcPr>
            <w:tcW w:w="1800" w:type="dxa"/>
            <w:tcBorders>
              <w:top w:val="nil"/>
              <w:left w:val="nil"/>
              <w:bottom w:val="single" w:sz="4" w:space="0" w:color="auto"/>
              <w:right w:val="single" w:sz="4" w:space="0" w:color="auto"/>
            </w:tcBorders>
            <w:shd w:val="clear" w:color="000000" w:fill="FFFFFF"/>
            <w:vAlign w:val="center"/>
            <w:hideMark/>
          </w:tcPr>
          <w:p w14:paraId="725DF234" w14:textId="77777777" w:rsidR="00032F48" w:rsidRDefault="00032F48" w:rsidP="006B21E2">
            <w:pPr>
              <w:jc w:val="center"/>
              <w:rPr>
                <w:color w:val="000000"/>
                <w:sz w:val="20"/>
                <w:szCs w:val="20"/>
              </w:rPr>
            </w:pPr>
            <w:r>
              <w:rPr>
                <w:color w:val="000000"/>
                <w:sz w:val="20"/>
                <w:szCs w:val="20"/>
              </w:rPr>
              <w:t>Tuesday-Thursday (peak activity)</w:t>
            </w:r>
          </w:p>
        </w:tc>
        <w:tc>
          <w:tcPr>
            <w:tcW w:w="1170" w:type="dxa"/>
            <w:tcBorders>
              <w:top w:val="nil"/>
              <w:left w:val="nil"/>
              <w:bottom w:val="single" w:sz="4" w:space="0" w:color="auto"/>
              <w:right w:val="single" w:sz="4" w:space="0" w:color="auto"/>
            </w:tcBorders>
            <w:shd w:val="clear" w:color="000000" w:fill="FFFFFF"/>
            <w:vAlign w:val="center"/>
            <w:hideMark/>
          </w:tcPr>
          <w:p w14:paraId="1921B59F" w14:textId="77777777" w:rsidR="00032F48" w:rsidRDefault="00032F48" w:rsidP="006B21E2">
            <w:pPr>
              <w:jc w:val="center"/>
              <w:rPr>
                <w:color w:val="000000"/>
                <w:sz w:val="20"/>
                <w:szCs w:val="20"/>
              </w:rPr>
            </w:pPr>
            <w:r>
              <w:rPr>
                <w:color w:val="000000"/>
                <w:sz w:val="20"/>
                <w:szCs w:val="20"/>
              </w:rPr>
              <w:t>~20% difference</w:t>
            </w:r>
          </w:p>
        </w:tc>
        <w:tc>
          <w:tcPr>
            <w:tcW w:w="3240" w:type="dxa"/>
            <w:tcBorders>
              <w:top w:val="nil"/>
              <w:left w:val="nil"/>
              <w:bottom w:val="single" w:sz="4" w:space="0" w:color="auto"/>
              <w:right w:val="single" w:sz="8" w:space="0" w:color="auto"/>
            </w:tcBorders>
            <w:shd w:val="clear" w:color="000000" w:fill="FFFFFF"/>
            <w:vAlign w:val="center"/>
            <w:hideMark/>
          </w:tcPr>
          <w:p w14:paraId="3D414A7C" w14:textId="77777777" w:rsidR="00032F48" w:rsidRDefault="00032F48" w:rsidP="006B21E2">
            <w:pPr>
              <w:rPr>
                <w:color w:val="000000"/>
                <w:sz w:val="20"/>
                <w:szCs w:val="20"/>
              </w:rPr>
            </w:pPr>
            <w:r>
              <w:rPr>
                <w:color w:val="000000"/>
                <w:sz w:val="20"/>
                <w:szCs w:val="20"/>
              </w:rPr>
              <w:t>Schedule non-urgent rebalancing for weekends</w:t>
            </w:r>
          </w:p>
        </w:tc>
      </w:tr>
      <w:tr w:rsidR="00032F48" w14:paraId="34EC311B" w14:textId="77777777" w:rsidTr="00ED11DB">
        <w:trPr>
          <w:trHeight w:val="323"/>
        </w:trPr>
        <w:tc>
          <w:tcPr>
            <w:tcW w:w="1300" w:type="dxa"/>
            <w:tcBorders>
              <w:top w:val="nil"/>
              <w:left w:val="single" w:sz="8" w:space="0" w:color="auto"/>
              <w:bottom w:val="single" w:sz="4" w:space="0" w:color="auto"/>
              <w:right w:val="single" w:sz="4" w:space="0" w:color="auto"/>
            </w:tcBorders>
            <w:shd w:val="clear" w:color="000000" w:fill="FFFFFF"/>
            <w:vAlign w:val="center"/>
            <w:hideMark/>
          </w:tcPr>
          <w:p w14:paraId="232EB67E" w14:textId="77777777" w:rsidR="00032F48" w:rsidRDefault="00032F48" w:rsidP="006B21E2">
            <w:pPr>
              <w:rPr>
                <w:color w:val="000000"/>
                <w:sz w:val="20"/>
                <w:szCs w:val="20"/>
              </w:rPr>
            </w:pPr>
            <w:r>
              <w:rPr>
                <w:color w:val="000000"/>
                <w:sz w:val="20"/>
                <w:szCs w:val="20"/>
              </w:rPr>
              <w:lastRenderedPageBreak/>
              <w:t>Monthly Pattern</w:t>
            </w:r>
          </w:p>
        </w:tc>
        <w:tc>
          <w:tcPr>
            <w:tcW w:w="1840" w:type="dxa"/>
            <w:tcBorders>
              <w:top w:val="nil"/>
              <w:left w:val="nil"/>
              <w:bottom w:val="single" w:sz="4" w:space="0" w:color="auto"/>
              <w:right w:val="single" w:sz="4" w:space="0" w:color="auto"/>
            </w:tcBorders>
            <w:shd w:val="clear" w:color="000000" w:fill="FFFFFF"/>
            <w:vAlign w:val="center"/>
            <w:hideMark/>
          </w:tcPr>
          <w:p w14:paraId="521BB2E0" w14:textId="77777777" w:rsidR="00032F48" w:rsidRDefault="00032F48" w:rsidP="006B21E2">
            <w:pPr>
              <w:jc w:val="center"/>
              <w:rPr>
                <w:color w:val="000000"/>
                <w:sz w:val="20"/>
                <w:szCs w:val="20"/>
              </w:rPr>
            </w:pPr>
            <w:r>
              <w:rPr>
                <w:color w:val="000000"/>
                <w:sz w:val="20"/>
                <w:szCs w:val="20"/>
              </w:rPr>
              <w:t>Mid-month (typical activity)</w:t>
            </w:r>
          </w:p>
        </w:tc>
        <w:tc>
          <w:tcPr>
            <w:tcW w:w="1800" w:type="dxa"/>
            <w:tcBorders>
              <w:top w:val="nil"/>
              <w:left w:val="nil"/>
              <w:bottom w:val="single" w:sz="4" w:space="0" w:color="auto"/>
              <w:right w:val="single" w:sz="4" w:space="0" w:color="auto"/>
            </w:tcBorders>
            <w:shd w:val="clear" w:color="000000" w:fill="FFFFFF"/>
            <w:vAlign w:val="center"/>
            <w:hideMark/>
          </w:tcPr>
          <w:p w14:paraId="0BAA1092" w14:textId="77777777" w:rsidR="00032F48" w:rsidRDefault="00032F48" w:rsidP="006B21E2">
            <w:pPr>
              <w:jc w:val="center"/>
              <w:rPr>
                <w:color w:val="000000"/>
                <w:sz w:val="20"/>
                <w:szCs w:val="20"/>
              </w:rPr>
            </w:pPr>
            <w:r>
              <w:rPr>
                <w:color w:val="000000"/>
                <w:sz w:val="20"/>
                <w:szCs w:val="20"/>
              </w:rPr>
              <w:t>First/last days (25% above average)</w:t>
            </w:r>
          </w:p>
        </w:tc>
        <w:tc>
          <w:tcPr>
            <w:tcW w:w="1170" w:type="dxa"/>
            <w:tcBorders>
              <w:top w:val="nil"/>
              <w:left w:val="nil"/>
              <w:bottom w:val="single" w:sz="4" w:space="0" w:color="auto"/>
              <w:right w:val="single" w:sz="4" w:space="0" w:color="auto"/>
            </w:tcBorders>
            <w:shd w:val="clear" w:color="000000" w:fill="FFFFFF"/>
            <w:vAlign w:val="center"/>
            <w:hideMark/>
          </w:tcPr>
          <w:p w14:paraId="164A78AC" w14:textId="77777777" w:rsidR="00032F48" w:rsidRDefault="00032F48" w:rsidP="006B21E2">
            <w:pPr>
              <w:jc w:val="center"/>
              <w:rPr>
                <w:color w:val="000000"/>
                <w:sz w:val="20"/>
                <w:szCs w:val="20"/>
              </w:rPr>
            </w:pPr>
            <w:r>
              <w:rPr>
                <w:color w:val="000000"/>
                <w:sz w:val="20"/>
                <w:szCs w:val="20"/>
              </w:rPr>
              <w:t>~30% difference</w:t>
            </w:r>
          </w:p>
        </w:tc>
        <w:tc>
          <w:tcPr>
            <w:tcW w:w="3240" w:type="dxa"/>
            <w:tcBorders>
              <w:top w:val="nil"/>
              <w:left w:val="nil"/>
              <w:bottom w:val="single" w:sz="4" w:space="0" w:color="auto"/>
              <w:right w:val="single" w:sz="8" w:space="0" w:color="auto"/>
            </w:tcBorders>
            <w:shd w:val="clear" w:color="000000" w:fill="FFFFFF"/>
            <w:vAlign w:val="center"/>
            <w:hideMark/>
          </w:tcPr>
          <w:p w14:paraId="42042AD6" w14:textId="77777777" w:rsidR="00032F48" w:rsidRDefault="00032F48" w:rsidP="006B21E2">
            <w:pPr>
              <w:rPr>
                <w:color w:val="000000"/>
                <w:sz w:val="20"/>
                <w:szCs w:val="20"/>
              </w:rPr>
            </w:pPr>
            <w:r>
              <w:rPr>
                <w:color w:val="000000"/>
                <w:sz w:val="20"/>
                <w:szCs w:val="20"/>
              </w:rPr>
              <w:t>Institutional rebalancing causes spikes; avoid month-end for routine tasks</w:t>
            </w:r>
          </w:p>
        </w:tc>
      </w:tr>
      <w:tr w:rsidR="00032F48" w14:paraId="2D6B3CF3" w14:textId="77777777" w:rsidTr="00ED11DB">
        <w:trPr>
          <w:trHeight w:val="350"/>
        </w:trPr>
        <w:tc>
          <w:tcPr>
            <w:tcW w:w="1300" w:type="dxa"/>
            <w:tcBorders>
              <w:top w:val="nil"/>
              <w:left w:val="single" w:sz="8" w:space="0" w:color="auto"/>
              <w:bottom w:val="single" w:sz="8" w:space="0" w:color="auto"/>
              <w:right w:val="single" w:sz="4" w:space="0" w:color="auto"/>
            </w:tcBorders>
            <w:shd w:val="clear" w:color="000000" w:fill="FFFFFF"/>
            <w:vAlign w:val="center"/>
            <w:hideMark/>
          </w:tcPr>
          <w:p w14:paraId="642498B8" w14:textId="77777777" w:rsidR="00032F48" w:rsidRDefault="00032F48" w:rsidP="006B21E2">
            <w:pPr>
              <w:rPr>
                <w:color w:val="000000"/>
                <w:sz w:val="20"/>
                <w:szCs w:val="20"/>
              </w:rPr>
            </w:pPr>
            <w:r>
              <w:rPr>
                <w:color w:val="000000"/>
                <w:sz w:val="20"/>
                <w:szCs w:val="20"/>
              </w:rPr>
              <w:t>Optimization Impact (3-month period)</w:t>
            </w:r>
          </w:p>
        </w:tc>
        <w:tc>
          <w:tcPr>
            <w:tcW w:w="1840" w:type="dxa"/>
            <w:tcBorders>
              <w:top w:val="nil"/>
              <w:left w:val="nil"/>
              <w:bottom w:val="single" w:sz="8" w:space="0" w:color="auto"/>
              <w:right w:val="single" w:sz="4" w:space="0" w:color="auto"/>
            </w:tcBorders>
            <w:shd w:val="clear" w:color="000000" w:fill="FFFFFF"/>
            <w:vAlign w:val="center"/>
            <w:hideMark/>
          </w:tcPr>
          <w:p w14:paraId="6B03C8B9" w14:textId="77777777" w:rsidR="00032F48" w:rsidRDefault="00032F48" w:rsidP="006B21E2">
            <w:pPr>
              <w:jc w:val="center"/>
              <w:rPr>
                <w:color w:val="000000"/>
                <w:sz w:val="20"/>
                <w:szCs w:val="20"/>
              </w:rPr>
            </w:pPr>
            <w:r>
              <w:rPr>
                <w:color w:val="000000"/>
                <w:sz w:val="20"/>
                <w:szCs w:val="20"/>
              </w:rPr>
              <w:t>Gas savings: $200</w:t>
            </w:r>
          </w:p>
        </w:tc>
        <w:tc>
          <w:tcPr>
            <w:tcW w:w="1800" w:type="dxa"/>
            <w:tcBorders>
              <w:top w:val="nil"/>
              <w:left w:val="nil"/>
              <w:bottom w:val="single" w:sz="8" w:space="0" w:color="auto"/>
              <w:right w:val="single" w:sz="4" w:space="0" w:color="auto"/>
            </w:tcBorders>
            <w:shd w:val="clear" w:color="000000" w:fill="FFFFFF"/>
            <w:vAlign w:val="center"/>
            <w:hideMark/>
          </w:tcPr>
          <w:p w14:paraId="0B38410B" w14:textId="77777777" w:rsidR="00032F48" w:rsidRDefault="00032F48" w:rsidP="006B21E2">
            <w:pPr>
              <w:jc w:val="center"/>
              <w:rPr>
                <w:color w:val="000000"/>
                <w:sz w:val="20"/>
                <w:szCs w:val="20"/>
              </w:rPr>
            </w:pPr>
            <w:proofErr w:type="gramStart"/>
            <w:r>
              <w:rPr>
                <w:color w:val="000000"/>
                <w:sz w:val="20"/>
                <w:szCs w:val="20"/>
              </w:rPr>
              <w:t>Missed opportunities</w:t>
            </w:r>
            <w:proofErr w:type="gramEnd"/>
            <w:r>
              <w:rPr>
                <w:color w:val="000000"/>
                <w:sz w:val="20"/>
                <w:szCs w:val="20"/>
              </w:rPr>
              <w:t>: $3,000</w:t>
            </w:r>
          </w:p>
        </w:tc>
        <w:tc>
          <w:tcPr>
            <w:tcW w:w="1170" w:type="dxa"/>
            <w:tcBorders>
              <w:top w:val="nil"/>
              <w:left w:val="nil"/>
              <w:bottom w:val="single" w:sz="8" w:space="0" w:color="auto"/>
              <w:right w:val="single" w:sz="4" w:space="0" w:color="auto"/>
            </w:tcBorders>
            <w:shd w:val="clear" w:color="000000" w:fill="FFFFFF"/>
            <w:vAlign w:val="center"/>
            <w:hideMark/>
          </w:tcPr>
          <w:p w14:paraId="082402C4" w14:textId="77777777" w:rsidR="00032F48" w:rsidRDefault="00032F48" w:rsidP="006B21E2">
            <w:pPr>
              <w:jc w:val="center"/>
              <w:rPr>
                <w:color w:val="000000"/>
                <w:sz w:val="20"/>
                <w:szCs w:val="20"/>
              </w:rPr>
            </w:pPr>
            <w:r>
              <w:rPr>
                <w:color w:val="000000"/>
                <w:sz w:val="20"/>
                <w:szCs w:val="20"/>
              </w:rPr>
              <w:t>Net impact: -$2,800</w:t>
            </w:r>
          </w:p>
        </w:tc>
        <w:tc>
          <w:tcPr>
            <w:tcW w:w="3240" w:type="dxa"/>
            <w:tcBorders>
              <w:top w:val="nil"/>
              <w:left w:val="nil"/>
              <w:bottom w:val="single" w:sz="8" w:space="0" w:color="auto"/>
              <w:right w:val="single" w:sz="8" w:space="0" w:color="auto"/>
            </w:tcBorders>
            <w:shd w:val="clear" w:color="000000" w:fill="FFFFFF"/>
            <w:vAlign w:val="center"/>
            <w:hideMark/>
          </w:tcPr>
          <w:p w14:paraId="688ABC6B" w14:textId="77777777" w:rsidR="00032F48" w:rsidRDefault="00032F48" w:rsidP="006B21E2">
            <w:pPr>
              <w:rPr>
                <w:color w:val="000000"/>
                <w:sz w:val="20"/>
                <w:szCs w:val="20"/>
              </w:rPr>
            </w:pPr>
            <w:r>
              <w:rPr>
                <w:color w:val="000000"/>
                <w:sz w:val="20"/>
                <w:szCs w:val="20"/>
              </w:rPr>
              <w:t>Optimization paralysis worse than gas costs; focus on opportunities, not minimizing costs</w:t>
            </w:r>
          </w:p>
        </w:tc>
      </w:tr>
    </w:tbl>
    <w:p w14:paraId="6FCB5ECE" w14:textId="5E0EAFF8" w:rsidR="003C56D9" w:rsidRPr="007B5461" w:rsidRDefault="003C56D9" w:rsidP="006B21E2">
      <w:pPr>
        <w:jc w:val="both"/>
        <w:rPr>
          <w:i/>
          <w:iCs/>
          <w:color w:val="000000" w:themeColor="text1"/>
          <w:sz w:val="20"/>
          <w:szCs w:val="20"/>
        </w:rPr>
      </w:pPr>
      <w:r w:rsidRPr="007B5461">
        <w:rPr>
          <w:i/>
          <w:iCs/>
          <w:color w:val="000000" w:themeColor="text1"/>
          <w:sz w:val="20"/>
          <w:szCs w:val="20"/>
        </w:rPr>
        <w:t>Source:</w:t>
      </w:r>
      <w:r w:rsidR="00C82B46" w:rsidRPr="007B5461">
        <w:rPr>
          <w:i/>
          <w:iCs/>
          <w:color w:val="000000" w:themeColor="text1"/>
          <w:sz w:val="20"/>
          <w:szCs w:val="20"/>
        </w:rPr>
        <w:t xml:space="preserve"> </w:t>
      </w:r>
      <w:r w:rsidRPr="007B5461">
        <w:rPr>
          <w:i/>
          <w:iCs/>
          <w:color w:val="000000" w:themeColor="text1"/>
          <w:sz w:val="20"/>
          <w:szCs w:val="20"/>
        </w:rPr>
        <w:t>Analysis of 127,000 arbitrage opportunities and execution outcomes for &lt;$25K capital participants, 2020-2024.</w:t>
      </w:r>
    </w:p>
    <w:p w14:paraId="6800EF62" w14:textId="77777777" w:rsidR="003C56D9" w:rsidRPr="007B5461" w:rsidRDefault="003C56D9" w:rsidP="006B21E2">
      <w:pPr>
        <w:jc w:val="both"/>
        <w:rPr>
          <w:i/>
          <w:iCs/>
          <w:color w:val="000000" w:themeColor="text1"/>
        </w:rPr>
      </w:pPr>
    </w:p>
    <w:p w14:paraId="06EC67AF" w14:textId="0DBAF1CD" w:rsidR="003C56D9" w:rsidRPr="007D2FF3" w:rsidRDefault="003C56D9" w:rsidP="006B21E2">
      <w:pPr>
        <w:jc w:val="both"/>
        <w:rPr>
          <w:b/>
          <w:bCs/>
          <w:color w:val="000000" w:themeColor="text1"/>
        </w:rPr>
      </w:pPr>
      <w:r w:rsidRPr="007D2FF3">
        <w:rPr>
          <w:b/>
          <w:bCs/>
          <w:color w:val="000000" w:themeColor="text1"/>
        </w:rPr>
        <w:t>Critical Observations</w:t>
      </w:r>
    </w:p>
    <w:p w14:paraId="36525953" w14:textId="77777777" w:rsidR="003C56D9" w:rsidRPr="0071647F" w:rsidRDefault="003C56D9" w:rsidP="006B21E2">
      <w:pPr>
        <w:jc w:val="both"/>
        <w:rPr>
          <w:i/>
          <w:iCs/>
          <w:color w:val="FF0000"/>
        </w:rPr>
      </w:pPr>
    </w:p>
    <w:p w14:paraId="10399A33" w14:textId="014F1153" w:rsidR="003C56D9" w:rsidRPr="000E41A9" w:rsidRDefault="003C56D9" w:rsidP="006B21E2">
      <w:pPr>
        <w:ind w:left="720"/>
        <w:jc w:val="both"/>
        <w:rPr>
          <w:i/>
          <w:iCs/>
          <w:color w:val="000000" w:themeColor="text1"/>
        </w:rPr>
      </w:pPr>
      <w:r w:rsidRPr="000E41A9">
        <w:rPr>
          <w:b/>
          <w:bCs/>
          <w:i/>
          <w:iCs/>
          <w:color w:val="000000" w:themeColor="text1"/>
        </w:rPr>
        <w:t>Inverse Spread-Probability Relationship</w:t>
      </w:r>
      <w:r w:rsidRPr="000E41A9">
        <w:rPr>
          <w:i/>
          <w:iCs/>
          <w:color w:val="000000" w:themeColor="text1"/>
        </w:rPr>
        <w:t xml:space="preserve">: </w:t>
      </w:r>
      <w:r w:rsidRPr="000E41A9">
        <w:rPr>
          <w:color w:val="000000" w:themeColor="text1"/>
        </w:rPr>
        <w:t xml:space="preserve">The negative correlation between spread magnitude (0.08% CEX-CEX vs 0.80% cross-chain) and execution probability (94% vs 67%) demonstrates that larger opportunities embed higher failure risks. CEX-CEX arbitrage with 0.10% spread and 94% execution generates </w:t>
      </w:r>
      <w:r w:rsidR="000E41A9" w:rsidRPr="000E41A9">
        <w:rPr>
          <w:color w:val="000000" w:themeColor="text1"/>
        </w:rPr>
        <w:t>a</w:t>
      </w:r>
      <w:r w:rsidRPr="000E41A9">
        <w:rPr>
          <w:color w:val="000000" w:themeColor="text1"/>
        </w:rPr>
        <w:t xml:space="preserve"> value of 0.094% versus cross-chain 0.60% spread at 67% execution yielding 0.402% expected value</w:t>
      </w:r>
      <w:r w:rsidR="000E41A9" w:rsidRPr="000E41A9">
        <w:rPr>
          <w:color w:val="000000" w:themeColor="text1"/>
        </w:rPr>
        <w:t xml:space="preserve">. This equals </w:t>
      </w:r>
      <w:r w:rsidRPr="000E41A9">
        <w:rPr>
          <w:color w:val="000000" w:themeColor="text1"/>
        </w:rPr>
        <w:t>only 4.3x advantage despite 6x spread difference.</w:t>
      </w:r>
    </w:p>
    <w:p w14:paraId="0CDD503A" w14:textId="77777777" w:rsidR="003C56D9" w:rsidRPr="0071647F" w:rsidRDefault="003C56D9" w:rsidP="006B21E2">
      <w:pPr>
        <w:ind w:left="720"/>
        <w:jc w:val="both"/>
        <w:rPr>
          <w:i/>
          <w:iCs/>
          <w:color w:val="FF0000"/>
        </w:rPr>
      </w:pPr>
    </w:p>
    <w:p w14:paraId="215B6F4E" w14:textId="2B70EA1D" w:rsidR="003C56D9" w:rsidRPr="00B8191D" w:rsidRDefault="003C56D9" w:rsidP="006B21E2">
      <w:pPr>
        <w:ind w:left="720"/>
        <w:jc w:val="both"/>
        <w:rPr>
          <w:i/>
          <w:iCs/>
          <w:color w:val="000000" w:themeColor="text1"/>
        </w:rPr>
      </w:pPr>
      <w:r w:rsidRPr="00B8191D">
        <w:rPr>
          <w:b/>
          <w:bCs/>
          <w:i/>
          <w:iCs/>
          <w:color w:val="000000" w:themeColor="text1"/>
        </w:rPr>
        <w:t>Speed Requirements as Barrier:</w:t>
      </w:r>
      <w:r w:rsidRPr="00B8191D">
        <w:rPr>
          <w:i/>
          <w:iCs/>
          <w:color w:val="000000" w:themeColor="text1"/>
        </w:rPr>
        <w:t xml:space="preserve"> </w:t>
      </w:r>
      <w:r w:rsidRPr="00B8191D">
        <w:rPr>
          <w:color w:val="000000" w:themeColor="text1"/>
        </w:rPr>
        <w:t>The &lt;100ms requirement for CEX-CEX arbitrage execution creates infrastructure dependencies (co-located servers, direct market access) that capital-constrained participants cannot replicate. Professional participants captured 67% of these opportunities during zero-fee periods versus 51% normally</w:t>
      </w:r>
      <w:r w:rsidR="00B8191D" w:rsidRPr="00B8191D">
        <w:rPr>
          <w:color w:val="000000" w:themeColor="text1"/>
        </w:rPr>
        <w:t xml:space="preserve">. This </w:t>
      </w:r>
      <w:r w:rsidRPr="00B8191D">
        <w:rPr>
          <w:color w:val="000000" w:themeColor="text1"/>
        </w:rPr>
        <w:t>demonstrat</w:t>
      </w:r>
      <w:r w:rsidR="00B8191D" w:rsidRPr="00B8191D">
        <w:rPr>
          <w:color w:val="000000" w:themeColor="text1"/>
        </w:rPr>
        <w:t>es a</w:t>
      </w:r>
      <w:r w:rsidRPr="00B8191D">
        <w:rPr>
          <w:color w:val="000000" w:themeColor="text1"/>
        </w:rPr>
        <w:t xml:space="preserve"> speed-based competitive advantage that persists independent of fee structures.</w:t>
      </w:r>
    </w:p>
    <w:p w14:paraId="4BC9B995" w14:textId="77777777" w:rsidR="003C56D9" w:rsidRPr="0071647F" w:rsidRDefault="003C56D9" w:rsidP="006B21E2">
      <w:pPr>
        <w:ind w:left="720"/>
        <w:jc w:val="both"/>
        <w:rPr>
          <w:i/>
          <w:iCs/>
          <w:color w:val="FF0000"/>
        </w:rPr>
      </w:pPr>
    </w:p>
    <w:p w14:paraId="14E17674" w14:textId="3B087F0C" w:rsidR="003C56D9" w:rsidRPr="00B14663" w:rsidRDefault="003C56D9" w:rsidP="006B21E2">
      <w:pPr>
        <w:ind w:left="720"/>
        <w:jc w:val="both"/>
        <w:rPr>
          <w:i/>
          <w:iCs/>
          <w:color w:val="000000" w:themeColor="text1"/>
        </w:rPr>
      </w:pPr>
      <w:r w:rsidRPr="00B14663">
        <w:rPr>
          <w:b/>
          <w:bCs/>
          <w:i/>
          <w:iCs/>
          <w:color w:val="000000" w:themeColor="text1"/>
        </w:rPr>
        <w:t>Capital Lockup Costs:</w:t>
      </w:r>
      <w:r w:rsidRPr="00B14663">
        <w:rPr>
          <w:i/>
          <w:iCs/>
          <w:color w:val="000000" w:themeColor="text1"/>
        </w:rPr>
        <w:t xml:space="preserve"> </w:t>
      </w:r>
      <w:r w:rsidRPr="00B14663">
        <w:rPr>
          <w:color w:val="000000" w:themeColor="text1"/>
        </w:rPr>
        <w:t xml:space="preserve">Cross-chain arbitrage's </w:t>
      </w:r>
      <w:proofErr w:type="gramStart"/>
      <w:r w:rsidRPr="00B14663">
        <w:rPr>
          <w:color w:val="000000" w:themeColor="text1"/>
        </w:rPr>
        <w:t>15-45 minute</w:t>
      </w:r>
      <w:proofErr w:type="gramEnd"/>
      <w:r w:rsidRPr="00B14663">
        <w:rPr>
          <w:color w:val="000000" w:themeColor="text1"/>
        </w:rPr>
        <w:t xml:space="preserve"> capital lockup period creates </w:t>
      </w:r>
      <w:r w:rsidR="00B14663" w:rsidRPr="00B14663">
        <w:rPr>
          <w:color w:val="000000" w:themeColor="text1"/>
        </w:rPr>
        <w:t xml:space="preserve">an </w:t>
      </w:r>
      <w:r w:rsidRPr="00B14663">
        <w:rPr>
          <w:color w:val="000000" w:themeColor="text1"/>
        </w:rPr>
        <w:t>opportunity cost</w:t>
      </w:r>
      <w:r w:rsidR="00B14663" w:rsidRPr="00B14663">
        <w:rPr>
          <w:color w:val="000000" w:themeColor="text1"/>
        </w:rPr>
        <w:t xml:space="preserve"> that</w:t>
      </w:r>
      <w:r w:rsidRPr="00B14663">
        <w:rPr>
          <w:color w:val="000000" w:themeColor="text1"/>
        </w:rPr>
        <w:t xml:space="preserve"> </w:t>
      </w:r>
      <w:proofErr w:type="gramStart"/>
      <w:r w:rsidRPr="00B14663">
        <w:rPr>
          <w:color w:val="000000" w:themeColor="text1"/>
        </w:rPr>
        <w:t>exceeding</w:t>
      </w:r>
      <w:proofErr w:type="gramEnd"/>
      <w:r w:rsidRPr="00B14663">
        <w:rPr>
          <w:color w:val="000000" w:themeColor="text1"/>
        </w:rPr>
        <w:t xml:space="preserve"> the 0.60% gross spread for limited-capital participants. During high volatility periods (23% of observation time), alternative opportunities yielding 0.15-0.25% per hour made cross-chain arbitrage's 0.60% over 30 minutes (1.2% hourly) attractive, but during normal periods (77% of time), the lockup generated negative opportunity costs.</w:t>
      </w:r>
    </w:p>
    <w:p w14:paraId="2889F425" w14:textId="77777777" w:rsidR="003C56D9" w:rsidRPr="0071647F" w:rsidRDefault="003C56D9" w:rsidP="006B21E2">
      <w:pPr>
        <w:ind w:left="720"/>
        <w:jc w:val="both"/>
        <w:rPr>
          <w:i/>
          <w:iCs/>
          <w:color w:val="FF0000"/>
        </w:rPr>
      </w:pPr>
    </w:p>
    <w:p w14:paraId="4F67E52A" w14:textId="7FD1D080" w:rsidR="003C56D9" w:rsidRPr="0031549D" w:rsidRDefault="003C56D9" w:rsidP="006B21E2">
      <w:pPr>
        <w:ind w:left="720"/>
        <w:jc w:val="both"/>
        <w:rPr>
          <w:i/>
          <w:iCs/>
          <w:color w:val="000000" w:themeColor="text1"/>
        </w:rPr>
      </w:pPr>
      <w:r w:rsidRPr="0031549D">
        <w:rPr>
          <w:b/>
          <w:bCs/>
          <w:i/>
          <w:iCs/>
          <w:color w:val="000000" w:themeColor="text1"/>
        </w:rPr>
        <w:t>Bridge Failure Risk:</w:t>
      </w:r>
      <w:r w:rsidRPr="0031549D">
        <w:rPr>
          <w:i/>
          <w:iCs/>
          <w:color w:val="000000" w:themeColor="text1"/>
        </w:rPr>
        <w:t xml:space="preserve"> </w:t>
      </w:r>
      <w:r w:rsidRPr="0031549D">
        <w:rPr>
          <w:color w:val="000000" w:themeColor="text1"/>
        </w:rPr>
        <w:t xml:space="preserve">The 0.1% cross-chain bridge failure rate, occurring independently of participant skill, represents </w:t>
      </w:r>
      <w:r w:rsidR="0031549D" w:rsidRPr="0031549D">
        <w:rPr>
          <w:color w:val="000000" w:themeColor="text1"/>
        </w:rPr>
        <w:t xml:space="preserve">an </w:t>
      </w:r>
      <w:r w:rsidRPr="0031549D">
        <w:rPr>
          <w:color w:val="000000" w:themeColor="text1"/>
        </w:rPr>
        <w:t xml:space="preserve">existential risk for limited-capital operators. A single bridge failure losing 100% of position value </w:t>
      </w:r>
      <w:r w:rsidR="0031549D" w:rsidRPr="0031549D">
        <w:rPr>
          <w:color w:val="000000" w:themeColor="text1"/>
        </w:rPr>
        <w:t xml:space="preserve">will </w:t>
      </w:r>
      <w:r w:rsidRPr="0031549D">
        <w:rPr>
          <w:color w:val="000000" w:themeColor="text1"/>
        </w:rPr>
        <w:t>require 167 successful 0.60% arbitrages to break even</w:t>
      </w:r>
      <w:r w:rsidR="0031549D" w:rsidRPr="0031549D">
        <w:rPr>
          <w:color w:val="000000" w:themeColor="text1"/>
        </w:rPr>
        <w:t xml:space="preserve">. And this is </w:t>
      </w:r>
      <w:r w:rsidRPr="0031549D">
        <w:rPr>
          <w:color w:val="000000" w:themeColor="text1"/>
        </w:rPr>
        <w:t xml:space="preserve">a risk-reward profile </w:t>
      </w:r>
      <w:r w:rsidR="0031549D" w:rsidRPr="0031549D">
        <w:rPr>
          <w:color w:val="000000" w:themeColor="text1"/>
        </w:rPr>
        <w:t xml:space="preserve">that </w:t>
      </w:r>
      <w:r w:rsidRPr="0031549D">
        <w:rPr>
          <w:color w:val="000000" w:themeColor="text1"/>
        </w:rPr>
        <w:t xml:space="preserve">traditional finance would deem </w:t>
      </w:r>
      <w:proofErr w:type="spellStart"/>
      <w:r w:rsidRPr="0031549D">
        <w:rPr>
          <w:color w:val="000000" w:themeColor="text1"/>
        </w:rPr>
        <w:t>uninvestable</w:t>
      </w:r>
      <w:proofErr w:type="spellEnd"/>
      <w:r w:rsidRPr="0031549D">
        <w:rPr>
          <w:color w:val="000000" w:themeColor="text1"/>
        </w:rPr>
        <w:t>.</w:t>
      </w:r>
    </w:p>
    <w:p w14:paraId="5FCF5F29" w14:textId="77777777" w:rsidR="003C56D9" w:rsidRPr="0071647F" w:rsidRDefault="003C56D9" w:rsidP="006B21E2">
      <w:pPr>
        <w:ind w:left="720"/>
        <w:jc w:val="both"/>
        <w:rPr>
          <w:i/>
          <w:iCs/>
          <w:color w:val="FF0000"/>
        </w:rPr>
      </w:pPr>
    </w:p>
    <w:p w14:paraId="31829F1B" w14:textId="3EBD450C" w:rsidR="003C56D9" w:rsidRPr="00D52486" w:rsidRDefault="003C56D9" w:rsidP="006B21E2">
      <w:pPr>
        <w:ind w:left="720"/>
        <w:jc w:val="both"/>
        <w:rPr>
          <w:i/>
          <w:iCs/>
          <w:color w:val="000000" w:themeColor="text1"/>
        </w:rPr>
      </w:pPr>
      <w:r w:rsidRPr="00D52486">
        <w:rPr>
          <w:b/>
          <w:bCs/>
          <w:i/>
          <w:iCs/>
          <w:color w:val="000000" w:themeColor="text1"/>
        </w:rPr>
        <w:t>Flash Loan Democratization Myth:</w:t>
      </w:r>
      <w:r w:rsidRPr="00D52486">
        <w:rPr>
          <w:i/>
          <w:iCs/>
          <w:color w:val="000000" w:themeColor="text1"/>
        </w:rPr>
        <w:t xml:space="preserve"> </w:t>
      </w:r>
      <w:r w:rsidRPr="00D52486">
        <w:rPr>
          <w:color w:val="000000" w:themeColor="text1"/>
        </w:rPr>
        <w:t xml:space="preserve">Despite eliminating capital requirements through borrowing, flash loan arbitrage showed 12% retail success versus 67% professional success. The democratization of capital access does not democratize </w:t>
      </w:r>
      <w:r w:rsidR="00D52486" w:rsidRPr="00D52486">
        <w:rPr>
          <w:color w:val="000000" w:themeColor="text1"/>
        </w:rPr>
        <w:t xml:space="preserve">the </w:t>
      </w:r>
      <w:r w:rsidRPr="00D52486">
        <w:rPr>
          <w:color w:val="000000" w:themeColor="text1"/>
        </w:rPr>
        <w:t>execution capabilit</w:t>
      </w:r>
      <w:r w:rsidR="00D52486" w:rsidRPr="00D52486">
        <w:rPr>
          <w:color w:val="000000" w:themeColor="text1"/>
        </w:rPr>
        <w:t xml:space="preserve">ies. In this case </w:t>
      </w:r>
      <w:r w:rsidRPr="00D52486">
        <w:rPr>
          <w:color w:val="000000" w:themeColor="text1"/>
        </w:rPr>
        <w:t>technical complexity replaces capital requirements as the primary barrier.</w:t>
      </w:r>
    </w:p>
    <w:p w14:paraId="7B1EA845" w14:textId="77777777" w:rsidR="003C56D9" w:rsidRPr="0071647F" w:rsidRDefault="003C56D9" w:rsidP="006B21E2">
      <w:pPr>
        <w:ind w:left="720"/>
        <w:jc w:val="both"/>
        <w:rPr>
          <w:i/>
          <w:iCs/>
          <w:color w:val="FF0000"/>
        </w:rPr>
      </w:pPr>
    </w:p>
    <w:p w14:paraId="622A5A9F" w14:textId="26091BDF" w:rsidR="003C56D9" w:rsidRPr="00207BD7" w:rsidRDefault="003C56D9" w:rsidP="006B21E2">
      <w:pPr>
        <w:ind w:left="720"/>
        <w:jc w:val="both"/>
        <w:rPr>
          <w:i/>
          <w:iCs/>
          <w:color w:val="000000" w:themeColor="text1"/>
        </w:rPr>
      </w:pPr>
      <w:r w:rsidRPr="00207BD7">
        <w:rPr>
          <w:b/>
          <w:bCs/>
          <w:i/>
          <w:iCs/>
          <w:color w:val="000000" w:themeColor="text1"/>
        </w:rPr>
        <w:t>Observed Success Patterns:</w:t>
      </w:r>
      <w:r w:rsidRPr="00207BD7">
        <w:rPr>
          <w:i/>
          <w:iCs/>
          <w:color w:val="000000" w:themeColor="text1"/>
        </w:rPr>
        <w:t xml:space="preserve"> </w:t>
      </w:r>
      <w:r w:rsidRPr="00207BD7">
        <w:rPr>
          <w:color w:val="000000" w:themeColor="text1"/>
        </w:rPr>
        <w:t xml:space="preserve">Among &lt;$25K capital participants, </w:t>
      </w:r>
      <w:r w:rsidR="00207BD7" w:rsidRPr="00207BD7">
        <w:rPr>
          <w:color w:val="000000" w:themeColor="text1"/>
        </w:rPr>
        <w:t xml:space="preserve">a </w:t>
      </w:r>
      <w:r w:rsidRPr="00207BD7">
        <w:rPr>
          <w:color w:val="000000" w:themeColor="text1"/>
        </w:rPr>
        <w:t xml:space="preserve">consistent profitability (23%) </w:t>
      </w:r>
      <w:r w:rsidR="00207BD7" w:rsidRPr="00207BD7">
        <w:rPr>
          <w:color w:val="000000" w:themeColor="text1"/>
        </w:rPr>
        <w:t>was observed</w:t>
      </w:r>
      <w:r w:rsidRPr="00207BD7">
        <w:rPr>
          <w:color w:val="000000" w:themeColor="text1"/>
        </w:rPr>
        <w:t xml:space="preserve"> among those </w:t>
      </w:r>
      <w:r w:rsidR="00207BD7" w:rsidRPr="00207BD7">
        <w:rPr>
          <w:color w:val="000000" w:themeColor="text1"/>
        </w:rPr>
        <w:t xml:space="preserve">that </w:t>
      </w:r>
      <w:r w:rsidRPr="00207BD7">
        <w:rPr>
          <w:color w:val="000000" w:themeColor="text1"/>
        </w:rPr>
        <w:t>execut</w:t>
      </w:r>
      <w:r w:rsidR="00207BD7" w:rsidRPr="00207BD7">
        <w:rPr>
          <w:color w:val="000000" w:themeColor="text1"/>
        </w:rPr>
        <w:t>ed</w:t>
      </w:r>
      <w:r w:rsidRPr="00207BD7">
        <w:rPr>
          <w:color w:val="000000" w:themeColor="text1"/>
        </w:rPr>
        <w:t xml:space="preserve"> narrow strategies (2-3 pairs), accepting smaller profits ($20-50) with higher frequency, and operating during specific low-competition windows. The majority </w:t>
      </w:r>
      <w:proofErr w:type="gramStart"/>
      <w:r w:rsidRPr="00207BD7">
        <w:rPr>
          <w:color w:val="000000" w:themeColor="text1"/>
        </w:rPr>
        <w:t>achieving</w:t>
      </w:r>
      <w:proofErr w:type="gramEnd"/>
      <w:r w:rsidRPr="00207BD7">
        <w:rPr>
          <w:color w:val="000000" w:themeColor="text1"/>
        </w:rPr>
        <w:t xml:space="preserve"> sporadic profitability (41%) or losses (36%) </w:t>
      </w:r>
      <w:r w:rsidR="00207BD7" w:rsidRPr="00207BD7">
        <w:rPr>
          <w:color w:val="000000" w:themeColor="text1"/>
        </w:rPr>
        <w:t xml:space="preserve">which </w:t>
      </w:r>
      <w:r w:rsidRPr="00207BD7">
        <w:rPr>
          <w:color w:val="000000" w:themeColor="text1"/>
        </w:rPr>
        <w:t xml:space="preserve">attempted to replicate professional strategies without </w:t>
      </w:r>
      <w:r w:rsidR="00207BD7" w:rsidRPr="00207BD7">
        <w:rPr>
          <w:color w:val="000000" w:themeColor="text1"/>
        </w:rPr>
        <w:t xml:space="preserve">the </w:t>
      </w:r>
      <w:r w:rsidRPr="00207BD7">
        <w:rPr>
          <w:color w:val="000000" w:themeColor="text1"/>
        </w:rPr>
        <w:t>professional infrastructure.</w:t>
      </w:r>
    </w:p>
    <w:p w14:paraId="0DE373D6" w14:textId="77777777" w:rsidR="003C56D9" w:rsidRPr="0071647F" w:rsidRDefault="003C56D9" w:rsidP="006B21E2">
      <w:pPr>
        <w:jc w:val="both"/>
        <w:rPr>
          <w:i/>
          <w:iCs/>
          <w:color w:val="FF0000"/>
        </w:rPr>
      </w:pPr>
    </w:p>
    <w:p w14:paraId="20C981B1" w14:textId="6D812024" w:rsidR="007B5461" w:rsidRPr="007B5461" w:rsidRDefault="003C56D9" w:rsidP="006B21E2">
      <w:pPr>
        <w:jc w:val="both"/>
        <w:rPr>
          <w:i/>
          <w:iCs/>
          <w:color w:val="000000" w:themeColor="text1"/>
        </w:rPr>
      </w:pPr>
      <w:r w:rsidRPr="007B5461">
        <w:rPr>
          <w:b/>
          <w:bCs/>
          <w:color w:val="000000" w:themeColor="text1"/>
        </w:rPr>
        <w:t>Practical Implication for Limited-Capital Participants</w:t>
      </w:r>
      <w:r w:rsidRPr="007B5461">
        <w:rPr>
          <w:i/>
          <w:iCs/>
          <w:color w:val="000000" w:themeColor="text1"/>
        </w:rPr>
        <w:t xml:space="preserve"> </w:t>
      </w:r>
    </w:p>
    <w:p w14:paraId="6FD1B6C7" w14:textId="00A27D65" w:rsidR="003C56D9" w:rsidRPr="007B5461" w:rsidRDefault="003C56D9" w:rsidP="006B21E2">
      <w:pPr>
        <w:jc w:val="both"/>
        <w:rPr>
          <w:rFonts w:eastAsiaTheme="majorEastAsia"/>
          <w:color w:val="000000" w:themeColor="text1"/>
        </w:rPr>
      </w:pPr>
      <w:r w:rsidRPr="007B5461">
        <w:rPr>
          <w:color w:val="000000" w:themeColor="text1"/>
        </w:rPr>
        <w:t xml:space="preserve">The data suggests </w:t>
      </w:r>
      <w:r w:rsidR="007B5461" w:rsidRPr="007B5461">
        <w:rPr>
          <w:color w:val="000000" w:themeColor="text1"/>
        </w:rPr>
        <w:t xml:space="preserve">that </w:t>
      </w:r>
      <w:r w:rsidRPr="007B5461">
        <w:rPr>
          <w:color w:val="000000" w:themeColor="text1"/>
        </w:rPr>
        <w:t xml:space="preserve">focusing on CEX-DEX arbitrage (0.25-0.45% spreads, 78% execution, 41% sporadic profitability) </w:t>
      </w:r>
      <w:r w:rsidR="007B5461" w:rsidRPr="007B5461">
        <w:rPr>
          <w:color w:val="000000" w:themeColor="text1"/>
        </w:rPr>
        <w:t xml:space="preserve">is more successful </w:t>
      </w:r>
      <w:r w:rsidRPr="007B5461">
        <w:rPr>
          <w:color w:val="000000" w:themeColor="text1"/>
        </w:rPr>
        <w:t xml:space="preserve">rather than pursuing either extreme: CEX-CEX (too fast, 94% execution by professionals) or cross-chain (too risky, 0.1% failure rate catastrophic). The middle ground offers sufficient spreads to overcome transaction costs while maintaining execution probabilities </w:t>
      </w:r>
      <w:r w:rsidR="007B5461" w:rsidRPr="007B5461">
        <w:rPr>
          <w:color w:val="000000" w:themeColor="text1"/>
        </w:rPr>
        <w:t xml:space="preserve">that are </w:t>
      </w:r>
      <w:r w:rsidRPr="007B5461">
        <w:rPr>
          <w:color w:val="000000" w:themeColor="text1"/>
        </w:rPr>
        <w:t xml:space="preserve">viable without </w:t>
      </w:r>
      <w:r w:rsidR="007B5461" w:rsidRPr="007B5461">
        <w:rPr>
          <w:color w:val="000000" w:themeColor="text1"/>
        </w:rPr>
        <w:t xml:space="preserve">the necessary </w:t>
      </w:r>
      <w:r w:rsidRPr="007B5461">
        <w:rPr>
          <w:color w:val="000000" w:themeColor="text1"/>
        </w:rPr>
        <w:t>professional infrastructure.</w:t>
      </w:r>
    </w:p>
    <w:p w14:paraId="6FC739C8" w14:textId="77777777" w:rsidR="00A04269" w:rsidRPr="0071647F" w:rsidRDefault="00A04269" w:rsidP="006B21E2">
      <w:pPr>
        <w:jc w:val="both"/>
        <w:rPr>
          <w:rFonts w:eastAsiaTheme="majorEastAsia"/>
          <w:b/>
          <w:bCs/>
          <w:color w:val="000000" w:themeColor="text1"/>
        </w:rPr>
      </w:pPr>
    </w:p>
    <w:p w14:paraId="54E3A644" w14:textId="6C93739D" w:rsidR="006A21B5" w:rsidRPr="0071647F" w:rsidRDefault="008D6F57" w:rsidP="006B21E2">
      <w:pPr>
        <w:pStyle w:val="Heading3"/>
        <w:jc w:val="both"/>
        <w:rPr>
          <w:rFonts w:eastAsiaTheme="majorEastAsia"/>
        </w:rPr>
      </w:pPr>
      <w:bookmarkStart w:id="118" w:name="_Toc214721924"/>
      <w:r w:rsidRPr="0071647F">
        <w:rPr>
          <w:rFonts w:eastAsiaTheme="majorEastAsia"/>
        </w:rPr>
        <w:t>5</w:t>
      </w:r>
      <w:r w:rsidR="006A21B5" w:rsidRPr="0071647F">
        <w:rPr>
          <w:rFonts w:eastAsiaTheme="majorEastAsia"/>
        </w:rPr>
        <w:t>.4.2 Implementation Reality</w:t>
      </w:r>
      <w:bookmarkEnd w:id="118"/>
    </w:p>
    <w:p w14:paraId="3C6E60A3" w14:textId="77777777" w:rsidR="006A21B5" w:rsidRPr="0071647F" w:rsidRDefault="006A21B5" w:rsidP="006B21E2">
      <w:pPr>
        <w:jc w:val="both"/>
        <w:rPr>
          <w:rFonts w:eastAsiaTheme="majorEastAsia"/>
          <w:color w:val="000000" w:themeColor="text1"/>
        </w:rPr>
      </w:pPr>
      <w:r w:rsidRPr="0071647F">
        <w:rPr>
          <w:rFonts w:eastAsiaTheme="majorEastAsia"/>
          <w:color w:val="000000" w:themeColor="text1"/>
        </w:rPr>
        <w:t>Among wallet addresses identified as probable arbitrageurs with &lt;$25,000 capital:</w:t>
      </w:r>
    </w:p>
    <w:p w14:paraId="717E1033" w14:textId="77777777" w:rsidR="006A21B5" w:rsidRPr="0071647F" w:rsidRDefault="006A21B5" w:rsidP="006B21E2">
      <w:pPr>
        <w:numPr>
          <w:ilvl w:val="0"/>
          <w:numId w:val="37"/>
        </w:numPr>
        <w:jc w:val="both"/>
        <w:rPr>
          <w:rFonts w:eastAsiaTheme="majorEastAsia"/>
          <w:color w:val="000000" w:themeColor="text1"/>
        </w:rPr>
      </w:pPr>
      <w:r w:rsidRPr="0071647F">
        <w:rPr>
          <w:rFonts w:eastAsiaTheme="majorEastAsia"/>
          <w:color w:val="000000" w:themeColor="text1"/>
        </w:rPr>
        <w:t>23% achieved consistent profitability</w:t>
      </w:r>
    </w:p>
    <w:p w14:paraId="0C405D35" w14:textId="77777777" w:rsidR="006A21B5" w:rsidRPr="0071647F" w:rsidRDefault="006A21B5" w:rsidP="006B21E2">
      <w:pPr>
        <w:numPr>
          <w:ilvl w:val="0"/>
          <w:numId w:val="37"/>
        </w:numPr>
        <w:jc w:val="both"/>
        <w:rPr>
          <w:rFonts w:eastAsiaTheme="majorEastAsia"/>
          <w:color w:val="000000" w:themeColor="text1"/>
        </w:rPr>
      </w:pPr>
      <w:r w:rsidRPr="0071647F">
        <w:rPr>
          <w:rFonts w:eastAsiaTheme="majorEastAsia"/>
          <w:color w:val="000000" w:themeColor="text1"/>
        </w:rPr>
        <w:t>41% achieved sporadic profitability</w:t>
      </w:r>
    </w:p>
    <w:p w14:paraId="1C44644B" w14:textId="77777777" w:rsidR="006A21B5" w:rsidRPr="0071647F" w:rsidRDefault="006A21B5" w:rsidP="006B21E2">
      <w:pPr>
        <w:numPr>
          <w:ilvl w:val="0"/>
          <w:numId w:val="37"/>
        </w:numPr>
        <w:jc w:val="both"/>
        <w:rPr>
          <w:rFonts w:eastAsiaTheme="majorEastAsia"/>
          <w:color w:val="000000" w:themeColor="text1"/>
        </w:rPr>
      </w:pPr>
      <w:r w:rsidRPr="0071647F">
        <w:rPr>
          <w:rFonts w:eastAsiaTheme="majorEastAsia"/>
          <w:color w:val="000000" w:themeColor="text1"/>
        </w:rPr>
        <w:t>36% lost money after costs</w:t>
      </w:r>
    </w:p>
    <w:p w14:paraId="62B3F0F3" w14:textId="77777777" w:rsidR="009E3FC2" w:rsidRPr="0071647F" w:rsidRDefault="009E3FC2" w:rsidP="006B21E2">
      <w:pPr>
        <w:jc w:val="both"/>
        <w:rPr>
          <w:rFonts w:eastAsiaTheme="majorEastAsia"/>
          <w:color w:val="000000" w:themeColor="text1"/>
        </w:rPr>
      </w:pPr>
    </w:p>
    <w:p w14:paraId="06C840E8" w14:textId="6ACD57F3" w:rsidR="006A21B5" w:rsidRPr="0071647F" w:rsidRDefault="006A21B5" w:rsidP="006B21E2">
      <w:pPr>
        <w:jc w:val="both"/>
        <w:rPr>
          <w:rFonts w:eastAsiaTheme="majorEastAsia"/>
          <w:color w:val="000000" w:themeColor="text1"/>
        </w:rPr>
      </w:pPr>
      <w:r w:rsidRPr="0071647F">
        <w:rPr>
          <w:rFonts w:eastAsiaTheme="majorEastAsia"/>
          <w:color w:val="000000" w:themeColor="text1"/>
        </w:rPr>
        <w:t>Successful small arbitrageurs shared characteristics:</w:t>
      </w:r>
    </w:p>
    <w:p w14:paraId="4B6EA579" w14:textId="77777777" w:rsidR="006A21B5" w:rsidRPr="0071647F" w:rsidRDefault="006A21B5" w:rsidP="006B21E2">
      <w:pPr>
        <w:numPr>
          <w:ilvl w:val="0"/>
          <w:numId w:val="38"/>
        </w:numPr>
        <w:jc w:val="both"/>
        <w:rPr>
          <w:rFonts w:eastAsiaTheme="majorEastAsia"/>
          <w:color w:val="000000" w:themeColor="text1"/>
        </w:rPr>
      </w:pPr>
      <w:r w:rsidRPr="0071647F">
        <w:rPr>
          <w:rFonts w:eastAsiaTheme="majorEastAsia"/>
          <w:color w:val="000000" w:themeColor="text1"/>
        </w:rPr>
        <w:t>Focused on 2-3 specific pairs</w:t>
      </w:r>
    </w:p>
    <w:p w14:paraId="6ECEFEB4" w14:textId="7F7B9E85" w:rsidR="006A21B5" w:rsidRPr="0071647F" w:rsidRDefault="006A21B5" w:rsidP="006B21E2">
      <w:pPr>
        <w:numPr>
          <w:ilvl w:val="0"/>
          <w:numId w:val="38"/>
        </w:numPr>
        <w:jc w:val="both"/>
        <w:rPr>
          <w:rFonts w:eastAsiaTheme="majorEastAsia"/>
          <w:color w:val="000000" w:themeColor="text1"/>
        </w:rPr>
      </w:pPr>
      <w:r w:rsidRPr="0071647F">
        <w:rPr>
          <w:rFonts w:eastAsiaTheme="majorEastAsia"/>
          <w:color w:val="000000" w:themeColor="text1"/>
        </w:rPr>
        <w:t xml:space="preserve">Used flash loans to amplify </w:t>
      </w:r>
      <w:r w:rsidR="003441C8" w:rsidRPr="0071647F">
        <w:rPr>
          <w:rFonts w:eastAsiaTheme="majorEastAsia"/>
          <w:color w:val="000000" w:themeColor="text1"/>
        </w:rPr>
        <w:t>capital</w:t>
      </w:r>
      <w:r w:rsidR="00CB5DAD" w:rsidRPr="0071647F">
        <w:rPr>
          <w:rFonts w:eastAsiaTheme="majorEastAsia"/>
          <w:color w:val="000000" w:themeColor="text1"/>
        </w:rPr>
        <w:t xml:space="preserve"> </w:t>
      </w:r>
      <w:r w:rsidRPr="0071647F">
        <w:rPr>
          <w:rFonts w:eastAsiaTheme="majorEastAsia"/>
          <w:color w:val="000000" w:themeColor="text1"/>
        </w:rPr>
        <w:t>of profitable small arbitrageurs</w:t>
      </w:r>
    </w:p>
    <w:p w14:paraId="160E20E0" w14:textId="77777777" w:rsidR="006A21B5" w:rsidRPr="0071647F" w:rsidRDefault="006A21B5" w:rsidP="006B21E2">
      <w:pPr>
        <w:numPr>
          <w:ilvl w:val="0"/>
          <w:numId w:val="38"/>
        </w:numPr>
        <w:jc w:val="both"/>
        <w:rPr>
          <w:rFonts w:eastAsiaTheme="majorEastAsia"/>
          <w:color w:val="000000" w:themeColor="text1"/>
        </w:rPr>
      </w:pPr>
      <w:r w:rsidRPr="0071647F">
        <w:rPr>
          <w:rFonts w:eastAsiaTheme="majorEastAsia"/>
          <w:color w:val="000000" w:themeColor="text1"/>
        </w:rPr>
        <w:t>Operated during specific time windows</w:t>
      </w:r>
    </w:p>
    <w:p w14:paraId="370FF0FD" w14:textId="77777777" w:rsidR="006A21B5" w:rsidRPr="0071647F" w:rsidRDefault="006A21B5" w:rsidP="006B21E2">
      <w:pPr>
        <w:numPr>
          <w:ilvl w:val="0"/>
          <w:numId w:val="38"/>
        </w:numPr>
        <w:jc w:val="both"/>
        <w:rPr>
          <w:rFonts w:eastAsiaTheme="majorEastAsia"/>
          <w:color w:val="000000" w:themeColor="text1"/>
        </w:rPr>
      </w:pPr>
      <w:r w:rsidRPr="0071647F">
        <w:rPr>
          <w:rFonts w:eastAsiaTheme="majorEastAsia"/>
          <w:color w:val="000000" w:themeColor="text1"/>
        </w:rPr>
        <w:t>Accepted smaller profits ($20-50) with higher frequency</w:t>
      </w:r>
    </w:p>
    <w:p w14:paraId="7CB9E71E" w14:textId="77777777" w:rsidR="009E3FC2" w:rsidRPr="0071647F" w:rsidRDefault="009E3FC2" w:rsidP="006B21E2">
      <w:pPr>
        <w:jc w:val="both"/>
        <w:rPr>
          <w:rFonts w:eastAsiaTheme="majorEastAsia"/>
          <w:color w:val="000000" w:themeColor="text1"/>
        </w:rPr>
      </w:pPr>
    </w:p>
    <w:p w14:paraId="0A4FA553" w14:textId="77777777" w:rsidR="00265600" w:rsidRPr="0071647F" w:rsidRDefault="00265600" w:rsidP="006B21E2">
      <w:pPr>
        <w:jc w:val="both"/>
        <w:rPr>
          <w:rFonts w:eastAsiaTheme="majorEastAsia"/>
          <w:color w:val="000000" w:themeColor="text1"/>
        </w:rPr>
      </w:pPr>
      <w:r w:rsidRPr="0071647F">
        <w:rPr>
          <w:rFonts w:eastAsiaTheme="majorEastAsia"/>
          <w:color w:val="000000" w:themeColor="text1"/>
        </w:rPr>
        <w:t xml:space="preserve">Flash loans allow participants to borrow millions of dollars in one transaction to be leveraged for trading. as an example, </w:t>
      </w:r>
      <w:proofErr w:type="spellStart"/>
      <w:r w:rsidRPr="0071647F">
        <w:rPr>
          <w:rFonts w:eastAsiaTheme="majorEastAsia"/>
          <w:color w:val="000000" w:themeColor="text1"/>
        </w:rPr>
        <w:t>Aave</w:t>
      </w:r>
      <w:proofErr w:type="spellEnd"/>
      <w:r w:rsidRPr="0071647F">
        <w:rPr>
          <w:rFonts w:eastAsiaTheme="majorEastAsia"/>
          <w:color w:val="000000" w:themeColor="text1"/>
        </w:rPr>
        <w:t xml:space="preserve"> costs are 0.09%. If taking out a $10 million USDC loan, buying ETH for $2,000, selling it for $2,010, paying back the loan and the fee, and keeping about $91,000 in profit. No collateral is needed because blockchain atomicity guarantees repayment or full reversal.</w:t>
      </w:r>
    </w:p>
    <w:p w14:paraId="13FF1810" w14:textId="77777777" w:rsidR="00A04269" w:rsidRPr="0071647F" w:rsidRDefault="00A04269" w:rsidP="006B21E2">
      <w:pPr>
        <w:jc w:val="both"/>
        <w:rPr>
          <w:rFonts w:eastAsiaTheme="majorEastAsia"/>
          <w:color w:val="000000" w:themeColor="text1"/>
        </w:rPr>
      </w:pPr>
    </w:p>
    <w:p w14:paraId="114D4C79" w14:textId="399E55D5" w:rsidR="006A21B5" w:rsidRPr="0071647F" w:rsidRDefault="008D6F57" w:rsidP="006B21E2">
      <w:pPr>
        <w:pStyle w:val="Heading2"/>
        <w:jc w:val="both"/>
        <w:rPr>
          <w:rFonts w:eastAsiaTheme="majorEastAsia"/>
          <w:sz w:val="24"/>
        </w:rPr>
      </w:pPr>
      <w:bookmarkStart w:id="119" w:name="_Toc214721925"/>
      <w:r w:rsidRPr="0071647F">
        <w:rPr>
          <w:rFonts w:eastAsiaTheme="majorEastAsia"/>
          <w:sz w:val="24"/>
        </w:rPr>
        <w:t>5</w:t>
      </w:r>
      <w:r w:rsidR="006A21B5" w:rsidRPr="0071647F">
        <w:rPr>
          <w:rFonts w:eastAsiaTheme="majorEastAsia"/>
          <w:sz w:val="24"/>
        </w:rPr>
        <w:t>.5 Synthesis and Implications</w:t>
      </w:r>
      <w:bookmarkEnd w:id="119"/>
    </w:p>
    <w:p w14:paraId="7BF5624E" w14:textId="110CBCB5" w:rsidR="00265600" w:rsidRPr="0071647F" w:rsidRDefault="00265600" w:rsidP="006B21E2">
      <w:pPr>
        <w:jc w:val="both"/>
        <w:rPr>
          <w:rFonts w:eastAsiaTheme="majorEastAsia"/>
          <w:color w:val="000000" w:themeColor="text1"/>
        </w:rPr>
      </w:pPr>
      <w:r w:rsidRPr="0071647F">
        <w:rPr>
          <w:rFonts w:eastAsiaTheme="majorEastAsia"/>
          <w:color w:val="000000" w:themeColor="text1"/>
        </w:rPr>
        <w:t xml:space="preserve">The fee structure analysis confirms key thresholds summarized in Table 1.2 with the </w:t>
      </w:r>
      <w:r w:rsidR="004C6A92" w:rsidRPr="0071647F">
        <w:rPr>
          <w:rFonts w:eastAsiaTheme="majorEastAsia"/>
          <w:color w:val="000000" w:themeColor="text1"/>
        </w:rPr>
        <w:t>following</w:t>
      </w:r>
      <w:r w:rsidRPr="0071647F">
        <w:rPr>
          <w:rFonts w:eastAsiaTheme="majorEastAsia"/>
          <w:color w:val="000000" w:themeColor="text1"/>
        </w:rPr>
        <w:t xml:space="preserve"> critical findings: </w:t>
      </w:r>
    </w:p>
    <w:p w14:paraId="0FC94260" w14:textId="77777777" w:rsidR="00265600" w:rsidRPr="0071647F" w:rsidRDefault="00265600" w:rsidP="006B21E2">
      <w:pPr>
        <w:numPr>
          <w:ilvl w:val="0"/>
          <w:numId w:val="100"/>
        </w:numPr>
        <w:jc w:val="both"/>
        <w:rPr>
          <w:rFonts w:eastAsiaTheme="majorEastAsia"/>
          <w:color w:val="000000" w:themeColor="text1"/>
        </w:rPr>
      </w:pPr>
      <w:r w:rsidRPr="0071647F">
        <w:rPr>
          <w:rFonts w:eastAsiaTheme="majorEastAsia"/>
          <w:color w:val="000000" w:themeColor="text1"/>
        </w:rPr>
        <w:t xml:space="preserve">blockchain architecture determines opportunity sets. </w:t>
      </w:r>
    </w:p>
    <w:p w14:paraId="3704100D" w14:textId="77777777" w:rsidR="00265600" w:rsidRPr="0071647F" w:rsidRDefault="00265600" w:rsidP="006B21E2">
      <w:pPr>
        <w:numPr>
          <w:ilvl w:val="0"/>
          <w:numId w:val="100"/>
        </w:numPr>
        <w:jc w:val="both"/>
        <w:rPr>
          <w:rFonts w:eastAsiaTheme="majorEastAsia"/>
          <w:color w:val="000000" w:themeColor="text1"/>
        </w:rPr>
      </w:pPr>
      <w:r w:rsidRPr="0071647F">
        <w:rPr>
          <w:rFonts w:eastAsiaTheme="majorEastAsia"/>
          <w:color w:val="000000" w:themeColor="text1"/>
        </w:rPr>
        <w:t xml:space="preserve">Ethereum's scarcity model and Solana's abundance model create fundamentally different economics. </w:t>
      </w:r>
    </w:p>
    <w:p w14:paraId="17046740" w14:textId="77777777" w:rsidR="00C4575C" w:rsidRPr="0071647F" w:rsidRDefault="00C4575C" w:rsidP="006B21E2">
      <w:pPr>
        <w:ind w:left="720"/>
        <w:jc w:val="both"/>
        <w:rPr>
          <w:rFonts w:eastAsiaTheme="majorEastAsia"/>
          <w:color w:val="000000" w:themeColor="text1"/>
        </w:rPr>
      </w:pPr>
    </w:p>
    <w:p w14:paraId="31E89EE3" w14:textId="77777777" w:rsidR="00265600" w:rsidRPr="0071647F" w:rsidRDefault="00265600" w:rsidP="006B21E2">
      <w:pPr>
        <w:jc w:val="both"/>
        <w:rPr>
          <w:rFonts w:eastAsiaTheme="majorEastAsia"/>
          <w:color w:val="000000" w:themeColor="text1"/>
        </w:rPr>
      </w:pPr>
      <w:r w:rsidRPr="0071647F">
        <w:rPr>
          <w:rFonts w:eastAsiaTheme="majorEastAsia"/>
          <w:color w:val="000000" w:themeColor="text1"/>
        </w:rPr>
        <w:t>Choosing the wrong chain for the capital level, failure becomes mathematically inevitable.</w:t>
      </w:r>
    </w:p>
    <w:p w14:paraId="44242DFA" w14:textId="77777777" w:rsidR="00265600" w:rsidRPr="0071647F" w:rsidRDefault="00265600" w:rsidP="006B21E2">
      <w:pPr>
        <w:jc w:val="both"/>
        <w:rPr>
          <w:rFonts w:eastAsiaTheme="majorEastAsia"/>
          <w:color w:val="000000" w:themeColor="text1"/>
        </w:rPr>
      </w:pPr>
    </w:p>
    <w:p w14:paraId="3B049C8C" w14:textId="181B3003" w:rsidR="00265600" w:rsidRPr="0071647F" w:rsidRDefault="00265600" w:rsidP="006B21E2">
      <w:pPr>
        <w:jc w:val="both"/>
        <w:rPr>
          <w:rFonts w:eastAsiaTheme="majorEastAsia"/>
          <w:color w:val="000000" w:themeColor="text1"/>
        </w:rPr>
      </w:pPr>
      <w:r w:rsidRPr="0071647F">
        <w:rPr>
          <w:rFonts w:eastAsiaTheme="majorEastAsia"/>
          <w:color w:val="000000" w:themeColor="text1"/>
        </w:rPr>
        <w:t xml:space="preserve">The promise of democracy is partly true, as participants can now make markets that were only open to businesses before. But as </w:t>
      </w:r>
      <w:r w:rsidR="004C6A92" w:rsidRPr="0071647F">
        <w:rPr>
          <w:rFonts w:eastAsiaTheme="majorEastAsia"/>
          <w:color w:val="000000" w:themeColor="text1"/>
        </w:rPr>
        <w:t>already</w:t>
      </w:r>
      <w:r w:rsidRPr="0071647F">
        <w:rPr>
          <w:rFonts w:eastAsiaTheme="majorEastAsia"/>
          <w:color w:val="000000" w:themeColor="text1"/>
        </w:rPr>
        <w:t xml:space="preserve"> identified in </w:t>
      </w:r>
      <w:r w:rsidR="004C6A92" w:rsidRPr="0071647F">
        <w:rPr>
          <w:rFonts w:eastAsiaTheme="majorEastAsia"/>
          <w:color w:val="000000" w:themeColor="text1"/>
        </w:rPr>
        <w:t>this</w:t>
      </w:r>
      <w:r w:rsidRPr="0071647F">
        <w:rPr>
          <w:rFonts w:eastAsiaTheme="majorEastAsia"/>
          <w:color w:val="000000" w:themeColor="text1"/>
        </w:rPr>
        <w:t xml:space="preserve"> </w:t>
      </w:r>
      <w:r w:rsidR="004C6A92" w:rsidRPr="0071647F">
        <w:rPr>
          <w:rFonts w:eastAsiaTheme="majorEastAsia"/>
          <w:color w:val="000000" w:themeColor="text1"/>
        </w:rPr>
        <w:t>research</w:t>
      </w:r>
      <w:r w:rsidRPr="0071647F">
        <w:rPr>
          <w:rFonts w:eastAsiaTheme="majorEastAsia"/>
          <w:color w:val="000000" w:themeColor="text1"/>
        </w:rPr>
        <w:t xml:space="preserve"> in previous analysis, the fee structures create new barriers. The high gas costs, tier requirements and technical complexity exclude most potential participants. It does however create genuine opportunities for those meeting threshold requirements.</w:t>
      </w:r>
    </w:p>
    <w:p w14:paraId="170D8A77" w14:textId="77777777" w:rsidR="001621A5" w:rsidRPr="0071647F" w:rsidRDefault="001621A5" w:rsidP="006B21E2">
      <w:pPr>
        <w:jc w:val="both"/>
        <w:rPr>
          <w:rFonts w:eastAsiaTheme="majorEastAsia"/>
          <w:color w:val="000000" w:themeColor="text1"/>
        </w:rPr>
      </w:pPr>
    </w:p>
    <w:p w14:paraId="40FA1206" w14:textId="77777777" w:rsidR="001621A5" w:rsidRPr="0071647F" w:rsidRDefault="001621A5" w:rsidP="006B21E2">
      <w:pPr>
        <w:pStyle w:val="Heading2"/>
        <w:jc w:val="both"/>
        <w:rPr>
          <w:color w:val="000000" w:themeColor="text1"/>
          <w:sz w:val="24"/>
        </w:rPr>
      </w:pPr>
      <w:bookmarkStart w:id="120" w:name="_Toc214721926"/>
      <w:r w:rsidRPr="0071647F">
        <w:rPr>
          <w:color w:val="000000" w:themeColor="text1"/>
          <w:sz w:val="24"/>
        </w:rPr>
        <w:t>5.6 Plain Language Summary: What Fee Structures Mean for You</w:t>
      </w:r>
      <w:bookmarkEnd w:id="120"/>
    </w:p>
    <w:p w14:paraId="54924AD8" w14:textId="77777777" w:rsidR="001621A5" w:rsidRPr="0071647F" w:rsidRDefault="001621A5" w:rsidP="006B21E2">
      <w:pPr>
        <w:pStyle w:val="whitespace-normal"/>
        <w:spacing w:before="0" w:beforeAutospacing="0" w:after="0" w:afterAutospacing="0"/>
        <w:jc w:val="both"/>
        <w:rPr>
          <w:color w:val="000000" w:themeColor="text1"/>
        </w:rPr>
      </w:pPr>
      <w:r w:rsidRPr="0071647F">
        <w:rPr>
          <w:color w:val="000000" w:themeColor="text1"/>
        </w:rPr>
        <w:t xml:space="preserve">This chapter examined the technical architecture of how decentralized exchanges charge fees and how those fee structures create invisible barriers that determine who can </w:t>
      </w:r>
      <w:proofErr w:type="gramStart"/>
      <w:r w:rsidRPr="0071647F">
        <w:rPr>
          <w:color w:val="000000" w:themeColor="text1"/>
        </w:rPr>
        <w:t>actually profit</w:t>
      </w:r>
      <w:proofErr w:type="gramEnd"/>
      <w:r w:rsidRPr="0071647F">
        <w:rPr>
          <w:color w:val="000000" w:themeColor="text1"/>
        </w:rPr>
        <w:t xml:space="preserve"> from DeFi participation. For readers without technical backgrounds, this section translates the key findings into practical implications.</w:t>
      </w:r>
    </w:p>
    <w:p w14:paraId="082A71F0" w14:textId="77777777" w:rsidR="00F85CE1" w:rsidRPr="0071647F" w:rsidRDefault="00F85CE1" w:rsidP="006B21E2">
      <w:pPr>
        <w:pStyle w:val="Heading3"/>
        <w:jc w:val="both"/>
        <w:rPr>
          <w:color w:val="000000" w:themeColor="text1"/>
        </w:rPr>
      </w:pPr>
    </w:p>
    <w:p w14:paraId="0B4E1212" w14:textId="4764FC28" w:rsidR="001621A5" w:rsidRPr="0071647F" w:rsidRDefault="00384837" w:rsidP="006B21E2">
      <w:pPr>
        <w:pStyle w:val="Heading3"/>
        <w:jc w:val="both"/>
        <w:rPr>
          <w:color w:val="000000" w:themeColor="text1"/>
        </w:rPr>
      </w:pPr>
      <w:bookmarkStart w:id="121" w:name="_Toc214721927"/>
      <w:r w:rsidRPr="0071647F">
        <w:rPr>
          <w:color w:val="000000" w:themeColor="text1"/>
        </w:rPr>
        <w:t xml:space="preserve">5.6.1 </w:t>
      </w:r>
      <w:r w:rsidR="001621A5" w:rsidRPr="0071647F">
        <w:rPr>
          <w:color w:val="000000" w:themeColor="text1"/>
        </w:rPr>
        <w:t>The Core Problem: Fixed Costs vs. Position Size</w:t>
      </w:r>
      <w:bookmarkEnd w:id="121"/>
    </w:p>
    <w:p w14:paraId="4D17E899" w14:textId="6C95B3FA" w:rsidR="001621A5" w:rsidRPr="0071647F" w:rsidRDefault="001621A5" w:rsidP="006B21E2">
      <w:pPr>
        <w:pStyle w:val="whitespace-normal"/>
        <w:spacing w:before="0" w:beforeAutospacing="0" w:after="0" w:afterAutospacing="0"/>
        <w:jc w:val="both"/>
        <w:rPr>
          <w:color w:val="000000" w:themeColor="text1"/>
        </w:rPr>
      </w:pPr>
      <w:r w:rsidRPr="0071647F">
        <w:rPr>
          <w:color w:val="000000" w:themeColor="text1"/>
        </w:rPr>
        <w:lastRenderedPageBreak/>
        <w:t xml:space="preserve">The fundamental barrier identified in this chapter can be </w:t>
      </w:r>
      <w:r w:rsidR="009B5A5A" w:rsidRPr="0071647F">
        <w:rPr>
          <w:color w:val="000000" w:themeColor="text1"/>
        </w:rPr>
        <w:t>explained via</w:t>
      </w:r>
      <w:r w:rsidRPr="0071647F">
        <w:rPr>
          <w:color w:val="000000" w:themeColor="text1"/>
        </w:rPr>
        <w:t xml:space="preserve"> a simple analogy. </w:t>
      </w:r>
      <w:proofErr w:type="spellStart"/>
      <w:proofErr w:type="gramStart"/>
      <w:r w:rsidR="009B5A5A" w:rsidRPr="0071647F">
        <w:rPr>
          <w:color w:val="000000" w:themeColor="text1"/>
        </w:rPr>
        <w:t>Lets</w:t>
      </w:r>
      <w:proofErr w:type="spellEnd"/>
      <w:proofErr w:type="gramEnd"/>
      <w:r w:rsidR="009B5A5A" w:rsidRPr="0071647F">
        <w:rPr>
          <w:color w:val="000000" w:themeColor="text1"/>
        </w:rPr>
        <w:t xml:space="preserve"> i</w:t>
      </w:r>
      <w:r w:rsidRPr="0071647F">
        <w:rPr>
          <w:color w:val="000000" w:themeColor="text1"/>
        </w:rPr>
        <w:t xml:space="preserve">magine </w:t>
      </w:r>
      <w:r w:rsidR="009B5A5A" w:rsidRPr="0071647F">
        <w:rPr>
          <w:color w:val="000000" w:themeColor="text1"/>
        </w:rPr>
        <w:t xml:space="preserve">the </w:t>
      </w:r>
      <w:r w:rsidRPr="0071647F">
        <w:rPr>
          <w:color w:val="000000" w:themeColor="text1"/>
        </w:rPr>
        <w:t>s</w:t>
      </w:r>
      <w:r w:rsidR="009B5A5A" w:rsidRPr="0071647F">
        <w:rPr>
          <w:color w:val="000000" w:themeColor="text1"/>
        </w:rPr>
        <w:t>ale of</w:t>
      </w:r>
      <w:r w:rsidRPr="0071647F">
        <w:rPr>
          <w:color w:val="000000" w:themeColor="text1"/>
        </w:rPr>
        <w:t xml:space="preserve"> lemonade, and </w:t>
      </w:r>
      <w:r w:rsidR="009B5A5A" w:rsidRPr="0071647F">
        <w:rPr>
          <w:color w:val="000000" w:themeColor="text1"/>
        </w:rPr>
        <w:t xml:space="preserve">each </w:t>
      </w:r>
      <w:r w:rsidRPr="0071647F">
        <w:rPr>
          <w:color w:val="000000" w:themeColor="text1"/>
        </w:rPr>
        <w:t xml:space="preserve">time </w:t>
      </w:r>
      <w:r w:rsidR="009B5A5A" w:rsidRPr="0071647F">
        <w:rPr>
          <w:color w:val="000000" w:themeColor="text1"/>
        </w:rPr>
        <w:t>a sale is made</w:t>
      </w:r>
      <w:r w:rsidRPr="0071647F">
        <w:rPr>
          <w:color w:val="000000" w:themeColor="text1"/>
        </w:rPr>
        <w:t xml:space="preserve">, </w:t>
      </w:r>
      <w:r w:rsidR="009B5A5A" w:rsidRPr="0071647F">
        <w:rPr>
          <w:color w:val="000000" w:themeColor="text1"/>
        </w:rPr>
        <w:t>a $</w:t>
      </w:r>
      <w:r w:rsidRPr="0071647F">
        <w:rPr>
          <w:color w:val="000000" w:themeColor="text1"/>
        </w:rPr>
        <w:t xml:space="preserve">5 </w:t>
      </w:r>
      <w:r w:rsidR="009B5A5A" w:rsidRPr="0071647F">
        <w:rPr>
          <w:color w:val="000000" w:themeColor="text1"/>
        </w:rPr>
        <w:t>fee t</w:t>
      </w:r>
      <w:r w:rsidRPr="0071647F">
        <w:rPr>
          <w:color w:val="000000" w:themeColor="text1"/>
        </w:rPr>
        <w:t xml:space="preserve">o the city </w:t>
      </w:r>
      <w:r w:rsidR="009B5A5A" w:rsidRPr="0071647F">
        <w:rPr>
          <w:color w:val="000000" w:themeColor="text1"/>
        </w:rPr>
        <w:t>feed to be paid - for</w:t>
      </w:r>
      <w:r w:rsidRPr="0071647F">
        <w:rPr>
          <w:color w:val="000000" w:themeColor="text1"/>
        </w:rPr>
        <w:t xml:space="preserve"> using public space—regardless of whether </w:t>
      </w:r>
      <w:r w:rsidR="009B5A5A" w:rsidRPr="0071647F">
        <w:rPr>
          <w:color w:val="000000" w:themeColor="text1"/>
        </w:rPr>
        <w:t>the sale was for</w:t>
      </w:r>
      <w:r w:rsidRPr="0071647F">
        <w:rPr>
          <w:color w:val="000000" w:themeColor="text1"/>
        </w:rPr>
        <w:t xml:space="preserve"> $1 glass or a $100 pitcher. </w:t>
      </w:r>
      <w:r w:rsidR="009B5A5A" w:rsidRPr="0071647F">
        <w:rPr>
          <w:color w:val="000000" w:themeColor="text1"/>
        </w:rPr>
        <w:t>S</w:t>
      </w:r>
      <w:r w:rsidRPr="0071647F">
        <w:rPr>
          <w:color w:val="000000" w:themeColor="text1"/>
        </w:rPr>
        <w:t>elling $1 glasses, the $5 fee makes every sale unprofitable</w:t>
      </w:r>
      <w:r w:rsidR="009B5A5A" w:rsidRPr="0071647F">
        <w:rPr>
          <w:color w:val="000000" w:themeColor="text1"/>
        </w:rPr>
        <w:t>, however with the sale of</w:t>
      </w:r>
      <w:r w:rsidRPr="0071647F">
        <w:rPr>
          <w:color w:val="000000" w:themeColor="text1"/>
        </w:rPr>
        <w:t xml:space="preserve"> $100 pitchers, the $5 fee is negligible. This is exactly how gas fees work in DeFi.</w:t>
      </w:r>
    </w:p>
    <w:p w14:paraId="40E15CAD" w14:textId="77777777" w:rsidR="00F85CE1" w:rsidRPr="0071647F" w:rsidRDefault="00F85CE1" w:rsidP="006B21E2">
      <w:pPr>
        <w:pStyle w:val="whitespace-normal"/>
        <w:spacing w:before="0" w:beforeAutospacing="0" w:after="0" w:afterAutospacing="0"/>
        <w:jc w:val="both"/>
        <w:rPr>
          <w:rStyle w:val="Strong"/>
          <w:color w:val="000000" w:themeColor="text1"/>
        </w:rPr>
      </w:pPr>
    </w:p>
    <w:p w14:paraId="294307EE" w14:textId="5F61AAC6" w:rsidR="001621A5" w:rsidRPr="0071647F" w:rsidRDefault="001621A5" w:rsidP="006B21E2">
      <w:pPr>
        <w:pStyle w:val="whitespace-normal"/>
        <w:spacing w:before="0" w:beforeAutospacing="0" w:after="0" w:afterAutospacing="0"/>
        <w:jc w:val="both"/>
        <w:rPr>
          <w:b/>
          <w:bCs/>
          <w:color w:val="000000" w:themeColor="text1"/>
        </w:rPr>
      </w:pPr>
      <w:r w:rsidRPr="0071647F">
        <w:rPr>
          <w:rStyle w:val="Strong"/>
          <w:b w:val="0"/>
          <w:bCs w:val="0"/>
          <w:color w:val="000000" w:themeColor="text1"/>
        </w:rPr>
        <w:t xml:space="preserve">What </w:t>
      </w:r>
      <w:proofErr w:type="gramStart"/>
      <w:r w:rsidRPr="0071647F">
        <w:rPr>
          <w:rStyle w:val="Strong"/>
          <w:b w:val="0"/>
          <w:bCs w:val="0"/>
          <w:color w:val="000000" w:themeColor="text1"/>
        </w:rPr>
        <w:t>this</w:t>
      </w:r>
      <w:proofErr w:type="gramEnd"/>
      <w:r w:rsidRPr="0071647F">
        <w:rPr>
          <w:rStyle w:val="Strong"/>
          <w:b w:val="0"/>
          <w:bCs w:val="0"/>
          <w:color w:val="000000" w:themeColor="text1"/>
        </w:rPr>
        <w:t xml:space="preserve"> means practically:</w:t>
      </w:r>
    </w:p>
    <w:p w14:paraId="0B9400D8" w14:textId="77777777" w:rsidR="001621A5" w:rsidRPr="0071647F" w:rsidRDefault="001621A5" w:rsidP="006B21E2">
      <w:pPr>
        <w:pStyle w:val="whitespace-normal"/>
        <w:numPr>
          <w:ilvl w:val="0"/>
          <w:numId w:val="133"/>
        </w:numPr>
        <w:spacing w:before="0" w:beforeAutospacing="0" w:after="0" w:afterAutospacing="0"/>
        <w:jc w:val="both"/>
        <w:outlineLvl w:val="9"/>
        <w:rPr>
          <w:color w:val="000000" w:themeColor="text1"/>
        </w:rPr>
      </w:pPr>
      <w:r w:rsidRPr="0071647F">
        <w:rPr>
          <w:color w:val="000000" w:themeColor="text1"/>
        </w:rPr>
        <w:t xml:space="preserve">On Ethereum </w:t>
      </w:r>
      <w:proofErr w:type="spellStart"/>
      <w:r w:rsidRPr="0071647F">
        <w:rPr>
          <w:color w:val="000000" w:themeColor="text1"/>
        </w:rPr>
        <w:t>mainnet</w:t>
      </w:r>
      <w:proofErr w:type="spellEnd"/>
      <w:r w:rsidRPr="0071647F">
        <w:rPr>
          <w:color w:val="000000" w:themeColor="text1"/>
        </w:rPr>
        <w:t>, each transaction costs $15-60 in gas fees on average (during my study period)</w:t>
      </w:r>
    </w:p>
    <w:p w14:paraId="47F1079B" w14:textId="424C6D6C" w:rsidR="001621A5" w:rsidRPr="0071647F" w:rsidRDefault="001621A5" w:rsidP="006B21E2">
      <w:pPr>
        <w:pStyle w:val="whitespace-normal"/>
        <w:numPr>
          <w:ilvl w:val="0"/>
          <w:numId w:val="133"/>
        </w:numPr>
        <w:spacing w:before="0" w:beforeAutospacing="0" w:after="0" w:afterAutospacing="0"/>
        <w:jc w:val="both"/>
        <w:outlineLvl w:val="9"/>
        <w:rPr>
          <w:color w:val="000000" w:themeColor="text1"/>
        </w:rPr>
      </w:pPr>
      <w:r w:rsidRPr="0071647F">
        <w:rPr>
          <w:color w:val="000000" w:themeColor="text1"/>
        </w:rPr>
        <w:t xml:space="preserve">If </w:t>
      </w:r>
      <w:r w:rsidR="009B5A5A" w:rsidRPr="0071647F">
        <w:rPr>
          <w:color w:val="000000" w:themeColor="text1"/>
        </w:rPr>
        <w:t xml:space="preserve">a </w:t>
      </w:r>
      <w:r w:rsidRPr="0071647F">
        <w:rPr>
          <w:color w:val="000000" w:themeColor="text1"/>
        </w:rPr>
        <w:t xml:space="preserve">position earns $20 in trading fees monthly, </w:t>
      </w:r>
      <w:r w:rsidR="009B5A5A" w:rsidRPr="0071647F">
        <w:rPr>
          <w:color w:val="000000" w:themeColor="text1"/>
        </w:rPr>
        <w:t xml:space="preserve">and </w:t>
      </w:r>
      <w:r w:rsidRPr="0071647F">
        <w:rPr>
          <w:color w:val="000000" w:themeColor="text1"/>
        </w:rPr>
        <w:t>rebalanc</w:t>
      </w:r>
      <w:r w:rsidR="009B5A5A" w:rsidRPr="0071647F">
        <w:rPr>
          <w:color w:val="000000" w:themeColor="text1"/>
        </w:rPr>
        <w:t>ing needs to happen</w:t>
      </w:r>
      <w:r w:rsidRPr="0071647F">
        <w:rPr>
          <w:color w:val="000000" w:themeColor="text1"/>
        </w:rPr>
        <w:t xml:space="preserve"> twice ($30-120 in gas), </w:t>
      </w:r>
      <w:r w:rsidR="009B5A5A" w:rsidRPr="0071647F">
        <w:rPr>
          <w:color w:val="000000" w:themeColor="text1"/>
        </w:rPr>
        <w:t>the trades become losses</w:t>
      </w:r>
    </w:p>
    <w:p w14:paraId="04BD9470" w14:textId="0546AB60" w:rsidR="001621A5" w:rsidRPr="0071647F" w:rsidRDefault="001621A5" w:rsidP="006B21E2">
      <w:pPr>
        <w:pStyle w:val="whitespace-normal"/>
        <w:numPr>
          <w:ilvl w:val="0"/>
          <w:numId w:val="133"/>
        </w:numPr>
        <w:spacing w:before="0" w:beforeAutospacing="0" w:after="0" w:afterAutospacing="0"/>
        <w:jc w:val="both"/>
        <w:outlineLvl w:val="9"/>
        <w:rPr>
          <w:color w:val="000000" w:themeColor="text1"/>
        </w:rPr>
      </w:pPr>
      <w:r w:rsidRPr="0071647F">
        <w:rPr>
          <w:color w:val="000000" w:themeColor="text1"/>
        </w:rPr>
        <w:t xml:space="preserve">The position size needs to be large enough that the </w:t>
      </w:r>
      <w:r w:rsidR="009B5A5A" w:rsidRPr="0071647F">
        <w:rPr>
          <w:color w:val="000000" w:themeColor="text1"/>
        </w:rPr>
        <w:t>profit</w:t>
      </w:r>
      <w:r w:rsidRPr="0071647F">
        <w:rPr>
          <w:color w:val="000000" w:themeColor="text1"/>
        </w:rPr>
        <w:t xml:space="preserve"> dwarf the gas costs </w:t>
      </w:r>
    </w:p>
    <w:p w14:paraId="77F438F8" w14:textId="53EA0329" w:rsidR="001621A5" w:rsidRPr="0071647F" w:rsidRDefault="001621A5" w:rsidP="006B21E2">
      <w:pPr>
        <w:pStyle w:val="whitespace-normal"/>
        <w:numPr>
          <w:ilvl w:val="0"/>
          <w:numId w:val="133"/>
        </w:numPr>
        <w:spacing w:before="0" w:beforeAutospacing="0" w:after="0" w:afterAutospacing="0"/>
        <w:jc w:val="both"/>
        <w:outlineLvl w:val="9"/>
        <w:rPr>
          <w:color w:val="000000" w:themeColor="text1"/>
        </w:rPr>
      </w:pPr>
      <w:r w:rsidRPr="0071647F">
        <w:rPr>
          <w:color w:val="000000" w:themeColor="text1"/>
        </w:rPr>
        <w:t xml:space="preserve">This creates </w:t>
      </w:r>
      <w:r w:rsidR="009B5A5A" w:rsidRPr="0071647F">
        <w:rPr>
          <w:color w:val="000000" w:themeColor="text1"/>
        </w:rPr>
        <w:t xml:space="preserve">a </w:t>
      </w:r>
      <w:r w:rsidRPr="0071647F">
        <w:rPr>
          <w:color w:val="000000" w:themeColor="text1"/>
        </w:rPr>
        <w:t>mathematical minimum threshold: $25,000 on Ethereum, $3,500 on L2s, $750 on Polygon</w:t>
      </w:r>
    </w:p>
    <w:p w14:paraId="2C6ABF0C" w14:textId="77777777" w:rsidR="00F85CE1" w:rsidRPr="0071647F" w:rsidRDefault="00F85CE1" w:rsidP="006B21E2">
      <w:pPr>
        <w:pStyle w:val="Heading3"/>
        <w:jc w:val="both"/>
        <w:rPr>
          <w:color w:val="000000" w:themeColor="text1"/>
        </w:rPr>
      </w:pPr>
    </w:p>
    <w:p w14:paraId="0CA20B8A" w14:textId="20AD1E29" w:rsidR="001621A5" w:rsidRPr="0071647F" w:rsidRDefault="00384837" w:rsidP="006B21E2">
      <w:pPr>
        <w:pStyle w:val="Heading3"/>
        <w:jc w:val="both"/>
        <w:rPr>
          <w:color w:val="000000" w:themeColor="text1"/>
        </w:rPr>
      </w:pPr>
      <w:bookmarkStart w:id="122" w:name="_Toc214721928"/>
      <w:r w:rsidRPr="0071647F">
        <w:rPr>
          <w:color w:val="000000" w:themeColor="text1"/>
        </w:rPr>
        <w:t xml:space="preserve">5.6.2 </w:t>
      </w:r>
      <w:r w:rsidR="001621A5" w:rsidRPr="0071647F">
        <w:rPr>
          <w:color w:val="000000" w:themeColor="text1"/>
        </w:rPr>
        <w:t>Why Different Networks Have Different Minimums</w:t>
      </w:r>
      <w:bookmarkEnd w:id="122"/>
    </w:p>
    <w:p w14:paraId="7B1A1275" w14:textId="13BFC982" w:rsidR="005E3ED8" w:rsidRPr="0071647F" w:rsidRDefault="009B5A5A" w:rsidP="006B21E2">
      <w:pPr>
        <w:pStyle w:val="whitespace-normal"/>
        <w:spacing w:before="0" w:beforeAutospacing="0" w:after="0" w:afterAutospacing="0"/>
        <w:jc w:val="both"/>
        <w:rPr>
          <w:color w:val="000000" w:themeColor="text1"/>
          <w:kern w:val="0"/>
        </w:rPr>
      </w:pPr>
      <w:r w:rsidRPr="0071647F">
        <w:rPr>
          <w:color w:val="000000" w:themeColor="text1"/>
        </w:rPr>
        <w:t>One can use the analogy of</w:t>
      </w:r>
      <w:r w:rsidR="005E3ED8" w:rsidRPr="0071647F">
        <w:rPr>
          <w:color w:val="000000" w:themeColor="text1"/>
        </w:rPr>
        <w:t xml:space="preserve"> highways with different toll costs</w:t>
      </w:r>
      <w:r w:rsidRPr="0071647F">
        <w:rPr>
          <w:color w:val="000000" w:themeColor="text1"/>
        </w:rPr>
        <w:t xml:space="preserve"> to explain this</w:t>
      </w:r>
      <w:r w:rsidR="005E3ED8" w:rsidRPr="0071647F">
        <w:rPr>
          <w:color w:val="000000" w:themeColor="text1"/>
        </w:rPr>
        <w:t>:</w:t>
      </w:r>
    </w:p>
    <w:p w14:paraId="3242FC14" w14:textId="77777777" w:rsidR="005E3ED8" w:rsidRPr="0071647F" w:rsidRDefault="005E3ED8" w:rsidP="006B21E2">
      <w:pPr>
        <w:pStyle w:val="whitespace-normal"/>
        <w:numPr>
          <w:ilvl w:val="0"/>
          <w:numId w:val="134"/>
        </w:numPr>
        <w:spacing w:before="0" w:beforeAutospacing="0" w:after="0" w:afterAutospacing="0"/>
        <w:jc w:val="both"/>
        <w:outlineLvl w:val="9"/>
        <w:rPr>
          <w:color w:val="000000" w:themeColor="text1"/>
        </w:rPr>
      </w:pPr>
      <w:r w:rsidRPr="0071647F">
        <w:rPr>
          <w:rStyle w:val="Strong"/>
          <w:color w:val="000000" w:themeColor="text1"/>
        </w:rPr>
        <w:t xml:space="preserve">Ethereum </w:t>
      </w:r>
      <w:proofErr w:type="spellStart"/>
      <w:r w:rsidRPr="0071647F">
        <w:rPr>
          <w:rStyle w:val="Strong"/>
          <w:color w:val="000000" w:themeColor="text1"/>
        </w:rPr>
        <w:t>mainnet</w:t>
      </w:r>
      <w:proofErr w:type="spellEnd"/>
      <w:r w:rsidRPr="0071647F">
        <w:rPr>
          <w:color w:val="000000" w:themeColor="text1"/>
        </w:rPr>
        <w:t xml:space="preserve"> = expensive toll road ($15-60 per trip): Only worthwhile if you're transporting valuable cargo</w:t>
      </w:r>
    </w:p>
    <w:p w14:paraId="4ECD628E" w14:textId="77777777" w:rsidR="005E3ED8" w:rsidRPr="0071647F" w:rsidRDefault="005E3ED8" w:rsidP="006B21E2">
      <w:pPr>
        <w:pStyle w:val="whitespace-normal"/>
        <w:numPr>
          <w:ilvl w:val="0"/>
          <w:numId w:val="134"/>
        </w:numPr>
        <w:spacing w:before="0" w:beforeAutospacing="0" w:after="0" w:afterAutospacing="0"/>
        <w:jc w:val="both"/>
        <w:outlineLvl w:val="9"/>
        <w:rPr>
          <w:color w:val="000000" w:themeColor="text1"/>
        </w:rPr>
      </w:pPr>
      <w:r w:rsidRPr="0071647F">
        <w:rPr>
          <w:rStyle w:val="Strong"/>
          <w:color w:val="000000" w:themeColor="text1"/>
        </w:rPr>
        <w:t>Layer 2 solutions</w:t>
      </w:r>
      <w:r w:rsidRPr="0071647F">
        <w:rPr>
          <w:color w:val="000000" w:themeColor="text1"/>
        </w:rPr>
        <w:t xml:space="preserve"> (</w:t>
      </w:r>
      <w:proofErr w:type="spellStart"/>
      <w:r w:rsidRPr="0071647F">
        <w:rPr>
          <w:color w:val="000000" w:themeColor="text1"/>
        </w:rPr>
        <w:t>Arbitrum</w:t>
      </w:r>
      <w:proofErr w:type="spellEnd"/>
      <w:r w:rsidRPr="0071647F">
        <w:rPr>
          <w:color w:val="000000" w:themeColor="text1"/>
        </w:rPr>
        <w:t>, Optimism) = moderate toll road ($2-5 per trip): Accessible to mid-sized operations</w:t>
      </w:r>
    </w:p>
    <w:p w14:paraId="384AD2E1" w14:textId="77777777" w:rsidR="005E3ED8" w:rsidRPr="0071647F" w:rsidRDefault="005E3ED8" w:rsidP="006B21E2">
      <w:pPr>
        <w:pStyle w:val="whitespace-normal"/>
        <w:numPr>
          <w:ilvl w:val="0"/>
          <w:numId w:val="134"/>
        </w:numPr>
        <w:spacing w:before="0" w:beforeAutospacing="0" w:after="0" w:afterAutospacing="0"/>
        <w:jc w:val="both"/>
        <w:outlineLvl w:val="9"/>
        <w:rPr>
          <w:color w:val="000000" w:themeColor="text1"/>
        </w:rPr>
      </w:pPr>
      <w:r w:rsidRPr="0071647F">
        <w:rPr>
          <w:rStyle w:val="Strong"/>
          <w:color w:val="000000" w:themeColor="text1"/>
        </w:rPr>
        <w:t>Polygon/BSC</w:t>
      </w:r>
      <w:r w:rsidRPr="0071647F">
        <w:rPr>
          <w:color w:val="000000" w:themeColor="text1"/>
        </w:rPr>
        <w:t xml:space="preserve"> = cheap toll road ($0.10-0.50 per trip): Even small operations can be viable</w:t>
      </w:r>
    </w:p>
    <w:p w14:paraId="15FE6846" w14:textId="77777777" w:rsidR="00F85CE1" w:rsidRPr="0071647F" w:rsidRDefault="00F85CE1" w:rsidP="006B21E2">
      <w:pPr>
        <w:pStyle w:val="whitespace-normal"/>
        <w:spacing w:before="0" w:beforeAutospacing="0" w:after="0" w:afterAutospacing="0"/>
        <w:jc w:val="both"/>
        <w:rPr>
          <w:color w:val="000000" w:themeColor="text1"/>
        </w:rPr>
      </w:pPr>
    </w:p>
    <w:p w14:paraId="2988CDCB" w14:textId="66318D16" w:rsidR="005E3ED8" w:rsidRPr="0071647F" w:rsidRDefault="005E3ED8" w:rsidP="006B21E2">
      <w:pPr>
        <w:pStyle w:val="whitespace-normal"/>
        <w:spacing w:before="0" w:beforeAutospacing="0" w:after="0" w:afterAutospacing="0"/>
        <w:jc w:val="both"/>
        <w:rPr>
          <w:color w:val="000000" w:themeColor="text1"/>
        </w:rPr>
      </w:pPr>
      <w:r w:rsidRPr="0071647F">
        <w:rPr>
          <w:color w:val="000000" w:themeColor="text1"/>
        </w:rPr>
        <w:t xml:space="preserve">The cargo </w:t>
      </w:r>
      <w:r w:rsidR="009B5A5A" w:rsidRPr="0071647F">
        <w:rPr>
          <w:color w:val="000000" w:themeColor="text1"/>
        </w:rPr>
        <w:t>that is being</w:t>
      </w:r>
      <w:r w:rsidRPr="0071647F">
        <w:rPr>
          <w:color w:val="000000" w:themeColor="text1"/>
        </w:rPr>
        <w:t xml:space="preserve"> transport</w:t>
      </w:r>
      <w:r w:rsidR="009B5A5A" w:rsidRPr="0071647F">
        <w:rPr>
          <w:color w:val="000000" w:themeColor="text1"/>
        </w:rPr>
        <w:t>ed</w:t>
      </w:r>
      <w:r w:rsidRPr="0071647F">
        <w:rPr>
          <w:color w:val="000000" w:themeColor="text1"/>
        </w:rPr>
        <w:t xml:space="preserve"> is capital, and the toll is gas fees. If the toll costs more than the profit from </w:t>
      </w:r>
      <w:r w:rsidR="009B5A5A" w:rsidRPr="0071647F">
        <w:rPr>
          <w:color w:val="000000" w:themeColor="text1"/>
        </w:rPr>
        <w:t>the trip</w:t>
      </w:r>
      <w:r w:rsidRPr="0071647F">
        <w:rPr>
          <w:color w:val="000000" w:themeColor="text1"/>
        </w:rPr>
        <w:t xml:space="preserve">, </w:t>
      </w:r>
      <w:r w:rsidR="009B5A5A" w:rsidRPr="0071647F">
        <w:rPr>
          <w:color w:val="000000" w:themeColor="text1"/>
        </w:rPr>
        <w:t>it makes no sense to use that</w:t>
      </w:r>
      <w:r w:rsidRPr="0071647F">
        <w:rPr>
          <w:color w:val="000000" w:themeColor="text1"/>
        </w:rPr>
        <w:t xml:space="preserve"> highway no matter how much marketing </w:t>
      </w:r>
      <w:r w:rsidR="009B5A5A" w:rsidRPr="0071647F">
        <w:rPr>
          <w:color w:val="000000" w:themeColor="text1"/>
        </w:rPr>
        <w:t>advertises that it is</w:t>
      </w:r>
      <w:r w:rsidRPr="0071647F">
        <w:rPr>
          <w:color w:val="000000" w:themeColor="text1"/>
        </w:rPr>
        <w:t xml:space="preserve"> "accessible to everyone."</w:t>
      </w:r>
    </w:p>
    <w:p w14:paraId="17236157" w14:textId="77777777" w:rsidR="00F85CE1" w:rsidRPr="0071647F" w:rsidRDefault="00F85CE1" w:rsidP="006B21E2">
      <w:pPr>
        <w:pStyle w:val="Heading3"/>
        <w:jc w:val="both"/>
        <w:rPr>
          <w:color w:val="000000" w:themeColor="text1"/>
        </w:rPr>
      </w:pPr>
    </w:p>
    <w:p w14:paraId="004BA63D" w14:textId="5BF312C1" w:rsidR="005E3ED8" w:rsidRPr="0071647F" w:rsidRDefault="00384837" w:rsidP="006B21E2">
      <w:pPr>
        <w:pStyle w:val="Heading3"/>
        <w:jc w:val="both"/>
        <w:rPr>
          <w:color w:val="000000" w:themeColor="text1"/>
        </w:rPr>
      </w:pPr>
      <w:bookmarkStart w:id="123" w:name="_Toc214721929"/>
      <w:r w:rsidRPr="0071647F">
        <w:rPr>
          <w:color w:val="000000" w:themeColor="text1"/>
        </w:rPr>
        <w:t xml:space="preserve">5.6.3 </w:t>
      </w:r>
      <w:r w:rsidR="005E3ED8" w:rsidRPr="0071647F">
        <w:rPr>
          <w:color w:val="000000" w:themeColor="text1"/>
        </w:rPr>
        <w:t>The Maker-Taker Illusion</w:t>
      </w:r>
      <w:bookmarkEnd w:id="123"/>
    </w:p>
    <w:p w14:paraId="71351C31" w14:textId="09F61583" w:rsidR="005E3ED8" w:rsidRPr="0071647F" w:rsidRDefault="005E3ED8" w:rsidP="006B21E2">
      <w:pPr>
        <w:pStyle w:val="whitespace-normal"/>
        <w:spacing w:before="0" w:beforeAutospacing="0" w:after="0" w:afterAutospacing="0"/>
        <w:jc w:val="both"/>
        <w:rPr>
          <w:color w:val="000000" w:themeColor="text1"/>
        </w:rPr>
      </w:pPr>
      <w:r w:rsidRPr="0071647F">
        <w:rPr>
          <w:color w:val="000000" w:themeColor="text1"/>
        </w:rPr>
        <w:t xml:space="preserve">Many centralized exchanges advertise "maker-taker" fee structures </w:t>
      </w:r>
      <w:proofErr w:type="gramStart"/>
      <w:r w:rsidRPr="0071647F">
        <w:rPr>
          <w:color w:val="000000" w:themeColor="text1"/>
        </w:rPr>
        <w:t>where</w:t>
      </w:r>
      <w:proofErr w:type="gramEnd"/>
      <w:r w:rsidRPr="0071647F">
        <w:rPr>
          <w:color w:val="000000" w:themeColor="text1"/>
        </w:rPr>
        <w:t xml:space="preserve"> providing liquidity (being a "maker") costs less than removing liquidity (being a "taker"). This sounds democratic—anyone can be a maker and get better rates</w:t>
      </w:r>
      <w:r w:rsidR="009B5A5A" w:rsidRPr="0071647F">
        <w:rPr>
          <w:color w:val="000000" w:themeColor="text1"/>
        </w:rPr>
        <w:t>.</w:t>
      </w:r>
    </w:p>
    <w:p w14:paraId="6D716E15" w14:textId="77777777" w:rsidR="00F85CE1" w:rsidRPr="0071647F" w:rsidRDefault="00F85CE1" w:rsidP="006B21E2">
      <w:pPr>
        <w:pStyle w:val="whitespace-normal"/>
        <w:spacing w:before="0" w:beforeAutospacing="0" w:after="0" w:afterAutospacing="0"/>
        <w:jc w:val="both"/>
        <w:rPr>
          <w:rStyle w:val="Strong"/>
          <w:color w:val="000000" w:themeColor="text1"/>
        </w:rPr>
      </w:pPr>
    </w:p>
    <w:p w14:paraId="1D878030" w14:textId="4359F74F" w:rsidR="005E3ED8" w:rsidRPr="0071647F" w:rsidRDefault="005E3ED8" w:rsidP="006B21E2">
      <w:pPr>
        <w:pStyle w:val="whitespace-normal"/>
        <w:spacing w:before="0" w:beforeAutospacing="0" w:after="0" w:afterAutospacing="0"/>
        <w:jc w:val="both"/>
        <w:rPr>
          <w:b/>
          <w:bCs/>
          <w:color w:val="000000" w:themeColor="text1"/>
        </w:rPr>
      </w:pPr>
      <w:r w:rsidRPr="0071647F">
        <w:rPr>
          <w:rStyle w:val="Strong"/>
          <w:b w:val="0"/>
          <w:bCs w:val="0"/>
          <w:color w:val="000000" w:themeColor="text1"/>
        </w:rPr>
        <w:t>The reality my research documented:</w:t>
      </w:r>
    </w:p>
    <w:p w14:paraId="724D6104" w14:textId="77777777" w:rsidR="005E3ED8" w:rsidRPr="0071647F" w:rsidRDefault="005E3ED8" w:rsidP="006B21E2">
      <w:pPr>
        <w:pStyle w:val="whitespace-normal"/>
        <w:numPr>
          <w:ilvl w:val="0"/>
          <w:numId w:val="135"/>
        </w:numPr>
        <w:spacing w:before="0" w:beforeAutospacing="0" w:after="0" w:afterAutospacing="0"/>
        <w:jc w:val="both"/>
        <w:outlineLvl w:val="9"/>
        <w:rPr>
          <w:color w:val="000000" w:themeColor="text1"/>
        </w:rPr>
      </w:pPr>
      <w:r w:rsidRPr="0071647F">
        <w:rPr>
          <w:color w:val="000000" w:themeColor="text1"/>
        </w:rPr>
        <w:t>Achieving maker status requires sophisticated order management that most retail participants lack</w:t>
      </w:r>
    </w:p>
    <w:p w14:paraId="1D8FBD68" w14:textId="77777777" w:rsidR="005E3ED8" w:rsidRPr="0071647F" w:rsidRDefault="005E3ED8" w:rsidP="006B21E2">
      <w:pPr>
        <w:pStyle w:val="whitespace-normal"/>
        <w:numPr>
          <w:ilvl w:val="0"/>
          <w:numId w:val="135"/>
        </w:numPr>
        <w:spacing w:before="0" w:beforeAutospacing="0" w:after="0" w:afterAutospacing="0"/>
        <w:jc w:val="both"/>
        <w:outlineLvl w:val="9"/>
        <w:rPr>
          <w:color w:val="000000" w:themeColor="text1"/>
        </w:rPr>
      </w:pPr>
      <w:r w:rsidRPr="0071647F">
        <w:rPr>
          <w:color w:val="000000" w:themeColor="text1"/>
        </w:rPr>
        <w:t>During volatile periods, 23-40% of intended maker orders crossed the spread and executed as taker orders</w:t>
      </w:r>
    </w:p>
    <w:p w14:paraId="2E62084A" w14:textId="77777777" w:rsidR="005E3ED8" w:rsidRPr="0071647F" w:rsidRDefault="005E3ED8" w:rsidP="006B21E2">
      <w:pPr>
        <w:pStyle w:val="whitespace-normal"/>
        <w:numPr>
          <w:ilvl w:val="0"/>
          <w:numId w:val="135"/>
        </w:numPr>
        <w:spacing w:before="0" w:beforeAutospacing="0" w:after="0" w:afterAutospacing="0"/>
        <w:jc w:val="both"/>
        <w:outlineLvl w:val="9"/>
        <w:rPr>
          <w:color w:val="000000" w:themeColor="text1"/>
        </w:rPr>
      </w:pPr>
      <w:r w:rsidRPr="0071647F">
        <w:rPr>
          <w:color w:val="000000" w:themeColor="text1"/>
        </w:rPr>
        <w:t>Institutional participants captured 78% of all maker rebates despite being only 31% of participants</w:t>
      </w:r>
    </w:p>
    <w:p w14:paraId="01E4B9A1" w14:textId="77777777" w:rsidR="005E3ED8" w:rsidRPr="0071647F" w:rsidRDefault="005E3ED8" w:rsidP="006B21E2">
      <w:pPr>
        <w:pStyle w:val="whitespace-normal"/>
        <w:numPr>
          <w:ilvl w:val="0"/>
          <w:numId w:val="135"/>
        </w:numPr>
        <w:spacing w:before="0" w:beforeAutospacing="0" w:after="0" w:afterAutospacing="0"/>
        <w:jc w:val="both"/>
        <w:outlineLvl w:val="9"/>
        <w:rPr>
          <w:color w:val="000000" w:themeColor="text1"/>
        </w:rPr>
      </w:pPr>
      <w:r w:rsidRPr="0071647F">
        <w:rPr>
          <w:color w:val="000000" w:themeColor="text1"/>
        </w:rPr>
        <w:t>The technical possibility of maker status doesn't translate to economic reality for most people</w:t>
      </w:r>
    </w:p>
    <w:p w14:paraId="7F217806" w14:textId="77777777" w:rsidR="00DE6998" w:rsidRPr="0071647F" w:rsidRDefault="00DE6998" w:rsidP="006B21E2">
      <w:pPr>
        <w:pStyle w:val="whitespace-normal"/>
        <w:spacing w:before="0" w:beforeAutospacing="0" w:after="0" w:afterAutospacing="0"/>
        <w:jc w:val="both"/>
        <w:rPr>
          <w:rStyle w:val="Strong"/>
          <w:color w:val="000000" w:themeColor="text1"/>
        </w:rPr>
      </w:pPr>
    </w:p>
    <w:p w14:paraId="59BCBD8D" w14:textId="1CC39FB5" w:rsidR="00DE6998" w:rsidRPr="0071647F" w:rsidRDefault="005E3ED8" w:rsidP="006B21E2">
      <w:pPr>
        <w:pStyle w:val="whitespace-normal"/>
        <w:spacing w:before="0" w:beforeAutospacing="0" w:after="0" w:afterAutospacing="0"/>
        <w:jc w:val="both"/>
        <w:rPr>
          <w:color w:val="000000" w:themeColor="text1"/>
        </w:rPr>
      </w:pPr>
      <w:r w:rsidRPr="0071647F">
        <w:rPr>
          <w:rStyle w:val="Strong"/>
          <w:b w:val="0"/>
          <w:bCs w:val="0"/>
          <w:color w:val="000000" w:themeColor="text1"/>
        </w:rPr>
        <w:t xml:space="preserve">What </w:t>
      </w:r>
      <w:proofErr w:type="gramStart"/>
      <w:r w:rsidRPr="0071647F">
        <w:rPr>
          <w:rStyle w:val="Strong"/>
          <w:b w:val="0"/>
          <w:bCs w:val="0"/>
          <w:color w:val="000000" w:themeColor="text1"/>
        </w:rPr>
        <w:t>this</w:t>
      </w:r>
      <w:proofErr w:type="gramEnd"/>
      <w:r w:rsidRPr="0071647F">
        <w:rPr>
          <w:rStyle w:val="Strong"/>
          <w:b w:val="0"/>
          <w:bCs w:val="0"/>
          <w:color w:val="000000" w:themeColor="text1"/>
        </w:rPr>
        <w:t xml:space="preserve"> </w:t>
      </w:r>
      <w:proofErr w:type="gramStart"/>
      <w:r w:rsidRPr="0071647F">
        <w:rPr>
          <w:rStyle w:val="Strong"/>
          <w:b w:val="0"/>
          <w:bCs w:val="0"/>
          <w:color w:val="000000" w:themeColor="text1"/>
        </w:rPr>
        <w:t>means</w:t>
      </w:r>
      <w:proofErr w:type="gramEnd"/>
      <w:r w:rsidRPr="0071647F">
        <w:rPr>
          <w:rStyle w:val="Strong"/>
          <w:b w:val="0"/>
          <w:bCs w:val="0"/>
          <w:color w:val="000000" w:themeColor="text1"/>
        </w:rPr>
        <w:t>:</w:t>
      </w:r>
      <w:r w:rsidRPr="0071647F">
        <w:rPr>
          <w:color w:val="000000" w:themeColor="text1"/>
        </w:rPr>
        <w:t xml:space="preserve"> </w:t>
      </w:r>
    </w:p>
    <w:p w14:paraId="60B6F475" w14:textId="0473637F" w:rsidR="005E3ED8" w:rsidRPr="0071647F" w:rsidRDefault="005E3ED8" w:rsidP="006B21E2">
      <w:pPr>
        <w:pStyle w:val="whitespace-normal"/>
        <w:spacing w:before="0" w:beforeAutospacing="0" w:after="0" w:afterAutospacing="0"/>
        <w:jc w:val="both"/>
        <w:rPr>
          <w:color w:val="000000" w:themeColor="text1"/>
          <w:kern w:val="0"/>
        </w:rPr>
      </w:pPr>
      <w:r w:rsidRPr="0071647F">
        <w:rPr>
          <w:color w:val="000000" w:themeColor="text1"/>
        </w:rPr>
        <w:t>Fee tiers that sound fair often favor participants with infrastructure advantages (co-located servers, algorithmic order management, direct market access</w:t>
      </w:r>
      <w:r w:rsidR="009B5A5A" w:rsidRPr="0071647F">
        <w:rPr>
          <w:color w:val="000000" w:themeColor="text1"/>
        </w:rPr>
        <w:t xml:space="preserve"> </w:t>
      </w:r>
      <w:r w:rsidR="00071603" w:rsidRPr="0071647F">
        <w:rPr>
          <w:color w:val="000000" w:themeColor="text1"/>
        </w:rPr>
        <w:t>etc.</w:t>
      </w:r>
      <w:r w:rsidRPr="0071647F">
        <w:rPr>
          <w:color w:val="000000" w:themeColor="text1"/>
        </w:rPr>
        <w:t xml:space="preserve">) that retail participants </w:t>
      </w:r>
      <w:r w:rsidR="009B5A5A" w:rsidRPr="0071647F">
        <w:rPr>
          <w:color w:val="000000" w:themeColor="text1"/>
        </w:rPr>
        <w:t>cannot</w:t>
      </w:r>
      <w:r w:rsidRPr="0071647F">
        <w:rPr>
          <w:color w:val="000000" w:themeColor="text1"/>
        </w:rPr>
        <w:t xml:space="preserve"> replicate.</w:t>
      </w:r>
    </w:p>
    <w:p w14:paraId="0B84E5DF" w14:textId="77777777" w:rsidR="00DE6998" w:rsidRPr="0071647F" w:rsidRDefault="00DE6998" w:rsidP="006B21E2">
      <w:pPr>
        <w:pStyle w:val="Heading3"/>
        <w:jc w:val="both"/>
        <w:rPr>
          <w:color w:val="000000" w:themeColor="text1"/>
        </w:rPr>
      </w:pPr>
    </w:p>
    <w:p w14:paraId="65CD04FE" w14:textId="42066CB3" w:rsidR="005E3ED8" w:rsidRPr="0071647F" w:rsidRDefault="00384837" w:rsidP="006B21E2">
      <w:pPr>
        <w:pStyle w:val="Heading3"/>
        <w:jc w:val="both"/>
        <w:rPr>
          <w:color w:val="000000" w:themeColor="text1"/>
        </w:rPr>
      </w:pPr>
      <w:bookmarkStart w:id="124" w:name="_Toc214721930"/>
      <w:r w:rsidRPr="0071647F">
        <w:rPr>
          <w:color w:val="000000" w:themeColor="text1"/>
        </w:rPr>
        <w:t xml:space="preserve">5.6.4 </w:t>
      </w:r>
      <w:r w:rsidR="005E3ED8" w:rsidRPr="0071647F">
        <w:rPr>
          <w:color w:val="000000" w:themeColor="text1"/>
        </w:rPr>
        <w:t>Volume-Based Fee Tiers: The Treadmill Effect</w:t>
      </w:r>
      <w:bookmarkEnd w:id="124"/>
    </w:p>
    <w:p w14:paraId="054571F9" w14:textId="4E7A5386" w:rsidR="005E3ED8" w:rsidRPr="0071647F" w:rsidRDefault="005E3ED8" w:rsidP="006B21E2">
      <w:pPr>
        <w:pStyle w:val="whitespace-normal"/>
        <w:spacing w:before="0" w:beforeAutospacing="0" w:after="0" w:afterAutospacing="0"/>
        <w:jc w:val="both"/>
        <w:rPr>
          <w:color w:val="000000" w:themeColor="text1"/>
        </w:rPr>
      </w:pPr>
      <w:r w:rsidRPr="0071647F">
        <w:rPr>
          <w:color w:val="000000" w:themeColor="text1"/>
        </w:rPr>
        <w:lastRenderedPageBreak/>
        <w:t>Exchanges offer lower fees if volume</w:t>
      </w:r>
      <w:r w:rsidR="009B5A5A" w:rsidRPr="0071647F">
        <w:rPr>
          <w:color w:val="000000" w:themeColor="text1"/>
        </w:rPr>
        <w:t xml:space="preserve"> is traded</w:t>
      </w:r>
      <w:r w:rsidRPr="0071647F">
        <w:rPr>
          <w:color w:val="000000" w:themeColor="text1"/>
        </w:rPr>
        <w:t>. Sounds fair</w:t>
      </w:r>
      <w:r w:rsidR="009B5A5A" w:rsidRPr="0071647F">
        <w:rPr>
          <w:color w:val="000000" w:themeColor="text1"/>
        </w:rPr>
        <w:t xml:space="preserve"> and loyal volume </w:t>
      </w:r>
      <w:r w:rsidRPr="0071647F">
        <w:rPr>
          <w:color w:val="000000" w:themeColor="text1"/>
        </w:rPr>
        <w:t xml:space="preserve">users get </w:t>
      </w:r>
      <w:r w:rsidR="0071647F" w:rsidRPr="0071647F">
        <w:rPr>
          <w:color w:val="000000" w:themeColor="text1"/>
        </w:rPr>
        <w:t>rewarded, but</w:t>
      </w:r>
      <w:r w:rsidRPr="0071647F">
        <w:rPr>
          <w:color w:val="000000" w:themeColor="text1"/>
        </w:rPr>
        <w:t xml:space="preserve"> </w:t>
      </w:r>
      <w:r w:rsidR="009B5A5A" w:rsidRPr="0071647F">
        <w:rPr>
          <w:color w:val="000000" w:themeColor="text1"/>
        </w:rPr>
        <w:t xml:space="preserve">the </w:t>
      </w:r>
      <w:r w:rsidR="00071603" w:rsidRPr="0071647F">
        <w:rPr>
          <w:color w:val="000000" w:themeColor="text1"/>
        </w:rPr>
        <w:t>research</w:t>
      </w:r>
      <w:r w:rsidRPr="0071647F">
        <w:rPr>
          <w:color w:val="000000" w:themeColor="text1"/>
        </w:rPr>
        <w:t xml:space="preserve"> revealed what I call the "treadmill effect."</w:t>
      </w:r>
    </w:p>
    <w:p w14:paraId="5326172E" w14:textId="77777777" w:rsidR="00DE6998" w:rsidRPr="0071647F" w:rsidRDefault="00DE6998" w:rsidP="006B21E2">
      <w:pPr>
        <w:pStyle w:val="whitespace-normal"/>
        <w:spacing w:before="0" w:beforeAutospacing="0" w:after="0" w:afterAutospacing="0"/>
        <w:jc w:val="both"/>
        <w:rPr>
          <w:rStyle w:val="Strong"/>
          <w:color w:val="000000" w:themeColor="text1"/>
        </w:rPr>
      </w:pPr>
    </w:p>
    <w:p w14:paraId="54320DEF" w14:textId="38C0AFD4" w:rsidR="005E3ED8" w:rsidRPr="0071647F" w:rsidRDefault="005E3ED8" w:rsidP="006B21E2">
      <w:pPr>
        <w:pStyle w:val="whitespace-normal"/>
        <w:spacing w:before="0" w:beforeAutospacing="0" w:after="0" w:afterAutospacing="0"/>
        <w:jc w:val="both"/>
        <w:rPr>
          <w:b/>
          <w:bCs/>
          <w:color w:val="000000" w:themeColor="text1"/>
        </w:rPr>
      </w:pPr>
      <w:r w:rsidRPr="0071647F">
        <w:rPr>
          <w:rStyle w:val="Strong"/>
          <w:b w:val="0"/>
          <w:bCs w:val="0"/>
          <w:color w:val="000000" w:themeColor="text1"/>
        </w:rPr>
        <w:t>Example from Binance (during study period):</w:t>
      </w:r>
    </w:p>
    <w:p w14:paraId="1F4D77AC" w14:textId="77777777" w:rsidR="005E3ED8" w:rsidRPr="0071647F" w:rsidRDefault="005E3ED8" w:rsidP="006B21E2">
      <w:pPr>
        <w:pStyle w:val="whitespace-normal"/>
        <w:numPr>
          <w:ilvl w:val="0"/>
          <w:numId w:val="136"/>
        </w:numPr>
        <w:spacing w:before="0" w:beforeAutospacing="0" w:after="0" w:afterAutospacing="0"/>
        <w:jc w:val="both"/>
        <w:outlineLvl w:val="9"/>
        <w:rPr>
          <w:color w:val="000000" w:themeColor="text1"/>
        </w:rPr>
      </w:pPr>
      <w:r w:rsidRPr="0071647F">
        <w:rPr>
          <w:color w:val="000000" w:themeColor="text1"/>
        </w:rPr>
        <w:t>Highest tier (most retail users): 0.10% fees</w:t>
      </w:r>
    </w:p>
    <w:p w14:paraId="79F4BFE5" w14:textId="77777777" w:rsidR="005E3ED8" w:rsidRPr="0071647F" w:rsidRDefault="005E3ED8" w:rsidP="006B21E2">
      <w:pPr>
        <w:pStyle w:val="whitespace-normal"/>
        <w:numPr>
          <w:ilvl w:val="0"/>
          <w:numId w:val="136"/>
        </w:numPr>
        <w:spacing w:before="0" w:beforeAutospacing="0" w:after="0" w:afterAutospacing="0"/>
        <w:jc w:val="both"/>
        <w:outlineLvl w:val="9"/>
        <w:rPr>
          <w:color w:val="000000" w:themeColor="text1"/>
        </w:rPr>
      </w:pPr>
      <w:r w:rsidRPr="0071647F">
        <w:rPr>
          <w:color w:val="000000" w:themeColor="text1"/>
        </w:rPr>
        <w:t>To reach next tier: Need $50,000 monthly volume</w:t>
      </w:r>
    </w:p>
    <w:p w14:paraId="3D72C028" w14:textId="77777777" w:rsidR="005E3ED8" w:rsidRPr="0071647F" w:rsidRDefault="005E3ED8" w:rsidP="006B21E2">
      <w:pPr>
        <w:pStyle w:val="whitespace-normal"/>
        <w:numPr>
          <w:ilvl w:val="0"/>
          <w:numId w:val="136"/>
        </w:numPr>
        <w:spacing w:before="0" w:beforeAutospacing="0" w:after="0" w:afterAutospacing="0"/>
        <w:jc w:val="both"/>
        <w:outlineLvl w:val="9"/>
        <w:rPr>
          <w:color w:val="000000" w:themeColor="text1"/>
        </w:rPr>
      </w:pPr>
      <w:r w:rsidRPr="0071647F">
        <w:rPr>
          <w:color w:val="000000" w:themeColor="text1"/>
        </w:rPr>
        <w:t>Trading $50,000/month at 0.10% = $500 in fees</w:t>
      </w:r>
    </w:p>
    <w:p w14:paraId="7642A40E" w14:textId="622078F4" w:rsidR="005E3ED8" w:rsidRPr="0071647F" w:rsidRDefault="009B5A5A" w:rsidP="006B21E2">
      <w:pPr>
        <w:pStyle w:val="whitespace-normal"/>
        <w:numPr>
          <w:ilvl w:val="0"/>
          <w:numId w:val="136"/>
        </w:numPr>
        <w:spacing w:before="0" w:beforeAutospacing="0" w:after="0" w:afterAutospacing="0"/>
        <w:jc w:val="both"/>
        <w:outlineLvl w:val="9"/>
        <w:rPr>
          <w:color w:val="000000" w:themeColor="text1"/>
        </w:rPr>
      </w:pPr>
      <w:r w:rsidRPr="0071647F">
        <w:rPr>
          <w:color w:val="000000" w:themeColor="text1"/>
        </w:rPr>
        <w:t>That t</w:t>
      </w:r>
      <w:r w:rsidR="005E3ED8" w:rsidRPr="0071647F">
        <w:rPr>
          <w:color w:val="000000" w:themeColor="text1"/>
        </w:rPr>
        <w:t xml:space="preserve">ier saves </w:t>
      </w:r>
      <w:r w:rsidRPr="0071647F">
        <w:rPr>
          <w:color w:val="000000" w:themeColor="text1"/>
        </w:rPr>
        <w:t>around</w:t>
      </w:r>
      <w:r w:rsidR="005E3ED8" w:rsidRPr="0071647F">
        <w:rPr>
          <w:color w:val="000000" w:themeColor="text1"/>
        </w:rPr>
        <w:t xml:space="preserve"> $100</w:t>
      </w:r>
    </w:p>
    <w:p w14:paraId="759CB201" w14:textId="7304FBF3" w:rsidR="005E3ED8" w:rsidRPr="0071647F" w:rsidRDefault="005E3ED8" w:rsidP="006B21E2">
      <w:pPr>
        <w:pStyle w:val="whitespace-normal"/>
        <w:numPr>
          <w:ilvl w:val="0"/>
          <w:numId w:val="136"/>
        </w:numPr>
        <w:spacing w:before="0" w:beforeAutospacing="0" w:after="0" w:afterAutospacing="0"/>
        <w:jc w:val="both"/>
        <w:outlineLvl w:val="9"/>
        <w:rPr>
          <w:color w:val="000000" w:themeColor="text1"/>
        </w:rPr>
      </w:pPr>
      <w:r w:rsidRPr="0071647F">
        <w:rPr>
          <w:color w:val="000000" w:themeColor="text1"/>
        </w:rPr>
        <w:t xml:space="preserve">To save $100, </w:t>
      </w:r>
      <w:r w:rsidR="009B5A5A" w:rsidRPr="0071647F">
        <w:rPr>
          <w:color w:val="000000" w:themeColor="text1"/>
        </w:rPr>
        <w:t>one needs</w:t>
      </w:r>
      <w:r w:rsidRPr="0071647F">
        <w:rPr>
          <w:color w:val="000000" w:themeColor="text1"/>
        </w:rPr>
        <w:t xml:space="preserve"> to trade $50,000 monthly</w:t>
      </w:r>
    </w:p>
    <w:p w14:paraId="1765D969" w14:textId="4505BE87" w:rsidR="005E3ED8" w:rsidRPr="0071647F" w:rsidRDefault="005E3ED8" w:rsidP="006B21E2">
      <w:pPr>
        <w:pStyle w:val="whitespace-normal"/>
        <w:numPr>
          <w:ilvl w:val="0"/>
          <w:numId w:val="136"/>
        </w:numPr>
        <w:spacing w:before="0" w:beforeAutospacing="0" w:after="0" w:afterAutospacing="0"/>
        <w:jc w:val="both"/>
        <w:outlineLvl w:val="9"/>
        <w:rPr>
          <w:color w:val="000000" w:themeColor="text1"/>
        </w:rPr>
      </w:pPr>
      <w:r w:rsidRPr="0071647F">
        <w:rPr>
          <w:color w:val="000000" w:themeColor="text1"/>
        </w:rPr>
        <w:t xml:space="preserve">That $50,000 requires capital </w:t>
      </w:r>
      <w:r w:rsidR="009B5A5A" w:rsidRPr="0071647F">
        <w:rPr>
          <w:color w:val="000000" w:themeColor="text1"/>
        </w:rPr>
        <w:t>that most participants do not have available</w:t>
      </w:r>
    </w:p>
    <w:p w14:paraId="711A1FBF" w14:textId="77777777" w:rsidR="00DE6998" w:rsidRPr="0071647F" w:rsidRDefault="00DE6998" w:rsidP="006B21E2">
      <w:pPr>
        <w:pStyle w:val="whitespace-normal"/>
        <w:spacing w:before="0" w:beforeAutospacing="0" w:after="0" w:afterAutospacing="0"/>
        <w:jc w:val="both"/>
        <w:rPr>
          <w:rStyle w:val="Strong"/>
          <w:color w:val="000000" w:themeColor="text1"/>
        </w:rPr>
      </w:pPr>
    </w:p>
    <w:p w14:paraId="068E59BE" w14:textId="77777777" w:rsidR="00DE6998" w:rsidRPr="0071647F" w:rsidRDefault="005E3ED8" w:rsidP="006B21E2">
      <w:pPr>
        <w:pStyle w:val="whitespace-normal"/>
        <w:spacing w:before="0" w:beforeAutospacing="0" w:after="0" w:afterAutospacing="0"/>
        <w:jc w:val="both"/>
        <w:rPr>
          <w:b/>
          <w:bCs/>
          <w:color w:val="000000" w:themeColor="text1"/>
        </w:rPr>
      </w:pPr>
      <w:r w:rsidRPr="0071647F">
        <w:rPr>
          <w:rStyle w:val="Strong"/>
          <w:b w:val="0"/>
          <w:bCs w:val="0"/>
          <w:color w:val="000000" w:themeColor="text1"/>
        </w:rPr>
        <w:t xml:space="preserve">What </w:t>
      </w:r>
      <w:proofErr w:type="gramStart"/>
      <w:r w:rsidRPr="0071647F">
        <w:rPr>
          <w:rStyle w:val="Strong"/>
          <w:b w:val="0"/>
          <w:bCs w:val="0"/>
          <w:color w:val="000000" w:themeColor="text1"/>
        </w:rPr>
        <w:t>this</w:t>
      </w:r>
      <w:proofErr w:type="gramEnd"/>
      <w:r w:rsidRPr="0071647F">
        <w:rPr>
          <w:rStyle w:val="Strong"/>
          <w:b w:val="0"/>
          <w:bCs w:val="0"/>
          <w:color w:val="000000" w:themeColor="text1"/>
        </w:rPr>
        <w:t xml:space="preserve"> </w:t>
      </w:r>
      <w:proofErr w:type="gramStart"/>
      <w:r w:rsidRPr="0071647F">
        <w:rPr>
          <w:rStyle w:val="Strong"/>
          <w:b w:val="0"/>
          <w:bCs w:val="0"/>
          <w:color w:val="000000" w:themeColor="text1"/>
        </w:rPr>
        <w:t>means</w:t>
      </w:r>
      <w:proofErr w:type="gramEnd"/>
      <w:r w:rsidRPr="0071647F">
        <w:rPr>
          <w:rStyle w:val="Strong"/>
          <w:b w:val="0"/>
          <w:bCs w:val="0"/>
          <w:color w:val="000000" w:themeColor="text1"/>
        </w:rPr>
        <w:t>:</w:t>
      </w:r>
      <w:r w:rsidRPr="0071647F">
        <w:rPr>
          <w:b/>
          <w:bCs/>
          <w:color w:val="000000" w:themeColor="text1"/>
        </w:rPr>
        <w:t xml:space="preserve"> </w:t>
      </w:r>
    </w:p>
    <w:p w14:paraId="39524D2A" w14:textId="22432FD2" w:rsidR="005E3ED8" w:rsidRPr="0071647F" w:rsidRDefault="005E3ED8" w:rsidP="006B21E2">
      <w:pPr>
        <w:pStyle w:val="whitespace-normal"/>
        <w:spacing w:before="0" w:beforeAutospacing="0" w:after="0" w:afterAutospacing="0"/>
        <w:jc w:val="both"/>
        <w:rPr>
          <w:color w:val="000000" w:themeColor="text1"/>
        </w:rPr>
      </w:pPr>
      <w:r w:rsidRPr="0071647F">
        <w:rPr>
          <w:color w:val="000000" w:themeColor="text1"/>
        </w:rPr>
        <w:t>The capital required to achieve fee savings exceeds the savings themselves for most participants. 89% of accounts in my sample never escaped the highest fee tier. This isn't a failure of users—it's how the structure works.</w:t>
      </w:r>
    </w:p>
    <w:p w14:paraId="59C98013" w14:textId="77777777" w:rsidR="00DE6998" w:rsidRPr="0071647F" w:rsidRDefault="00DE6998" w:rsidP="006B21E2">
      <w:pPr>
        <w:pStyle w:val="Heading3"/>
        <w:jc w:val="both"/>
        <w:rPr>
          <w:color w:val="000000" w:themeColor="text1"/>
        </w:rPr>
      </w:pPr>
    </w:p>
    <w:p w14:paraId="25670AB1" w14:textId="1240C4C5" w:rsidR="005E3ED8" w:rsidRPr="0071647F" w:rsidRDefault="00384837" w:rsidP="006B21E2">
      <w:pPr>
        <w:pStyle w:val="Heading3"/>
        <w:jc w:val="both"/>
        <w:rPr>
          <w:color w:val="000000" w:themeColor="text1"/>
        </w:rPr>
      </w:pPr>
      <w:bookmarkStart w:id="125" w:name="_Toc214721931"/>
      <w:r w:rsidRPr="0071647F">
        <w:rPr>
          <w:color w:val="000000" w:themeColor="text1"/>
        </w:rPr>
        <w:t xml:space="preserve">5.6.5 </w:t>
      </w:r>
      <w:r w:rsidR="005E3ED8" w:rsidRPr="0071647F">
        <w:rPr>
          <w:color w:val="000000" w:themeColor="text1"/>
        </w:rPr>
        <w:t>DEX Fee Structures: Democratic by Design, Concentrated by Outcome</w:t>
      </w:r>
      <w:bookmarkEnd w:id="125"/>
    </w:p>
    <w:p w14:paraId="7D11F83F" w14:textId="77777777" w:rsidR="005E3ED8" w:rsidRPr="0071647F" w:rsidRDefault="005E3ED8" w:rsidP="006B21E2">
      <w:pPr>
        <w:pStyle w:val="whitespace-normal"/>
        <w:spacing w:before="0" w:beforeAutospacing="0" w:after="0" w:afterAutospacing="0"/>
        <w:jc w:val="both"/>
        <w:rPr>
          <w:color w:val="000000" w:themeColor="text1"/>
        </w:rPr>
      </w:pPr>
      <w:r w:rsidRPr="0071647F">
        <w:rPr>
          <w:color w:val="000000" w:themeColor="text1"/>
        </w:rPr>
        <w:t>Decentralized exchanges like Uniswap directly distribute trading fees to liquidity providers rather than keeping them as platform profit. This architectural difference should democratize fee capture.</w:t>
      </w:r>
    </w:p>
    <w:p w14:paraId="3B1B7167" w14:textId="77777777" w:rsidR="00DE6998" w:rsidRPr="0071647F" w:rsidRDefault="00DE6998" w:rsidP="006B21E2">
      <w:pPr>
        <w:pStyle w:val="whitespace-normal"/>
        <w:spacing w:before="0" w:beforeAutospacing="0" w:after="0" w:afterAutospacing="0"/>
        <w:jc w:val="both"/>
        <w:rPr>
          <w:rStyle w:val="Strong"/>
          <w:color w:val="000000" w:themeColor="text1"/>
        </w:rPr>
      </w:pPr>
    </w:p>
    <w:p w14:paraId="356D81D2" w14:textId="1E158852" w:rsidR="005E3ED8" w:rsidRPr="0071647F" w:rsidRDefault="005E3ED8" w:rsidP="006B21E2">
      <w:pPr>
        <w:pStyle w:val="whitespace-normal"/>
        <w:spacing w:before="0" w:beforeAutospacing="0" w:after="0" w:afterAutospacing="0"/>
        <w:jc w:val="both"/>
        <w:rPr>
          <w:b/>
          <w:bCs/>
          <w:color w:val="000000" w:themeColor="text1"/>
        </w:rPr>
      </w:pPr>
      <w:r w:rsidRPr="0071647F">
        <w:rPr>
          <w:rStyle w:val="Strong"/>
          <w:b w:val="0"/>
          <w:bCs w:val="0"/>
          <w:color w:val="000000" w:themeColor="text1"/>
        </w:rPr>
        <w:t>What my research found:</w:t>
      </w:r>
    </w:p>
    <w:p w14:paraId="537B55D7" w14:textId="77777777" w:rsidR="005E3ED8" w:rsidRPr="0071647F" w:rsidRDefault="005E3ED8" w:rsidP="006B21E2">
      <w:pPr>
        <w:pStyle w:val="whitespace-normal"/>
        <w:numPr>
          <w:ilvl w:val="0"/>
          <w:numId w:val="137"/>
        </w:numPr>
        <w:spacing w:before="0" w:beforeAutospacing="0" w:after="0" w:afterAutospacing="0"/>
        <w:jc w:val="both"/>
        <w:outlineLvl w:val="9"/>
        <w:rPr>
          <w:color w:val="000000" w:themeColor="text1"/>
          <w:kern w:val="0"/>
        </w:rPr>
      </w:pPr>
      <w:r w:rsidRPr="0071647F">
        <w:rPr>
          <w:color w:val="000000" w:themeColor="text1"/>
        </w:rPr>
        <w:t>Uniswap v3 offers four fee tiers (0.01%, 0.05%, 0.30%, 1.00%)</w:t>
      </w:r>
    </w:p>
    <w:p w14:paraId="3D98F425" w14:textId="77777777" w:rsidR="005E3ED8" w:rsidRPr="0071647F" w:rsidRDefault="005E3ED8" w:rsidP="006B21E2">
      <w:pPr>
        <w:pStyle w:val="whitespace-normal"/>
        <w:numPr>
          <w:ilvl w:val="0"/>
          <w:numId w:val="137"/>
        </w:numPr>
        <w:spacing w:before="0" w:beforeAutospacing="0" w:after="0" w:afterAutospacing="0"/>
        <w:jc w:val="both"/>
        <w:outlineLvl w:val="9"/>
        <w:rPr>
          <w:color w:val="000000" w:themeColor="text1"/>
        </w:rPr>
      </w:pPr>
      <w:r w:rsidRPr="0071647F">
        <w:rPr>
          <w:color w:val="000000" w:themeColor="text1"/>
        </w:rPr>
        <w:t>Professional providers chose optimal tiers 84% of the time</w:t>
      </w:r>
    </w:p>
    <w:p w14:paraId="2FDAFD85" w14:textId="77777777" w:rsidR="005E3ED8" w:rsidRPr="0071647F" w:rsidRDefault="005E3ED8" w:rsidP="006B21E2">
      <w:pPr>
        <w:pStyle w:val="whitespace-normal"/>
        <w:numPr>
          <w:ilvl w:val="0"/>
          <w:numId w:val="137"/>
        </w:numPr>
        <w:spacing w:before="0" w:beforeAutospacing="0" w:after="0" w:afterAutospacing="0"/>
        <w:jc w:val="both"/>
        <w:outlineLvl w:val="9"/>
        <w:rPr>
          <w:color w:val="000000" w:themeColor="text1"/>
        </w:rPr>
      </w:pPr>
      <w:r w:rsidRPr="0071647F">
        <w:rPr>
          <w:color w:val="000000" w:themeColor="text1"/>
        </w:rPr>
        <w:t xml:space="preserve">Retail providers chose optimal </w:t>
      </w:r>
      <w:proofErr w:type="gramStart"/>
      <w:r w:rsidRPr="0071647F">
        <w:rPr>
          <w:color w:val="000000" w:themeColor="text1"/>
        </w:rPr>
        <w:t>tiers</w:t>
      </w:r>
      <w:proofErr w:type="gramEnd"/>
      <w:r w:rsidRPr="0071647F">
        <w:rPr>
          <w:color w:val="000000" w:themeColor="text1"/>
        </w:rPr>
        <w:t xml:space="preserve"> 41% of the time</w:t>
      </w:r>
    </w:p>
    <w:p w14:paraId="7F3C9521" w14:textId="77777777" w:rsidR="005E3ED8" w:rsidRPr="0071647F" w:rsidRDefault="005E3ED8" w:rsidP="006B21E2">
      <w:pPr>
        <w:pStyle w:val="whitespace-normal"/>
        <w:numPr>
          <w:ilvl w:val="0"/>
          <w:numId w:val="137"/>
        </w:numPr>
        <w:spacing w:before="0" w:beforeAutospacing="0" w:after="0" w:afterAutospacing="0"/>
        <w:jc w:val="both"/>
        <w:outlineLvl w:val="9"/>
        <w:rPr>
          <w:color w:val="000000" w:themeColor="text1"/>
        </w:rPr>
      </w:pPr>
      <w:r w:rsidRPr="0071647F">
        <w:rPr>
          <w:color w:val="000000" w:themeColor="text1"/>
        </w:rPr>
        <w:t>Choosing the wrong tier meant earning 4.2% APR instead of 18.3% APR</w:t>
      </w:r>
    </w:p>
    <w:p w14:paraId="52320D92" w14:textId="77777777" w:rsidR="005E3ED8" w:rsidRPr="0071647F" w:rsidRDefault="005E3ED8" w:rsidP="006B21E2">
      <w:pPr>
        <w:pStyle w:val="whitespace-normal"/>
        <w:numPr>
          <w:ilvl w:val="0"/>
          <w:numId w:val="137"/>
        </w:numPr>
        <w:spacing w:before="0" w:beforeAutospacing="0" w:after="0" w:afterAutospacing="0"/>
        <w:jc w:val="both"/>
        <w:outlineLvl w:val="9"/>
        <w:rPr>
          <w:color w:val="000000" w:themeColor="text1"/>
        </w:rPr>
      </w:pPr>
      <w:r w:rsidRPr="0071647F">
        <w:rPr>
          <w:color w:val="000000" w:themeColor="text1"/>
        </w:rPr>
        <w:t>Same capital, same effort, but 4x difference in returns based on tier selection knowledge</w:t>
      </w:r>
    </w:p>
    <w:p w14:paraId="2265458E" w14:textId="77777777" w:rsidR="00DE6998" w:rsidRPr="0071647F" w:rsidRDefault="00DE6998" w:rsidP="006B21E2">
      <w:pPr>
        <w:pStyle w:val="whitespace-normal"/>
        <w:spacing w:before="0" w:beforeAutospacing="0" w:after="0" w:afterAutospacing="0"/>
        <w:jc w:val="both"/>
        <w:rPr>
          <w:rStyle w:val="Strong"/>
          <w:color w:val="000000" w:themeColor="text1"/>
        </w:rPr>
      </w:pPr>
    </w:p>
    <w:p w14:paraId="26DDB2B9" w14:textId="77777777" w:rsidR="00DE6998" w:rsidRPr="0071647F" w:rsidRDefault="005E3ED8" w:rsidP="006B21E2">
      <w:pPr>
        <w:pStyle w:val="whitespace-normal"/>
        <w:spacing w:before="0" w:beforeAutospacing="0" w:after="0" w:afterAutospacing="0"/>
        <w:jc w:val="both"/>
        <w:rPr>
          <w:b/>
          <w:bCs/>
          <w:color w:val="000000" w:themeColor="text1"/>
        </w:rPr>
      </w:pPr>
      <w:r w:rsidRPr="0071647F">
        <w:rPr>
          <w:rStyle w:val="Strong"/>
          <w:b w:val="0"/>
          <w:bCs w:val="0"/>
          <w:color w:val="000000" w:themeColor="text1"/>
        </w:rPr>
        <w:t>Why this matters:</w:t>
      </w:r>
      <w:r w:rsidRPr="0071647F">
        <w:rPr>
          <w:b/>
          <w:bCs/>
          <w:color w:val="000000" w:themeColor="text1"/>
        </w:rPr>
        <w:t xml:space="preserve"> </w:t>
      </w:r>
    </w:p>
    <w:p w14:paraId="653F7A2C" w14:textId="70A28BE5" w:rsidR="005E3ED8" w:rsidRPr="0071647F" w:rsidRDefault="005E3ED8" w:rsidP="006B21E2">
      <w:pPr>
        <w:pStyle w:val="whitespace-normal"/>
        <w:spacing w:before="0" w:beforeAutospacing="0" w:after="0" w:afterAutospacing="0"/>
        <w:jc w:val="both"/>
        <w:rPr>
          <w:color w:val="000000" w:themeColor="text1"/>
        </w:rPr>
      </w:pPr>
      <w:r w:rsidRPr="0071647F">
        <w:rPr>
          <w:color w:val="000000" w:themeColor="text1"/>
        </w:rPr>
        <w:t xml:space="preserve">The "democratizing" architecture only helps if </w:t>
      </w:r>
      <w:r w:rsidR="00EE5606" w:rsidRPr="0071647F">
        <w:rPr>
          <w:color w:val="000000" w:themeColor="text1"/>
        </w:rPr>
        <w:t>the participant has the</w:t>
      </w:r>
      <w:r w:rsidRPr="0071647F">
        <w:rPr>
          <w:color w:val="000000" w:themeColor="text1"/>
        </w:rPr>
        <w:t xml:space="preserve"> </w:t>
      </w:r>
      <w:proofErr w:type="spellStart"/>
      <w:proofErr w:type="gramStart"/>
      <w:r w:rsidRPr="0071647F">
        <w:rPr>
          <w:color w:val="000000" w:themeColor="text1"/>
        </w:rPr>
        <w:t>know how</w:t>
      </w:r>
      <w:proofErr w:type="spellEnd"/>
      <w:proofErr w:type="gramEnd"/>
      <w:r w:rsidRPr="0071647F">
        <w:rPr>
          <w:color w:val="000000" w:themeColor="text1"/>
        </w:rPr>
        <w:t xml:space="preserve"> </w:t>
      </w:r>
      <w:r w:rsidR="00EE5606" w:rsidRPr="0071647F">
        <w:rPr>
          <w:color w:val="000000" w:themeColor="text1"/>
        </w:rPr>
        <w:t xml:space="preserve">on how </w:t>
      </w:r>
      <w:r w:rsidRPr="0071647F">
        <w:rPr>
          <w:color w:val="000000" w:themeColor="text1"/>
        </w:rPr>
        <w:t>to use it. Technical accessibility without operational knowledge creates the illusion of opportunity while maintaining concentration of actual returns.</w:t>
      </w:r>
    </w:p>
    <w:p w14:paraId="43B8A0FE" w14:textId="77777777" w:rsidR="00DE6998" w:rsidRPr="0071647F" w:rsidRDefault="00DE6998" w:rsidP="006B21E2">
      <w:pPr>
        <w:jc w:val="both"/>
        <w:rPr>
          <w:b/>
          <w:bCs/>
          <w:color w:val="000000" w:themeColor="text1"/>
        </w:rPr>
      </w:pPr>
    </w:p>
    <w:p w14:paraId="4F3EC58C" w14:textId="222A16C7" w:rsidR="005E3ED8" w:rsidRPr="0071647F" w:rsidRDefault="005E3ED8" w:rsidP="006B21E2">
      <w:pPr>
        <w:jc w:val="both"/>
        <w:rPr>
          <w:b/>
          <w:bCs/>
          <w:color w:val="000000" w:themeColor="text1"/>
        </w:rPr>
      </w:pPr>
      <w:r w:rsidRPr="0071647F">
        <w:rPr>
          <w:b/>
          <w:bCs/>
          <w:color w:val="000000" w:themeColor="text1"/>
        </w:rPr>
        <w:t>Gas Cost Patterns: Timing Can Save 30-45%</w:t>
      </w:r>
    </w:p>
    <w:p w14:paraId="362D645A" w14:textId="77777777" w:rsidR="005E3ED8" w:rsidRPr="0071647F" w:rsidRDefault="005E3ED8" w:rsidP="006B21E2">
      <w:pPr>
        <w:pStyle w:val="whitespace-normal"/>
        <w:spacing w:before="0" w:beforeAutospacing="0" w:after="0" w:afterAutospacing="0"/>
        <w:jc w:val="both"/>
        <w:rPr>
          <w:color w:val="000000" w:themeColor="text1"/>
        </w:rPr>
      </w:pPr>
      <w:r w:rsidRPr="0071647F">
        <w:rPr>
          <w:color w:val="000000" w:themeColor="text1"/>
        </w:rPr>
        <w:t>My analysis revealed predictable gas cost patterns:</w:t>
      </w:r>
    </w:p>
    <w:p w14:paraId="066F9808" w14:textId="77777777" w:rsidR="005E3ED8" w:rsidRPr="0071647F" w:rsidRDefault="005E3ED8" w:rsidP="006B21E2">
      <w:pPr>
        <w:pStyle w:val="whitespace-normal"/>
        <w:numPr>
          <w:ilvl w:val="0"/>
          <w:numId w:val="138"/>
        </w:numPr>
        <w:spacing w:before="0" w:beforeAutospacing="0" w:after="0" w:afterAutospacing="0"/>
        <w:jc w:val="both"/>
        <w:outlineLvl w:val="9"/>
        <w:rPr>
          <w:color w:val="000000" w:themeColor="text1"/>
        </w:rPr>
      </w:pPr>
      <w:r w:rsidRPr="0071647F">
        <w:rPr>
          <w:rStyle w:val="Strong"/>
          <w:color w:val="000000" w:themeColor="text1"/>
        </w:rPr>
        <w:t>Daily:</w:t>
      </w:r>
      <w:r w:rsidRPr="0071647F">
        <w:rPr>
          <w:color w:val="000000" w:themeColor="text1"/>
        </w:rPr>
        <w:t xml:space="preserve"> Lowest 4:00-6:00 AM UTC (0.6x average), highest 2:00-4:00 PM UTC (1.4x average)</w:t>
      </w:r>
    </w:p>
    <w:p w14:paraId="02281B64" w14:textId="77777777" w:rsidR="005E3ED8" w:rsidRPr="0071647F" w:rsidRDefault="005E3ED8" w:rsidP="006B21E2">
      <w:pPr>
        <w:pStyle w:val="whitespace-normal"/>
        <w:numPr>
          <w:ilvl w:val="0"/>
          <w:numId w:val="138"/>
        </w:numPr>
        <w:spacing w:before="0" w:beforeAutospacing="0" w:after="0" w:afterAutospacing="0"/>
        <w:jc w:val="both"/>
        <w:outlineLvl w:val="9"/>
        <w:rPr>
          <w:color w:val="000000" w:themeColor="text1"/>
        </w:rPr>
      </w:pPr>
      <w:r w:rsidRPr="0071647F">
        <w:rPr>
          <w:rStyle w:val="Strong"/>
          <w:color w:val="000000" w:themeColor="text1"/>
        </w:rPr>
        <w:t>Weekly:</w:t>
      </w:r>
      <w:r w:rsidRPr="0071647F">
        <w:rPr>
          <w:color w:val="000000" w:themeColor="text1"/>
        </w:rPr>
        <w:t xml:space="preserve"> Weekends 15% lower than Tuesday-Thursday</w:t>
      </w:r>
    </w:p>
    <w:p w14:paraId="57AF6C72" w14:textId="77777777" w:rsidR="005E3ED8" w:rsidRPr="0071647F" w:rsidRDefault="005E3ED8" w:rsidP="006B21E2">
      <w:pPr>
        <w:pStyle w:val="whitespace-normal"/>
        <w:numPr>
          <w:ilvl w:val="0"/>
          <w:numId w:val="138"/>
        </w:numPr>
        <w:spacing w:before="0" w:beforeAutospacing="0" w:after="0" w:afterAutospacing="0"/>
        <w:jc w:val="both"/>
        <w:outlineLvl w:val="9"/>
        <w:rPr>
          <w:color w:val="000000" w:themeColor="text1"/>
        </w:rPr>
      </w:pPr>
      <w:r w:rsidRPr="0071647F">
        <w:rPr>
          <w:rStyle w:val="Strong"/>
          <w:color w:val="000000" w:themeColor="text1"/>
        </w:rPr>
        <w:t>Monthly:</w:t>
      </w:r>
      <w:r w:rsidRPr="0071647F">
        <w:rPr>
          <w:color w:val="000000" w:themeColor="text1"/>
        </w:rPr>
        <w:t xml:space="preserve"> First/last days 25% higher (institutional rebalancing)</w:t>
      </w:r>
    </w:p>
    <w:p w14:paraId="633CC4E8" w14:textId="77777777" w:rsidR="00DE6998" w:rsidRPr="0071647F" w:rsidRDefault="00DE6998" w:rsidP="006B21E2">
      <w:pPr>
        <w:pStyle w:val="whitespace-normal"/>
        <w:spacing w:before="0" w:beforeAutospacing="0" w:after="0" w:afterAutospacing="0"/>
        <w:jc w:val="both"/>
        <w:rPr>
          <w:rStyle w:val="Strong"/>
          <w:color w:val="000000" w:themeColor="text1"/>
        </w:rPr>
      </w:pPr>
    </w:p>
    <w:p w14:paraId="1CB11D3F" w14:textId="77777777" w:rsidR="0076196F" w:rsidRPr="0071647F" w:rsidRDefault="005E3ED8" w:rsidP="006B21E2">
      <w:pPr>
        <w:pStyle w:val="whitespace-normal"/>
        <w:spacing w:before="0" w:beforeAutospacing="0" w:after="0" w:afterAutospacing="0"/>
        <w:jc w:val="both"/>
        <w:rPr>
          <w:b/>
          <w:bCs/>
          <w:color w:val="000000" w:themeColor="text1"/>
        </w:rPr>
      </w:pPr>
      <w:r w:rsidRPr="0071647F">
        <w:rPr>
          <w:rStyle w:val="Strong"/>
          <w:b w:val="0"/>
          <w:bCs w:val="0"/>
          <w:color w:val="000000" w:themeColor="text1"/>
        </w:rPr>
        <w:t xml:space="preserve">What </w:t>
      </w:r>
      <w:r w:rsidR="00EE5606" w:rsidRPr="0071647F">
        <w:rPr>
          <w:rStyle w:val="Strong"/>
          <w:b w:val="0"/>
          <w:bCs w:val="0"/>
          <w:color w:val="000000" w:themeColor="text1"/>
        </w:rPr>
        <w:t>was</w:t>
      </w:r>
      <w:r w:rsidRPr="0071647F">
        <w:rPr>
          <w:rStyle w:val="Strong"/>
          <w:b w:val="0"/>
          <w:bCs w:val="0"/>
          <w:color w:val="000000" w:themeColor="text1"/>
        </w:rPr>
        <w:t xml:space="preserve"> observed:</w:t>
      </w:r>
      <w:r w:rsidRPr="0071647F">
        <w:rPr>
          <w:b/>
          <w:bCs/>
          <w:color w:val="000000" w:themeColor="text1"/>
        </w:rPr>
        <w:t xml:space="preserve"> </w:t>
      </w:r>
    </w:p>
    <w:p w14:paraId="578BF268" w14:textId="63750E43" w:rsidR="005E3ED8" w:rsidRPr="0071647F" w:rsidRDefault="005E3ED8" w:rsidP="006B21E2">
      <w:pPr>
        <w:pStyle w:val="whitespace-normal"/>
        <w:spacing w:before="0" w:beforeAutospacing="0" w:after="0" w:afterAutospacing="0"/>
        <w:jc w:val="both"/>
        <w:rPr>
          <w:color w:val="000000" w:themeColor="text1"/>
        </w:rPr>
      </w:pPr>
      <w:r w:rsidRPr="0071647F">
        <w:rPr>
          <w:color w:val="000000" w:themeColor="text1"/>
        </w:rPr>
        <w:t>Participants who optimized gas timing saved $200 over three months but missed opportunities worth $3,000 by waiting for optimal windows. They won the gas optimization game but lost the opportunity game. The focus on a minor cost (gas) caused them to miss major opportunities (profitable positions during high-volume periods).</w:t>
      </w:r>
    </w:p>
    <w:p w14:paraId="13243F71" w14:textId="77777777" w:rsidR="00DE6998" w:rsidRPr="0071647F" w:rsidRDefault="00DE6998" w:rsidP="006B21E2">
      <w:pPr>
        <w:pStyle w:val="whitespace-normal"/>
        <w:spacing w:before="0" w:beforeAutospacing="0" w:after="0" w:afterAutospacing="0"/>
        <w:jc w:val="both"/>
        <w:rPr>
          <w:rStyle w:val="Strong"/>
          <w:color w:val="000000" w:themeColor="text1"/>
        </w:rPr>
      </w:pPr>
    </w:p>
    <w:p w14:paraId="2C8885D3" w14:textId="77777777" w:rsidR="0076196F" w:rsidRPr="0071647F" w:rsidRDefault="005E3ED8" w:rsidP="006B21E2">
      <w:pPr>
        <w:pStyle w:val="whitespace-normal"/>
        <w:spacing w:before="0" w:beforeAutospacing="0" w:after="0" w:afterAutospacing="0"/>
        <w:jc w:val="both"/>
        <w:rPr>
          <w:b/>
          <w:bCs/>
          <w:color w:val="000000" w:themeColor="text1"/>
        </w:rPr>
      </w:pPr>
      <w:r w:rsidRPr="0071647F">
        <w:rPr>
          <w:rStyle w:val="Strong"/>
          <w:b w:val="0"/>
          <w:bCs w:val="0"/>
          <w:color w:val="000000" w:themeColor="text1"/>
        </w:rPr>
        <w:t>Practical takeaway:</w:t>
      </w:r>
      <w:r w:rsidRPr="0071647F">
        <w:rPr>
          <w:b/>
          <w:bCs/>
          <w:color w:val="000000" w:themeColor="text1"/>
        </w:rPr>
        <w:t xml:space="preserve"> </w:t>
      </w:r>
    </w:p>
    <w:p w14:paraId="2EDF5C52" w14:textId="1E28A284" w:rsidR="005E3ED8" w:rsidRPr="0071647F" w:rsidRDefault="00EE5606" w:rsidP="006B21E2">
      <w:pPr>
        <w:pStyle w:val="whitespace-normal"/>
        <w:spacing w:before="0" w:beforeAutospacing="0" w:after="0" w:afterAutospacing="0"/>
        <w:jc w:val="both"/>
        <w:rPr>
          <w:color w:val="000000" w:themeColor="text1"/>
        </w:rPr>
      </w:pPr>
      <w:r w:rsidRPr="0071647F">
        <w:rPr>
          <w:color w:val="000000" w:themeColor="text1"/>
        </w:rPr>
        <w:t>Optimization of</w:t>
      </w:r>
      <w:r w:rsidR="005E3ED8" w:rsidRPr="0071647F">
        <w:rPr>
          <w:color w:val="000000" w:themeColor="text1"/>
        </w:rPr>
        <w:t xml:space="preserve"> gas for routine operations</w:t>
      </w:r>
      <w:r w:rsidRPr="0071647F">
        <w:rPr>
          <w:color w:val="000000" w:themeColor="text1"/>
        </w:rPr>
        <w:t xml:space="preserve"> is </w:t>
      </w:r>
      <w:r w:rsidR="006A4C1A" w:rsidRPr="0071647F">
        <w:rPr>
          <w:color w:val="000000" w:themeColor="text1"/>
        </w:rPr>
        <w:t>key but</w:t>
      </w:r>
      <w:r w:rsidR="005E3ED8" w:rsidRPr="0071647F">
        <w:rPr>
          <w:color w:val="000000" w:themeColor="text1"/>
        </w:rPr>
        <w:t xml:space="preserve"> </w:t>
      </w:r>
      <w:r w:rsidRPr="0071647F">
        <w:rPr>
          <w:color w:val="000000" w:themeColor="text1"/>
        </w:rPr>
        <w:t>letting</w:t>
      </w:r>
      <w:r w:rsidR="005E3ED8" w:rsidRPr="0071647F">
        <w:rPr>
          <w:color w:val="000000" w:themeColor="text1"/>
        </w:rPr>
        <w:t xml:space="preserve"> optimization paralysis prevent </w:t>
      </w:r>
      <w:r w:rsidRPr="0071647F">
        <w:rPr>
          <w:color w:val="000000" w:themeColor="text1"/>
        </w:rPr>
        <w:t>the participant</w:t>
      </w:r>
      <w:r w:rsidR="005E3ED8" w:rsidRPr="0071647F">
        <w:rPr>
          <w:color w:val="000000" w:themeColor="text1"/>
        </w:rPr>
        <w:t xml:space="preserve"> from acting on time-sensitive opportunities</w:t>
      </w:r>
      <w:r w:rsidRPr="0071647F">
        <w:rPr>
          <w:color w:val="000000" w:themeColor="text1"/>
        </w:rPr>
        <w:t xml:space="preserve"> is a risk.</w:t>
      </w:r>
    </w:p>
    <w:p w14:paraId="5587794B" w14:textId="77777777" w:rsidR="00101D12" w:rsidRPr="0071647F" w:rsidRDefault="00101D12" w:rsidP="006B21E2">
      <w:pPr>
        <w:pStyle w:val="whitespace-normal"/>
        <w:spacing w:before="0" w:beforeAutospacing="0" w:after="0" w:afterAutospacing="0"/>
        <w:jc w:val="both"/>
        <w:rPr>
          <w:color w:val="000000" w:themeColor="text1"/>
        </w:rPr>
      </w:pPr>
    </w:p>
    <w:p w14:paraId="70791194" w14:textId="1D5439FE" w:rsidR="00101D12" w:rsidRPr="00580578" w:rsidRDefault="00101D12" w:rsidP="006B21E2">
      <w:pPr>
        <w:rPr>
          <w:color w:val="000000" w:themeColor="text1"/>
        </w:rPr>
      </w:pPr>
      <w:r w:rsidRPr="00580578">
        <w:rPr>
          <w:color w:val="000000" w:themeColor="text1"/>
        </w:rPr>
        <w:t>Table 5.</w:t>
      </w:r>
      <w:r w:rsidR="00C5607F">
        <w:rPr>
          <w:color w:val="000000" w:themeColor="text1"/>
        </w:rPr>
        <w:t>E</w:t>
      </w:r>
      <w:r w:rsidRPr="00580578">
        <w:rPr>
          <w:color w:val="000000" w:themeColor="text1"/>
        </w:rPr>
        <w:t xml:space="preserve"> quantifies </w:t>
      </w:r>
      <w:r w:rsidR="00580578" w:rsidRPr="00580578">
        <w:rPr>
          <w:color w:val="000000" w:themeColor="text1"/>
        </w:rPr>
        <w:t xml:space="preserve">the </w:t>
      </w:r>
      <w:r w:rsidRPr="00580578">
        <w:rPr>
          <w:color w:val="000000" w:themeColor="text1"/>
        </w:rPr>
        <w:t xml:space="preserve">gas cost variance across </w:t>
      </w:r>
      <w:r w:rsidR="00580578" w:rsidRPr="00580578">
        <w:rPr>
          <w:color w:val="000000" w:themeColor="text1"/>
        </w:rPr>
        <w:t xml:space="preserve">the </w:t>
      </w:r>
      <w:r w:rsidRPr="00580578">
        <w:rPr>
          <w:color w:val="000000" w:themeColor="text1"/>
        </w:rPr>
        <w:t xml:space="preserve">temporal patterns and demonstrates </w:t>
      </w:r>
      <w:r w:rsidR="00580578" w:rsidRPr="00580578">
        <w:rPr>
          <w:color w:val="000000" w:themeColor="text1"/>
        </w:rPr>
        <w:t xml:space="preserve">a </w:t>
      </w:r>
      <w:r w:rsidRPr="00580578">
        <w:rPr>
          <w:color w:val="000000" w:themeColor="text1"/>
        </w:rPr>
        <w:t>critical distinction between optimization and optimization paralysis</w:t>
      </w:r>
      <w:r w:rsidR="00580578" w:rsidRPr="00580578">
        <w:rPr>
          <w:color w:val="000000" w:themeColor="text1"/>
        </w:rPr>
        <w:t>.</w:t>
      </w:r>
    </w:p>
    <w:p w14:paraId="0BCD55AD" w14:textId="77777777" w:rsidR="00101D12" w:rsidRPr="0071647F" w:rsidRDefault="00101D12" w:rsidP="006B21E2">
      <w:pPr>
        <w:rPr>
          <w:b/>
          <w:bCs/>
        </w:rPr>
      </w:pPr>
    </w:p>
    <w:p w14:paraId="67582A2C" w14:textId="22603F64" w:rsidR="00101D12" w:rsidRPr="00101D12" w:rsidRDefault="00101D12" w:rsidP="006B21E2">
      <w:pPr>
        <w:pStyle w:val="Heading3"/>
        <w:jc w:val="both"/>
        <w:rPr>
          <w:color w:val="000000" w:themeColor="text1"/>
        </w:rPr>
      </w:pPr>
      <w:bookmarkStart w:id="126" w:name="_Toc214721932"/>
      <w:r w:rsidRPr="00101D12">
        <w:rPr>
          <w:color w:val="000000" w:themeColor="text1"/>
        </w:rPr>
        <w:t>Table 5.</w:t>
      </w:r>
      <w:r w:rsidR="00C5607F">
        <w:rPr>
          <w:color w:val="000000" w:themeColor="text1"/>
        </w:rPr>
        <w:t>E</w:t>
      </w:r>
      <w:r w:rsidRPr="00101D12">
        <w:rPr>
          <w:color w:val="000000" w:themeColor="text1"/>
        </w:rPr>
        <w:t>: Gas Cost Timing Optimization Patterns - When to Transact</w:t>
      </w:r>
      <w:bookmarkEnd w:id="126"/>
    </w:p>
    <w:p w14:paraId="3C56BCAA" w14:textId="77777777" w:rsidR="00101D12" w:rsidRDefault="00101D12" w:rsidP="006B21E2"/>
    <w:tbl>
      <w:tblPr>
        <w:tblW w:w="9350" w:type="dxa"/>
        <w:tblLook w:val="04A0" w:firstRow="1" w:lastRow="0" w:firstColumn="1" w:lastColumn="0" w:noHBand="0" w:noVBand="1"/>
      </w:tblPr>
      <w:tblGrid>
        <w:gridCol w:w="1520"/>
        <w:gridCol w:w="1800"/>
        <w:gridCol w:w="1800"/>
        <w:gridCol w:w="1260"/>
        <w:gridCol w:w="2970"/>
      </w:tblGrid>
      <w:tr w:rsidR="005B4B02" w:rsidRPr="00E6261F" w14:paraId="4B87BE41" w14:textId="77777777" w:rsidTr="005B4B02">
        <w:trPr>
          <w:trHeight w:val="580"/>
        </w:trPr>
        <w:tc>
          <w:tcPr>
            <w:tcW w:w="1520" w:type="dxa"/>
            <w:tcBorders>
              <w:top w:val="single" w:sz="8" w:space="0" w:color="auto"/>
              <w:left w:val="single" w:sz="8" w:space="0" w:color="auto"/>
              <w:bottom w:val="single" w:sz="8" w:space="0" w:color="auto"/>
              <w:right w:val="single" w:sz="4" w:space="0" w:color="auto"/>
            </w:tcBorders>
            <w:shd w:val="clear" w:color="000000" w:fill="D9D9D9"/>
            <w:vAlign w:val="center"/>
            <w:hideMark/>
          </w:tcPr>
          <w:p w14:paraId="772BD517" w14:textId="77777777" w:rsidR="004763A5" w:rsidRPr="00E6261F" w:rsidRDefault="004763A5" w:rsidP="006B21E2">
            <w:pPr>
              <w:rPr>
                <w:b/>
                <w:bCs/>
                <w:sz w:val="20"/>
                <w:szCs w:val="20"/>
              </w:rPr>
            </w:pPr>
            <w:r w:rsidRPr="00E6261F">
              <w:rPr>
                <w:b/>
                <w:bCs/>
                <w:sz w:val="20"/>
                <w:szCs w:val="20"/>
              </w:rPr>
              <w:t>Time Period</w:t>
            </w:r>
          </w:p>
        </w:tc>
        <w:tc>
          <w:tcPr>
            <w:tcW w:w="1800" w:type="dxa"/>
            <w:tcBorders>
              <w:top w:val="single" w:sz="8" w:space="0" w:color="auto"/>
              <w:left w:val="nil"/>
              <w:bottom w:val="single" w:sz="8" w:space="0" w:color="auto"/>
              <w:right w:val="single" w:sz="4" w:space="0" w:color="auto"/>
            </w:tcBorders>
            <w:shd w:val="clear" w:color="000000" w:fill="D9D9D9"/>
            <w:vAlign w:val="center"/>
            <w:hideMark/>
          </w:tcPr>
          <w:p w14:paraId="679AC29F" w14:textId="77777777" w:rsidR="004763A5" w:rsidRPr="00E6261F" w:rsidRDefault="004763A5" w:rsidP="006B21E2">
            <w:pPr>
              <w:rPr>
                <w:b/>
                <w:bCs/>
                <w:sz w:val="20"/>
                <w:szCs w:val="20"/>
              </w:rPr>
            </w:pPr>
            <w:r w:rsidRPr="00E6261F">
              <w:rPr>
                <w:b/>
                <w:bCs/>
                <w:sz w:val="20"/>
                <w:szCs w:val="20"/>
              </w:rPr>
              <w:t>Optimal Window</w:t>
            </w:r>
          </w:p>
        </w:tc>
        <w:tc>
          <w:tcPr>
            <w:tcW w:w="1800" w:type="dxa"/>
            <w:tcBorders>
              <w:top w:val="single" w:sz="8" w:space="0" w:color="auto"/>
              <w:left w:val="nil"/>
              <w:bottom w:val="single" w:sz="8" w:space="0" w:color="auto"/>
              <w:right w:val="single" w:sz="4" w:space="0" w:color="auto"/>
            </w:tcBorders>
            <w:shd w:val="clear" w:color="000000" w:fill="D9D9D9"/>
            <w:vAlign w:val="center"/>
            <w:hideMark/>
          </w:tcPr>
          <w:p w14:paraId="372943ED" w14:textId="77777777" w:rsidR="004763A5" w:rsidRPr="00E6261F" w:rsidRDefault="004763A5" w:rsidP="006B21E2">
            <w:pPr>
              <w:rPr>
                <w:b/>
                <w:bCs/>
                <w:sz w:val="20"/>
                <w:szCs w:val="20"/>
              </w:rPr>
            </w:pPr>
            <w:r w:rsidRPr="00E6261F">
              <w:rPr>
                <w:b/>
                <w:bCs/>
                <w:sz w:val="20"/>
                <w:szCs w:val="20"/>
              </w:rPr>
              <w:t>Peak Window</w:t>
            </w:r>
          </w:p>
        </w:tc>
        <w:tc>
          <w:tcPr>
            <w:tcW w:w="1260" w:type="dxa"/>
            <w:tcBorders>
              <w:top w:val="single" w:sz="8" w:space="0" w:color="auto"/>
              <w:left w:val="nil"/>
              <w:bottom w:val="single" w:sz="8" w:space="0" w:color="auto"/>
              <w:right w:val="single" w:sz="4" w:space="0" w:color="auto"/>
            </w:tcBorders>
            <w:shd w:val="clear" w:color="000000" w:fill="D9D9D9"/>
            <w:vAlign w:val="center"/>
            <w:hideMark/>
          </w:tcPr>
          <w:p w14:paraId="451F9FBB" w14:textId="77777777" w:rsidR="004763A5" w:rsidRPr="00E6261F" w:rsidRDefault="004763A5" w:rsidP="006B21E2">
            <w:pPr>
              <w:rPr>
                <w:b/>
                <w:bCs/>
                <w:sz w:val="20"/>
                <w:szCs w:val="20"/>
              </w:rPr>
            </w:pPr>
            <w:r w:rsidRPr="00E6261F">
              <w:rPr>
                <w:b/>
                <w:bCs/>
                <w:sz w:val="20"/>
                <w:szCs w:val="20"/>
              </w:rPr>
              <w:t>Cost Difference</w:t>
            </w:r>
          </w:p>
        </w:tc>
        <w:tc>
          <w:tcPr>
            <w:tcW w:w="2970" w:type="dxa"/>
            <w:tcBorders>
              <w:top w:val="single" w:sz="8" w:space="0" w:color="auto"/>
              <w:left w:val="nil"/>
              <w:bottom w:val="single" w:sz="8" w:space="0" w:color="auto"/>
              <w:right w:val="single" w:sz="8" w:space="0" w:color="auto"/>
            </w:tcBorders>
            <w:shd w:val="clear" w:color="000000" w:fill="D9D9D9"/>
            <w:vAlign w:val="center"/>
            <w:hideMark/>
          </w:tcPr>
          <w:p w14:paraId="693FB175" w14:textId="77777777" w:rsidR="004763A5" w:rsidRPr="00E6261F" w:rsidRDefault="004763A5" w:rsidP="006B21E2">
            <w:pPr>
              <w:rPr>
                <w:b/>
                <w:bCs/>
                <w:sz w:val="20"/>
                <w:szCs w:val="20"/>
              </w:rPr>
            </w:pPr>
            <w:r w:rsidRPr="00E6261F">
              <w:rPr>
                <w:b/>
                <w:bCs/>
                <w:sz w:val="20"/>
                <w:szCs w:val="20"/>
              </w:rPr>
              <w:t>Strategic Implication</w:t>
            </w:r>
          </w:p>
        </w:tc>
      </w:tr>
      <w:tr w:rsidR="005B4B02" w:rsidRPr="00E6261F" w14:paraId="30640694" w14:textId="77777777" w:rsidTr="005B4B02">
        <w:trPr>
          <w:trHeight w:val="340"/>
        </w:trPr>
        <w:tc>
          <w:tcPr>
            <w:tcW w:w="1520" w:type="dxa"/>
            <w:tcBorders>
              <w:top w:val="nil"/>
              <w:left w:val="single" w:sz="8" w:space="0" w:color="auto"/>
              <w:bottom w:val="single" w:sz="4" w:space="0" w:color="auto"/>
              <w:right w:val="single" w:sz="4" w:space="0" w:color="auto"/>
            </w:tcBorders>
            <w:shd w:val="clear" w:color="000000" w:fill="FFFFFF"/>
            <w:vAlign w:val="center"/>
            <w:hideMark/>
          </w:tcPr>
          <w:p w14:paraId="319A9AE8" w14:textId="77777777" w:rsidR="004763A5" w:rsidRPr="00E6261F" w:rsidRDefault="004763A5" w:rsidP="006B21E2">
            <w:pPr>
              <w:rPr>
                <w:sz w:val="20"/>
                <w:szCs w:val="20"/>
              </w:rPr>
            </w:pPr>
            <w:r w:rsidRPr="00E6261F">
              <w:rPr>
                <w:sz w:val="20"/>
                <w:szCs w:val="20"/>
              </w:rPr>
              <w:t>Daily Pattern</w:t>
            </w:r>
          </w:p>
        </w:tc>
        <w:tc>
          <w:tcPr>
            <w:tcW w:w="1800" w:type="dxa"/>
            <w:tcBorders>
              <w:top w:val="nil"/>
              <w:left w:val="nil"/>
              <w:bottom w:val="single" w:sz="4" w:space="0" w:color="auto"/>
              <w:right w:val="single" w:sz="4" w:space="0" w:color="auto"/>
            </w:tcBorders>
            <w:shd w:val="clear" w:color="000000" w:fill="FFFFFF"/>
            <w:vAlign w:val="center"/>
            <w:hideMark/>
          </w:tcPr>
          <w:p w14:paraId="13358136" w14:textId="77777777" w:rsidR="004763A5" w:rsidRPr="00E6261F" w:rsidRDefault="004763A5" w:rsidP="006B21E2">
            <w:pPr>
              <w:rPr>
                <w:sz w:val="20"/>
                <w:szCs w:val="20"/>
              </w:rPr>
            </w:pPr>
            <w:r w:rsidRPr="00E6261F">
              <w:rPr>
                <w:sz w:val="20"/>
                <w:szCs w:val="20"/>
              </w:rPr>
              <w:t>4:00-6:00 AM UTC (0.6x average)</w:t>
            </w:r>
          </w:p>
        </w:tc>
        <w:tc>
          <w:tcPr>
            <w:tcW w:w="1800" w:type="dxa"/>
            <w:tcBorders>
              <w:top w:val="nil"/>
              <w:left w:val="nil"/>
              <w:bottom w:val="single" w:sz="4" w:space="0" w:color="auto"/>
              <w:right w:val="single" w:sz="4" w:space="0" w:color="auto"/>
            </w:tcBorders>
            <w:shd w:val="clear" w:color="000000" w:fill="FFFFFF"/>
            <w:vAlign w:val="center"/>
            <w:hideMark/>
          </w:tcPr>
          <w:p w14:paraId="06AAC0AC" w14:textId="77777777" w:rsidR="004763A5" w:rsidRPr="00E6261F" w:rsidRDefault="004763A5" w:rsidP="006B21E2">
            <w:pPr>
              <w:rPr>
                <w:sz w:val="20"/>
                <w:szCs w:val="20"/>
              </w:rPr>
            </w:pPr>
            <w:r w:rsidRPr="00E6261F">
              <w:rPr>
                <w:sz w:val="20"/>
                <w:szCs w:val="20"/>
              </w:rPr>
              <w:t>2:00-4:00 PM UTC (1.4x average)</w:t>
            </w:r>
          </w:p>
        </w:tc>
        <w:tc>
          <w:tcPr>
            <w:tcW w:w="1260" w:type="dxa"/>
            <w:tcBorders>
              <w:top w:val="nil"/>
              <w:left w:val="nil"/>
              <w:bottom w:val="single" w:sz="4" w:space="0" w:color="auto"/>
              <w:right w:val="single" w:sz="4" w:space="0" w:color="auto"/>
            </w:tcBorders>
            <w:shd w:val="clear" w:color="000000" w:fill="FFFFFF"/>
            <w:vAlign w:val="center"/>
            <w:hideMark/>
          </w:tcPr>
          <w:p w14:paraId="5FAE47F8" w14:textId="77777777" w:rsidR="004763A5" w:rsidRPr="00E6261F" w:rsidRDefault="004763A5" w:rsidP="006B21E2">
            <w:pPr>
              <w:rPr>
                <w:sz w:val="20"/>
                <w:szCs w:val="20"/>
              </w:rPr>
            </w:pPr>
            <w:r w:rsidRPr="00E6261F">
              <w:rPr>
                <w:sz w:val="20"/>
                <w:szCs w:val="20"/>
              </w:rPr>
              <w:t>2.33x difference</w:t>
            </w:r>
          </w:p>
        </w:tc>
        <w:tc>
          <w:tcPr>
            <w:tcW w:w="2970" w:type="dxa"/>
            <w:tcBorders>
              <w:top w:val="nil"/>
              <w:left w:val="nil"/>
              <w:bottom w:val="single" w:sz="4" w:space="0" w:color="auto"/>
              <w:right w:val="single" w:sz="8" w:space="0" w:color="auto"/>
            </w:tcBorders>
            <w:shd w:val="clear" w:color="000000" w:fill="FFFFFF"/>
            <w:vAlign w:val="center"/>
            <w:hideMark/>
          </w:tcPr>
          <w:p w14:paraId="3C0BEBDB" w14:textId="77777777" w:rsidR="004763A5" w:rsidRPr="00E6261F" w:rsidRDefault="004763A5" w:rsidP="006B21E2">
            <w:pPr>
              <w:rPr>
                <w:sz w:val="20"/>
                <w:szCs w:val="20"/>
              </w:rPr>
            </w:pPr>
            <w:r w:rsidRPr="00E6261F">
              <w:rPr>
                <w:sz w:val="20"/>
                <w:szCs w:val="20"/>
              </w:rPr>
              <w:t>Routine operations in low-cost windows; time-sensitive trades execute immediately</w:t>
            </w:r>
          </w:p>
        </w:tc>
      </w:tr>
      <w:tr w:rsidR="005B4B02" w:rsidRPr="00E6261F" w14:paraId="462D0E38" w14:textId="77777777" w:rsidTr="005B4B02">
        <w:trPr>
          <w:trHeight w:val="89"/>
        </w:trPr>
        <w:tc>
          <w:tcPr>
            <w:tcW w:w="1520" w:type="dxa"/>
            <w:tcBorders>
              <w:top w:val="nil"/>
              <w:left w:val="single" w:sz="8" w:space="0" w:color="auto"/>
              <w:bottom w:val="single" w:sz="4" w:space="0" w:color="auto"/>
              <w:right w:val="single" w:sz="4" w:space="0" w:color="auto"/>
            </w:tcBorders>
            <w:shd w:val="clear" w:color="000000" w:fill="FFFFFF"/>
            <w:vAlign w:val="center"/>
            <w:hideMark/>
          </w:tcPr>
          <w:p w14:paraId="085D2353" w14:textId="77777777" w:rsidR="004763A5" w:rsidRPr="00E6261F" w:rsidRDefault="004763A5" w:rsidP="006B21E2">
            <w:pPr>
              <w:rPr>
                <w:sz w:val="20"/>
                <w:szCs w:val="20"/>
              </w:rPr>
            </w:pPr>
            <w:r w:rsidRPr="00E6261F">
              <w:rPr>
                <w:sz w:val="20"/>
                <w:szCs w:val="20"/>
              </w:rPr>
              <w:t>Weekly Pattern</w:t>
            </w:r>
          </w:p>
        </w:tc>
        <w:tc>
          <w:tcPr>
            <w:tcW w:w="1800" w:type="dxa"/>
            <w:tcBorders>
              <w:top w:val="nil"/>
              <w:left w:val="nil"/>
              <w:bottom w:val="single" w:sz="4" w:space="0" w:color="auto"/>
              <w:right w:val="single" w:sz="4" w:space="0" w:color="auto"/>
            </w:tcBorders>
            <w:shd w:val="clear" w:color="000000" w:fill="FFFFFF"/>
            <w:vAlign w:val="center"/>
            <w:hideMark/>
          </w:tcPr>
          <w:p w14:paraId="7820EC88" w14:textId="77777777" w:rsidR="004763A5" w:rsidRPr="00E6261F" w:rsidRDefault="004763A5" w:rsidP="006B21E2">
            <w:pPr>
              <w:rPr>
                <w:sz w:val="20"/>
                <w:szCs w:val="20"/>
              </w:rPr>
            </w:pPr>
            <w:r w:rsidRPr="00E6261F">
              <w:rPr>
                <w:sz w:val="20"/>
                <w:szCs w:val="20"/>
              </w:rPr>
              <w:t>Weekends (15% below average)</w:t>
            </w:r>
          </w:p>
        </w:tc>
        <w:tc>
          <w:tcPr>
            <w:tcW w:w="1800" w:type="dxa"/>
            <w:tcBorders>
              <w:top w:val="nil"/>
              <w:left w:val="nil"/>
              <w:bottom w:val="single" w:sz="4" w:space="0" w:color="auto"/>
              <w:right w:val="single" w:sz="4" w:space="0" w:color="auto"/>
            </w:tcBorders>
            <w:shd w:val="clear" w:color="000000" w:fill="FFFFFF"/>
            <w:vAlign w:val="center"/>
            <w:hideMark/>
          </w:tcPr>
          <w:p w14:paraId="221F2541" w14:textId="77777777" w:rsidR="004763A5" w:rsidRPr="00E6261F" w:rsidRDefault="004763A5" w:rsidP="006B21E2">
            <w:pPr>
              <w:rPr>
                <w:sz w:val="20"/>
                <w:szCs w:val="20"/>
              </w:rPr>
            </w:pPr>
            <w:r w:rsidRPr="00E6261F">
              <w:rPr>
                <w:sz w:val="20"/>
                <w:szCs w:val="20"/>
              </w:rPr>
              <w:t>Tuesday-Thursday (peak activity)</w:t>
            </w:r>
          </w:p>
        </w:tc>
        <w:tc>
          <w:tcPr>
            <w:tcW w:w="1260" w:type="dxa"/>
            <w:tcBorders>
              <w:top w:val="nil"/>
              <w:left w:val="nil"/>
              <w:bottom w:val="single" w:sz="4" w:space="0" w:color="auto"/>
              <w:right w:val="single" w:sz="4" w:space="0" w:color="auto"/>
            </w:tcBorders>
            <w:shd w:val="clear" w:color="000000" w:fill="FFFFFF"/>
            <w:vAlign w:val="center"/>
            <w:hideMark/>
          </w:tcPr>
          <w:p w14:paraId="1FE4EE3B" w14:textId="77777777" w:rsidR="004763A5" w:rsidRPr="00E6261F" w:rsidRDefault="004763A5" w:rsidP="006B21E2">
            <w:pPr>
              <w:rPr>
                <w:sz w:val="20"/>
                <w:szCs w:val="20"/>
              </w:rPr>
            </w:pPr>
            <w:r w:rsidRPr="00E6261F">
              <w:rPr>
                <w:sz w:val="20"/>
                <w:szCs w:val="20"/>
              </w:rPr>
              <w:t>~20% difference</w:t>
            </w:r>
          </w:p>
        </w:tc>
        <w:tc>
          <w:tcPr>
            <w:tcW w:w="2970" w:type="dxa"/>
            <w:tcBorders>
              <w:top w:val="nil"/>
              <w:left w:val="nil"/>
              <w:bottom w:val="single" w:sz="4" w:space="0" w:color="auto"/>
              <w:right w:val="single" w:sz="8" w:space="0" w:color="auto"/>
            </w:tcBorders>
            <w:shd w:val="clear" w:color="000000" w:fill="FFFFFF"/>
            <w:vAlign w:val="center"/>
            <w:hideMark/>
          </w:tcPr>
          <w:p w14:paraId="2C940914" w14:textId="77777777" w:rsidR="004763A5" w:rsidRPr="00E6261F" w:rsidRDefault="004763A5" w:rsidP="006B21E2">
            <w:pPr>
              <w:rPr>
                <w:sz w:val="20"/>
                <w:szCs w:val="20"/>
              </w:rPr>
            </w:pPr>
            <w:r w:rsidRPr="00E6261F">
              <w:rPr>
                <w:sz w:val="20"/>
                <w:szCs w:val="20"/>
              </w:rPr>
              <w:t>Schedule non-urgent rebalancing for weekends</w:t>
            </w:r>
          </w:p>
        </w:tc>
      </w:tr>
      <w:tr w:rsidR="005B4B02" w:rsidRPr="00E6261F" w14:paraId="6988C823" w14:textId="77777777" w:rsidTr="005B4B02">
        <w:trPr>
          <w:trHeight w:val="332"/>
        </w:trPr>
        <w:tc>
          <w:tcPr>
            <w:tcW w:w="1520" w:type="dxa"/>
            <w:tcBorders>
              <w:top w:val="nil"/>
              <w:left w:val="single" w:sz="8" w:space="0" w:color="auto"/>
              <w:bottom w:val="single" w:sz="4" w:space="0" w:color="auto"/>
              <w:right w:val="single" w:sz="4" w:space="0" w:color="auto"/>
            </w:tcBorders>
            <w:shd w:val="clear" w:color="000000" w:fill="FFFFFF"/>
            <w:vAlign w:val="center"/>
            <w:hideMark/>
          </w:tcPr>
          <w:p w14:paraId="49875EE6" w14:textId="77777777" w:rsidR="004763A5" w:rsidRPr="00E6261F" w:rsidRDefault="004763A5" w:rsidP="006B21E2">
            <w:pPr>
              <w:rPr>
                <w:sz w:val="20"/>
                <w:szCs w:val="20"/>
              </w:rPr>
            </w:pPr>
            <w:r w:rsidRPr="00E6261F">
              <w:rPr>
                <w:sz w:val="20"/>
                <w:szCs w:val="20"/>
              </w:rPr>
              <w:t>Monthly Pattern</w:t>
            </w:r>
          </w:p>
        </w:tc>
        <w:tc>
          <w:tcPr>
            <w:tcW w:w="1800" w:type="dxa"/>
            <w:tcBorders>
              <w:top w:val="nil"/>
              <w:left w:val="nil"/>
              <w:bottom w:val="single" w:sz="4" w:space="0" w:color="auto"/>
              <w:right w:val="single" w:sz="4" w:space="0" w:color="auto"/>
            </w:tcBorders>
            <w:shd w:val="clear" w:color="000000" w:fill="FFFFFF"/>
            <w:vAlign w:val="center"/>
            <w:hideMark/>
          </w:tcPr>
          <w:p w14:paraId="69506E40" w14:textId="77777777" w:rsidR="004763A5" w:rsidRPr="00E6261F" w:rsidRDefault="004763A5" w:rsidP="006B21E2">
            <w:pPr>
              <w:rPr>
                <w:sz w:val="20"/>
                <w:szCs w:val="20"/>
              </w:rPr>
            </w:pPr>
            <w:r w:rsidRPr="00E6261F">
              <w:rPr>
                <w:sz w:val="20"/>
                <w:szCs w:val="20"/>
              </w:rPr>
              <w:t>Mid-month (typical activity)</w:t>
            </w:r>
          </w:p>
        </w:tc>
        <w:tc>
          <w:tcPr>
            <w:tcW w:w="1800" w:type="dxa"/>
            <w:tcBorders>
              <w:top w:val="nil"/>
              <w:left w:val="nil"/>
              <w:bottom w:val="single" w:sz="4" w:space="0" w:color="auto"/>
              <w:right w:val="single" w:sz="4" w:space="0" w:color="auto"/>
            </w:tcBorders>
            <w:shd w:val="clear" w:color="000000" w:fill="FFFFFF"/>
            <w:vAlign w:val="center"/>
            <w:hideMark/>
          </w:tcPr>
          <w:p w14:paraId="4DA27F24" w14:textId="77777777" w:rsidR="004763A5" w:rsidRPr="00E6261F" w:rsidRDefault="004763A5" w:rsidP="006B21E2">
            <w:pPr>
              <w:rPr>
                <w:sz w:val="20"/>
                <w:szCs w:val="20"/>
              </w:rPr>
            </w:pPr>
            <w:r w:rsidRPr="00E6261F">
              <w:rPr>
                <w:sz w:val="20"/>
                <w:szCs w:val="20"/>
              </w:rPr>
              <w:t>First/last days (25% above average)</w:t>
            </w:r>
          </w:p>
        </w:tc>
        <w:tc>
          <w:tcPr>
            <w:tcW w:w="1260" w:type="dxa"/>
            <w:tcBorders>
              <w:top w:val="nil"/>
              <w:left w:val="nil"/>
              <w:bottom w:val="single" w:sz="4" w:space="0" w:color="auto"/>
              <w:right w:val="single" w:sz="4" w:space="0" w:color="auto"/>
            </w:tcBorders>
            <w:shd w:val="clear" w:color="000000" w:fill="FFFFFF"/>
            <w:vAlign w:val="center"/>
            <w:hideMark/>
          </w:tcPr>
          <w:p w14:paraId="6DF46583" w14:textId="77777777" w:rsidR="004763A5" w:rsidRPr="00E6261F" w:rsidRDefault="004763A5" w:rsidP="006B21E2">
            <w:pPr>
              <w:rPr>
                <w:sz w:val="20"/>
                <w:szCs w:val="20"/>
              </w:rPr>
            </w:pPr>
            <w:r w:rsidRPr="00E6261F">
              <w:rPr>
                <w:sz w:val="20"/>
                <w:szCs w:val="20"/>
              </w:rPr>
              <w:t>~30% difference</w:t>
            </w:r>
          </w:p>
        </w:tc>
        <w:tc>
          <w:tcPr>
            <w:tcW w:w="2970" w:type="dxa"/>
            <w:tcBorders>
              <w:top w:val="nil"/>
              <w:left w:val="nil"/>
              <w:bottom w:val="single" w:sz="4" w:space="0" w:color="auto"/>
              <w:right w:val="single" w:sz="8" w:space="0" w:color="auto"/>
            </w:tcBorders>
            <w:shd w:val="clear" w:color="000000" w:fill="FFFFFF"/>
            <w:vAlign w:val="center"/>
            <w:hideMark/>
          </w:tcPr>
          <w:p w14:paraId="53E73FD6" w14:textId="77777777" w:rsidR="004763A5" w:rsidRPr="00E6261F" w:rsidRDefault="004763A5" w:rsidP="006B21E2">
            <w:pPr>
              <w:rPr>
                <w:sz w:val="20"/>
                <w:szCs w:val="20"/>
              </w:rPr>
            </w:pPr>
            <w:r w:rsidRPr="00E6261F">
              <w:rPr>
                <w:sz w:val="20"/>
                <w:szCs w:val="20"/>
              </w:rPr>
              <w:t>Institutional rebalancing causes spikes; avoid month-end for routine tasks</w:t>
            </w:r>
          </w:p>
        </w:tc>
      </w:tr>
      <w:tr w:rsidR="005B4B02" w:rsidRPr="00E6261F" w14:paraId="587B9762" w14:textId="77777777" w:rsidTr="005B4B02">
        <w:trPr>
          <w:trHeight w:val="69"/>
        </w:trPr>
        <w:tc>
          <w:tcPr>
            <w:tcW w:w="1520" w:type="dxa"/>
            <w:tcBorders>
              <w:top w:val="nil"/>
              <w:left w:val="single" w:sz="8" w:space="0" w:color="auto"/>
              <w:bottom w:val="single" w:sz="8" w:space="0" w:color="auto"/>
              <w:right w:val="single" w:sz="4" w:space="0" w:color="auto"/>
            </w:tcBorders>
            <w:shd w:val="clear" w:color="000000" w:fill="FFFFFF"/>
            <w:vAlign w:val="center"/>
            <w:hideMark/>
          </w:tcPr>
          <w:p w14:paraId="3F72C6EC" w14:textId="77777777" w:rsidR="004763A5" w:rsidRPr="00E6261F" w:rsidRDefault="004763A5" w:rsidP="006B21E2">
            <w:pPr>
              <w:rPr>
                <w:sz w:val="20"/>
                <w:szCs w:val="20"/>
              </w:rPr>
            </w:pPr>
            <w:r w:rsidRPr="00E6261F">
              <w:rPr>
                <w:sz w:val="20"/>
                <w:szCs w:val="20"/>
              </w:rPr>
              <w:t>Optimization Impact (3-month period)</w:t>
            </w:r>
          </w:p>
        </w:tc>
        <w:tc>
          <w:tcPr>
            <w:tcW w:w="1800" w:type="dxa"/>
            <w:tcBorders>
              <w:top w:val="nil"/>
              <w:left w:val="nil"/>
              <w:bottom w:val="single" w:sz="8" w:space="0" w:color="auto"/>
              <w:right w:val="single" w:sz="4" w:space="0" w:color="auto"/>
            </w:tcBorders>
            <w:shd w:val="clear" w:color="000000" w:fill="FFFFFF"/>
            <w:vAlign w:val="center"/>
            <w:hideMark/>
          </w:tcPr>
          <w:p w14:paraId="31462E44" w14:textId="77777777" w:rsidR="004763A5" w:rsidRPr="00E6261F" w:rsidRDefault="004763A5" w:rsidP="006B21E2">
            <w:pPr>
              <w:rPr>
                <w:sz w:val="20"/>
                <w:szCs w:val="20"/>
              </w:rPr>
            </w:pPr>
            <w:r w:rsidRPr="00E6261F">
              <w:rPr>
                <w:sz w:val="20"/>
                <w:szCs w:val="20"/>
              </w:rPr>
              <w:t>Gas savings: $200</w:t>
            </w:r>
          </w:p>
        </w:tc>
        <w:tc>
          <w:tcPr>
            <w:tcW w:w="1800" w:type="dxa"/>
            <w:tcBorders>
              <w:top w:val="nil"/>
              <w:left w:val="nil"/>
              <w:bottom w:val="single" w:sz="8" w:space="0" w:color="auto"/>
              <w:right w:val="single" w:sz="4" w:space="0" w:color="auto"/>
            </w:tcBorders>
            <w:shd w:val="clear" w:color="000000" w:fill="FFFFFF"/>
            <w:vAlign w:val="center"/>
            <w:hideMark/>
          </w:tcPr>
          <w:p w14:paraId="6C69BB12" w14:textId="77777777" w:rsidR="004763A5" w:rsidRPr="00E6261F" w:rsidRDefault="004763A5" w:rsidP="006B21E2">
            <w:pPr>
              <w:rPr>
                <w:sz w:val="20"/>
                <w:szCs w:val="20"/>
              </w:rPr>
            </w:pPr>
            <w:proofErr w:type="gramStart"/>
            <w:r w:rsidRPr="00E6261F">
              <w:rPr>
                <w:sz w:val="20"/>
                <w:szCs w:val="20"/>
              </w:rPr>
              <w:t>Missed opportunities</w:t>
            </w:r>
            <w:proofErr w:type="gramEnd"/>
            <w:r w:rsidRPr="00E6261F">
              <w:rPr>
                <w:sz w:val="20"/>
                <w:szCs w:val="20"/>
              </w:rPr>
              <w:t>: $3,000</w:t>
            </w:r>
          </w:p>
        </w:tc>
        <w:tc>
          <w:tcPr>
            <w:tcW w:w="1260" w:type="dxa"/>
            <w:tcBorders>
              <w:top w:val="nil"/>
              <w:left w:val="nil"/>
              <w:bottom w:val="single" w:sz="8" w:space="0" w:color="auto"/>
              <w:right w:val="single" w:sz="4" w:space="0" w:color="auto"/>
            </w:tcBorders>
            <w:shd w:val="clear" w:color="000000" w:fill="FFFFFF"/>
            <w:vAlign w:val="center"/>
            <w:hideMark/>
          </w:tcPr>
          <w:p w14:paraId="2F3A8F9C" w14:textId="77777777" w:rsidR="004763A5" w:rsidRPr="00E6261F" w:rsidRDefault="004763A5" w:rsidP="006B21E2">
            <w:pPr>
              <w:rPr>
                <w:sz w:val="20"/>
                <w:szCs w:val="20"/>
              </w:rPr>
            </w:pPr>
            <w:r w:rsidRPr="00E6261F">
              <w:rPr>
                <w:sz w:val="20"/>
                <w:szCs w:val="20"/>
              </w:rPr>
              <w:t>Net impact: -$2,800</w:t>
            </w:r>
          </w:p>
        </w:tc>
        <w:tc>
          <w:tcPr>
            <w:tcW w:w="2970" w:type="dxa"/>
            <w:tcBorders>
              <w:top w:val="nil"/>
              <w:left w:val="nil"/>
              <w:bottom w:val="single" w:sz="8" w:space="0" w:color="auto"/>
              <w:right w:val="single" w:sz="8" w:space="0" w:color="auto"/>
            </w:tcBorders>
            <w:shd w:val="clear" w:color="000000" w:fill="FFFFFF"/>
            <w:vAlign w:val="center"/>
            <w:hideMark/>
          </w:tcPr>
          <w:p w14:paraId="74A42710" w14:textId="77777777" w:rsidR="004763A5" w:rsidRPr="00E6261F" w:rsidRDefault="004763A5" w:rsidP="006B21E2">
            <w:pPr>
              <w:rPr>
                <w:sz w:val="20"/>
                <w:szCs w:val="20"/>
              </w:rPr>
            </w:pPr>
            <w:r w:rsidRPr="00E6261F">
              <w:rPr>
                <w:sz w:val="20"/>
                <w:szCs w:val="20"/>
              </w:rPr>
              <w:t>Optimization paralysis worse than gas costs; focus on opportunities, not minimizing costs</w:t>
            </w:r>
          </w:p>
        </w:tc>
      </w:tr>
    </w:tbl>
    <w:p w14:paraId="7AA75D9D" w14:textId="3968B4BB" w:rsidR="001D584D" w:rsidRPr="00E6261F" w:rsidRDefault="001D584D" w:rsidP="006B21E2">
      <w:pPr>
        <w:rPr>
          <w:sz w:val="20"/>
          <w:szCs w:val="20"/>
        </w:rPr>
      </w:pPr>
      <w:r w:rsidRPr="00E6261F">
        <w:rPr>
          <w:i/>
          <w:iCs/>
          <w:sz w:val="20"/>
          <w:szCs w:val="20"/>
        </w:rPr>
        <w:t>Source:</w:t>
      </w:r>
      <w:r w:rsidRPr="00E6261F">
        <w:rPr>
          <w:sz w:val="20"/>
          <w:szCs w:val="20"/>
        </w:rPr>
        <w:t xml:space="preserve"> Gas price pattern analysis across Ethereum </w:t>
      </w:r>
      <w:proofErr w:type="spellStart"/>
      <w:r w:rsidRPr="00E6261F">
        <w:rPr>
          <w:sz w:val="20"/>
          <w:szCs w:val="20"/>
        </w:rPr>
        <w:t>mainnet</w:t>
      </w:r>
      <w:proofErr w:type="spellEnd"/>
      <w:r w:rsidRPr="00E6261F">
        <w:rPr>
          <w:sz w:val="20"/>
          <w:szCs w:val="20"/>
        </w:rPr>
        <w:t xml:space="preserve"> transactions, 2020-2024.</w:t>
      </w:r>
    </w:p>
    <w:p w14:paraId="206DE8D4" w14:textId="7EE9505D" w:rsidR="001D584D" w:rsidRPr="00E6261F" w:rsidRDefault="001D584D" w:rsidP="006B21E2">
      <w:pPr>
        <w:rPr>
          <w:sz w:val="20"/>
          <w:szCs w:val="20"/>
        </w:rPr>
      </w:pPr>
      <w:r w:rsidRPr="00E6261F">
        <w:rPr>
          <w:sz w:val="20"/>
          <w:szCs w:val="20"/>
        </w:rPr>
        <w:t>Notes:</w:t>
      </w:r>
    </w:p>
    <w:p w14:paraId="3389C72A" w14:textId="2FF326DB" w:rsidR="001D584D" w:rsidRPr="001826A1" w:rsidRDefault="001D584D" w:rsidP="001826A1">
      <w:pPr>
        <w:pStyle w:val="ListParagraph"/>
        <w:numPr>
          <w:ilvl w:val="0"/>
          <w:numId w:val="280"/>
        </w:numPr>
        <w:rPr>
          <w:sz w:val="20"/>
          <w:szCs w:val="20"/>
        </w:rPr>
      </w:pPr>
      <w:r w:rsidRPr="001826A1">
        <w:rPr>
          <w:sz w:val="20"/>
          <w:szCs w:val="20"/>
        </w:rPr>
        <w:t>Cost Multipliers: Relative to average gas price (baseline = 1.0x)</w:t>
      </w:r>
    </w:p>
    <w:p w14:paraId="47AA5EF0" w14:textId="43E9BCCA" w:rsidR="001D584D" w:rsidRPr="001826A1" w:rsidRDefault="001D584D" w:rsidP="001826A1">
      <w:pPr>
        <w:pStyle w:val="ListParagraph"/>
        <w:numPr>
          <w:ilvl w:val="0"/>
          <w:numId w:val="280"/>
        </w:numPr>
        <w:rPr>
          <w:sz w:val="20"/>
          <w:szCs w:val="20"/>
        </w:rPr>
      </w:pPr>
      <w:r w:rsidRPr="001826A1">
        <w:rPr>
          <w:sz w:val="20"/>
          <w:szCs w:val="20"/>
        </w:rPr>
        <w:t>Optimization Impact: Measured over 3-month observation period among 23 participants attempting systematic gas optimization</w:t>
      </w:r>
    </w:p>
    <w:p w14:paraId="6E08FE5E" w14:textId="05BBA61E" w:rsidR="001D584D" w:rsidRPr="001826A1" w:rsidRDefault="001D584D" w:rsidP="001826A1">
      <w:pPr>
        <w:pStyle w:val="ListParagraph"/>
        <w:numPr>
          <w:ilvl w:val="0"/>
          <w:numId w:val="280"/>
        </w:numPr>
        <w:rPr>
          <w:sz w:val="20"/>
          <w:szCs w:val="20"/>
        </w:rPr>
      </w:pPr>
      <w:r w:rsidRPr="001826A1">
        <w:rPr>
          <w:sz w:val="20"/>
          <w:szCs w:val="20"/>
        </w:rPr>
        <w:t>Opportunity Cost: Value of profitable positions available during peak-gas periods but missed due to waiting for optimal windows</w:t>
      </w:r>
    </w:p>
    <w:p w14:paraId="6A134C8A" w14:textId="77777777" w:rsidR="001D584D" w:rsidRPr="00E6261F" w:rsidRDefault="001D584D" w:rsidP="006B21E2">
      <w:pPr>
        <w:rPr>
          <w:color w:val="FF0000"/>
          <w:sz w:val="20"/>
          <w:szCs w:val="20"/>
        </w:rPr>
      </w:pPr>
    </w:p>
    <w:p w14:paraId="016C35A9" w14:textId="3BC0731F" w:rsidR="001D584D" w:rsidRPr="00A6619B" w:rsidRDefault="001D584D" w:rsidP="006B21E2">
      <w:pPr>
        <w:jc w:val="both"/>
        <w:rPr>
          <w:b/>
          <w:bCs/>
          <w:color w:val="000000" w:themeColor="text1"/>
        </w:rPr>
      </w:pPr>
      <w:r w:rsidRPr="00A6619B">
        <w:rPr>
          <w:b/>
          <w:bCs/>
          <w:color w:val="000000" w:themeColor="text1"/>
        </w:rPr>
        <w:t>Critical Findings</w:t>
      </w:r>
    </w:p>
    <w:p w14:paraId="2F533A9C" w14:textId="77777777" w:rsidR="001D584D" w:rsidRPr="0071647F" w:rsidRDefault="001D584D" w:rsidP="006B21E2">
      <w:pPr>
        <w:jc w:val="both"/>
        <w:rPr>
          <w:color w:val="FF0000"/>
        </w:rPr>
      </w:pPr>
    </w:p>
    <w:p w14:paraId="26FC3E94" w14:textId="2D68EF14" w:rsidR="001D584D" w:rsidRPr="002E36A5" w:rsidRDefault="001D584D" w:rsidP="006B21E2">
      <w:pPr>
        <w:ind w:left="720"/>
        <w:jc w:val="both"/>
        <w:rPr>
          <w:color w:val="000000" w:themeColor="text1"/>
        </w:rPr>
      </w:pPr>
      <w:r w:rsidRPr="002E36A5">
        <w:rPr>
          <w:b/>
          <w:bCs/>
          <w:i/>
          <w:iCs/>
          <w:color w:val="000000" w:themeColor="text1"/>
        </w:rPr>
        <w:t>Daily Pattern Exploitation:</w:t>
      </w:r>
      <w:r w:rsidRPr="002E36A5">
        <w:rPr>
          <w:color w:val="000000" w:themeColor="text1"/>
        </w:rPr>
        <w:t xml:space="preserve"> The 2.33x difference between optimal (4-6 AM UTC, 0.6x average) and peak (2-4 PM UTC, 1.4x average) windows </w:t>
      </w:r>
      <w:proofErr w:type="gramStart"/>
      <w:r w:rsidRPr="002E36A5">
        <w:rPr>
          <w:color w:val="000000" w:themeColor="text1"/>
        </w:rPr>
        <w:t>creates</w:t>
      </w:r>
      <w:proofErr w:type="gramEnd"/>
      <w:r w:rsidRPr="002E36A5">
        <w:rPr>
          <w:color w:val="000000" w:themeColor="text1"/>
        </w:rPr>
        <w:t xml:space="preserve"> legitimate optimization opportunities for routine operations. Participants who scheduled liquidity deposits, routine rebalancing, and position exits during low-gas windows saved $200 over three months (median across N=23).</w:t>
      </w:r>
    </w:p>
    <w:p w14:paraId="35F972D2" w14:textId="77777777" w:rsidR="001D584D" w:rsidRPr="002E36A5" w:rsidRDefault="001D584D" w:rsidP="006B21E2">
      <w:pPr>
        <w:ind w:left="720"/>
        <w:jc w:val="both"/>
        <w:rPr>
          <w:color w:val="000000" w:themeColor="text1"/>
        </w:rPr>
      </w:pPr>
    </w:p>
    <w:p w14:paraId="3DB6A337" w14:textId="33570BB5" w:rsidR="001D584D" w:rsidRPr="002E36A5" w:rsidRDefault="001D584D" w:rsidP="006B21E2">
      <w:pPr>
        <w:ind w:left="720"/>
        <w:jc w:val="both"/>
        <w:rPr>
          <w:color w:val="000000" w:themeColor="text1"/>
        </w:rPr>
      </w:pPr>
      <w:r w:rsidRPr="002E36A5">
        <w:rPr>
          <w:b/>
          <w:bCs/>
          <w:i/>
          <w:iCs/>
          <w:color w:val="000000" w:themeColor="text1"/>
        </w:rPr>
        <w:t>Optimization Paralysis Cost:</w:t>
      </w:r>
      <w:r w:rsidRPr="002E36A5">
        <w:rPr>
          <w:color w:val="000000" w:themeColor="text1"/>
        </w:rPr>
        <w:t xml:space="preserve"> The same participants waiting for optimal gas windows to initiate time-sensitive positions missed opportunities worth $3,000 during the same period. High-volatility events generating 15-25% APY opportunities occurred predominantly during peak-gas periods (2-4 PM UTC), creating -$2,800 net impact from gas optimization strategy.</w:t>
      </w:r>
    </w:p>
    <w:p w14:paraId="22A04AB3" w14:textId="77777777" w:rsidR="001D584D" w:rsidRPr="0071647F" w:rsidRDefault="001D584D" w:rsidP="006B21E2">
      <w:pPr>
        <w:ind w:left="720"/>
        <w:jc w:val="both"/>
        <w:rPr>
          <w:color w:val="FF0000"/>
        </w:rPr>
      </w:pPr>
    </w:p>
    <w:p w14:paraId="7A5E8712" w14:textId="21396EA9" w:rsidR="001D584D" w:rsidRPr="002E36A5" w:rsidRDefault="001D584D" w:rsidP="006B21E2">
      <w:pPr>
        <w:ind w:left="720"/>
        <w:jc w:val="both"/>
        <w:rPr>
          <w:color w:val="000000" w:themeColor="text1"/>
        </w:rPr>
      </w:pPr>
      <w:r w:rsidRPr="002E36A5">
        <w:rPr>
          <w:b/>
          <w:bCs/>
          <w:i/>
          <w:iCs/>
          <w:color w:val="000000" w:themeColor="text1"/>
        </w:rPr>
        <w:t>Weekly vs Daily Patterns:</w:t>
      </w:r>
      <w:r w:rsidRPr="002E36A5">
        <w:rPr>
          <w:color w:val="000000" w:themeColor="text1"/>
        </w:rPr>
        <w:t xml:space="preserve"> The 15% weekend savings versus 20% weekday variation demonstrates that weekly patterns offer smaller but more reliable optimization windows. Participants who restricted optimization to weekly patterns (weekend execution) avoided opportunity costs while capturing 75% of available gas savings.</w:t>
      </w:r>
    </w:p>
    <w:p w14:paraId="1770B9C6" w14:textId="77777777" w:rsidR="001D584D" w:rsidRPr="0071647F" w:rsidRDefault="001D584D" w:rsidP="006B21E2">
      <w:pPr>
        <w:ind w:left="720"/>
        <w:jc w:val="both"/>
        <w:rPr>
          <w:color w:val="FF0000"/>
        </w:rPr>
      </w:pPr>
    </w:p>
    <w:p w14:paraId="5A939A8C" w14:textId="17681A74" w:rsidR="001D584D" w:rsidRPr="00EE5B0A" w:rsidRDefault="001D584D" w:rsidP="006B21E2">
      <w:pPr>
        <w:ind w:left="720"/>
        <w:jc w:val="both"/>
        <w:rPr>
          <w:color w:val="000000" w:themeColor="text1"/>
        </w:rPr>
      </w:pPr>
      <w:r w:rsidRPr="00EE5B0A">
        <w:rPr>
          <w:b/>
          <w:bCs/>
          <w:i/>
          <w:iCs/>
          <w:color w:val="000000" w:themeColor="text1"/>
        </w:rPr>
        <w:t>Monthly Institutional Effects:</w:t>
      </w:r>
      <w:r w:rsidRPr="00EE5B0A">
        <w:rPr>
          <w:color w:val="000000" w:themeColor="text1"/>
        </w:rPr>
        <w:t xml:space="preserve"> </w:t>
      </w:r>
      <w:r w:rsidR="00EE5B0A" w:rsidRPr="00EE5B0A">
        <w:rPr>
          <w:color w:val="000000" w:themeColor="text1"/>
        </w:rPr>
        <w:t>The f</w:t>
      </w:r>
      <w:r w:rsidRPr="00EE5B0A">
        <w:rPr>
          <w:color w:val="000000" w:themeColor="text1"/>
        </w:rPr>
        <w:t>irst and last days</w:t>
      </w:r>
      <w:r w:rsidR="00EE5B0A" w:rsidRPr="00EE5B0A">
        <w:rPr>
          <w:color w:val="000000" w:themeColor="text1"/>
        </w:rPr>
        <w:t xml:space="preserve"> of each month</w:t>
      </w:r>
      <w:r w:rsidRPr="00EE5B0A">
        <w:rPr>
          <w:color w:val="000000" w:themeColor="text1"/>
        </w:rPr>
        <w:t xml:space="preserve"> show 25% elevated gas (institutional rebalancing) </w:t>
      </w:r>
      <w:r w:rsidR="00EE5B0A" w:rsidRPr="00EE5B0A">
        <w:rPr>
          <w:color w:val="000000" w:themeColor="text1"/>
        </w:rPr>
        <w:t xml:space="preserve">and </w:t>
      </w:r>
      <w:r w:rsidRPr="00EE5B0A">
        <w:rPr>
          <w:color w:val="000000" w:themeColor="text1"/>
        </w:rPr>
        <w:t>create avoidable cost spikes for routine operations</w:t>
      </w:r>
      <w:r w:rsidR="00EE5B0A" w:rsidRPr="00EE5B0A">
        <w:rPr>
          <w:color w:val="000000" w:themeColor="text1"/>
        </w:rPr>
        <w:t xml:space="preserve">. </w:t>
      </w:r>
      <w:r w:rsidRPr="00EE5B0A">
        <w:rPr>
          <w:color w:val="000000" w:themeColor="text1"/>
        </w:rPr>
        <w:t>The monthly pattern is most useful for negative timing (avoid month-end for routine tasks) rather than positive timing (wait for mid-month).</w:t>
      </w:r>
    </w:p>
    <w:p w14:paraId="6B9CE0D9" w14:textId="77777777" w:rsidR="001D584D" w:rsidRPr="00D75954" w:rsidRDefault="001D584D" w:rsidP="006B21E2">
      <w:pPr>
        <w:ind w:left="720"/>
        <w:jc w:val="both"/>
        <w:rPr>
          <w:color w:val="FF0000"/>
        </w:rPr>
      </w:pPr>
    </w:p>
    <w:p w14:paraId="7C6AC590" w14:textId="16EFCDE7" w:rsidR="001D584D" w:rsidRPr="00EE5B0A" w:rsidRDefault="001D584D" w:rsidP="006B21E2">
      <w:pPr>
        <w:ind w:left="720"/>
        <w:jc w:val="both"/>
        <w:rPr>
          <w:color w:val="000000" w:themeColor="text1"/>
        </w:rPr>
      </w:pPr>
      <w:r w:rsidRPr="00EE5B0A">
        <w:rPr>
          <w:b/>
          <w:bCs/>
          <w:i/>
          <w:iCs/>
          <w:color w:val="000000" w:themeColor="text1"/>
        </w:rPr>
        <w:lastRenderedPageBreak/>
        <w:t>Paradox of Optimization</w:t>
      </w:r>
      <w:r w:rsidRPr="00EE5B0A">
        <w:rPr>
          <w:i/>
          <w:iCs/>
          <w:color w:val="000000" w:themeColor="text1"/>
        </w:rPr>
        <w:t>:</w:t>
      </w:r>
      <w:r w:rsidRPr="00EE5B0A">
        <w:rPr>
          <w:color w:val="000000" w:themeColor="text1"/>
        </w:rPr>
        <w:t xml:space="preserve"> Participants who optimized gas costs most aggressively (saving $200 over three months) experienced worst overall outcomes due to missed opportunities ($3,000). Conversely, participants who ignored gas optimization entirely captured time-sensitive opportunities but paid unnecessary premiums on routine operations. The optimal </w:t>
      </w:r>
      <w:proofErr w:type="gramStart"/>
      <w:r w:rsidRPr="00EE5B0A">
        <w:rPr>
          <w:color w:val="000000" w:themeColor="text1"/>
        </w:rPr>
        <w:t>strategy</w:t>
      </w:r>
      <w:proofErr w:type="gramEnd"/>
      <w:r w:rsidR="00EE5B0A" w:rsidRPr="00EE5B0A">
        <w:rPr>
          <w:color w:val="000000" w:themeColor="text1"/>
        </w:rPr>
        <w:t xml:space="preserve"> which is </w:t>
      </w:r>
      <w:r w:rsidRPr="00EE5B0A">
        <w:rPr>
          <w:color w:val="000000" w:themeColor="text1"/>
        </w:rPr>
        <w:t>distinguishing routine (optimize) from time-sensitive (execute immediately) operations</w:t>
      </w:r>
      <w:r w:rsidR="00EE5B0A" w:rsidRPr="00EE5B0A">
        <w:rPr>
          <w:color w:val="000000" w:themeColor="text1"/>
        </w:rPr>
        <w:t xml:space="preserve">, </w:t>
      </w:r>
      <w:r w:rsidRPr="00EE5B0A">
        <w:rPr>
          <w:color w:val="000000" w:themeColor="text1"/>
        </w:rPr>
        <w:t xml:space="preserve">was </w:t>
      </w:r>
      <w:r w:rsidR="00EE5B0A" w:rsidRPr="00EE5B0A">
        <w:rPr>
          <w:color w:val="000000" w:themeColor="text1"/>
        </w:rPr>
        <w:t xml:space="preserve">only </w:t>
      </w:r>
      <w:r w:rsidRPr="00EE5B0A">
        <w:rPr>
          <w:color w:val="000000" w:themeColor="text1"/>
        </w:rPr>
        <w:t>implemented by 3 of 23 participants.</w:t>
      </w:r>
    </w:p>
    <w:p w14:paraId="272A1256" w14:textId="77777777" w:rsidR="001D584D" w:rsidRPr="0071647F" w:rsidRDefault="001D584D" w:rsidP="006B21E2">
      <w:pPr>
        <w:jc w:val="both"/>
        <w:rPr>
          <w:color w:val="FF0000"/>
        </w:rPr>
      </w:pPr>
    </w:p>
    <w:p w14:paraId="140E2BCF" w14:textId="5E110694" w:rsidR="001D584D" w:rsidRPr="0001692E" w:rsidRDefault="001D584D" w:rsidP="006B21E2">
      <w:pPr>
        <w:rPr>
          <w:b/>
          <w:bCs/>
        </w:rPr>
      </w:pPr>
      <w:r w:rsidRPr="0001692E">
        <w:rPr>
          <w:b/>
          <w:bCs/>
        </w:rPr>
        <w:t>Decision Framework for Gas Optimization:</w:t>
      </w:r>
    </w:p>
    <w:p w14:paraId="7EB3715F" w14:textId="77777777" w:rsidR="001D584D" w:rsidRPr="00A62F8D" w:rsidRDefault="001D584D" w:rsidP="006B21E2">
      <w:pPr>
        <w:pStyle w:val="Heading3"/>
        <w:jc w:val="both"/>
        <w:rPr>
          <w:b w:val="0"/>
          <w:bCs/>
          <w:color w:val="000000" w:themeColor="text1"/>
        </w:rPr>
      </w:pPr>
    </w:p>
    <w:p w14:paraId="45114D29" w14:textId="606FC356" w:rsidR="001D584D" w:rsidRPr="001552E9" w:rsidRDefault="001D584D" w:rsidP="006B21E2">
      <w:pPr>
        <w:ind w:left="720"/>
        <w:rPr>
          <w:b/>
          <w:bCs/>
        </w:rPr>
      </w:pPr>
      <w:r w:rsidRPr="001552E9">
        <w:rPr>
          <w:b/>
          <w:bCs/>
        </w:rPr>
        <w:t>Optimize Timing For:</w:t>
      </w:r>
    </w:p>
    <w:p w14:paraId="43C9FD47" w14:textId="3791C217" w:rsidR="001D584D" w:rsidRPr="00944842" w:rsidRDefault="001D584D" w:rsidP="006B21E2">
      <w:pPr>
        <w:pStyle w:val="ListParagraph"/>
        <w:numPr>
          <w:ilvl w:val="0"/>
          <w:numId w:val="276"/>
        </w:numPr>
        <w:rPr>
          <w:b/>
        </w:rPr>
      </w:pPr>
      <w:r w:rsidRPr="00A62F8D">
        <w:t>Routine liquidity deposits/withdrawals</w:t>
      </w:r>
    </w:p>
    <w:p w14:paraId="37066F66" w14:textId="6DCFBDE0" w:rsidR="001D584D" w:rsidRPr="00944842" w:rsidRDefault="001D584D" w:rsidP="006B21E2">
      <w:pPr>
        <w:pStyle w:val="ListParagraph"/>
        <w:numPr>
          <w:ilvl w:val="0"/>
          <w:numId w:val="276"/>
        </w:numPr>
        <w:rPr>
          <w:b/>
        </w:rPr>
      </w:pPr>
      <w:r w:rsidRPr="00A62F8D">
        <w:t xml:space="preserve">Non-urgent position rebalancing  </w:t>
      </w:r>
    </w:p>
    <w:p w14:paraId="0CEC7765" w14:textId="51BF25F3" w:rsidR="001D584D" w:rsidRPr="00944842" w:rsidRDefault="001D584D" w:rsidP="006B21E2">
      <w:pPr>
        <w:pStyle w:val="ListParagraph"/>
        <w:numPr>
          <w:ilvl w:val="0"/>
          <w:numId w:val="276"/>
        </w:numPr>
        <w:rPr>
          <w:b/>
        </w:rPr>
      </w:pPr>
      <w:r w:rsidRPr="00A62F8D">
        <w:t>Scheduled portfolio reallocations</w:t>
      </w:r>
    </w:p>
    <w:p w14:paraId="66AD2146" w14:textId="7F1F9AF4" w:rsidR="001D584D" w:rsidRPr="00944842" w:rsidRDefault="001D584D" w:rsidP="006B21E2">
      <w:pPr>
        <w:pStyle w:val="ListParagraph"/>
        <w:numPr>
          <w:ilvl w:val="0"/>
          <w:numId w:val="276"/>
        </w:numPr>
        <w:rPr>
          <w:b/>
        </w:rPr>
      </w:pPr>
      <w:r w:rsidRPr="00A62F8D">
        <w:t>Administrative operations with no opportunity cost</w:t>
      </w:r>
    </w:p>
    <w:p w14:paraId="1AE2747E" w14:textId="77777777" w:rsidR="001D584D" w:rsidRPr="00A62F8D" w:rsidRDefault="001D584D" w:rsidP="006B21E2">
      <w:pPr>
        <w:pStyle w:val="Heading3"/>
        <w:ind w:left="720"/>
        <w:jc w:val="both"/>
        <w:rPr>
          <w:b w:val="0"/>
          <w:bCs/>
          <w:color w:val="000000" w:themeColor="text1"/>
        </w:rPr>
      </w:pPr>
    </w:p>
    <w:p w14:paraId="7C9BB520" w14:textId="3F916B24" w:rsidR="001D584D" w:rsidRPr="001552E9" w:rsidRDefault="001D584D" w:rsidP="006B21E2">
      <w:pPr>
        <w:ind w:left="720"/>
        <w:rPr>
          <w:b/>
          <w:bCs/>
        </w:rPr>
      </w:pPr>
      <w:r w:rsidRPr="001552E9">
        <w:rPr>
          <w:b/>
          <w:bCs/>
        </w:rPr>
        <w:t>Execute Immediately Regardless of Gas Costs:</w:t>
      </w:r>
    </w:p>
    <w:p w14:paraId="7C808508" w14:textId="74803E8C" w:rsidR="001D584D" w:rsidRPr="00944842" w:rsidRDefault="001D584D" w:rsidP="006B21E2">
      <w:pPr>
        <w:pStyle w:val="ListParagraph"/>
        <w:numPr>
          <w:ilvl w:val="0"/>
          <w:numId w:val="277"/>
        </w:numPr>
        <w:rPr>
          <w:b/>
        </w:rPr>
      </w:pPr>
      <w:r w:rsidRPr="00A62F8D">
        <w:t>Time-sensitive arbitrage opportunities</w:t>
      </w:r>
    </w:p>
    <w:p w14:paraId="697C8036" w14:textId="76EC6E8D" w:rsidR="001D584D" w:rsidRPr="00944842" w:rsidRDefault="001D584D" w:rsidP="006B21E2">
      <w:pPr>
        <w:pStyle w:val="ListParagraph"/>
        <w:numPr>
          <w:ilvl w:val="0"/>
          <w:numId w:val="277"/>
        </w:numPr>
        <w:rPr>
          <w:b/>
        </w:rPr>
      </w:pPr>
      <w:r w:rsidRPr="00A62F8D">
        <w:t>Volatility-driven yield farming APY spikes</w:t>
      </w:r>
    </w:p>
    <w:p w14:paraId="684F7EA4" w14:textId="0B711E9F" w:rsidR="001D584D" w:rsidRPr="00944842" w:rsidRDefault="001D584D" w:rsidP="006B21E2">
      <w:pPr>
        <w:pStyle w:val="ListParagraph"/>
        <w:numPr>
          <w:ilvl w:val="0"/>
          <w:numId w:val="277"/>
        </w:numPr>
        <w:rPr>
          <w:b/>
        </w:rPr>
      </w:pPr>
      <w:r w:rsidRPr="00A62F8D">
        <w:t>Stop-loss or risk management transactions</w:t>
      </w:r>
    </w:p>
    <w:p w14:paraId="4CBA506A" w14:textId="10AFD885" w:rsidR="001D584D" w:rsidRPr="00944842" w:rsidRDefault="001D584D" w:rsidP="006B21E2">
      <w:pPr>
        <w:pStyle w:val="ListParagraph"/>
        <w:numPr>
          <w:ilvl w:val="0"/>
          <w:numId w:val="277"/>
        </w:numPr>
        <w:rPr>
          <w:b/>
        </w:rPr>
      </w:pPr>
      <w:r w:rsidRPr="00A62F8D">
        <w:t>Competitive position entry (limited liquidity)</w:t>
      </w:r>
    </w:p>
    <w:p w14:paraId="22ABCF7F" w14:textId="77777777" w:rsidR="001D584D" w:rsidRPr="0071647F" w:rsidRDefault="001D584D" w:rsidP="006B21E2">
      <w:pPr>
        <w:pStyle w:val="Heading3"/>
        <w:jc w:val="both"/>
        <w:rPr>
          <w:b w:val="0"/>
          <w:bCs/>
          <w:color w:val="FF0000"/>
        </w:rPr>
      </w:pPr>
    </w:p>
    <w:p w14:paraId="6A76C58A" w14:textId="0C910ABF" w:rsidR="00A62F8D" w:rsidRPr="007D3B11" w:rsidRDefault="001D584D" w:rsidP="006B21E2">
      <w:pPr>
        <w:jc w:val="both"/>
        <w:rPr>
          <w:b/>
          <w:bCs/>
          <w:color w:val="000000" w:themeColor="text1"/>
        </w:rPr>
      </w:pPr>
      <w:r w:rsidRPr="007D3B11">
        <w:rPr>
          <w:b/>
          <w:bCs/>
          <w:color w:val="000000" w:themeColor="text1"/>
        </w:rPr>
        <w:t>Theoretical Implication</w:t>
      </w:r>
    </w:p>
    <w:p w14:paraId="0C42C8F2" w14:textId="03D91160" w:rsidR="0076196F" w:rsidRPr="007D3B11" w:rsidRDefault="001D584D" w:rsidP="006B21E2">
      <w:pPr>
        <w:jc w:val="both"/>
        <w:rPr>
          <w:b/>
          <w:bCs/>
          <w:color w:val="000000" w:themeColor="text1"/>
        </w:rPr>
      </w:pPr>
      <w:r w:rsidRPr="007D3B11">
        <w:rPr>
          <w:bCs/>
          <w:color w:val="000000" w:themeColor="text1"/>
        </w:rPr>
        <w:t xml:space="preserve">The optimization paradox demonstrates that DeFi participation requires </w:t>
      </w:r>
      <w:proofErr w:type="gramStart"/>
      <w:r w:rsidR="007D3B11" w:rsidRPr="007D3B11">
        <w:rPr>
          <w:bCs/>
          <w:color w:val="000000" w:themeColor="text1"/>
        </w:rPr>
        <w:t xml:space="preserve">a </w:t>
      </w:r>
      <w:r w:rsidRPr="007D3B11">
        <w:rPr>
          <w:bCs/>
          <w:color w:val="000000" w:themeColor="text1"/>
        </w:rPr>
        <w:t>continuous</w:t>
      </w:r>
      <w:proofErr w:type="gramEnd"/>
      <w:r w:rsidRPr="007D3B11">
        <w:rPr>
          <w:bCs/>
          <w:color w:val="000000" w:themeColor="text1"/>
        </w:rPr>
        <w:t xml:space="preserve"> context-dependent decision-making rather than algorithmic cost minimization. Simple heuristics ("always minimize gas") produce worse outcomes than nuanced judgment ("</w:t>
      </w:r>
      <w:proofErr w:type="gramStart"/>
      <w:r w:rsidRPr="007D3B11">
        <w:rPr>
          <w:bCs/>
          <w:color w:val="000000" w:themeColor="text1"/>
        </w:rPr>
        <w:t>minimize</w:t>
      </w:r>
      <w:proofErr w:type="gramEnd"/>
      <w:r w:rsidRPr="007D3B11">
        <w:rPr>
          <w:bCs/>
          <w:color w:val="000000" w:themeColor="text1"/>
        </w:rPr>
        <w:t xml:space="preserve"> when possible, execute when necessary"). This cognitive load represents another form of participation barrier that persists independent of fee structures or technical accessibility.</w:t>
      </w:r>
    </w:p>
    <w:p w14:paraId="5F0DE9DA" w14:textId="77777777" w:rsidR="001D584D" w:rsidRPr="0071647F" w:rsidRDefault="001D584D" w:rsidP="006B21E2"/>
    <w:p w14:paraId="49E575C7" w14:textId="0C82AD66" w:rsidR="005E3ED8" w:rsidRPr="0071647F" w:rsidRDefault="00384837" w:rsidP="006B21E2">
      <w:pPr>
        <w:pStyle w:val="Heading3"/>
        <w:jc w:val="both"/>
        <w:rPr>
          <w:color w:val="000000" w:themeColor="text1"/>
        </w:rPr>
      </w:pPr>
      <w:bookmarkStart w:id="127" w:name="_Toc214721933"/>
      <w:r w:rsidRPr="0071647F">
        <w:rPr>
          <w:color w:val="000000" w:themeColor="text1"/>
        </w:rPr>
        <w:t xml:space="preserve">5.6.6 </w:t>
      </w:r>
      <w:r w:rsidR="005E3ED8" w:rsidRPr="0071647F">
        <w:rPr>
          <w:color w:val="000000" w:themeColor="text1"/>
        </w:rPr>
        <w:t>The MEV Tax: A Hidden Cost</w:t>
      </w:r>
      <w:bookmarkEnd w:id="127"/>
    </w:p>
    <w:p w14:paraId="51AC16DE" w14:textId="77777777" w:rsidR="005E3ED8" w:rsidRPr="0071647F" w:rsidRDefault="005E3ED8" w:rsidP="006B21E2">
      <w:pPr>
        <w:pStyle w:val="whitespace-normal"/>
        <w:spacing w:before="0" w:beforeAutospacing="0" w:after="0" w:afterAutospacing="0"/>
        <w:jc w:val="both"/>
        <w:rPr>
          <w:color w:val="000000" w:themeColor="text1"/>
          <w:kern w:val="0"/>
        </w:rPr>
      </w:pPr>
      <w:r w:rsidRPr="0071647F">
        <w:rPr>
          <w:color w:val="000000" w:themeColor="text1"/>
        </w:rPr>
        <w:t xml:space="preserve">Maximum Extractable Value (MEV) represents sophisticated traders profiting from others' transactions through </w:t>
      </w:r>
      <w:proofErr w:type="gramStart"/>
      <w:r w:rsidRPr="0071647F">
        <w:rPr>
          <w:color w:val="000000" w:themeColor="text1"/>
        </w:rPr>
        <w:t>frontrunning</w:t>
      </w:r>
      <w:proofErr w:type="gramEnd"/>
      <w:r w:rsidRPr="0071647F">
        <w:rPr>
          <w:color w:val="000000" w:themeColor="text1"/>
        </w:rPr>
        <w:t>, sandwich attacks, and similar techniques. My analysis found:</w:t>
      </w:r>
    </w:p>
    <w:p w14:paraId="51F61EBC" w14:textId="77777777" w:rsidR="005E3ED8" w:rsidRPr="0071647F" w:rsidRDefault="005E3ED8" w:rsidP="006B21E2">
      <w:pPr>
        <w:pStyle w:val="whitespace-normal"/>
        <w:numPr>
          <w:ilvl w:val="0"/>
          <w:numId w:val="139"/>
        </w:numPr>
        <w:spacing w:before="0" w:beforeAutospacing="0" w:after="0" w:afterAutospacing="0"/>
        <w:jc w:val="both"/>
        <w:outlineLvl w:val="9"/>
        <w:rPr>
          <w:color w:val="000000" w:themeColor="text1"/>
        </w:rPr>
      </w:pPr>
      <w:r w:rsidRPr="0071647F">
        <w:rPr>
          <w:color w:val="000000" w:themeColor="text1"/>
        </w:rPr>
        <w:t>$1.38 billion extracted through MEV (2020-2023 in tracked data)</w:t>
      </w:r>
    </w:p>
    <w:p w14:paraId="6A05F533" w14:textId="77777777" w:rsidR="005E3ED8" w:rsidRPr="0071647F" w:rsidRDefault="005E3ED8" w:rsidP="006B21E2">
      <w:pPr>
        <w:pStyle w:val="whitespace-normal"/>
        <w:numPr>
          <w:ilvl w:val="0"/>
          <w:numId w:val="139"/>
        </w:numPr>
        <w:spacing w:before="0" w:beforeAutospacing="0" w:after="0" w:afterAutospacing="0"/>
        <w:jc w:val="both"/>
        <w:outlineLvl w:val="9"/>
        <w:rPr>
          <w:color w:val="000000" w:themeColor="text1"/>
        </w:rPr>
      </w:pPr>
      <w:r w:rsidRPr="0071647F">
        <w:rPr>
          <w:color w:val="000000" w:themeColor="text1"/>
        </w:rPr>
        <w:t>73% occurred during high volatility periods</w:t>
      </w:r>
    </w:p>
    <w:p w14:paraId="019C9CBE" w14:textId="77777777" w:rsidR="005E3ED8" w:rsidRPr="0071647F" w:rsidRDefault="005E3ED8" w:rsidP="006B21E2">
      <w:pPr>
        <w:pStyle w:val="whitespace-normal"/>
        <w:numPr>
          <w:ilvl w:val="0"/>
          <w:numId w:val="139"/>
        </w:numPr>
        <w:spacing w:before="0" w:beforeAutospacing="0" w:after="0" w:afterAutospacing="0"/>
        <w:jc w:val="both"/>
        <w:outlineLvl w:val="9"/>
        <w:rPr>
          <w:color w:val="000000" w:themeColor="text1"/>
        </w:rPr>
      </w:pPr>
      <w:r w:rsidRPr="0071647F">
        <w:rPr>
          <w:color w:val="000000" w:themeColor="text1"/>
        </w:rPr>
        <w:t>89% extracted by top 50 operators</w:t>
      </w:r>
    </w:p>
    <w:p w14:paraId="7035D81F" w14:textId="77777777" w:rsidR="005E3ED8" w:rsidRPr="0071647F" w:rsidRDefault="005E3ED8" w:rsidP="006B21E2">
      <w:pPr>
        <w:pStyle w:val="whitespace-normal"/>
        <w:numPr>
          <w:ilvl w:val="0"/>
          <w:numId w:val="139"/>
        </w:numPr>
        <w:spacing w:before="0" w:beforeAutospacing="0" w:after="0" w:afterAutospacing="0"/>
        <w:jc w:val="both"/>
        <w:outlineLvl w:val="9"/>
        <w:rPr>
          <w:color w:val="000000" w:themeColor="text1"/>
        </w:rPr>
      </w:pPr>
      <w:r w:rsidRPr="0071647F">
        <w:rPr>
          <w:color w:val="000000" w:themeColor="text1"/>
        </w:rPr>
        <w:t>Small participants attempting MEV: 12% success rate vs. 67% for professionals</w:t>
      </w:r>
    </w:p>
    <w:p w14:paraId="37C6CECE" w14:textId="77777777" w:rsidR="00E4321E" w:rsidRPr="0071647F" w:rsidRDefault="00E4321E" w:rsidP="006B21E2">
      <w:pPr>
        <w:pStyle w:val="whitespace-normal"/>
        <w:spacing w:before="0" w:beforeAutospacing="0" w:after="0" w:afterAutospacing="0"/>
        <w:jc w:val="both"/>
        <w:rPr>
          <w:rStyle w:val="Strong"/>
          <w:color w:val="000000" w:themeColor="text1"/>
        </w:rPr>
      </w:pPr>
    </w:p>
    <w:p w14:paraId="3BF36418" w14:textId="77777777" w:rsidR="00E4321E" w:rsidRPr="0071647F" w:rsidRDefault="005B5FAC" w:rsidP="006B21E2">
      <w:pPr>
        <w:pStyle w:val="whitespace-normal"/>
        <w:spacing w:before="0" w:beforeAutospacing="0" w:after="0" w:afterAutospacing="0"/>
        <w:jc w:val="both"/>
        <w:rPr>
          <w:b/>
          <w:bCs/>
          <w:color w:val="000000" w:themeColor="text1"/>
        </w:rPr>
      </w:pPr>
      <w:r w:rsidRPr="0071647F">
        <w:rPr>
          <w:rStyle w:val="Strong"/>
          <w:b w:val="0"/>
          <w:bCs w:val="0"/>
          <w:color w:val="000000" w:themeColor="text1"/>
        </w:rPr>
        <w:t xml:space="preserve">What </w:t>
      </w:r>
      <w:proofErr w:type="gramStart"/>
      <w:r w:rsidRPr="0071647F">
        <w:rPr>
          <w:rStyle w:val="Strong"/>
          <w:b w:val="0"/>
          <w:bCs w:val="0"/>
          <w:color w:val="000000" w:themeColor="text1"/>
        </w:rPr>
        <w:t>this</w:t>
      </w:r>
      <w:proofErr w:type="gramEnd"/>
      <w:r w:rsidRPr="0071647F">
        <w:rPr>
          <w:rStyle w:val="Strong"/>
          <w:b w:val="0"/>
          <w:bCs w:val="0"/>
          <w:color w:val="000000" w:themeColor="text1"/>
        </w:rPr>
        <w:t xml:space="preserve"> </w:t>
      </w:r>
      <w:proofErr w:type="gramStart"/>
      <w:r w:rsidRPr="0071647F">
        <w:rPr>
          <w:rStyle w:val="Strong"/>
          <w:b w:val="0"/>
          <w:bCs w:val="0"/>
          <w:color w:val="000000" w:themeColor="text1"/>
        </w:rPr>
        <w:t>means</w:t>
      </w:r>
      <w:proofErr w:type="gramEnd"/>
      <w:r w:rsidR="005E3ED8" w:rsidRPr="0071647F">
        <w:rPr>
          <w:rStyle w:val="Strong"/>
          <w:b w:val="0"/>
          <w:bCs w:val="0"/>
          <w:color w:val="000000" w:themeColor="text1"/>
        </w:rPr>
        <w:t>:</w:t>
      </w:r>
      <w:r w:rsidR="005E3ED8" w:rsidRPr="0071647F">
        <w:rPr>
          <w:b/>
          <w:bCs/>
          <w:color w:val="000000" w:themeColor="text1"/>
        </w:rPr>
        <w:t xml:space="preserve"> </w:t>
      </w:r>
    </w:p>
    <w:p w14:paraId="5CB118D1" w14:textId="60F89830" w:rsidR="005E3ED8" w:rsidRPr="0071647F" w:rsidRDefault="005E3ED8" w:rsidP="006B21E2">
      <w:pPr>
        <w:pStyle w:val="whitespace-normal"/>
        <w:spacing w:before="0" w:beforeAutospacing="0" w:after="0" w:afterAutospacing="0"/>
        <w:jc w:val="both"/>
        <w:rPr>
          <w:color w:val="000000" w:themeColor="text1"/>
        </w:rPr>
      </w:pPr>
      <w:r w:rsidRPr="0071647F">
        <w:rPr>
          <w:color w:val="000000" w:themeColor="text1"/>
        </w:rPr>
        <w:t>There</w:t>
      </w:r>
      <w:r w:rsidR="005B5FAC" w:rsidRPr="0071647F">
        <w:rPr>
          <w:color w:val="000000" w:themeColor="text1"/>
        </w:rPr>
        <w:t xml:space="preserve"> is</w:t>
      </w:r>
      <w:r w:rsidRPr="0071647F">
        <w:rPr>
          <w:color w:val="000000" w:themeColor="text1"/>
        </w:rPr>
        <w:t xml:space="preserve"> a hidden tax on DeFi transactions that does</w:t>
      </w:r>
      <w:r w:rsidR="005B5FAC" w:rsidRPr="0071647F">
        <w:rPr>
          <w:color w:val="000000" w:themeColor="text1"/>
        </w:rPr>
        <w:t xml:space="preserve"> not</w:t>
      </w:r>
      <w:r w:rsidRPr="0071647F">
        <w:rPr>
          <w:color w:val="000000" w:themeColor="text1"/>
        </w:rPr>
        <w:t xml:space="preserve"> appear in advertised fees. Sophisticated participants can extract value from </w:t>
      </w:r>
      <w:r w:rsidR="00A170EE" w:rsidRPr="0071647F">
        <w:rPr>
          <w:color w:val="000000" w:themeColor="text1"/>
        </w:rPr>
        <w:t>someone’s</w:t>
      </w:r>
      <w:r w:rsidR="005B5FAC" w:rsidRPr="0071647F">
        <w:rPr>
          <w:color w:val="000000" w:themeColor="text1"/>
        </w:rPr>
        <w:t xml:space="preserve"> </w:t>
      </w:r>
      <w:r w:rsidRPr="0071647F">
        <w:rPr>
          <w:color w:val="000000" w:themeColor="text1"/>
        </w:rPr>
        <w:t>trades before they even execute. For small participants, trying to capture MEV is usually unprofitabl</w:t>
      </w:r>
      <w:r w:rsidR="00A170EE" w:rsidRPr="0071647F">
        <w:rPr>
          <w:color w:val="000000" w:themeColor="text1"/>
        </w:rPr>
        <w:t xml:space="preserve">e as </w:t>
      </w:r>
      <w:r w:rsidRPr="0071647F">
        <w:rPr>
          <w:color w:val="000000" w:themeColor="text1"/>
        </w:rPr>
        <w:t xml:space="preserve">failed attempts </w:t>
      </w:r>
      <w:r w:rsidR="00A170EE" w:rsidRPr="0071647F">
        <w:rPr>
          <w:color w:val="000000" w:themeColor="text1"/>
        </w:rPr>
        <w:t>generate cost which will negate earnings.</w:t>
      </w:r>
    </w:p>
    <w:p w14:paraId="41F1F6BB" w14:textId="77777777" w:rsidR="00E4321E" w:rsidRPr="0071647F" w:rsidRDefault="00E4321E" w:rsidP="006B21E2">
      <w:pPr>
        <w:pStyle w:val="whitespace-normal"/>
        <w:spacing w:before="0" w:beforeAutospacing="0" w:after="0" w:afterAutospacing="0"/>
        <w:jc w:val="both"/>
        <w:rPr>
          <w:color w:val="000000" w:themeColor="text1"/>
        </w:rPr>
      </w:pPr>
    </w:p>
    <w:p w14:paraId="7B18B14C" w14:textId="44209B98" w:rsidR="005E3ED8" w:rsidRPr="0071647F" w:rsidRDefault="005E3ED8" w:rsidP="006B21E2">
      <w:pPr>
        <w:pStyle w:val="whitespace-normal"/>
        <w:spacing w:before="0" w:beforeAutospacing="0" w:after="0" w:afterAutospacing="0"/>
        <w:jc w:val="both"/>
        <w:rPr>
          <w:color w:val="000000" w:themeColor="text1"/>
        </w:rPr>
      </w:pPr>
      <w:r w:rsidRPr="0071647F">
        <w:rPr>
          <w:color w:val="000000" w:themeColor="text1"/>
        </w:rPr>
        <w:t xml:space="preserve">Binance's zero-fee Bitcoin trading campaign (July 2022 - March 2023) </w:t>
      </w:r>
      <w:r w:rsidR="009F273C" w:rsidRPr="0071647F">
        <w:rPr>
          <w:color w:val="000000" w:themeColor="text1"/>
        </w:rPr>
        <w:t>is a great use</w:t>
      </w:r>
      <w:r w:rsidRPr="0071647F">
        <w:rPr>
          <w:color w:val="000000" w:themeColor="text1"/>
        </w:rPr>
        <w:t xml:space="preserve"> case study. </w:t>
      </w:r>
      <w:r w:rsidR="009F273C" w:rsidRPr="0071647F">
        <w:rPr>
          <w:color w:val="000000" w:themeColor="text1"/>
        </w:rPr>
        <w:t>Even though the trading v</w:t>
      </w:r>
      <w:r w:rsidRPr="0071647F">
        <w:rPr>
          <w:color w:val="000000" w:themeColor="text1"/>
        </w:rPr>
        <w:t xml:space="preserve">olume increased </w:t>
      </w:r>
      <w:r w:rsidR="009F273C" w:rsidRPr="0071647F">
        <w:rPr>
          <w:color w:val="000000" w:themeColor="text1"/>
        </w:rPr>
        <w:t xml:space="preserve">by </w:t>
      </w:r>
      <w:r w:rsidRPr="0071647F">
        <w:rPr>
          <w:color w:val="000000" w:themeColor="text1"/>
        </w:rPr>
        <w:t xml:space="preserve">240%, </w:t>
      </w:r>
      <w:r w:rsidR="009F273C" w:rsidRPr="0071647F">
        <w:rPr>
          <w:color w:val="000000" w:themeColor="text1"/>
        </w:rPr>
        <w:t>the following negatives were identified:</w:t>
      </w:r>
    </w:p>
    <w:p w14:paraId="7D56A39F" w14:textId="77777777" w:rsidR="005E3ED8" w:rsidRPr="0071647F" w:rsidRDefault="005E3ED8" w:rsidP="006B21E2">
      <w:pPr>
        <w:pStyle w:val="whitespace-normal"/>
        <w:numPr>
          <w:ilvl w:val="0"/>
          <w:numId w:val="140"/>
        </w:numPr>
        <w:spacing w:before="0" w:beforeAutospacing="0" w:after="0" w:afterAutospacing="0"/>
        <w:jc w:val="both"/>
        <w:outlineLvl w:val="9"/>
        <w:rPr>
          <w:color w:val="000000" w:themeColor="text1"/>
        </w:rPr>
      </w:pPr>
      <w:r w:rsidRPr="0071647F">
        <w:rPr>
          <w:color w:val="000000" w:themeColor="text1"/>
        </w:rPr>
        <w:t>Wash trading increased from 12% to 31% of volume</w:t>
      </w:r>
    </w:p>
    <w:p w14:paraId="7FD00411" w14:textId="77777777" w:rsidR="005E3ED8" w:rsidRPr="0071647F" w:rsidRDefault="005E3ED8" w:rsidP="006B21E2">
      <w:pPr>
        <w:pStyle w:val="whitespace-normal"/>
        <w:numPr>
          <w:ilvl w:val="0"/>
          <w:numId w:val="140"/>
        </w:numPr>
        <w:spacing w:before="0" w:beforeAutospacing="0" w:after="0" w:afterAutospacing="0"/>
        <w:jc w:val="both"/>
        <w:outlineLvl w:val="9"/>
        <w:rPr>
          <w:color w:val="000000" w:themeColor="text1"/>
        </w:rPr>
      </w:pPr>
      <w:r w:rsidRPr="0071647F">
        <w:rPr>
          <w:color w:val="000000" w:themeColor="text1"/>
        </w:rPr>
        <w:t>Bid-ask spreads widened from 0.01% to 0.03%</w:t>
      </w:r>
    </w:p>
    <w:p w14:paraId="6A39035F" w14:textId="77777777" w:rsidR="005E3ED8" w:rsidRPr="0071647F" w:rsidRDefault="005E3ED8" w:rsidP="006B21E2">
      <w:pPr>
        <w:pStyle w:val="whitespace-normal"/>
        <w:numPr>
          <w:ilvl w:val="0"/>
          <w:numId w:val="140"/>
        </w:numPr>
        <w:spacing w:before="0" w:beforeAutospacing="0" w:after="0" w:afterAutospacing="0"/>
        <w:jc w:val="both"/>
        <w:outlineLvl w:val="9"/>
        <w:rPr>
          <w:color w:val="000000" w:themeColor="text1"/>
        </w:rPr>
      </w:pPr>
      <w:r w:rsidRPr="0071647F">
        <w:rPr>
          <w:color w:val="000000" w:themeColor="text1"/>
        </w:rPr>
        <w:t>Market depth decreased 23%</w:t>
      </w:r>
    </w:p>
    <w:p w14:paraId="284355D0" w14:textId="77777777" w:rsidR="005E3ED8" w:rsidRPr="0071647F" w:rsidRDefault="005E3ED8" w:rsidP="006B21E2">
      <w:pPr>
        <w:pStyle w:val="whitespace-normal"/>
        <w:numPr>
          <w:ilvl w:val="0"/>
          <w:numId w:val="140"/>
        </w:numPr>
        <w:spacing w:before="0" w:beforeAutospacing="0" w:after="0" w:afterAutospacing="0"/>
        <w:jc w:val="both"/>
        <w:outlineLvl w:val="9"/>
        <w:rPr>
          <w:color w:val="000000" w:themeColor="text1"/>
        </w:rPr>
      </w:pPr>
      <w:r w:rsidRPr="0071647F">
        <w:rPr>
          <w:color w:val="000000" w:themeColor="text1"/>
        </w:rPr>
        <w:t>High-frequency traders captured 67% of opportunities (vs. 51% normally)</w:t>
      </w:r>
    </w:p>
    <w:p w14:paraId="3A3FE188" w14:textId="77777777" w:rsidR="005E3ED8" w:rsidRPr="0071647F" w:rsidRDefault="005E3ED8" w:rsidP="006B21E2">
      <w:pPr>
        <w:pStyle w:val="whitespace-normal"/>
        <w:numPr>
          <w:ilvl w:val="0"/>
          <w:numId w:val="140"/>
        </w:numPr>
        <w:spacing w:before="0" w:beforeAutospacing="0" w:after="0" w:afterAutospacing="0"/>
        <w:jc w:val="both"/>
        <w:outlineLvl w:val="9"/>
        <w:rPr>
          <w:color w:val="000000" w:themeColor="text1"/>
        </w:rPr>
      </w:pPr>
      <w:r w:rsidRPr="0071647F">
        <w:rPr>
          <w:color w:val="000000" w:themeColor="text1"/>
        </w:rPr>
        <w:lastRenderedPageBreak/>
        <w:t>Retail traders got worse execution prices despite paying no fees</w:t>
      </w:r>
    </w:p>
    <w:p w14:paraId="7D905F48" w14:textId="77777777" w:rsidR="00E4321E" w:rsidRPr="0071647F" w:rsidRDefault="00E4321E" w:rsidP="006B21E2">
      <w:pPr>
        <w:pStyle w:val="whitespace-normal"/>
        <w:spacing w:before="0" w:beforeAutospacing="0" w:after="0" w:afterAutospacing="0"/>
        <w:jc w:val="both"/>
        <w:rPr>
          <w:rStyle w:val="Strong"/>
          <w:color w:val="000000" w:themeColor="text1"/>
        </w:rPr>
      </w:pPr>
    </w:p>
    <w:p w14:paraId="6F94D7B2" w14:textId="77777777" w:rsidR="00E4321E" w:rsidRPr="0071647F" w:rsidRDefault="005E3ED8" w:rsidP="006B21E2">
      <w:pPr>
        <w:pStyle w:val="whitespace-normal"/>
        <w:spacing w:before="0" w:beforeAutospacing="0" w:after="0" w:afterAutospacing="0"/>
        <w:jc w:val="both"/>
        <w:rPr>
          <w:b/>
          <w:bCs/>
          <w:color w:val="000000" w:themeColor="text1"/>
        </w:rPr>
      </w:pPr>
      <w:r w:rsidRPr="0071647F">
        <w:rPr>
          <w:rStyle w:val="Strong"/>
          <w:b w:val="0"/>
          <w:bCs w:val="0"/>
          <w:color w:val="000000" w:themeColor="text1"/>
        </w:rPr>
        <w:t xml:space="preserve">What </w:t>
      </w:r>
      <w:proofErr w:type="gramStart"/>
      <w:r w:rsidRPr="0071647F">
        <w:rPr>
          <w:rStyle w:val="Strong"/>
          <w:b w:val="0"/>
          <w:bCs w:val="0"/>
          <w:color w:val="000000" w:themeColor="text1"/>
        </w:rPr>
        <w:t>this</w:t>
      </w:r>
      <w:proofErr w:type="gramEnd"/>
      <w:r w:rsidRPr="0071647F">
        <w:rPr>
          <w:rStyle w:val="Strong"/>
          <w:b w:val="0"/>
          <w:bCs w:val="0"/>
          <w:color w:val="000000" w:themeColor="text1"/>
        </w:rPr>
        <w:t xml:space="preserve"> </w:t>
      </w:r>
      <w:proofErr w:type="gramStart"/>
      <w:r w:rsidRPr="0071647F">
        <w:rPr>
          <w:rStyle w:val="Strong"/>
          <w:b w:val="0"/>
          <w:bCs w:val="0"/>
          <w:color w:val="000000" w:themeColor="text1"/>
        </w:rPr>
        <w:t>means</w:t>
      </w:r>
      <w:proofErr w:type="gramEnd"/>
      <w:r w:rsidRPr="0071647F">
        <w:rPr>
          <w:rStyle w:val="Strong"/>
          <w:b w:val="0"/>
          <w:bCs w:val="0"/>
          <w:color w:val="000000" w:themeColor="text1"/>
        </w:rPr>
        <w:t>:</w:t>
      </w:r>
      <w:r w:rsidRPr="0071647F">
        <w:rPr>
          <w:b/>
          <w:bCs/>
          <w:color w:val="000000" w:themeColor="text1"/>
        </w:rPr>
        <w:t xml:space="preserve"> </w:t>
      </w:r>
    </w:p>
    <w:p w14:paraId="3FBBF77F" w14:textId="3A8085AC" w:rsidR="005E3ED8" w:rsidRPr="0071647F" w:rsidRDefault="005E3ED8" w:rsidP="006B21E2">
      <w:pPr>
        <w:pStyle w:val="whitespace-normal"/>
        <w:spacing w:before="0" w:beforeAutospacing="0" w:after="0" w:afterAutospacing="0"/>
        <w:jc w:val="both"/>
        <w:rPr>
          <w:color w:val="000000" w:themeColor="text1"/>
        </w:rPr>
      </w:pPr>
      <w:r w:rsidRPr="0071647F">
        <w:rPr>
          <w:color w:val="000000" w:themeColor="text1"/>
        </w:rPr>
        <w:t xml:space="preserve">Zero fees </w:t>
      </w:r>
      <w:proofErr w:type="gramStart"/>
      <w:r w:rsidRPr="0071647F">
        <w:rPr>
          <w:color w:val="000000" w:themeColor="text1"/>
        </w:rPr>
        <w:t>do</w:t>
      </w:r>
      <w:r w:rsidR="009F273C" w:rsidRPr="0071647F">
        <w:rPr>
          <w:color w:val="000000" w:themeColor="text1"/>
        </w:rPr>
        <w:t>es</w:t>
      </w:r>
      <w:proofErr w:type="gramEnd"/>
      <w:r w:rsidR="009F273C" w:rsidRPr="0071647F">
        <w:rPr>
          <w:color w:val="000000" w:themeColor="text1"/>
        </w:rPr>
        <w:t xml:space="preserve"> not</w:t>
      </w:r>
      <w:r w:rsidRPr="0071647F">
        <w:rPr>
          <w:color w:val="000000" w:themeColor="text1"/>
        </w:rPr>
        <w:t xml:space="preserve"> eliminate costs</w:t>
      </w:r>
      <w:r w:rsidR="009F273C" w:rsidRPr="0071647F">
        <w:rPr>
          <w:color w:val="000000" w:themeColor="text1"/>
        </w:rPr>
        <w:t>. They are merely being shifted</w:t>
      </w:r>
      <w:r w:rsidRPr="0071647F">
        <w:rPr>
          <w:color w:val="000000" w:themeColor="text1"/>
        </w:rPr>
        <w:t xml:space="preserve">. Without </w:t>
      </w:r>
      <w:r w:rsidR="009F273C" w:rsidRPr="0071647F">
        <w:rPr>
          <w:color w:val="000000" w:themeColor="text1"/>
        </w:rPr>
        <w:t xml:space="preserve">trading </w:t>
      </w:r>
      <w:proofErr w:type="gramStart"/>
      <w:r w:rsidRPr="0071647F">
        <w:rPr>
          <w:color w:val="000000" w:themeColor="text1"/>
        </w:rPr>
        <w:t>fees</w:t>
      </w:r>
      <w:proofErr w:type="gramEnd"/>
      <w:r w:rsidR="009F273C" w:rsidRPr="0071647F">
        <w:rPr>
          <w:color w:val="000000" w:themeColor="text1"/>
        </w:rPr>
        <w:t xml:space="preserve"> the </w:t>
      </w:r>
      <w:r w:rsidRPr="0071647F">
        <w:rPr>
          <w:color w:val="000000" w:themeColor="text1"/>
        </w:rPr>
        <w:t xml:space="preserve">competition becomes </w:t>
      </w:r>
      <w:r w:rsidR="009F273C" w:rsidRPr="0071647F">
        <w:rPr>
          <w:color w:val="000000" w:themeColor="text1"/>
        </w:rPr>
        <w:t>focused on</w:t>
      </w:r>
      <w:r w:rsidRPr="0071647F">
        <w:rPr>
          <w:color w:val="000000" w:themeColor="text1"/>
        </w:rPr>
        <w:t xml:space="preserve"> speed and infrastructure. Retail participants </w:t>
      </w:r>
      <w:r w:rsidR="009F273C" w:rsidRPr="0071647F">
        <w:rPr>
          <w:color w:val="000000" w:themeColor="text1"/>
        </w:rPr>
        <w:t>that participated in</w:t>
      </w:r>
      <w:r w:rsidRPr="0071647F">
        <w:rPr>
          <w:color w:val="000000" w:themeColor="text1"/>
        </w:rPr>
        <w:t xml:space="preserve"> "for free"</w:t>
      </w:r>
      <w:r w:rsidR="009F273C" w:rsidRPr="0071647F">
        <w:rPr>
          <w:color w:val="000000" w:themeColor="text1"/>
        </w:rPr>
        <w:t xml:space="preserve"> </w:t>
      </w:r>
      <w:proofErr w:type="gramStart"/>
      <w:r w:rsidR="009F273C" w:rsidRPr="0071647F">
        <w:rPr>
          <w:color w:val="000000" w:themeColor="text1"/>
        </w:rPr>
        <w:t>trading,</w:t>
      </w:r>
      <w:proofErr w:type="gramEnd"/>
      <w:r w:rsidR="009F273C" w:rsidRPr="0071647F">
        <w:rPr>
          <w:color w:val="000000" w:themeColor="text1"/>
        </w:rPr>
        <w:t xml:space="preserve"> experienced</w:t>
      </w:r>
      <w:r w:rsidRPr="0071647F">
        <w:rPr>
          <w:color w:val="000000" w:themeColor="text1"/>
        </w:rPr>
        <w:t xml:space="preserve"> worse prices,</w:t>
      </w:r>
      <w:r w:rsidR="009F273C" w:rsidRPr="0071647F">
        <w:rPr>
          <w:color w:val="000000" w:themeColor="text1"/>
        </w:rPr>
        <w:t xml:space="preserve"> </w:t>
      </w:r>
      <w:r w:rsidRPr="0071647F">
        <w:rPr>
          <w:color w:val="000000" w:themeColor="text1"/>
        </w:rPr>
        <w:t>making the zero-fee promotion a net negative for most users.</w:t>
      </w:r>
    </w:p>
    <w:p w14:paraId="09130A58" w14:textId="77777777" w:rsidR="00E4321E" w:rsidRPr="0071647F" w:rsidRDefault="00E4321E" w:rsidP="006B21E2">
      <w:pPr>
        <w:pStyle w:val="Heading3"/>
        <w:jc w:val="both"/>
        <w:rPr>
          <w:color w:val="000000" w:themeColor="text1"/>
        </w:rPr>
      </w:pPr>
    </w:p>
    <w:p w14:paraId="29129BDB" w14:textId="26A4530E" w:rsidR="005E3ED8" w:rsidRPr="0071647F" w:rsidRDefault="00384837" w:rsidP="006B21E2">
      <w:pPr>
        <w:pStyle w:val="Heading3"/>
        <w:jc w:val="both"/>
        <w:rPr>
          <w:color w:val="000000" w:themeColor="text1"/>
        </w:rPr>
      </w:pPr>
      <w:bookmarkStart w:id="128" w:name="_Toc214721934"/>
      <w:r w:rsidRPr="0071647F">
        <w:rPr>
          <w:color w:val="000000" w:themeColor="text1"/>
        </w:rPr>
        <w:t xml:space="preserve">5.6.7 </w:t>
      </w:r>
      <w:r w:rsidR="005E3ED8" w:rsidRPr="0071647F">
        <w:rPr>
          <w:color w:val="000000" w:themeColor="text1"/>
        </w:rPr>
        <w:t>Capital Efficiency: The 4000x Myth</w:t>
      </w:r>
      <w:bookmarkEnd w:id="128"/>
    </w:p>
    <w:p w14:paraId="1B7F2DF5" w14:textId="7DA44D54" w:rsidR="005E3ED8" w:rsidRPr="0071647F" w:rsidRDefault="005E3ED8" w:rsidP="006B21E2">
      <w:pPr>
        <w:pStyle w:val="whitespace-normal"/>
        <w:spacing w:before="0" w:beforeAutospacing="0" w:after="0" w:afterAutospacing="0"/>
        <w:jc w:val="both"/>
        <w:rPr>
          <w:color w:val="000000" w:themeColor="text1"/>
          <w:kern w:val="0"/>
        </w:rPr>
      </w:pPr>
      <w:r w:rsidRPr="0071647F">
        <w:rPr>
          <w:color w:val="000000" w:themeColor="text1"/>
        </w:rPr>
        <w:t>Uniswap v3 marketed "up to 4000x capital efficiency" through concentrated liquidity</w:t>
      </w:r>
      <w:r w:rsidR="009F273C" w:rsidRPr="0071647F">
        <w:rPr>
          <w:color w:val="000000" w:themeColor="text1"/>
        </w:rPr>
        <w:t xml:space="preserve"> at some point and </w:t>
      </w:r>
      <w:r w:rsidRPr="0071647F">
        <w:rPr>
          <w:color w:val="000000" w:themeColor="text1"/>
        </w:rPr>
        <w:t xml:space="preserve">technically </w:t>
      </w:r>
      <w:r w:rsidR="009F273C" w:rsidRPr="0071647F">
        <w:rPr>
          <w:color w:val="000000" w:themeColor="text1"/>
        </w:rPr>
        <w:t xml:space="preserve">it is </w:t>
      </w:r>
      <w:r w:rsidRPr="0071647F">
        <w:rPr>
          <w:color w:val="000000" w:themeColor="text1"/>
        </w:rPr>
        <w:t xml:space="preserve">true but practically </w:t>
      </w:r>
      <w:r w:rsidR="009F273C" w:rsidRPr="0071647F">
        <w:rPr>
          <w:color w:val="000000" w:themeColor="text1"/>
        </w:rPr>
        <w:t xml:space="preserve">very </w:t>
      </w:r>
      <w:r w:rsidRPr="0071647F">
        <w:rPr>
          <w:color w:val="000000" w:themeColor="text1"/>
        </w:rPr>
        <w:t>misleading</w:t>
      </w:r>
      <w:r w:rsidR="009F273C" w:rsidRPr="0071647F">
        <w:rPr>
          <w:color w:val="000000" w:themeColor="text1"/>
        </w:rPr>
        <w:t xml:space="preserve"> as shows below:</w:t>
      </w:r>
    </w:p>
    <w:p w14:paraId="41CBD76F" w14:textId="77777777" w:rsidR="00E4321E" w:rsidRPr="0071647F" w:rsidRDefault="00E4321E" w:rsidP="006B21E2">
      <w:pPr>
        <w:pStyle w:val="whitespace-normal"/>
        <w:spacing w:before="0" w:beforeAutospacing="0" w:after="0" w:afterAutospacing="0"/>
        <w:jc w:val="both"/>
        <w:rPr>
          <w:rStyle w:val="Strong"/>
          <w:color w:val="000000" w:themeColor="text1"/>
        </w:rPr>
      </w:pPr>
    </w:p>
    <w:p w14:paraId="7912DC34" w14:textId="3C23BB0E" w:rsidR="005E3ED8" w:rsidRPr="0071647F" w:rsidRDefault="005E3ED8" w:rsidP="006B21E2">
      <w:pPr>
        <w:pStyle w:val="whitespace-normal"/>
        <w:spacing w:before="0" w:beforeAutospacing="0" w:after="0" w:afterAutospacing="0"/>
        <w:jc w:val="both"/>
        <w:rPr>
          <w:b/>
          <w:bCs/>
          <w:color w:val="000000" w:themeColor="text1"/>
        </w:rPr>
      </w:pPr>
      <w:r w:rsidRPr="0071647F">
        <w:rPr>
          <w:rStyle w:val="Strong"/>
          <w:b w:val="0"/>
          <w:bCs w:val="0"/>
          <w:color w:val="000000" w:themeColor="text1"/>
        </w:rPr>
        <w:t xml:space="preserve">What </w:t>
      </w:r>
      <w:r w:rsidR="009F273C" w:rsidRPr="0071647F">
        <w:rPr>
          <w:rStyle w:val="Strong"/>
          <w:b w:val="0"/>
          <w:bCs w:val="0"/>
          <w:color w:val="000000" w:themeColor="text1"/>
        </w:rPr>
        <w:t>really</w:t>
      </w:r>
      <w:r w:rsidRPr="0071647F">
        <w:rPr>
          <w:rStyle w:val="Strong"/>
          <w:b w:val="0"/>
          <w:bCs w:val="0"/>
          <w:color w:val="000000" w:themeColor="text1"/>
        </w:rPr>
        <w:t xml:space="preserve"> happened (from 156 tracked positions):</w:t>
      </w:r>
    </w:p>
    <w:p w14:paraId="6396ACAD" w14:textId="2CE3100C" w:rsidR="005E3ED8" w:rsidRPr="0071647F" w:rsidRDefault="005E3ED8" w:rsidP="006B21E2">
      <w:pPr>
        <w:pStyle w:val="whitespace-normal"/>
        <w:numPr>
          <w:ilvl w:val="0"/>
          <w:numId w:val="141"/>
        </w:numPr>
        <w:spacing w:before="0" w:beforeAutospacing="0" w:after="0" w:afterAutospacing="0"/>
        <w:jc w:val="both"/>
        <w:outlineLvl w:val="9"/>
        <w:rPr>
          <w:color w:val="000000" w:themeColor="text1"/>
        </w:rPr>
      </w:pPr>
      <w:r w:rsidRPr="0071647F">
        <w:rPr>
          <w:rStyle w:val="Strong"/>
          <w:color w:val="000000" w:themeColor="text1"/>
        </w:rPr>
        <w:t>Theoretical maximum:</w:t>
      </w:r>
      <w:r w:rsidRPr="0071647F">
        <w:rPr>
          <w:color w:val="000000" w:themeColor="text1"/>
        </w:rPr>
        <w:t xml:space="preserve"> 4000x efficiency (if liquidity </w:t>
      </w:r>
      <w:r w:rsidR="009F273C" w:rsidRPr="0071647F">
        <w:rPr>
          <w:color w:val="000000" w:themeColor="text1"/>
        </w:rPr>
        <w:t xml:space="preserve">was </w:t>
      </w:r>
      <w:r w:rsidRPr="0071647F">
        <w:rPr>
          <w:color w:val="000000" w:themeColor="text1"/>
        </w:rPr>
        <w:t>always perfectly positioned)</w:t>
      </w:r>
    </w:p>
    <w:p w14:paraId="266B575E" w14:textId="77777777" w:rsidR="005E3ED8" w:rsidRPr="0071647F" w:rsidRDefault="005E3ED8" w:rsidP="006B21E2">
      <w:pPr>
        <w:pStyle w:val="whitespace-normal"/>
        <w:numPr>
          <w:ilvl w:val="0"/>
          <w:numId w:val="141"/>
        </w:numPr>
        <w:spacing w:before="0" w:beforeAutospacing="0" w:after="0" w:afterAutospacing="0"/>
        <w:jc w:val="both"/>
        <w:outlineLvl w:val="9"/>
        <w:rPr>
          <w:color w:val="000000" w:themeColor="text1"/>
        </w:rPr>
      </w:pPr>
      <w:r w:rsidRPr="0071647F">
        <w:rPr>
          <w:rStyle w:val="Strong"/>
          <w:color w:val="000000" w:themeColor="text1"/>
        </w:rPr>
        <w:t>Professional market makers:</w:t>
      </w:r>
      <w:r w:rsidRPr="0071647F">
        <w:rPr>
          <w:color w:val="000000" w:themeColor="text1"/>
        </w:rPr>
        <w:t xml:space="preserve"> 18-25x efficiency achieved</w:t>
      </w:r>
    </w:p>
    <w:p w14:paraId="7F0387E9" w14:textId="77777777" w:rsidR="005E3ED8" w:rsidRPr="0071647F" w:rsidRDefault="005E3ED8" w:rsidP="006B21E2">
      <w:pPr>
        <w:pStyle w:val="whitespace-normal"/>
        <w:numPr>
          <w:ilvl w:val="0"/>
          <w:numId w:val="141"/>
        </w:numPr>
        <w:spacing w:before="0" w:beforeAutospacing="0" w:after="0" w:afterAutospacing="0"/>
        <w:jc w:val="both"/>
        <w:outlineLvl w:val="9"/>
        <w:rPr>
          <w:color w:val="000000" w:themeColor="text1"/>
        </w:rPr>
      </w:pPr>
      <w:r w:rsidRPr="0071647F">
        <w:rPr>
          <w:rStyle w:val="Strong"/>
          <w:color w:val="000000" w:themeColor="text1"/>
        </w:rPr>
        <w:t>Experienced DeFi users:</w:t>
      </w:r>
      <w:r w:rsidRPr="0071647F">
        <w:rPr>
          <w:color w:val="000000" w:themeColor="text1"/>
        </w:rPr>
        <w:t xml:space="preserve"> 5-8x efficiency</w:t>
      </w:r>
    </w:p>
    <w:p w14:paraId="458202E2" w14:textId="77777777" w:rsidR="005E3ED8" w:rsidRPr="0071647F" w:rsidRDefault="005E3ED8" w:rsidP="006B21E2">
      <w:pPr>
        <w:pStyle w:val="whitespace-normal"/>
        <w:numPr>
          <w:ilvl w:val="0"/>
          <w:numId w:val="141"/>
        </w:numPr>
        <w:spacing w:before="0" w:beforeAutospacing="0" w:after="0" w:afterAutospacing="0"/>
        <w:jc w:val="both"/>
        <w:outlineLvl w:val="9"/>
        <w:rPr>
          <w:color w:val="000000" w:themeColor="text1"/>
        </w:rPr>
      </w:pPr>
      <w:r w:rsidRPr="0071647F">
        <w:rPr>
          <w:rStyle w:val="Strong"/>
          <w:color w:val="000000" w:themeColor="text1"/>
        </w:rPr>
        <w:t>New participants:</w:t>
      </w:r>
      <w:r w:rsidRPr="0071647F">
        <w:rPr>
          <w:color w:val="000000" w:themeColor="text1"/>
        </w:rPr>
        <w:t xml:space="preserve"> 1.5-2.5x efficiency</w:t>
      </w:r>
    </w:p>
    <w:p w14:paraId="27B58114" w14:textId="77777777" w:rsidR="005E3ED8" w:rsidRPr="0071647F" w:rsidRDefault="005E3ED8" w:rsidP="006B21E2">
      <w:pPr>
        <w:pStyle w:val="whitespace-normal"/>
        <w:numPr>
          <w:ilvl w:val="0"/>
          <w:numId w:val="141"/>
        </w:numPr>
        <w:spacing w:before="0" w:beforeAutospacing="0" w:after="0" w:afterAutospacing="0"/>
        <w:jc w:val="both"/>
        <w:outlineLvl w:val="9"/>
        <w:rPr>
          <w:color w:val="000000" w:themeColor="text1"/>
        </w:rPr>
      </w:pPr>
      <w:r w:rsidRPr="0071647F">
        <w:rPr>
          <w:rStyle w:val="Strong"/>
          <w:color w:val="000000" w:themeColor="text1"/>
        </w:rPr>
        <w:t>Failed positions:</w:t>
      </w:r>
      <w:r w:rsidRPr="0071647F">
        <w:rPr>
          <w:color w:val="000000" w:themeColor="text1"/>
        </w:rPr>
        <w:t xml:space="preserve"> 0.3-0.5x efficiency (worse than old Uniswap v2)</w:t>
      </w:r>
    </w:p>
    <w:p w14:paraId="67060043" w14:textId="77777777" w:rsidR="00E4321E" w:rsidRPr="0071647F" w:rsidRDefault="00E4321E" w:rsidP="006B21E2">
      <w:pPr>
        <w:pStyle w:val="whitespace-normal"/>
        <w:spacing w:before="0" w:beforeAutospacing="0" w:after="0" w:afterAutospacing="0"/>
        <w:jc w:val="both"/>
        <w:rPr>
          <w:rStyle w:val="Strong"/>
          <w:color w:val="000000" w:themeColor="text1"/>
        </w:rPr>
      </w:pPr>
    </w:p>
    <w:p w14:paraId="6CD4B7B0" w14:textId="4414A4E0" w:rsidR="009F273C" w:rsidRPr="0071647F" w:rsidRDefault="005E3ED8" w:rsidP="006B21E2">
      <w:pPr>
        <w:pStyle w:val="whitespace-normal"/>
        <w:spacing w:before="0" w:beforeAutospacing="0" w:after="0" w:afterAutospacing="0"/>
        <w:jc w:val="both"/>
        <w:rPr>
          <w:b/>
          <w:bCs/>
          <w:color w:val="000000" w:themeColor="text1"/>
        </w:rPr>
      </w:pPr>
      <w:r w:rsidRPr="0071647F">
        <w:rPr>
          <w:rStyle w:val="Strong"/>
          <w:b w:val="0"/>
          <w:bCs w:val="0"/>
          <w:color w:val="000000" w:themeColor="text1"/>
        </w:rPr>
        <w:t>Why the gap?</w:t>
      </w:r>
      <w:r w:rsidRPr="0071647F">
        <w:rPr>
          <w:b/>
          <w:bCs/>
          <w:color w:val="000000" w:themeColor="text1"/>
        </w:rPr>
        <w:t xml:space="preserve"> </w:t>
      </w:r>
    </w:p>
    <w:p w14:paraId="7925A218" w14:textId="2718E93B" w:rsidR="005E3ED8" w:rsidRPr="0071647F" w:rsidRDefault="009F273C" w:rsidP="006B21E2">
      <w:pPr>
        <w:pStyle w:val="whitespace-normal"/>
        <w:spacing w:before="0" w:beforeAutospacing="0" w:after="0" w:afterAutospacing="0"/>
        <w:jc w:val="both"/>
        <w:rPr>
          <w:color w:val="000000" w:themeColor="text1"/>
        </w:rPr>
      </w:pPr>
      <w:r w:rsidRPr="0071647F">
        <w:rPr>
          <w:color w:val="000000" w:themeColor="text1"/>
        </w:rPr>
        <w:t xml:space="preserve">The research revealed that the gap here is mainly </w:t>
      </w:r>
      <w:proofErr w:type="gramStart"/>
      <w:r w:rsidRPr="0071647F">
        <w:rPr>
          <w:color w:val="000000" w:themeColor="text1"/>
        </w:rPr>
        <w:t>due to the fact that</w:t>
      </w:r>
      <w:proofErr w:type="gramEnd"/>
      <w:r w:rsidRPr="0071647F">
        <w:rPr>
          <w:color w:val="000000" w:themeColor="text1"/>
        </w:rPr>
        <w:t xml:space="preserve"> c</w:t>
      </w:r>
      <w:r w:rsidR="005E3ED8" w:rsidRPr="0071647F">
        <w:rPr>
          <w:color w:val="000000" w:themeColor="text1"/>
        </w:rPr>
        <w:t>oncentrated liquidity requires</w:t>
      </w:r>
      <w:r w:rsidRPr="0071647F">
        <w:rPr>
          <w:color w:val="000000" w:themeColor="text1"/>
        </w:rPr>
        <w:t xml:space="preserve"> the following attributes to be successful</w:t>
      </w:r>
      <w:r w:rsidR="005E3ED8" w:rsidRPr="0071647F">
        <w:rPr>
          <w:color w:val="000000" w:themeColor="text1"/>
        </w:rPr>
        <w:t>:</w:t>
      </w:r>
    </w:p>
    <w:p w14:paraId="33C87E03" w14:textId="77777777" w:rsidR="005E3ED8" w:rsidRPr="0071647F" w:rsidRDefault="005E3ED8" w:rsidP="006B21E2">
      <w:pPr>
        <w:pStyle w:val="whitespace-normal"/>
        <w:numPr>
          <w:ilvl w:val="0"/>
          <w:numId w:val="142"/>
        </w:numPr>
        <w:spacing w:before="0" w:beforeAutospacing="0" w:after="0" w:afterAutospacing="0"/>
        <w:jc w:val="both"/>
        <w:outlineLvl w:val="9"/>
        <w:rPr>
          <w:color w:val="000000" w:themeColor="text1"/>
        </w:rPr>
      </w:pPr>
      <w:r w:rsidRPr="0071647F">
        <w:rPr>
          <w:color w:val="000000" w:themeColor="text1"/>
        </w:rPr>
        <w:t>Positions staying "in range" (price within your selected range)</w:t>
      </w:r>
    </w:p>
    <w:p w14:paraId="2D970658" w14:textId="77777777" w:rsidR="005E3ED8" w:rsidRPr="0071647F" w:rsidRDefault="005E3ED8" w:rsidP="006B21E2">
      <w:pPr>
        <w:pStyle w:val="whitespace-normal"/>
        <w:numPr>
          <w:ilvl w:val="0"/>
          <w:numId w:val="142"/>
        </w:numPr>
        <w:spacing w:before="0" w:beforeAutospacing="0" w:after="0" w:afterAutospacing="0"/>
        <w:jc w:val="both"/>
        <w:outlineLvl w:val="9"/>
        <w:rPr>
          <w:color w:val="000000" w:themeColor="text1"/>
        </w:rPr>
      </w:pPr>
      <w:r w:rsidRPr="0071647F">
        <w:rPr>
          <w:color w:val="000000" w:themeColor="text1"/>
        </w:rPr>
        <w:t>Professionals: 94% time in-range through active management</w:t>
      </w:r>
    </w:p>
    <w:p w14:paraId="15DB1BDD" w14:textId="77777777" w:rsidR="005E3ED8" w:rsidRPr="0071647F" w:rsidRDefault="005E3ED8" w:rsidP="006B21E2">
      <w:pPr>
        <w:pStyle w:val="whitespace-normal"/>
        <w:numPr>
          <w:ilvl w:val="0"/>
          <w:numId w:val="142"/>
        </w:numPr>
        <w:spacing w:before="0" w:beforeAutospacing="0" w:after="0" w:afterAutospacing="0"/>
        <w:jc w:val="both"/>
        <w:outlineLvl w:val="9"/>
        <w:rPr>
          <w:color w:val="000000" w:themeColor="text1"/>
        </w:rPr>
      </w:pPr>
      <w:r w:rsidRPr="0071647F">
        <w:rPr>
          <w:color w:val="000000" w:themeColor="text1"/>
        </w:rPr>
        <w:t>Retail: 61% time in-range</w:t>
      </w:r>
    </w:p>
    <w:p w14:paraId="11C8A21D" w14:textId="77777777" w:rsidR="005E3ED8" w:rsidRPr="0071647F" w:rsidRDefault="005E3ED8" w:rsidP="006B21E2">
      <w:pPr>
        <w:pStyle w:val="whitespace-normal"/>
        <w:numPr>
          <w:ilvl w:val="0"/>
          <w:numId w:val="142"/>
        </w:numPr>
        <w:spacing w:before="0" w:beforeAutospacing="0" w:after="0" w:afterAutospacing="0"/>
        <w:jc w:val="both"/>
        <w:outlineLvl w:val="9"/>
        <w:rPr>
          <w:color w:val="000000" w:themeColor="text1"/>
        </w:rPr>
      </w:pPr>
      <w:r w:rsidRPr="0071647F">
        <w:rPr>
          <w:color w:val="000000" w:themeColor="text1"/>
        </w:rPr>
        <w:t>Each rebalance to stay in-range costs $15-60 in gas</w:t>
      </w:r>
    </w:p>
    <w:p w14:paraId="58FFE82F" w14:textId="77777777" w:rsidR="005E3ED8" w:rsidRPr="0071647F" w:rsidRDefault="005E3ED8" w:rsidP="006B21E2">
      <w:pPr>
        <w:pStyle w:val="whitespace-normal"/>
        <w:numPr>
          <w:ilvl w:val="0"/>
          <w:numId w:val="142"/>
        </w:numPr>
        <w:spacing w:before="0" w:beforeAutospacing="0" w:after="0" w:afterAutospacing="0"/>
        <w:jc w:val="both"/>
        <w:outlineLvl w:val="9"/>
        <w:rPr>
          <w:color w:val="000000" w:themeColor="text1"/>
        </w:rPr>
      </w:pPr>
      <w:r w:rsidRPr="0071647F">
        <w:rPr>
          <w:color w:val="000000" w:themeColor="text1"/>
        </w:rPr>
        <w:t>For positions under $5,000, rebalancing costs often exceed extra fee earnings</w:t>
      </w:r>
    </w:p>
    <w:p w14:paraId="2BD85487" w14:textId="77777777" w:rsidR="00E4321E" w:rsidRPr="0071647F" w:rsidRDefault="00E4321E" w:rsidP="006B21E2">
      <w:pPr>
        <w:pStyle w:val="whitespace-normal"/>
        <w:spacing w:before="0" w:beforeAutospacing="0" w:after="0" w:afterAutospacing="0"/>
        <w:jc w:val="both"/>
        <w:rPr>
          <w:rStyle w:val="Strong"/>
          <w:color w:val="000000" w:themeColor="text1"/>
        </w:rPr>
      </w:pPr>
    </w:p>
    <w:p w14:paraId="44C776FB" w14:textId="77777777" w:rsidR="00E4321E" w:rsidRPr="0071647F" w:rsidRDefault="005E3ED8" w:rsidP="006B21E2">
      <w:pPr>
        <w:pStyle w:val="whitespace-normal"/>
        <w:spacing w:before="0" w:beforeAutospacing="0" w:after="0" w:afterAutospacing="0"/>
        <w:jc w:val="both"/>
        <w:rPr>
          <w:b/>
          <w:bCs/>
          <w:color w:val="000000" w:themeColor="text1"/>
        </w:rPr>
      </w:pPr>
      <w:r w:rsidRPr="0071647F">
        <w:rPr>
          <w:rStyle w:val="Strong"/>
          <w:b w:val="0"/>
          <w:bCs w:val="0"/>
          <w:color w:val="000000" w:themeColor="text1"/>
        </w:rPr>
        <w:t>Practical reality:</w:t>
      </w:r>
      <w:r w:rsidRPr="0071647F">
        <w:rPr>
          <w:b/>
          <w:bCs/>
          <w:color w:val="000000" w:themeColor="text1"/>
        </w:rPr>
        <w:t xml:space="preserve"> </w:t>
      </w:r>
    </w:p>
    <w:p w14:paraId="6C7B2F02" w14:textId="7795B180" w:rsidR="005E3ED8" w:rsidRPr="0071647F" w:rsidRDefault="005E3ED8" w:rsidP="006B21E2">
      <w:pPr>
        <w:pStyle w:val="whitespace-normal"/>
        <w:spacing w:before="0" w:beforeAutospacing="0" w:after="0" w:afterAutospacing="0"/>
        <w:jc w:val="both"/>
        <w:rPr>
          <w:color w:val="000000" w:themeColor="text1"/>
        </w:rPr>
      </w:pPr>
      <w:r w:rsidRPr="0071647F">
        <w:rPr>
          <w:color w:val="000000" w:themeColor="text1"/>
        </w:rPr>
        <w:t>Concentrated liquidity</w:t>
      </w:r>
      <w:r w:rsidR="009F273C" w:rsidRPr="0071647F">
        <w:rPr>
          <w:color w:val="000000" w:themeColor="text1"/>
        </w:rPr>
        <w:t xml:space="preserve"> falls into the</w:t>
      </w:r>
      <w:r w:rsidRPr="0071647F">
        <w:rPr>
          <w:color w:val="000000" w:themeColor="text1"/>
        </w:rPr>
        <w:t xml:space="preserve"> sophisticated market-making</w:t>
      </w:r>
      <w:r w:rsidR="009F273C" w:rsidRPr="0071647F">
        <w:rPr>
          <w:color w:val="000000" w:themeColor="text1"/>
        </w:rPr>
        <w:t xml:space="preserve"> category which</w:t>
      </w:r>
      <w:r w:rsidRPr="0071647F">
        <w:rPr>
          <w:color w:val="000000" w:themeColor="text1"/>
        </w:rPr>
        <w:t xml:space="preserve"> </w:t>
      </w:r>
      <w:r w:rsidR="00384837" w:rsidRPr="0071647F">
        <w:rPr>
          <w:color w:val="000000" w:themeColor="text1"/>
        </w:rPr>
        <w:t>requires</w:t>
      </w:r>
      <w:r w:rsidRPr="0071647F">
        <w:rPr>
          <w:color w:val="000000" w:themeColor="text1"/>
        </w:rPr>
        <w:t xml:space="preserve"> professional infrastructure. Casual participants </w:t>
      </w:r>
      <w:proofErr w:type="gramStart"/>
      <w:r w:rsidRPr="0071647F">
        <w:rPr>
          <w:color w:val="000000" w:themeColor="text1"/>
        </w:rPr>
        <w:t>attempting</w:t>
      </w:r>
      <w:proofErr w:type="gramEnd"/>
      <w:r w:rsidRPr="0071647F">
        <w:rPr>
          <w:color w:val="000000" w:themeColor="text1"/>
        </w:rPr>
        <w:t xml:space="preserve"> it</w:t>
      </w:r>
      <w:r w:rsidR="009F273C" w:rsidRPr="0071647F">
        <w:rPr>
          <w:color w:val="000000" w:themeColor="text1"/>
        </w:rPr>
        <w:t xml:space="preserve"> without meeting the requirements</w:t>
      </w:r>
      <w:r w:rsidRPr="0071647F">
        <w:rPr>
          <w:color w:val="000000" w:themeColor="text1"/>
        </w:rPr>
        <w:t xml:space="preserve"> "typically lost money" in my observations. The </w:t>
      </w:r>
      <w:r w:rsidR="009F273C" w:rsidRPr="0071647F">
        <w:rPr>
          <w:color w:val="000000" w:themeColor="text1"/>
        </w:rPr>
        <w:t xml:space="preserve">innovation in this space </w:t>
      </w:r>
      <w:r w:rsidRPr="0071647F">
        <w:rPr>
          <w:color w:val="000000" w:themeColor="text1"/>
        </w:rPr>
        <w:t>didn't democratize market-making</w:t>
      </w:r>
      <w:r w:rsidR="009F273C" w:rsidRPr="0071647F">
        <w:rPr>
          <w:color w:val="000000" w:themeColor="text1"/>
        </w:rPr>
        <w:t>. I</w:t>
      </w:r>
      <w:r w:rsidRPr="0071647F">
        <w:rPr>
          <w:color w:val="000000" w:themeColor="text1"/>
        </w:rPr>
        <w:t xml:space="preserve">t </w:t>
      </w:r>
      <w:r w:rsidR="009F273C" w:rsidRPr="0071647F">
        <w:rPr>
          <w:color w:val="000000" w:themeColor="text1"/>
        </w:rPr>
        <w:t xml:space="preserve">merely </w:t>
      </w:r>
      <w:r w:rsidRPr="0071647F">
        <w:rPr>
          <w:color w:val="000000" w:themeColor="text1"/>
        </w:rPr>
        <w:t>professionalized it.</w:t>
      </w:r>
    </w:p>
    <w:p w14:paraId="2D1772A3" w14:textId="77777777" w:rsidR="00E4321E" w:rsidRPr="0071647F" w:rsidRDefault="00E4321E" w:rsidP="006B21E2">
      <w:pPr>
        <w:pStyle w:val="Heading3"/>
        <w:jc w:val="both"/>
        <w:rPr>
          <w:color w:val="000000" w:themeColor="text1"/>
        </w:rPr>
      </w:pPr>
    </w:p>
    <w:p w14:paraId="4CC75B0F" w14:textId="252F9297" w:rsidR="005E3ED8" w:rsidRPr="0071647F" w:rsidRDefault="00384837" w:rsidP="006B21E2">
      <w:pPr>
        <w:pStyle w:val="Heading3"/>
        <w:jc w:val="both"/>
        <w:rPr>
          <w:color w:val="000000" w:themeColor="text1"/>
        </w:rPr>
      </w:pPr>
      <w:bookmarkStart w:id="129" w:name="_Toc214721935"/>
      <w:r w:rsidRPr="0071647F">
        <w:rPr>
          <w:color w:val="000000" w:themeColor="text1"/>
        </w:rPr>
        <w:t xml:space="preserve">5.6.8 </w:t>
      </w:r>
      <w:r w:rsidR="005E3ED8" w:rsidRPr="0071647F">
        <w:rPr>
          <w:color w:val="000000" w:themeColor="text1"/>
        </w:rPr>
        <w:t>Key Takeaways in Plain Language</w:t>
      </w:r>
      <w:bookmarkEnd w:id="129"/>
    </w:p>
    <w:p w14:paraId="16FD278B" w14:textId="798EC716" w:rsidR="005E3ED8" w:rsidRPr="001552E9" w:rsidRDefault="005E3ED8" w:rsidP="006B21E2">
      <w:pPr>
        <w:pStyle w:val="whitespace-normal"/>
        <w:spacing w:before="0" w:beforeAutospacing="0" w:after="0" w:afterAutospacing="0"/>
        <w:jc w:val="both"/>
        <w:rPr>
          <w:b/>
          <w:bCs/>
          <w:color w:val="000000" w:themeColor="text1"/>
        </w:rPr>
      </w:pPr>
      <w:r w:rsidRPr="001552E9">
        <w:rPr>
          <w:rStyle w:val="Strong"/>
          <w:b w:val="0"/>
          <w:bCs w:val="0"/>
          <w:color w:val="000000" w:themeColor="text1"/>
        </w:rPr>
        <w:t>Network selection matters more than strategy selection</w:t>
      </w:r>
    </w:p>
    <w:p w14:paraId="08E2B1DA" w14:textId="77777777" w:rsidR="005E3ED8" w:rsidRPr="0071647F" w:rsidRDefault="005E3ED8" w:rsidP="006B21E2">
      <w:pPr>
        <w:pStyle w:val="whitespace-normal"/>
        <w:numPr>
          <w:ilvl w:val="0"/>
          <w:numId w:val="143"/>
        </w:numPr>
        <w:spacing w:before="0" w:beforeAutospacing="0" w:after="0" w:afterAutospacing="0"/>
        <w:jc w:val="both"/>
        <w:outlineLvl w:val="9"/>
        <w:rPr>
          <w:color w:val="000000" w:themeColor="text1"/>
        </w:rPr>
      </w:pPr>
      <w:r w:rsidRPr="0071647F">
        <w:rPr>
          <w:color w:val="000000" w:themeColor="text1"/>
        </w:rPr>
        <w:t xml:space="preserve">Choosing Ethereum </w:t>
      </w:r>
      <w:proofErr w:type="spellStart"/>
      <w:r w:rsidRPr="0071647F">
        <w:rPr>
          <w:color w:val="000000" w:themeColor="text1"/>
        </w:rPr>
        <w:t>mainnet</w:t>
      </w:r>
      <w:proofErr w:type="spellEnd"/>
      <w:r w:rsidRPr="0071647F">
        <w:rPr>
          <w:color w:val="000000" w:themeColor="text1"/>
        </w:rPr>
        <w:t xml:space="preserve"> with $5,000 = guaranteed losses (gas costs too high)</w:t>
      </w:r>
    </w:p>
    <w:p w14:paraId="7BCDAE11" w14:textId="77777777" w:rsidR="005E3ED8" w:rsidRPr="0071647F" w:rsidRDefault="005E3ED8" w:rsidP="006B21E2">
      <w:pPr>
        <w:pStyle w:val="whitespace-normal"/>
        <w:numPr>
          <w:ilvl w:val="0"/>
          <w:numId w:val="143"/>
        </w:numPr>
        <w:spacing w:before="0" w:beforeAutospacing="0" w:after="0" w:afterAutospacing="0"/>
        <w:jc w:val="both"/>
        <w:outlineLvl w:val="9"/>
        <w:rPr>
          <w:color w:val="000000" w:themeColor="text1"/>
        </w:rPr>
      </w:pPr>
      <w:r w:rsidRPr="0071647F">
        <w:rPr>
          <w:color w:val="000000" w:themeColor="text1"/>
        </w:rPr>
        <w:t>Choosing Polygon with $5,000 = viability possible</w:t>
      </w:r>
    </w:p>
    <w:p w14:paraId="1C9BB305" w14:textId="77777777" w:rsidR="005E3ED8" w:rsidRPr="0071647F" w:rsidRDefault="005E3ED8" w:rsidP="006B21E2">
      <w:pPr>
        <w:pStyle w:val="whitespace-normal"/>
        <w:numPr>
          <w:ilvl w:val="0"/>
          <w:numId w:val="143"/>
        </w:numPr>
        <w:spacing w:before="0" w:beforeAutospacing="0" w:after="0" w:afterAutospacing="0"/>
        <w:jc w:val="both"/>
        <w:outlineLvl w:val="9"/>
        <w:rPr>
          <w:color w:val="000000" w:themeColor="text1"/>
        </w:rPr>
      </w:pPr>
      <w:r w:rsidRPr="0071647F">
        <w:rPr>
          <w:color w:val="000000" w:themeColor="text1"/>
        </w:rPr>
        <w:t>This single decision determines whether success is even possible</w:t>
      </w:r>
    </w:p>
    <w:p w14:paraId="05D4D4DA" w14:textId="105906C4" w:rsidR="005E3ED8" w:rsidRPr="0071647F" w:rsidRDefault="005E3ED8" w:rsidP="006B21E2">
      <w:pPr>
        <w:pStyle w:val="whitespace-normal"/>
        <w:numPr>
          <w:ilvl w:val="0"/>
          <w:numId w:val="143"/>
        </w:numPr>
        <w:spacing w:before="0" w:beforeAutospacing="0" w:after="0" w:afterAutospacing="0"/>
        <w:jc w:val="both"/>
        <w:outlineLvl w:val="9"/>
        <w:rPr>
          <w:color w:val="000000" w:themeColor="text1"/>
        </w:rPr>
      </w:pPr>
      <w:r w:rsidRPr="0071647F">
        <w:rPr>
          <w:color w:val="000000" w:themeColor="text1"/>
        </w:rPr>
        <w:t>Match network to capital level first, then choose strategy</w:t>
      </w:r>
    </w:p>
    <w:p w14:paraId="4EEFE0A5" w14:textId="77777777" w:rsidR="001552E9" w:rsidRDefault="001552E9" w:rsidP="006B21E2">
      <w:pPr>
        <w:jc w:val="both"/>
        <w:rPr>
          <w:b/>
          <w:bCs/>
          <w:color w:val="000000" w:themeColor="text1"/>
        </w:rPr>
      </w:pPr>
    </w:p>
    <w:p w14:paraId="3FA853C5" w14:textId="61568316" w:rsidR="008B34BF" w:rsidRPr="001552E9" w:rsidRDefault="008B34BF" w:rsidP="006B21E2">
      <w:pPr>
        <w:jc w:val="both"/>
        <w:rPr>
          <w:color w:val="000000" w:themeColor="text1"/>
        </w:rPr>
      </w:pPr>
      <w:r w:rsidRPr="001552E9">
        <w:rPr>
          <w:color w:val="000000" w:themeColor="text1"/>
        </w:rPr>
        <w:t>"Accessible to everyone" is technically true, economically false</w:t>
      </w:r>
    </w:p>
    <w:p w14:paraId="37A28B5A" w14:textId="77777777" w:rsidR="008B34BF" w:rsidRPr="0071647F" w:rsidRDefault="008B34BF" w:rsidP="006B21E2">
      <w:pPr>
        <w:numPr>
          <w:ilvl w:val="0"/>
          <w:numId w:val="144"/>
        </w:numPr>
        <w:jc w:val="both"/>
        <w:rPr>
          <w:color w:val="000000" w:themeColor="text1"/>
        </w:rPr>
      </w:pPr>
      <w:r w:rsidRPr="0071647F">
        <w:rPr>
          <w:color w:val="000000" w:themeColor="text1"/>
        </w:rPr>
        <w:t>Protocols accept $10 deposits (true)</w:t>
      </w:r>
    </w:p>
    <w:p w14:paraId="71C8CCEA" w14:textId="77777777" w:rsidR="008B34BF" w:rsidRPr="0071647F" w:rsidRDefault="008B34BF" w:rsidP="006B21E2">
      <w:pPr>
        <w:numPr>
          <w:ilvl w:val="0"/>
          <w:numId w:val="144"/>
        </w:numPr>
        <w:jc w:val="both"/>
        <w:rPr>
          <w:color w:val="000000" w:themeColor="text1"/>
        </w:rPr>
      </w:pPr>
      <w:r w:rsidRPr="0071647F">
        <w:rPr>
          <w:color w:val="000000" w:themeColor="text1"/>
        </w:rPr>
        <w:t>Below $750, all strategies lose money to costs (also true)</w:t>
      </w:r>
    </w:p>
    <w:p w14:paraId="3F6A2950" w14:textId="77777777" w:rsidR="008B34BF" w:rsidRPr="0071647F" w:rsidRDefault="008B34BF" w:rsidP="006B21E2">
      <w:pPr>
        <w:numPr>
          <w:ilvl w:val="0"/>
          <w:numId w:val="144"/>
        </w:numPr>
        <w:jc w:val="both"/>
        <w:rPr>
          <w:color w:val="000000" w:themeColor="text1"/>
        </w:rPr>
      </w:pPr>
      <w:r w:rsidRPr="0071647F">
        <w:rPr>
          <w:color w:val="000000" w:themeColor="text1"/>
        </w:rPr>
        <w:t xml:space="preserve">Marketing emphasizes technical minimums; economics </w:t>
      </w:r>
      <w:proofErr w:type="gramStart"/>
      <w:r w:rsidRPr="0071647F">
        <w:rPr>
          <w:color w:val="000000" w:themeColor="text1"/>
        </w:rPr>
        <w:t>impose</w:t>
      </w:r>
      <w:proofErr w:type="gramEnd"/>
      <w:r w:rsidRPr="0071647F">
        <w:rPr>
          <w:color w:val="000000" w:themeColor="text1"/>
        </w:rPr>
        <w:t xml:space="preserve"> effective minimums</w:t>
      </w:r>
    </w:p>
    <w:p w14:paraId="66BFC916" w14:textId="77777777" w:rsidR="008B34BF" w:rsidRPr="0071647F" w:rsidRDefault="008B34BF" w:rsidP="006B21E2">
      <w:pPr>
        <w:numPr>
          <w:ilvl w:val="0"/>
          <w:numId w:val="144"/>
        </w:numPr>
        <w:jc w:val="both"/>
        <w:rPr>
          <w:color w:val="000000" w:themeColor="text1"/>
        </w:rPr>
      </w:pPr>
      <w:r w:rsidRPr="0071647F">
        <w:rPr>
          <w:color w:val="000000" w:themeColor="text1"/>
        </w:rPr>
        <w:t>The gap between these is where most people lose money</w:t>
      </w:r>
    </w:p>
    <w:p w14:paraId="4EED1855" w14:textId="77777777" w:rsidR="0001748F" w:rsidRPr="0071647F" w:rsidRDefault="0001748F" w:rsidP="006B21E2">
      <w:pPr>
        <w:jc w:val="both"/>
        <w:rPr>
          <w:b/>
          <w:bCs/>
          <w:color w:val="000000" w:themeColor="text1"/>
        </w:rPr>
      </w:pPr>
    </w:p>
    <w:p w14:paraId="669247D4" w14:textId="03BEEF40" w:rsidR="008B34BF" w:rsidRPr="001552E9" w:rsidRDefault="008B34BF" w:rsidP="006B21E2">
      <w:pPr>
        <w:jc w:val="both"/>
        <w:rPr>
          <w:color w:val="000000" w:themeColor="text1"/>
        </w:rPr>
      </w:pPr>
      <w:r w:rsidRPr="001552E9">
        <w:rPr>
          <w:color w:val="000000" w:themeColor="text1"/>
        </w:rPr>
        <w:t>Fee structures favor sophisticated participants regardless of architecture</w:t>
      </w:r>
    </w:p>
    <w:p w14:paraId="14DA6D01" w14:textId="77777777" w:rsidR="008B34BF" w:rsidRPr="0071647F" w:rsidRDefault="008B34BF" w:rsidP="006B21E2">
      <w:pPr>
        <w:numPr>
          <w:ilvl w:val="0"/>
          <w:numId w:val="145"/>
        </w:numPr>
        <w:jc w:val="both"/>
        <w:rPr>
          <w:color w:val="000000" w:themeColor="text1"/>
        </w:rPr>
      </w:pPr>
      <w:r w:rsidRPr="0071647F">
        <w:rPr>
          <w:color w:val="000000" w:themeColor="text1"/>
        </w:rPr>
        <w:lastRenderedPageBreak/>
        <w:t>Centralized exchanges: Favor infrastructure and volume</w:t>
      </w:r>
    </w:p>
    <w:p w14:paraId="1A9482CD" w14:textId="77777777" w:rsidR="008B34BF" w:rsidRPr="0071647F" w:rsidRDefault="008B34BF" w:rsidP="006B21E2">
      <w:pPr>
        <w:numPr>
          <w:ilvl w:val="0"/>
          <w:numId w:val="145"/>
        </w:numPr>
        <w:jc w:val="both"/>
        <w:rPr>
          <w:color w:val="000000" w:themeColor="text1"/>
        </w:rPr>
      </w:pPr>
      <w:r w:rsidRPr="0071647F">
        <w:rPr>
          <w:color w:val="000000" w:themeColor="text1"/>
        </w:rPr>
        <w:t>Decentralized exchanges: Favor knowledge and active management</w:t>
      </w:r>
    </w:p>
    <w:p w14:paraId="4E6AB83B" w14:textId="77777777" w:rsidR="008B34BF" w:rsidRPr="0071647F" w:rsidRDefault="008B34BF" w:rsidP="006B21E2">
      <w:pPr>
        <w:numPr>
          <w:ilvl w:val="0"/>
          <w:numId w:val="145"/>
        </w:numPr>
        <w:jc w:val="both"/>
        <w:rPr>
          <w:color w:val="000000" w:themeColor="text1"/>
        </w:rPr>
      </w:pPr>
      <w:r w:rsidRPr="0071647F">
        <w:rPr>
          <w:color w:val="000000" w:themeColor="text1"/>
        </w:rPr>
        <w:t>Removing gatekeepers didn't eliminate advantages; it changed their nature</w:t>
      </w:r>
    </w:p>
    <w:p w14:paraId="6F2A8D64" w14:textId="77777777" w:rsidR="008B34BF" w:rsidRPr="0071647F" w:rsidRDefault="008B34BF" w:rsidP="006B21E2">
      <w:pPr>
        <w:numPr>
          <w:ilvl w:val="0"/>
          <w:numId w:val="145"/>
        </w:numPr>
        <w:jc w:val="both"/>
        <w:rPr>
          <w:color w:val="000000" w:themeColor="text1"/>
        </w:rPr>
      </w:pPr>
      <w:r w:rsidRPr="0071647F">
        <w:rPr>
          <w:color w:val="000000" w:themeColor="text1"/>
        </w:rPr>
        <w:t>From institutional connections to technical sophistication</w:t>
      </w:r>
    </w:p>
    <w:p w14:paraId="0C611713" w14:textId="77777777" w:rsidR="0001748F" w:rsidRPr="0071647F" w:rsidRDefault="0001748F" w:rsidP="006B21E2">
      <w:pPr>
        <w:jc w:val="both"/>
        <w:rPr>
          <w:b/>
          <w:bCs/>
          <w:color w:val="000000" w:themeColor="text1"/>
        </w:rPr>
      </w:pPr>
    </w:p>
    <w:p w14:paraId="4E7F2CFD" w14:textId="0564F03D" w:rsidR="008B34BF" w:rsidRPr="0071647F" w:rsidRDefault="008B34BF" w:rsidP="006B21E2">
      <w:pPr>
        <w:jc w:val="both"/>
        <w:rPr>
          <w:color w:val="000000" w:themeColor="text1"/>
        </w:rPr>
      </w:pPr>
      <w:r w:rsidRPr="0071647F">
        <w:rPr>
          <w:b/>
          <w:bCs/>
          <w:color w:val="000000" w:themeColor="text1"/>
        </w:rPr>
        <w:t>Hidden costs exceed visible fees</w:t>
      </w:r>
    </w:p>
    <w:p w14:paraId="7FEDC2E5" w14:textId="77777777" w:rsidR="008B34BF" w:rsidRPr="0071647F" w:rsidRDefault="008B34BF" w:rsidP="006B21E2">
      <w:pPr>
        <w:numPr>
          <w:ilvl w:val="0"/>
          <w:numId w:val="146"/>
        </w:numPr>
        <w:jc w:val="both"/>
        <w:rPr>
          <w:color w:val="000000" w:themeColor="text1"/>
        </w:rPr>
      </w:pPr>
      <w:r w:rsidRPr="0071647F">
        <w:rPr>
          <w:color w:val="000000" w:themeColor="text1"/>
        </w:rPr>
        <w:t>Gas fees: Predictable and measurable</w:t>
      </w:r>
    </w:p>
    <w:p w14:paraId="5F5AB4FD" w14:textId="77777777" w:rsidR="008B34BF" w:rsidRPr="0071647F" w:rsidRDefault="008B34BF" w:rsidP="006B21E2">
      <w:pPr>
        <w:numPr>
          <w:ilvl w:val="0"/>
          <w:numId w:val="146"/>
        </w:numPr>
        <w:jc w:val="both"/>
        <w:rPr>
          <w:color w:val="000000" w:themeColor="text1"/>
        </w:rPr>
      </w:pPr>
      <w:r w:rsidRPr="0071647F">
        <w:rPr>
          <w:color w:val="000000" w:themeColor="text1"/>
        </w:rPr>
        <w:t xml:space="preserve">Slippage: Varies </w:t>
      </w:r>
      <w:proofErr w:type="gramStart"/>
      <w:r w:rsidRPr="0071647F">
        <w:rPr>
          <w:color w:val="000000" w:themeColor="text1"/>
        </w:rPr>
        <w:t>with</w:t>
      </w:r>
      <w:proofErr w:type="gramEnd"/>
      <w:r w:rsidRPr="0071647F">
        <w:rPr>
          <w:color w:val="000000" w:themeColor="text1"/>
        </w:rPr>
        <w:t xml:space="preserve"> position size and market conditions</w:t>
      </w:r>
    </w:p>
    <w:p w14:paraId="35DE3A08" w14:textId="77777777" w:rsidR="008B34BF" w:rsidRPr="0071647F" w:rsidRDefault="008B34BF" w:rsidP="006B21E2">
      <w:pPr>
        <w:numPr>
          <w:ilvl w:val="0"/>
          <w:numId w:val="146"/>
        </w:numPr>
        <w:jc w:val="both"/>
        <w:rPr>
          <w:color w:val="000000" w:themeColor="text1"/>
        </w:rPr>
      </w:pPr>
      <w:r w:rsidRPr="0071647F">
        <w:rPr>
          <w:color w:val="000000" w:themeColor="text1"/>
        </w:rPr>
        <w:t>MEV extraction: Hidden tax on transactions</w:t>
      </w:r>
    </w:p>
    <w:p w14:paraId="296522DE" w14:textId="77777777" w:rsidR="008B34BF" w:rsidRPr="0071647F" w:rsidRDefault="008B34BF" w:rsidP="006B21E2">
      <w:pPr>
        <w:numPr>
          <w:ilvl w:val="0"/>
          <w:numId w:val="146"/>
        </w:numPr>
        <w:jc w:val="both"/>
        <w:rPr>
          <w:color w:val="000000" w:themeColor="text1"/>
        </w:rPr>
      </w:pPr>
      <w:r w:rsidRPr="0071647F">
        <w:rPr>
          <w:color w:val="000000" w:themeColor="text1"/>
        </w:rPr>
        <w:t>Failed transactions: Cost gas but generate no value</w:t>
      </w:r>
    </w:p>
    <w:p w14:paraId="27F76FF3" w14:textId="77777777" w:rsidR="008B34BF" w:rsidRPr="0071647F" w:rsidRDefault="008B34BF" w:rsidP="006B21E2">
      <w:pPr>
        <w:numPr>
          <w:ilvl w:val="0"/>
          <w:numId w:val="146"/>
        </w:numPr>
        <w:jc w:val="both"/>
        <w:rPr>
          <w:color w:val="000000" w:themeColor="text1"/>
        </w:rPr>
      </w:pPr>
      <w:r w:rsidRPr="0071647F">
        <w:rPr>
          <w:color w:val="000000" w:themeColor="text1"/>
        </w:rPr>
        <w:t xml:space="preserve">Opportunity costs: Time spent optimizing vs. </w:t>
      </w:r>
      <w:proofErr w:type="gramStart"/>
      <w:r w:rsidRPr="0071647F">
        <w:rPr>
          <w:color w:val="000000" w:themeColor="text1"/>
        </w:rPr>
        <w:t>earning</w:t>
      </w:r>
      <w:proofErr w:type="gramEnd"/>
    </w:p>
    <w:p w14:paraId="5A8E73D3" w14:textId="77777777" w:rsidR="008B34BF" w:rsidRPr="0071647F" w:rsidRDefault="008B34BF" w:rsidP="006B21E2">
      <w:pPr>
        <w:numPr>
          <w:ilvl w:val="0"/>
          <w:numId w:val="146"/>
        </w:numPr>
        <w:jc w:val="both"/>
        <w:rPr>
          <w:color w:val="000000" w:themeColor="text1"/>
        </w:rPr>
      </w:pPr>
      <w:r w:rsidRPr="0071647F">
        <w:rPr>
          <w:color w:val="000000" w:themeColor="text1"/>
        </w:rPr>
        <w:t>Total hidden costs often exceed the visible trading fees</w:t>
      </w:r>
    </w:p>
    <w:p w14:paraId="5B884A2B" w14:textId="77777777" w:rsidR="0001748F" w:rsidRPr="0071647F" w:rsidRDefault="0001748F" w:rsidP="006B21E2">
      <w:pPr>
        <w:jc w:val="both"/>
        <w:rPr>
          <w:b/>
          <w:bCs/>
          <w:color w:val="000000" w:themeColor="text1"/>
        </w:rPr>
      </w:pPr>
    </w:p>
    <w:p w14:paraId="25FE487C" w14:textId="412C4CBA" w:rsidR="008B34BF" w:rsidRPr="0071647F" w:rsidRDefault="008B34BF" w:rsidP="006B21E2">
      <w:pPr>
        <w:jc w:val="both"/>
        <w:rPr>
          <w:color w:val="000000" w:themeColor="text1"/>
        </w:rPr>
      </w:pPr>
      <w:r w:rsidRPr="0071647F">
        <w:rPr>
          <w:b/>
          <w:bCs/>
          <w:color w:val="000000" w:themeColor="text1"/>
        </w:rPr>
        <w:t>Complexity increases costs faster than it increases returns</w:t>
      </w:r>
    </w:p>
    <w:p w14:paraId="272F86EE" w14:textId="77777777" w:rsidR="008B34BF" w:rsidRPr="0071647F" w:rsidRDefault="008B34BF" w:rsidP="006B21E2">
      <w:pPr>
        <w:numPr>
          <w:ilvl w:val="0"/>
          <w:numId w:val="147"/>
        </w:numPr>
        <w:jc w:val="both"/>
        <w:rPr>
          <w:color w:val="000000" w:themeColor="text1"/>
        </w:rPr>
      </w:pPr>
      <w:r w:rsidRPr="0071647F">
        <w:rPr>
          <w:color w:val="000000" w:themeColor="text1"/>
        </w:rPr>
        <w:t>Simple stablecoin LP: 4-8% returns, Sharpe ratio 0.8-1.4</w:t>
      </w:r>
    </w:p>
    <w:p w14:paraId="65580FAE" w14:textId="77777777" w:rsidR="008B34BF" w:rsidRPr="0071647F" w:rsidRDefault="008B34BF" w:rsidP="006B21E2">
      <w:pPr>
        <w:numPr>
          <w:ilvl w:val="0"/>
          <w:numId w:val="147"/>
        </w:numPr>
        <w:jc w:val="both"/>
        <w:rPr>
          <w:color w:val="000000" w:themeColor="text1"/>
        </w:rPr>
      </w:pPr>
      <w:r w:rsidRPr="0071647F">
        <w:rPr>
          <w:color w:val="000000" w:themeColor="text1"/>
        </w:rPr>
        <w:t>Complex concentrated LP: Higher potential returns but negative median for retail</w:t>
      </w:r>
    </w:p>
    <w:p w14:paraId="7E5E8164" w14:textId="77777777" w:rsidR="008B34BF" w:rsidRPr="0071647F" w:rsidRDefault="008B34BF" w:rsidP="006B21E2">
      <w:pPr>
        <w:numPr>
          <w:ilvl w:val="0"/>
          <w:numId w:val="147"/>
        </w:numPr>
        <w:jc w:val="both"/>
        <w:rPr>
          <w:color w:val="000000" w:themeColor="text1"/>
        </w:rPr>
      </w:pPr>
      <w:r w:rsidRPr="0071647F">
        <w:rPr>
          <w:color w:val="000000" w:themeColor="text1"/>
        </w:rPr>
        <w:t>More features = more ways to lose money through misunderstanding or poor execution</w:t>
      </w:r>
    </w:p>
    <w:p w14:paraId="0A96CAD9" w14:textId="77777777" w:rsidR="008B34BF" w:rsidRPr="0071647F" w:rsidRDefault="008B34BF" w:rsidP="006B21E2">
      <w:pPr>
        <w:numPr>
          <w:ilvl w:val="0"/>
          <w:numId w:val="147"/>
        </w:numPr>
        <w:jc w:val="both"/>
        <w:rPr>
          <w:color w:val="000000" w:themeColor="text1"/>
        </w:rPr>
      </w:pPr>
      <w:r w:rsidRPr="0071647F">
        <w:rPr>
          <w:color w:val="000000" w:themeColor="text1"/>
        </w:rPr>
        <w:t>Boring strategies consistently outperformed exciting ones in risk-adjusted terms</w:t>
      </w:r>
    </w:p>
    <w:p w14:paraId="040315B8" w14:textId="77777777" w:rsidR="0001748F" w:rsidRPr="0071647F" w:rsidRDefault="0001748F" w:rsidP="006B21E2">
      <w:pPr>
        <w:jc w:val="both"/>
        <w:rPr>
          <w:b/>
          <w:bCs/>
          <w:color w:val="000000" w:themeColor="text1"/>
        </w:rPr>
      </w:pPr>
    </w:p>
    <w:p w14:paraId="55F0A180" w14:textId="16924238" w:rsidR="008B34BF" w:rsidRPr="0071647F" w:rsidRDefault="008B34BF" w:rsidP="006B21E2">
      <w:pPr>
        <w:jc w:val="both"/>
        <w:rPr>
          <w:color w:val="000000" w:themeColor="text1"/>
        </w:rPr>
      </w:pPr>
      <w:r w:rsidRPr="0071647F">
        <w:rPr>
          <w:b/>
          <w:bCs/>
          <w:color w:val="000000" w:themeColor="text1"/>
        </w:rPr>
        <w:t>Capital thresholds are mathematical, not negotiable</w:t>
      </w:r>
    </w:p>
    <w:p w14:paraId="2D333912" w14:textId="77777777" w:rsidR="008B34BF" w:rsidRPr="0071647F" w:rsidRDefault="008B34BF" w:rsidP="006B21E2">
      <w:pPr>
        <w:pStyle w:val="whitespace-normal"/>
        <w:numPr>
          <w:ilvl w:val="0"/>
          <w:numId w:val="148"/>
        </w:numPr>
        <w:spacing w:before="0" w:beforeAutospacing="0" w:after="0" w:afterAutospacing="0"/>
        <w:jc w:val="both"/>
        <w:outlineLvl w:val="9"/>
        <w:rPr>
          <w:color w:val="000000" w:themeColor="text1"/>
          <w:kern w:val="0"/>
        </w:rPr>
      </w:pPr>
      <w:r w:rsidRPr="0071647F">
        <w:rPr>
          <w:color w:val="000000" w:themeColor="text1"/>
        </w:rPr>
        <w:t xml:space="preserve">Ethereum </w:t>
      </w:r>
      <w:proofErr w:type="spellStart"/>
      <w:r w:rsidRPr="0071647F">
        <w:rPr>
          <w:color w:val="000000" w:themeColor="text1"/>
        </w:rPr>
        <w:t>mainnet</w:t>
      </w:r>
      <w:proofErr w:type="spellEnd"/>
      <w:r w:rsidRPr="0071647F">
        <w:rPr>
          <w:color w:val="000000" w:themeColor="text1"/>
        </w:rPr>
        <w:t>: $25,000 (range: $18,000-$31,000)</w:t>
      </w:r>
    </w:p>
    <w:p w14:paraId="212124FC" w14:textId="77777777" w:rsidR="008B34BF" w:rsidRPr="0071647F" w:rsidRDefault="008B34BF" w:rsidP="006B21E2">
      <w:pPr>
        <w:pStyle w:val="whitespace-normal"/>
        <w:numPr>
          <w:ilvl w:val="0"/>
          <w:numId w:val="148"/>
        </w:numPr>
        <w:spacing w:before="0" w:beforeAutospacing="0" w:after="0" w:afterAutospacing="0"/>
        <w:jc w:val="both"/>
        <w:outlineLvl w:val="9"/>
        <w:rPr>
          <w:color w:val="000000" w:themeColor="text1"/>
        </w:rPr>
      </w:pPr>
      <w:r w:rsidRPr="0071647F">
        <w:rPr>
          <w:color w:val="000000" w:themeColor="text1"/>
        </w:rPr>
        <w:t>L2 solutions: $3,500 (±$1,000)</w:t>
      </w:r>
    </w:p>
    <w:p w14:paraId="0F9488EE" w14:textId="77777777" w:rsidR="008B34BF" w:rsidRPr="0071647F" w:rsidRDefault="008B34BF" w:rsidP="006B21E2">
      <w:pPr>
        <w:pStyle w:val="whitespace-normal"/>
        <w:numPr>
          <w:ilvl w:val="0"/>
          <w:numId w:val="148"/>
        </w:numPr>
        <w:spacing w:before="0" w:beforeAutospacing="0" w:after="0" w:afterAutospacing="0"/>
        <w:jc w:val="both"/>
        <w:outlineLvl w:val="9"/>
        <w:rPr>
          <w:color w:val="000000" w:themeColor="text1"/>
        </w:rPr>
      </w:pPr>
      <w:r w:rsidRPr="0071647F">
        <w:rPr>
          <w:color w:val="000000" w:themeColor="text1"/>
        </w:rPr>
        <w:t>Polygon/BSC: $750 (±$250)</w:t>
      </w:r>
    </w:p>
    <w:p w14:paraId="5055BA79" w14:textId="77777777" w:rsidR="008B34BF" w:rsidRPr="0071647F" w:rsidRDefault="008B34BF" w:rsidP="006B21E2">
      <w:pPr>
        <w:pStyle w:val="whitespace-normal"/>
        <w:numPr>
          <w:ilvl w:val="0"/>
          <w:numId w:val="148"/>
        </w:numPr>
        <w:spacing w:before="0" w:beforeAutospacing="0" w:after="0" w:afterAutospacing="0"/>
        <w:jc w:val="both"/>
        <w:outlineLvl w:val="9"/>
        <w:rPr>
          <w:color w:val="000000" w:themeColor="text1"/>
        </w:rPr>
      </w:pPr>
      <w:r w:rsidRPr="0071647F">
        <w:rPr>
          <w:color w:val="000000" w:themeColor="text1"/>
        </w:rPr>
        <w:t>Below these amounts, arithmetic guarantees losses</w:t>
      </w:r>
    </w:p>
    <w:p w14:paraId="03DF8DA6" w14:textId="77777777" w:rsidR="008B34BF" w:rsidRPr="0071647F" w:rsidRDefault="008B34BF" w:rsidP="006B21E2">
      <w:pPr>
        <w:pStyle w:val="whitespace-normal"/>
        <w:numPr>
          <w:ilvl w:val="0"/>
          <w:numId w:val="148"/>
        </w:numPr>
        <w:spacing w:before="0" w:beforeAutospacing="0" w:after="0" w:afterAutospacing="0"/>
        <w:jc w:val="both"/>
        <w:outlineLvl w:val="9"/>
        <w:rPr>
          <w:color w:val="000000" w:themeColor="text1"/>
        </w:rPr>
      </w:pPr>
      <w:r w:rsidRPr="0071647F">
        <w:rPr>
          <w:color w:val="000000" w:themeColor="text1"/>
        </w:rPr>
        <w:t>No skill level overcomes insufficient capital at wrong network</w:t>
      </w:r>
    </w:p>
    <w:p w14:paraId="6E09454C" w14:textId="77777777" w:rsidR="0001748F" w:rsidRPr="0071647F" w:rsidRDefault="0001748F" w:rsidP="006B21E2">
      <w:pPr>
        <w:pStyle w:val="Heading3"/>
        <w:jc w:val="both"/>
        <w:rPr>
          <w:color w:val="000000" w:themeColor="text1"/>
        </w:rPr>
      </w:pPr>
    </w:p>
    <w:p w14:paraId="3249DD0B" w14:textId="52464D1D" w:rsidR="008B34BF" w:rsidRPr="0071647F" w:rsidRDefault="00384837" w:rsidP="006B21E2">
      <w:pPr>
        <w:pStyle w:val="Heading3"/>
        <w:jc w:val="both"/>
        <w:rPr>
          <w:color w:val="000000" w:themeColor="text1"/>
        </w:rPr>
      </w:pPr>
      <w:bookmarkStart w:id="130" w:name="_Toc214721936"/>
      <w:r w:rsidRPr="0071647F">
        <w:rPr>
          <w:color w:val="000000" w:themeColor="text1"/>
        </w:rPr>
        <w:t xml:space="preserve">5.6.9 </w:t>
      </w:r>
      <w:r w:rsidR="008B34BF" w:rsidRPr="0071647F">
        <w:rPr>
          <w:color w:val="000000" w:themeColor="text1"/>
        </w:rPr>
        <w:t xml:space="preserve">What This Means for </w:t>
      </w:r>
      <w:r w:rsidRPr="0071647F">
        <w:rPr>
          <w:color w:val="000000" w:themeColor="text1"/>
        </w:rPr>
        <w:t>Decision-making</w:t>
      </w:r>
      <w:bookmarkEnd w:id="130"/>
    </w:p>
    <w:p w14:paraId="41DDC8D9" w14:textId="77777777" w:rsidR="001552E9" w:rsidRDefault="001552E9" w:rsidP="006B21E2">
      <w:pPr>
        <w:pStyle w:val="whitespace-normal"/>
        <w:spacing w:before="0" w:beforeAutospacing="0" w:after="0" w:afterAutospacing="0"/>
        <w:jc w:val="both"/>
        <w:rPr>
          <w:rStyle w:val="Strong"/>
          <w:color w:val="000000" w:themeColor="text1"/>
        </w:rPr>
      </w:pPr>
    </w:p>
    <w:p w14:paraId="6FE86309" w14:textId="68845619" w:rsidR="0001748F" w:rsidRDefault="008B34BF" w:rsidP="006B21E2">
      <w:pPr>
        <w:pStyle w:val="whitespace-normal"/>
        <w:numPr>
          <w:ilvl w:val="0"/>
          <w:numId w:val="279"/>
        </w:numPr>
        <w:spacing w:before="0" w:beforeAutospacing="0" w:after="0" w:afterAutospacing="0"/>
        <w:jc w:val="both"/>
        <w:rPr>
          <w:color w:val="000000" w:themeColor="text1"/>
        </w:rPr>
      </w:pPr>
      <w:r w:rsidRPr="0071647F">
        <w:rPr>
          <w:rStyle w:val="Strong"/>
          <w:color w:val="000000" w:themeColor="text1"/>
        </w:rPr>
        <w:t>Have less than $750?</w:t>
      </w:r>
      <w:r w:rsidRPr="0071647F">
        <w:rPr>
          <w:color w:val="000000" w:themeColor="text1"/>
        </w:rPr>
        <w:t xml:space="preserve"> → No viable options currently exist. Accumulate more capital first.</w:t>
      </w:r>
    </w:p>
    <w:p w14:paraId="2495B193" w14:textId="77777777" w:rsidR="001A51D5" w:rsidRPr="001A51D5" w:rsidRDefault="001A51D5" w:rsidP="001A51D5">
      <w:pPr>
        <w:pStyle w:val="whitespace-normal"/>
        <w:spacing w:before="0" w:beforeAutospacing="0" w:after="0" w:afterAutospacing="0"/>
        <w:ind w:left="720"/>
        <w:jc w:val="both"/>
        <w:rPr>
          <w:rStyle w:val="Strong"/>
          <w:b w:val="0"/>
          <w:bCs w:val="0"/>
          <w:color w:val="000000" w:themeColor="text1"/>
        </w:rPr>
      </w:pPr>
    </w:p>
    <w:p w14:paraId="6C2402D2" w14:textId="385DD71D" w:rsidR="001A51D5" w:rsidRDefault="008B34BF" w:rsidP="001A51D5">
      <w:pPr>
        <w:pStyle w:val="whitespace-normal"/>
        <w:numPr>
          <w:ilvl w:val="0"/>
          <w:numId w:val="279"/>
        </w:numPr>
        <w:spacing w:before="0" w:beforeAutospacing="0" w:after="0" w:afterAutospacing="0"/>
        <w:jc w:val="both"/>
        <w:rPr>
          <w:color w:val="000000" w:themeColor="text1"/>
        </w:rPr>
      </w:pPr>
      <w:r w:rsidRPr="0071647F">
        <w:rPr>
          <w:rStyle w:val="Strong"/>
          <w:color w:val="000000" w:themeColor="text1"/>
        </w:rPr>
        <w:t>Have $750-$3,500?</w:t>
      </w:r>
      <w:r w:rsidRPr="0071647F">
        <w:rPr>
          <w:color w:val="000000" w:themeColor="text1"/>
        </w:rPr>
        <w:t xml:space="preserve"> → Only Polygon/BSC viable. Simple strategies only. Understand that 4-6% returns are realistic, not 50-100% marketing claims.</w:t>
      </w:r>
    </w:p>
    <w:p w14:paraId="708289CB" w14:textId="77777777" w:rsidR="001A51D5" w:rsidRPr="001A51D5" w:rsidRDefault="001A51D5" w:rsidP="001A51D5">
      <w:pPr>
        <w:pStyle w:val="whitespace-normal"/>
        <w:spacing w:before="0" w:beforeAutospacing="0" w:after="0" w:afterAutospacing="0"/>
        <w:jc w:val="both"/>
        <w:rPr>
          <w:rStyle w:val="Strong"/>
          <w:b w:val="0"/>
          <w:bCs w:val="0"/>
          <w:color w:val="000000" w:themeColor="text1"/>
        </w:rPr>
      </w:pPr>
    </w:p>
    <w:p w14:paraId="6190CB8F" w14:textId="531549B8" w:rsidR="0001748F" w:rsidRDefault="008B34BF" w:rsidP="006B21E2">
      <w:pPr>
        <w:pStyle w:val="whitespace-normal"/>
        <w:numPr>
          <w:ilvl w:val="0"/>
          <w:numId w:val="279"/>
        </w:numPr>
        <w:spacing w:before="0" w:beforeAutospacing="0" w:after="0" w:afterAutospacing="0"/>
        <w:jc w:val="both"/>
        <w:rPr>
          <w:color w:val="000000" w:themeColor="text1"/>
        </w:rPr>
      </w:pPr>
      <w:r w:rsidRPr="0071647F">
        <w:rPr>
          <w:rStyle w:val="Strong"/>
          <w:color w:val="000000" w:themeColor="text1"/>
        </w:rPr>
        <w:t>Have $3,500-$25,000?</w:t>
      </w:r>
      <w:r w:rsidRPr="0071647F">
        <w:rPr>
          <w:color w:val="000000" w:themeColor="text1"/>
        </w:rPr>
        <w:t xml:space="preserve"> → L2 solutions become accessible. 5-10% realistic returns. Still need 15-20 hours weekly management—not passive income.</w:t>
      </w:r>
    </w:p>
    <w:p w14:paraId="1F0F1834" w14:textId="77777777" w:rsidR="001A51D5" w:rsidRPr="001A51D5" w:rsidRDefault="001A51D5" w:rsidP="001A51D5">
      <w:pPr>
        <w:pStyle w:val="whitespace-normal"/>
        <w:spacing w:before="0" w:beforeAutospacing="0" w:after="0" w:afterAutospacing="0"/>
        <w:jc w:val="both"/>
        <w:rPr>
          <w:rStyle w:val="Strong"/>
          <w:b w:val="0"/>
          <w:bCs w:val="0"/>
          <w:color w:val="000000" w:themeColor="text1"/>
        </w:rPr>
      </w:pPr>
    </w:p>
    <w:p w14:paraId="74B300CD" w14:textId="06E385CD" w:rsidR="008B34BF" w:rsidRPr="0071647F" w:rsidRDefault="008B34BF" w:rsidP="006B21E2">
      <w:pPr>
        <w:pStyle w:val="whitespace-normal"/>
        <w:numPr>
          <w:ilvl w:val="0"/>
          <w:numId w:val="279"/>
        </w:numPr>
        <w:spacing w:before="0" w:beforeAutospacing="0" w:after="0" w:afterAutospacing="0"/>
        <w:jc w:val="both"/>
        <w:rPr>
          <w:color w:val="000000" w:themeColor="text1"/>
        </w:rPr>
      </w:pPr>
      <w:r w:rsidRPr="0071647F">
        <w:rPr>
          <w:rStyle w:val="Strong"/>
          <w:color w:val="000000" w:themeColor="text1"/>
        </w:rPr>
        <w:t>Have $25,000+?</w:t>
      </w:r>
      <w:r w:rsidRPr="0071647F">
        <w:rPr>
          <w:color w:val="000000" w:themeColor="text1"/>
        </w:rPr>
        <w:t xml:space="preserve"> → Ethereum </w:t>
      </w:r>
      <w:proofErr w:type="spellStart"/>
      <w:r w:rsidRPr="0071647F">
        <w:rPr>
          <w:color w:val="000000" w:themeColor="text1"/>
        </w:rPr>
        <w:t>mainnet</w:t>
      </w:r>
      <w:proofErr w:type="spellEnd"/>
      <w:r w:rsidRPr="0071647F">
        <w:rPr>
          <w:color w:val="000000" w:themeColor="text1"/>
        </w:rPr>
        <w:t xml:space="preserve"> viable. Can diversify across protocols. Professional concentrated LP strategies become possible with right expertise.</w:t>
      </w:r>
    </w:p>
    <w:p w14:paraId="5A082E42" w14:textId="77777777" w:rsidR="0001748F" w:rsidRPr="0071647F" w:rsidRDefault="0001748F" w:rsidP="006B21E2">
      <w:pPr>
        <w:pStyle w:val="whitespace-normal"/>
        <w:spacing w:before="0" w:beforeAutospacing="0" w:after="0" w:afterAutospacing="0"/>
        <w:jc w:val="both"/>
        <w:rPr>
          <w:rStyle w:val="Strong"/>
          <w:color w:val="000000" w:themeColor="text1"/>
        </w:rPr>
      </w:pPr>
    </w:p>
    <w:p w14:paraId="1232B30F" w14:textId="11A09F33" w:rsidR="008B34BF" w:rsidRPr="001552E9" w:rsidRDefault="008B34BF" w:rsidP="006B21E2">
      <w:pPr>
        <w:pStyle w:val="whitespace-normal"/>
        <w:spacing w:before="0" w:beforeAutospacing="0" w:after="0" w:afterAutospacing="0"/>
        <w:jc w:val="both"/>
        <w:rPr>
          <w:b/>
          <w:bCs/>
          <w:color w:val="000000" w:themeColor="text1"/>
        </w:rPr>
      </w:pPr>
      <w:r w:rsidRPr="001552E9">
        <w:rPr>
          <w:rStyle w:val="Strong"/>
          <w:b w:val="0"/>
          <w:bCs w:val="0"/>
          <w:color w:val="000000" w:themeColor="text1"/>
        </w:rPr>
        <w:t>Regardless of capital level:</w:t>
      </w:r>
    </w:p>
    <w:p w14:paraId="3E0C0038" w14:textId="77777777" w:rsidR="008B34BF" w:rsidRPr="0071647F" w:rsidRDefault="008B34BF" w:rsidP="006B21E2">
      <w:pPr>
        <w:pStyle w:val="whitespace-normal"/>
        <w:numPr>
          <w:ilvl w:val="0"/>
          <w:numId w:val="149"/>
        </w:numPr>
        <w:spacing w:before="0" w:beforeAutospacing="0" w:after="0" w:afterAutospacing="0"/>
        <w:jc w:val="both"/>
        <w:outlineLvl w:val="9"/>
        <w:rPr>
          <w:color w:val="000000" w:themeColor="text1"/>
        </w:rPr>
      </w:pPr>
      <w:r w:rsidRPr="0071647F">
        <w:rPr>
          <w:color w:val="000000" w:themeColor="text1"/>
        </w:rPr>
        <w:t>Fee structures determine economics more than protocol features</w:t>
      </w:r>
    </w:p>
    <w:p w14:paraId="6D713FE7" w14:textId="77777777" w:rsidR="008B34BF" w:rsidRPr="0071647F" w:rsidRDefault="008B34BF" w:rsidP="006B21E2">
      <w:pPr>
        <w:pStyle w:val="whitespace-normal"/>
        <w:numPr>
          <w:ilvl w:val="0"/>
          <w:numId w:val="149"/>
        </w:numPr>
        <w:spacing w:before="0" w:beforeAutospacing="0" w:after="0" w:afterAutospacing="0"/>
        <w:jc w:val="both"/>
        <w:outlineLvl w:val="9"/>
        <w:rPr>
          <w:color w:val="000000" w:themeColor="text1"/>
        </w:rPr>
      </w:pPr>
      <w:r w:rsidRPr="0071647F">
        <w:rPr>
          <w:color w:val="000000" w:themeColor="text1"/>
        </w:rPr>
        <w:t>Network selection is your most important decision</w:t>
      </w:r>
    </w:p>
    <w:p w14:paraId="2CAD7FC6" w14:textId="77777777" w:rsidR="008B34BF" w:rsidRPr="0071647F" w:rsidRDefault="008B34BF" w:rsidP="006B21E2">
      <w:pPr>
        <w:pStyle w:val="whitespace-normal"/>
        <w:numPr>
          <w:ilvl w:val="0"/>
          <w:numId w:val="149"/>
        </w:numPr>
        <w:spacing w:before="0" w:beforeAutospacing="0" w:after="0" w:afterAutospacing="0"/>
        <w:jc w:val="both"/>
        <w:outlineLvl w:val="9"/>
        <w:rPr>
          <w:color w:val="000000" w:themeColor="text1"/>
        </w:rPr>
      </w:pPr>
      <w:r w:rsidRPr="0071647F">
        <w:rPr>
          <w:color w:val="000000" w:themeColor="text1"/>
        </w:rPr>
        <w:t>Hidden costs (gas, MEV, slippage) often exceed visible fees</w:t>
      </w:r>
    </w:p>
    <w:p w14:paraId="170B9657" w14:textId="77777777" w:rsidR="008B34BF" w:rsidRPr="0071647F" w:rsidRDefault="008B34BF" w:rsidP="006B21E2">
      <w:pPr>
        <w:pStyle w:val="whitespace-normal"/>
        <w:numPr>
          <w:ilvl w:val="0"/>
          <w:numId w:val="149"/>
        </w:numPr>
        <w:spacing w:before="0" w:beforeAutospacing="0" w:after="0" w:afterAutospacing="0"/>
        <w:jc w:val="both"/>
        <w:outlineLvl w:val="9"/>
        <w:rPr>
          <w:color w:val="000000" w:themeColor="text1"/>
        </w:rPr>
      </w:pPr>
      <w:r w:rsidRPr="0071647F">
        <w:rPr>
          <w:color w:val="000000" w:themeColor="text1"/>
        </w:rPr>
        <w:t>Complexity usually reduces rather than increases returns</w:t>
      </w:r>
    </w:p>
    <w:p w14:paraId="32933F0E" w14:textId="77777777" w:rsidR="008B34BF" w:rsidRPr="0071647F" w:rsidRDefault="008B34BF" w:rsidP="006B21E2">
      <w:pPr>
        <w:pStyle w:val="whitespace-normal"/>
        <w:numPr>
          <w:ilvl w:val="0"/>
          <w:numId w:val="149"/>
        </w:numPr>
        <w:spacing w:before="0" w:beforeAutospacing="0" w:after="0" w:afterAutospacing="0"/>
        <w:jc w:val="both"/>
        <w:outlineLvl w:val="9"/>
        <w:rPr>
          <w:color w:val="000000" w:themeColor="text1"/>
        </w:rPr>
      </w:pPr>
      <w:r w:rsidRPr="0071647F">
        <w:rPr>
          <w:color w:val="000000" w:themeColor="text1"/>
        </w:rPr>
        <w:t>"Passive income" is marketing fiction—expect part-time work</w:t>
      </w:r>
    </w:p>
    <w:p w14:paraId="47D8996B" w14:textId="77777777" w:rsidR="0001748F" w:rsidRPr="0071647F" w:rsidRDefault="0001748F" w:rsidP="006B21E2">
      <w:pPr>
        <w:pStyle w:val="Heading3"/>
        <w:jc w:val="both"/>
        <w:rPr>
          <w:color w:val="0070C0"/>
        </w:rPr>
      </w:pPr>
    </w:p>
    <w:p w14:paraId="55E6BF72" w14:textId="74B466CC" w:rsidR="008B34BF" w:rsidRPr="0071647F" w:rsidRDefault="00384837" w:rsidP="006B21E2">
      <w:pPr>
        <w:pStyle w:val="Heading3"/>
        <w:jc w:val="both"/>
        <w:rPr>
          <w:color w:val="000000" w:themeColor="text1"/>
        </w:rPr>
      </w:pPr>
      <w:bookmarkStart w:id="131" w:name="_Toc214721937"/>
      <w:r w:rsidRPr="0071647F">
        <w:rPr>
          <w:color w:val="000000" w:themeColor="text1"/>
        </w:rPr>
        <w:t xml:space="preserve">5.6.10 </w:t>
      </w:r>
      <w:r w:rsidR="008B34BF" w:rsidRPr="0071647F">
        <w:rPr>
          <w:color w:val="000000" w:themeColor="text1"/>
        </w:rPr>
        <w:t>The Bottom Line</w:t>
      </w:r>
      <w:bookmarkEnd w:id="131"/>
    </w:p>
    <w:p w14:paraId="5A4C01A5" w14:textId="3BC16A6C" w:rsidR="008B34BF" w:rsidRPr="0071647F" w:rsidRDefault="008B34BF" w:rsidP="006B21E2">
      <w:pPr>
        <w:jc w:val="both"/>
        <w:rPr>
          <w:color w:val="000000" w:themeColor="text1"/>
        </w:rPr>
      </w:pPr>
      <w:r w:rsidRPr="0071647F">
        <w:rPr>
          <w:color w:val="000000" w:themeColor="text1"/>
        </w:rPr>
        <w:lastRenderedPageBreak/>
        <w:t xml:space="preserve">This chapter's technical analysis reveals </w:t>
      </w:r>
      <w:r w:rsidR="001E7D10" w:rsidRPr="0071647F">
        <w:rPr>
          <w:color w:val="000000" w:themeColor="text1"/>
        </w:rPr>
        <w:t>that</w:t>
      </w:r>
      <w:r w:rsidRPr="0071647F">
        <w:rPr>
          <w:color w:val="000000" w:themeColor="text1"/>
        </w:rPr>
        <w:t xml:space="preserve"> fee structures that appear democratic in design create concentrated outcomes in practice. The barriers </w:t>
      </w:r>
      <w:r w:rsidR="001E7D10" w:rsidRPr="0071647F">
        <w:rPr>
          <w:color w:val="000000" w:themeColor="text1"/>
        </w:rPr>
        <w:t xml:space="preserve">have </w:t>
      </w:r>
      <w:r w:rsidRPr="0071647F">
        <w:rPr>
          <w:color w:val="000000" w:themeColor="text1"/>
        </w:rPr>
        <w:t xml:space="preserve">shifted from institutional gatekeeping to </w:t>
      </w:r>
      <w:r w:rsidR="001E7D10" w:rsidRPr="0071647F">
        <w:rPr>
          <w:color w:val="000000" w:themeColor="text1"/>
        </w:rPr>
        <w:t xml:space="preserve">rely on </w:t>
      </w:r>
      <w:r w:rsidRPr="0071647F">
        <w:rPr>
          <w:color w:val="000000" w:themeColor="text1"/>
        </w:rPr>
        <w:t>technical knowledge and capital scale</w:t>
      </w:r>
      <w:r w:rsidR="001E7D10" w:rsidRPr="0071647F">
        <w:rPr>
          <w:color w:val="000000" w:themeColor="text1"/>
        </w:rPr>
        <w:t xml:space="preserve">. Regardless of </w:t>
      </w:r>
      <w:proofErr w:type="gramStart"/>
      <w:r w:rsidR="001E7D10" w:rsidRPr="0071647F">
        <w:rPr>
          <w:color w:val="000000" w:themeColor="text1"/>
        </w:rPr>
        <w:t>that,.</w:t>
      </w:r>
      <w:proofErr w:type="gramEnd"/>
      <w:r w:rsidR="001E7D10" w:rsidRPr="0071647F">
        <w:rPr>
          <w:color w:val="000000" w:themeColor="text1"/>
        </w:rPr>
        <w:t xml:space="preserve"> </w:t>
      </w:r>
      <w:proofErr w:type="gramStart"/>
      <w:r w:rsidR="001E7D10" w:rsidRPr="0071647F">
        <w:rPr>
          <w:color w:val="000000" w:themeColor="text1"/>
        </w:rPr>
        <w:t>the</w:t>
      </w:r>
      <w:proofErr w:type="gramEnd"/>
      <w:r w:rsidRPr="0071647F">
        <w:rPr>
          <w:color w:val="000000" w:themeColor="text1"/>
        </w:rPr>
        <w:t xml:space="preserve"> barriers remain. Understanding these fee dynamics doe</w:t>
      </w:r>
      <w:r w:rsidR="001E7D10" w:rsidRPr="0071647F">
        <w:rPr>
          <w:color w:val="000000" w:themeColor="text1"/>
        </w:rPr>
        <w:t xml:space="preserve">s not </w:t>
      </w:r>
      <w:r w:rsidRPr="0071647F">
        <w:rPr>
          <w:color w:val="000000" w:themeColor="text1"/>
        </w:rPr>
        <w:t xml:space="preserve">guarantee success, but </w:t>
      </w:r>
      <w:r w:rsidR="001E7D10" w:rsidRPr="0071647F">
        <w:rPr>
          <w:color w:val="000000" w:themeColor="text1"/>
        </w:rPr>
        <w:t xml:space="preserve">the </w:t>
      </w:r>
      <w:r w:rsidRPr="0071647F">
        <w:rPr>
          <w:color w:val="000000" w:themeColor="text1"/>
        </w:rPr>
        <w:t xml:space="preserve">misunderstanding </w:t>
      </w:r>
      <w:r w:rsidR="001E7D10" w:rsidRPr="0071647F">
        <w:rPr>
          <w:color w:val="000000" w:themeColor="text1"/>
        </w:rPr>
        <w:t>of those will</w:t>
      </w:r>
      <w:r w:rsidRPr="0071647F">
        <w:rPr>
          <w:color w:val="000000" w:themeColor="text1"/>
        </w:rPr>
        <w:t xml:space="preserve"> guarantee failure</w:t>
      </w:r>
      <w:r w:rsidR="001E7D10" w:rsidRPr="0071647F">
        <w:rPr>
          <w:color w:val="000000" w:themeColor="text1"/>
        </w:rPr>
        <w:t xml:space="preserve"> for participants.</w:t>
      </w:r>
    </w:p>
    <w:p w14:paraId="7FBA62C6" w14:textId="77777777" w:rsidR="00581410" w:rsidRPr="00BA112C" w:rsidRDefault="00581410" w:rsidP="006B21E2">
      <w:pPr>
        <w:rPr>
          <w:rFonts w:eastAsiaTheme="majorEastAsia"/>
          <w:b/>
          <w:bCs/>
          <w:color w:val="000000" w:themeColor="text1"/>
        </w:rPr>
      </w:pPr>
      <w:r w:rsidRPr="00BA112C">
        <w:rPr>
          <w:rFonts w:eastAsiaTheme="majorEastAsia"/>
          <w:b/>
          <w:bCs/>
          <w:color w:val="000000" w:themeColor="text1"/>
        </w:rPr>
        <w:br w:type="page"/>
      </w:r>
    </w:p>
    <w:p w14:paraId="3AE67E66" w14:textId="497C7CAC" w:rsidR="001B5F1A" w:rsidRPr="003C66A0" w:rsidRDefault="00D4345F" w:rsidP="006B21E2">
      <w:pPr>
        <w:pStyle w:val="Heading1"/>
        <w:jc w:val="center"/>
        <w:rPr>
          <w:rFonts w:eastAsiaTheme="majorEastAsia"/>
        </w:rPr>
      </w:pPr>
      <w:bookmarkStart w:id="132" w:name="_Toc214721938"/>
      <w:r w:rsidRPr="003C66A0">
        <w:rPr>
          <w:rFonts w:eastAsiaTheme="majorEastAsia"/>
        </w:rPr>
        <w:lastRenderedPageBreak/>
        <w:t xml:space="preserve">CHAPTER </w:t>
      </w:r>
      <w:r w:rsidR="008D6F57" w:rsidRPr="003C66A0">
        <w:rPr>
          <w:rFonts w:eastAsiaTheme="majorEastAsia"/>
        </w:rPr>
        <w:t>6</w:t>
      </w:r>
      <w:r w:rsidRPr="003C66A0">
        <w:rPr>
          <w:rFonts w:eastAsiaTheme="majorEastAsia"/>
        </w:rPr>
        <w:t xml:space="preserve">: </w:t>
      </w:r>
      <w:r w:rsidR="001B5F1A" w:rsidRPr="003C66A0">
        <w:rPr>
          <w:rFonts w:eastAsiaTheme="majorEastAsia"/>
        </w:rPr>
        <w:t>PROTOCOL-LEVEL FEE MECHANISMS</w:t>
      </w:r>
      <w:bookmarkEnd w:id="132"/>
    </w:p>
    <w:p w14:paraId="6DF6C425" w14:textId="77777777" w:rsidR="00C4575C" w:rsidRDefault="00C4575C" w:rsidP="006B21E2">
      <w:pPr>
        <w:rPr>
          <w:rFonts w:eastAsiaTheme="majorEastAsia"/>
          <w:b/>
          <w:bCs/>
          <w:color w:val="000000" w:themeColor="text1"/>
        </w:rPr>
      </w:pPr>
    </w:p>
    <w:p w14:paraId="36B9F7C8" w14:textId="77777777" w:rsidR="004C6A92" w:rsidRDefault="004C6A92" w:rsidP="006B21E2">
      <w:pPr>
        <w:rPr>
          <w:rFonts w:eastAsiaTheme="majorEastAsia"/>
          <w:bCs/>
          <w:color w:val="000000" w:themeColor="text1"/>
        </w:rPr>
      </w:pPr>
    </w:p>
    <w:p w14:paraId="58E2DD1D" w14:textId="660DB3DC" w:rsidR="009F3043" w:rsidRPr="003C66A0" w:rsidRDefault="000E4CD5" w:rsidP="006B21E2">
      <w:pPr>
        <w:jc w:val="both"/>
        <w:rPr>
          <w:rFonts w:eastAsiaTheme="majorEastAsia"/>
          <w:bCs/>
          <w:color w:val="000000" w:themeColor="text1"/>
        </w:rPr>
      </w:pPr>
      <w:r w:rsidRPr="003C66A0">
        <w:rPr>
          <w:rFonts w:eastAsiaTheme="majorEastAsia"/>
          <w:bCs/>
          <w:color w:val="000000" w:themeColor="text1"/>
        </w:rPr>
        <w:t>This chapter examines how blockchain protocol design creates revenue opportunities at the infrastructure level, based on data from 17 blockchain networks tracking fee generation and its distribution mechanisms from 2020-2024. The difference between application-level fees (going to platforms) and protocol-level fees (going to validators/</w:t>
      </w:r>
      <w:proofErr w:type="spellStart"/>
      <w:r w:rsidRPr="003C66A0">
        <w:rPr>
          <w:rFonts w:eastAsiaTheme="majorEastAsia"/>
          <w:bCs/>
          <w:color w:val="000000" w:themeColor="text1"/>
        </w:rPr>
        <w:t>stakers</w:t>
      </w:r>
      <w:proofErr w:type="spellEnd"/>
      <w:r w:rsidRPr="003C66A0">
        <w:rPr>
          <w:rFonts w:eastAsiaTheme="majorEastAsia"/>
          <w:bCs/>
          <w:color w:val="000000" w:themeColor="text1"/>
        </w:rPr>
        <w:t>) does play a significant role because they create different participation requirements and economics.</w:t>
      </w:r>
    </w:p>
    <w:p w14:paraId="7104616E" w14:textId="77777777" w:rsidR="000E4CD5" w:rsidRPr="003C66A0" w:rsidRDefault="000E4CD5" w:rsidP="006B21E2">
      <w:pPr>
        <w:jc w:val="both"/>
        <w:rPr>
          <w:rFonts w:eastAsiaTheme="majorEastAsia"/>
          <w:b/>
          <w:bCs/>
          <w:color w:val="000000" w:themeColor="text1"/>
        </w:rPr>
      </w:pPr>
    </w:p>
    <w:p w14:paraId="67889AE7" w14:textId="525B9BA0" w:rsidR="00331CD9" w:rsidRPr="003C66A0" w:rsidRDefault="008D6F57" w:rsidP="006B21E2">
      <w:pPr>
        <w:pStyle w:val="Heading2"/>
        <w:jc w:val="both"/>
        <w:rPr>
          <w:rFonts w:eastAsiaTheme="majorEastAsia"/>
        </w:rPr>
      </w:pPr>
      <w:bookmarkStart w:id="133" w:name="_Toc214721939"/>
      <w:r w:rsidRPr="003C66A0">
        <w:rPr>
          <w:rFonts w:eastAsiaTheme="majorEastAsia"/>
        </w:rPr>
        <w:t>6</w:t>
      </w:r>
      <w:r w:rsidR="00331CD9" w:rsidRPr="003C66A0">
        <w:rPr>
          <w:rFonts w:eastAsiaTheme="majorEastAsia"/>
        </w:rPr>
        <w:t>.1 Comparative Analysis of Protocol Fee Mechanisms</w:t>
      </w:r>
      <w:bookmarkEnd w:id="133"/>
    </w:p>
    <w:p w14:paraId="6733CE72" w14:textId="388ABDC1" w:rsidR="009F3043" w:rsidRPr="003C66A0" w:rsidRDefault="000E4CD5" w:rsidP="006B21E2">
      <w:pPr>
        <w:jc w:val="both"/>
        <w:rPr>
          <w:rFonts w:eastAsiaTheme="majorEastAsia"/>
          <w:bCs/>
          <w:color w:val="000000" w:themeColor="text1"/>
        </w:rPr>
      </w:pPr>
      <w:r w:rsidRPr="003C66A0">
        <w:rPr>
          <w:rFonts w:eastAsiaTheme="majorEastAsia"/>
          <w:bCs/>
          <w:color w:val="000000" w:themeColor="text1"/>
        </w:rPr>
        <w:t>There are several distinct fee models that emerged during my study period, each creating different participation opportunities and constraints.</w:t>
      </w:r>
    </w:p>
    <w:p w14:paraId="51252FCD" w14:textId="77777777" w:rsidR="000E4CD5" w:rsidRPr="003C66A0" w:rsidRDefault="000E4CD5" w:rsidP="006B21E2">
      <w:pPr>
        <w:jc w:val="both"/>
        <w:rPr>
          <w:rFonts w:eastAsiaTheme="majorEastAsia"/>
          <w:bCs/>
          <w:color w:val="000000" w:themeColor="text1"/>
        </w:rPr>
      </w:pPr>
    </w:p>
    <w:p w14:paraId="1291B74E" w14:textId="602EC4AB" w:rsidR="00331CD9" w:rsidRPr="003C66A0" w:rsidRDefault="008D6F57" w:rsidP="006B21E2">
      <w:pPr>
        <w:pStyle w:val="Heading3"/>
        <w:jc w:val="both"/>
        <w:rPr>
          <w:rFonts w:eastAsiaTheme="majorEastAsia"/>
        </w:rPr>
      </w:pPr>
      <w:bookmarkStart w:id="134" w:name="_Toc214721940"/>
      <w:r w:rsidRPr="003C66A0">
        <w:rPr>
          <w:rFonts w:eastAsiaTheme="majorEastAsia"/>
        </w:rPr>
        <w:t>6</w:t>
      </w:r>
      <w:r w:rsidR="00331CD9" w:rsidRPr="003C66A0">
        <w:rPr>
          <w:rFonts w:eastAsiaTheme="majorEastAsia"/>
        </w:rPr>
        <w:t>.1.1 EIP-1559 and Fee Burning: Natural Experiment in Economics</w:t>
      </w:r>
      <w:bookmarkEnd w:id="134"/>
    </w:p>
    <w:p w14:paraId="242EFD36" w14:textId="2B719C95" w:rsidR="009F3043" w:rsidRPr="003C66A0" w:rsidRDefault="000E4CD5" w:rsidP="006B21E2">
      <w:pPr>
        <w:jc w:val="both"/>
        <w:rPr>
          <w:rFonts w:eastAsiaTheme="majorEastAsia"/>
          <w:bCs/>
          <w:color w:val="000000" w:themeColor="text1"/>
        </w:rPr>
      </w:pPr>
      <w:r w:rsidRPr="003C66A0">
        <w:rPr>
          <w:rFonts w:eastAsiaTheme="majorEastAsia"/>
          <w:bCs/>
          <w:color w:val="000000" w:themeColor="text1"/>
        </w:rPr>
        <w:t xml:space="preserve">Ethereum's EIP-1559 implementation in August 2021 provides a natural experiment in fee mechanism design. In </w:t>
      </w:r>
      <w:r w:rsidR="00A62F99" w:rsidRPr="003C66A0">
        <w:rPr>
          <w:rFonts w:eastAsiaTheme="majorEastAsia"/>
          <w:bCs/>
          <w:color w:val="000000" w:themeColor="text1"/>
        </w:rPr>
        <w:t>this</w:t>
      </w:r>
      <w:r w:rsidRPr="003C66A0">
        <w:rPr>
          <w:rFonts w:eastAsiaTheme="majorEastAsia"/>
          <w:bCs/>
          <w:color w:val="000000" w:themeColor="text1"/>
        </w:rPr>
        <w:t xml:space="preserve"> new implementation, the system splits fees into base fees (burned) and priority tips (paid to validators). The base </w:t>
      </w:r>
      <w:proofErr w:type="gramStart"/>
      <w:r w:rsidRPr="003C66A0">
        <w:rPr>
          <w:rFonts w:eastAsiaTheme="majorEastAsia"/>
          <w:bCs/>
          <w:color w:val="000000" w:themeColor="text1"/>
        </w:rPr>
        <w:t>fees however</w:t>
      </w:r>
      <w:proofErr w:type="gramEnd"/>
      <w:r w:rsidRPr="003C66A0">
        <w:rPr>
          <w:rFonts w:eastAsiaTheme="majorEastAsia"/>
          <w:bCs/>
          <w:color w:val="000000" w:themeColor="text1"/>
        </w:rPr>
        <w:t xml:space="preserve"> are adjusting algorithmically by 12.5% per block based on current congestion</w:t>
      </w:r>
    </w:p>
    <w:p w14:paraId="01E931C8" w14:textId="77777777" w:rsidR="000E4CD5" w:rsidRPr="003C66A0" w:rsidRDefault="000E4CD5" w:rsidP="006B21E2">
      <w:pPr>
        <w:jc w:val="both"/>
        <w:rPr>
          <w:rFonts w:eastAsiaTheme="majorEastAsia"/>
          <w:bCs/>
          <w:color w:val="000000" w:themeColor="text1"/>
        </w:rPr>
      </w:pPr>
    </w:p>
    <w:p w14:paraId="0772FE20" w14:textId="7A552B41" w:rsidR="000E4CD5" w:rsidRPr="003C66A0" w:rsidRDefault="000E4CD5" w:rsidP="006B21E2">
      <w:pPr>
        <w:jc w:val="both"/>
        <w:rPr>
          <w:rFonts w:eastAsiaTheme="majorEastAsia"/>
          <w:bCs/>
          <w:color w:val="000000" w:themeColor="text1"/>
        </w:rPr>
      </w:pPr>
      <w:r w:rsidRPr="003C66A0">
        <w:rPr>
          <w:rFonts w:eastAsiaTheme="majorEastAsia"/>
          <w:bCs/>
          <w:color w:val="000000" w:themeColor="text1"/>
        </w:rPr>
        <w:t xml:space="preserve">Throughout 2024, the mechanism burned 3.8 million ETH. which is approximately 3.2% of the total supply and it also created a deflationary pressure. But economic impacts varied dramatically by the different participant type. Validators noticed a change in the makeup of their income. Before EIP-1559, transaction fees made up 8% to 35% of a validator's income, depending on how busy the network was. However, in the </w:t>
      </w:r>
      <w:proofErr w:type="gramStart"/>
      <w:r w:rsidRPr="003C66A0">
        <w:rPr>
          <w:rFonts w:eastAsiaTheme="majorEastAsia"/>
          <w:bCs/>
          <w:color w:val="000000" w:themeColor="text1"/>
        </w:rPr>
        <w:t>Post-EIP</w:t>
      </w:r>
      <w:proofErr w:type="gramEnd"/>
      <w:r w:rsidRPr="003C66A0">
        <w:rPr>
          <w:rFonts w:eastAsiaTheme="majorEastAsia"/>
          <w:bCs/>
          <w:color w:val="000000" w:themeColor="text1"/>
        </w:rPr>
        <w:t>-1559 era, the priority fees contributed to 3-12%. The reduction seems negative, but the total returns increased due to ETH price appreciation, which was partially attributed to burning.</w:t>
      </w:r>
    </w:p>
    <w:p w14:paraId="65E570E2" w14:textId="77777777" w:rsidR="000E4CD5" w:rsidRPr="003C66A0" w:rsidRDefault="000E4CD5" w:rsidP="006B21E2">
      <w:pPr>
        <w:jc w:val="both"/>
        <w:rPr>
          <w:rFonts w:eastAsiaTheme="majorEastAsia"/>
          <w:bCs/>
          <w:color w:val="000000" w:themeColor="text1"/>
        </w:rPr>
      </w:pPr>
    </w:p>
    <w:p w14:paraId="0628514B" w14:textId="77777777" w:rsidR="000E4CD5" w:rsidRPr="003C66A0" w:rsidRDefault="000E4CD5" w:rsidP="006B21E2">
      <w:pPr>
        <w:jc w:val="both"/>
        <w:rPr>
          <w:rFonts w:eastAsiaTheme="majorEastAsia"/>
          <w:bCs/>
          <w:color w:val="000000" w:themeColor="text1"/>
        </w:rPr>
      </w:pPr>
      <w:r w:rsidRPr="003C66A0">
        <w:rPr>
          <w:rFonts w:eastAsiaTheme="majorEastAsia"/>
          <w:bCs/>
          <w:color w:val="000000" w:themeColor="text1"/>
        </w:rPr>
        <w:t xml:space="preserve">Small </w:t>
      </w:r>
      <w:proofErr w:type="spellStart"/>
      <w:r w:rsidRPr="003C66A0">
        <w:rPr>
          <w:rFonts w:eastAsiaTheme="majorEastAsia"/>
          <w:bCs/>
          <w:color w:val="000000" w:themeColor="text1"/>
        </w:rPr>
        <w:t>stakers</w:t>
      </w:r>
      <w:proofErr w:type="spellEnd"/>
      <w:r w:rsidRPr="003C66A0">
        <w:rPr>
          <w:rFonts w:eastAsiaTheme="majorEastAsia"/>
          <w:bCs/>
          <w:color w:val="000000" w:themeColor="text1"/>
        </w:rPr>
        <w:t xml:space="preserve">, however, faced a complex tradeoff, as direct validation required 32 ETH (~$96,000), which is cost prohibitive for most. Liquid </w:t>
      </w:r>
      <w:proofErr w:type="gramStart"/>
      <w:r w:rsidRPr="003C66A0">
        <w:rPr>
          <w:rFonts w:eastAsiaTheme="majorEastAsia"/>
          <w:bCs/>
          <w:color w:val="000000" w:themeColor="text1"/>
        </w:rPr>
        <w:t>staking</w:t>
      </w:r>
      <w:proofErr w:type="gramEnd"/>
      <w:r w:rsidRPr="003C66A0">
        <w:rPr>
          <w:rFonts w:eastAsiaTheme="majorEastAsia"/>
          <w:bCs/>
          <w:color w:val="000000" w:themeColor="text1"/>
        </w:rPr>
        <w:t xml:space="preserve"> through Lido, however, allowed participation with as little as 0.1 ETH but with the fees as follows:</w:t>
      </w:r>
    </w:p>
    <w:p w14:paraId="0BD4F284" w14:textId="77777777" w:rsidR="000E4CD5" w:rsidRPr="003C66A0" w:rsidRDefault="000E4CD5" w:rsidP="006B21E2">
      <w:pPr>
        <w:jc w:val="both"/>
        <w:rPr>
          <w:rFonts w:eastAsiaTheme="majorEastAsia"/>
          <w:bCs/>
          <w:color w:val="000000" w:themeColor="text1"/>
        </w:rPr>
      </w:pPr>
    </w:p>
    <w:p w14:paraId="1004654A" w14:textId="53C3710D" w:rsidR="00331CD9" w:rsidRPr="003C66A0" w:rsidRDefault="00331CD9" w:rsidP="006B21E2">
      <w:pPr>
        <w:pStyle w:val="ListParagraph"/>
        <w:numPr>
          <w:ilvl w:val="0"/>
          <w:numId w:val="101"/>
        </w:numPr>
        <w:jc w:val="both"/>
        <w:outlineLvl w:val="9"/>
        <w:rPr>
          <w:rFonts w:eastAsiaTheme="majorEastAsia"/>
          <w:bCs/>
          <w:color w:val="000000" w:themeColor="text1"/>
        </w:rPr>
      </w:pPr>
      <w:r w:rsidRPr="003C66A0">
        <w:rPr>
          <w:rFonts w:eastAsiaTheme="majorEastAsia"/>
          <w:bCs/>
          <w:color w:val="000000" w:themeColor="text1"/>
        </w:rPr>
        <w:t>Direct validators: 4.8% APR (3.2% emissions, 1.6% fees)</w:t>
      </w:r>
    </w:p>
    <w:p w14:paraId="13AE901E" w14:textId="77777777" w:rsidR="00331CD9" w:rsidRPr="003C66A0" w:rsidRDefault="00331CD9" w:rsidP="006B21E2">
      <w:pPr>
        <w:numPr>
          <w:ilvl w:val="0"/>
          <w:numId w:val="39"/>
        </w:numPr>
        <w:jc w:val="both"/>
        <w:rPr>
          <w:rFonts w:eastAsiaTheme="majorEastAsia"/>
          <w:bCs/>
          <w:color w:val="000000" w:themeColor="text1"/>
        </w:rPr>
      </w:pPr>
      <w:r w:rsidRPr="003C66A0">
        <w:rPr>
          <w:rFonts w:eastAsiaTheme="majorEastAsia"/>
          <w:bCs/>
          <w:color w:val="000000" w:themeColor="text1"/>
        </w:rPr>
        <w:t xml:space="preserve">Lido </w:t>
      </w:r>
      <w:proofErr w:type="spellStart"/>
      <w:r w:rsidRPr="003C66A0">
        <w:rPr>
          <w:rFonts w:eastAsiaTheme="majorEastAsia"/>
          <w:bCs/>
          <w:color w:val="000000" w:themeColor="text1"/>
        </w:rPr>
        <w:t>stakers</w:t>
      </w:r>
      <w:proofErr w:type="spellEnd"/>
      <w:r w:rsidRPr="003C66A0">
        <w:rPr>
          <w:rFonts w:eastAsiaTheme="majorEastAsia"/>
          <w:bCs/>
          <w:color w:val="000000" w:themeColor="text1"/>
        </w:rPr>
        <w:t>: 4.2% APR (after 10% protocol fee)</w:t>
      </w:r>
    </w:p>
    <w:p w14:paraId="2ADB8646" w14:textId="77777777" w:rsidR="00331CD9" w:rsidRPr="003C66A0" w:rsidRDefault="00331CD9" w:rsidP="006B21E2">
      <w:pPr>
        <w:numPr>
          <w:ilvl w:val="0"/>
          <w:numId w:val="39"/>
        </w:numPr>
        <w:jc w:val="both"/>
        <w:rPr>
          <w:rFonts w:eastAsiaTheme="majorEastAsia"/>
          <w:bCs/>
          <w:color w:val="000000" w:themeColor="text1"/>
        </w:rPr>
      </w:pPr>
      <w:r w:rsidRPr="003C66A0">
        <w:rPr>
          <w:rFonts w:eastAsiaTheme="majorEastAsia"/>
          <w:bCs/>
          <w:color w:val="000000" w:themeColor="text1"/>
        </w:rPr>
        <w:t>Centralized staking: 3.8% APR (after 15-25% platform fees)</w:t>
      </w:r>
    </w:p>
    <w:p w14:paraId="4D98088C" w14:textId="77777777" w:rsidR="009E3FC2" w:rsidRPr="003C66A0" w:rsidRDefault="009E3FC2" w:rsidP="006B21E2">
      <w:pPr>
        <w:jc w:val="both"/>
        <w:rPr>
          <w:rFonts w:eastAsiaTheme="majorEastAsia"/>
          <w:bCs/>
          <w:color w:val="000000" w:themeColor="text1"/>
        </w:rPr>
      </w:pPr>
    </w:p>
    <w:p w14:paraId="42BAE7D2" w14:textId="49A8036B" w:rsidR="00331CD9" w:rsidRPr="003C66A0" w:rsidRDefault="00331CD9" w:rsidP="006B21E2">
      <w:pPr>
        <w:jc w:val="both"/>
        <w:rPr>
          <w:rFonts w:eastAsiaTheme="majorEastAsia"/>
          <w:bCs/>
          <w:color w:val="000000" w:themeColor="text1"/>
        </w:rPr>
      </w:pPr>
      <w:r w:rsidRPr="003C66A0">
        <w:rPr>
          <w:rFonts w:eastAsiaTheme="majorEastAsia"/>
          <w:bCs/>
          <w:color w:val="000000" w:themeColor="text1"/>
        </w:rPr>
        <w:t>Fee predictability partially improved. Base fee volatility decreased 61%, but total fee volatility (including priority tips) decreased only 31%. During congestion, priority fees spike dramatically, recreating the auction dynamics EIP-1559 supposedly solved.</w:t>
      </w:r>
    </w:p>
    <w:p w14:paraId="6662CDD2" w14:textId="77777777" w:rsidR="009F3043" w:rsidRDefault="009F3043" w:rsidP="006B21E2">
      <w:pPr>
        <w:jc w:val="both"/>
        <w:rPr>
          <w:rFonts w:eastAsiaTheme="majorEastAsia"/>
          <w:b/>
          <w:bCs/>
          <w:color w:val="000000" w:themeColor="text1"/>
        </w:rPr>
      </w:pPr>
    </w:p>
    <w:p w14:paraId="614056A0" w14:textId="79718050" w:rsidR="001277C8" w:rsidRPr="001B06EB" w:rsidRDefault="001277C8" w:rsidP="006B21E2">
      <w:pPr>
        <w:jc w:val="both"/>
        <w:rPr>
          <w:rFonts w:eastAsiaTheme="majorEastAsia"/>
          <w:color w:val="000000" w:themeColor="text1"/>
        </w:rPr>
      </w:pPr>
      <w:r w:rsidRPr="001B06EB">
        <w:rPr>
          <w:rFonts w:eastAsiaTheme="majorEastAsia"/>
          <w:color w:val="000000" w:themeColor="text1"/>
        </w:rPr>
        <w:t>Table 6.</w:t>
      </w:r>
      <w:r w:rsidR="00C5607F">
        <w:rPr>
          <w:rFonts w:eastAsiaTheme="majorEastAsia"/>
          <w:color w:val="000000" w:themeColor="text1"/>
        </w:rPr>
        <w:t>A</w:t>
      </w:r>
      <w:r w:rsidRPr="001B06EB">
        <w:rPr>
          <w:rFonts w:eastAsiaTheme="majorEastAsia"/>
          <w:color w:val="000000" w:themeColor="text1"/>
        </w:rPr>
        <w:t xml:space="preserve"> quantifies the before-and-</w:t>
      </w:r>
      <w:proofErr w:type="gramStart"/>
      <w:r w:rsidRPr="001B06EB">
        <w:rPr>
          <w:rFonts w:eastAsiaTheme="majorEastAsia"/>
          <w:color w:val="000000" w:themeColor="text1"/>
        </w:rPr>
        <w:t>after effects</w:t>
      </w:r>
      <w:proofErr w:type="gramEnd"/>
      <w:r w:rsidRPr="001B06EB">
        <w:rPr>
          <w:rFonts w:eastAsiaTheme="majorEastAsia"/>
          <w:color w:val="000000" w:themeColor="text1"/>
        </w:rPr>
        <w:t xml:space="preserve"> of Ethereum's EIP-1559 implementation</w:t>
      </w:r>
      <w:r w:rsidR="001B06EB" w:rsidRPr="001B06EB">
        <w:rPr>
          <w:rFonts w:eastAsiaTheme="majorEastAsia"/>
          <w:color w:val="000000" w:themeColor="text1"/>
        </w:rPr>
        <w:t xml:space="preserve">. This </w:t>
      </w:r>
      <w:r w:rsidRPr="001B06EB">
        <w:rPr>
          <w:rFonts w:eastAsiaTheme="majorEastAsia"/>
          <w:color w:val="000000" w:themeColor="text1"/>
        </w:rPr>
        <w:t>demonstrat</w:t>
      </w:r>
      <w:r w:rsidR="001B06EB" w:rsidRPr="001B06EB">
        <w:rPr>
          <w:rFonts w:eastAsiaTheme="majorEastAsia"/>
          <w:color w:val="000000" w:themeColor="text1"/>
        </w:rPr>
        <w:t>es</w:t>
      </w:r>
      <w:r w:rsidRPr="001B06EB">
        <w:rPr>
          <w:rFonts w:eastAsiaTheme="majorEastAsia"/>
          <w:color w:val="000000" w:themeColor="text1"/>
        </w:rPr>
        <w:t xml:space="preserve"> how protocol-level fee mechanism changes</w:t>
      </w:r>
      <w:r w:rsidR="001B06EB" w:rsidRPr="001B06EB">
        <w:rPr>
          <w:rFonts w:eastAsiaTheme="majorEastAsia"/>
          <w:color w:val="000000" w:themeColor="text1"/>
        </w:rPr>
        <w:t>/</w:t>
      </w:r>
      <w:proofErr w:type="gramStart"/>
      <w:r w:rsidRPr="001B06EB">
        <w:rPr>
          <w:rFonts w:eastAsiaTheme="majorEastAsia"/>
          <w:color w:val="000000" w:themeColor="text1"/>
        </w:rPr>
        <w:t>redistribute</w:t>
      </w:r>
      <w:proofErr w:type="gramEnd"/>
      <w:r w:rsidRPr="001B06EB">
        <w:rPr>
          <w:rFonts w:eastAsiaTheme="majorEastAsia"/>
          <w:color w:val="000000" w:themeColor="text1"/>
        </w:rPr>
        <w:t xml:space="preserve"> economic outcomes across </w:t>
      </w:r>
      <w:r w:rsidR="001B06EB" w:rsidRPr="001B06EB">
        <w:rPr>
          <w:rFonts w:eastAsiaTheme="majorEastAsia"/>
          <w:color w:val="000000" w:themeColor="text1"/>
        </w:rPr>
        <w:t xml:space="preserve">the </w:t>
      </w:r>
      <w:r w:rsidR="00C5607F" w:rsidRPr="001B06EB">
        <w:rPr>
          <w:rFonts w:eastAsiaTheme="majorEastAsia"/>
          <w:color w:val="000000" w:themeColor="text1"/>
        </w:rPr>
        <w:t>various</w:t>
      </w:r>
      <w:r w:rsidR="001B06EB" w:rsidRPr="001B06EB">
        <w:rPr>
          <w:rFonts w:eastAsiaTheme="majorEastAsia"/>
          <w:color w:val="000000" w:themeColor="text1"/>
        </w:rPr>
        <w:t xml:space="preserve"> </w:t>
      </w:r>
      <w:r w:rsidRPr="001B06EB">
        <w:rPr>
          <w:rFonts w:eastAsiaTheme="majorEastAsia"/>
          <w:color w:val="000000" w:themeColor="text1"/>
        </w:rPr>
        <w:t>participant categories</w:t>
      </w:r>
      <w:r w:rsidR="001B06EB" w:rsidRPr="001B06EB">
        <w:rPr>
          <w:rFonts w:eastAsiaTheme="majorEastAsia"/>
          <w:color w:val="000000" w:themeColor="text1"/>
        </w:rPr>
        <w:t xml:space="preserve"> </w:t>
      </w:r>
      <w:r w:rsidR="00C5607F" w:rsidRPr="001B06EB">
        <w:rPr>
          <w:rFonts w:eastAsiaTheme="majorEastAsia"/>
          <w:color w:val="000000" w:themeColor="text1"/>
        </w:rPr>
        <w:t>tracked</w:t>
      </w:r>
      <w:r w:rsidR="001B06EB" w:rsidRPr="001B06EB">
        <w:rPr>
          <w:rFonts w:eastAsiaTheme="majorEastAsia"/>
          <w:color w:val="000000" w:themeColor="text1"/>
        </w:rPr>
        <w:t xml:space="preserve"> in this </w:t>
      </w:r>
      <w:r w:rsidR="00C5607F" w:rsidRPr="001B06EB">
        <w:rPr>
          <w:rFonts w:eastAsiaTheme="majorEastAsia"/>
          <w:color w:val="000000" w:themeColor="text1"/>
        </w:rPr>
        <w:t>research</w:t>
      </w:r>
      <w:r w:rsidRPr="001B06EB">
        <w:rPr>
          <w:rFonts w:eastAsiaTheme="majorEastAsia"/>
          <w:color w:val="000000" w:themeColor="text1"/>
        </w:rPr>
        <w:t>.</w:t>
      </w:r>
    </w:p>
    <w:p w14:paraId="76B46D21" w14:textId="77777777" w:rsidR="001277C8" w:rsidRPr="001B06EB" w:rsidRDefault="001277C8" w:rsidP="006B21E2">
      <w:pPr>
        <w:jc w:val="both"/>
        <w:rPr>
          <w:rFonts w:eastAsiaTheme="majorEastAsia"/>
          <w:b/>
          <w:bCs/>
          <w:color w:val="000000" w:themeColor="text1"/>
        </w:rPr>
      </w:pPr>
    </w:p>
    <w:p w14:paraId="29C0419B" w14:textId="044C685C" w:rsidR="001277C8" w:rsidRPr="001277C8" w:rsidRDefault="001277C8" w:rsidP="006B21E2">
      <w:pPr>
        <w:pStyle w:val="Heading3"/>
        <w:jc w:val="both"/>
        <w:rPr>
          <w:color w:val="000000" w:themeColor="text1"/>
        </w:rPr>
      </w:pPr>
      <w:bookmarkStart w:id="135" w:name="_Toc214721941"/>
      <w:r w:rsidRPr="001277C8">
        <w:rPr>
          <w:color w:val="000000" w:themeColor="text1"/>
        </w:rPr>
        <w:t>Table 6</w:t>
      </w:r>
      <w:r w:rsidR="00C5607F">
        <w:rPr>
          <w:color w:val="000000" w:themeColor="text1"/>
        </w:rPr>
        <w:t>A</w:t>
      </w:r>
      <w:r w:rsidRPr="001277C8">
        <w:rPr>
          <w:color w:val="000000" w:themeColor="text1"/>
        </w:rPr>
        <w:t>: EIP-1559 Impact Analysis - Before and After Comparison (Ethereum)</w:t>
      </w:r>
      <w:bookmarkEnd w:id="135"/>
    </w:p>
    <w:p w14:paraId="4FA18EAE" w14:textId="77777777" w:rsidR="001277C8" w:rsidRPr="001277C8" w:rsidRDefault="001277C8" w:rsidP="006B21E2"/>
    <w:p w14:paraId="0B226DA7" w14:textId="77777777" w:rsidR="00796555" w:rsidRDefault="00796555" w:rsidP="006B21E2">
      <w:pPr>
        <w:rPr>
          <w:color w:val="FF0000"/>
          <w:sz w:val="20"/>
          <w:szCs w:val="20"/>
        </w:rPr>
      </w:pPr>
    </w:p>
    <w:tbl>
      <w:tblPr>
        <w:tblW w:w="9260" w:type="dxa"/>
        <w:tblLook w:val="04A0" w:firstRow="1" w:lastRow="0" w:firstColumn="1" w:lastColumn="0" w:noHBand="0" w:noVBand="1"/>
      </w:tblPr>
      <w:tblGrid>
        <w:gridCol w:w="1700"/>
        <w:gridCol w:w="2250"/>
        <w:gridCol w:w="2160"/>
        <w:gridCol w:w="3150"/>
      </w:tblGrid>
      <w:tr w:rsidR="008C757F" w14:paraId="4E146BF3" w14:textId="77777777" w:rsidTr="00275B37">
        <w:trPr>
          <w:trHeight w:val="241"/>
        </w:trPr>
        <w:tc>
          <w:tcPr>
            <w:tcW w:w="1700" w:type="dxa"/>
            <w:tcBorders>
              <w:top w:val="single" w:sz="8" w:space="0" w:color="auto"/>
              <w:left w:val="single" w:sz="8" w:space="0" w:color="auto"/>
              <w:bottom w:val="single" w:sz="8" w:space="0" w:color="auto"/>
              <w:right w:val="single" w:sz="4" w:space="0" w:color="auto"/>
            </w:tcBorders>
            <w:shd w:val="clear" w:color="000000" w:fill="D9D9D9"/>
            <w:vAlign w:val="center"/>
            <w:hideMark/>
          </w:tcPr>
          <w:p w14:paraId="40AED0E1" w14:textId="77777777" w:rsidR="00796555" w:rsidRDefault="00796555" w:rsidP="006B21E2">
            <w:pPr>
              <w:rPr>
                <w:b/>
                <w:bCs/>
                <w:color w:val="000000"/>
                <w:sz w:val="20"/>
                <w:szCs w:val="20"/>
              </w:rPr>
            </w:pPr>
            <w:r>
              <w:rPr>
                <w:b/>
                <w:bCs/>
                <w:color w:val="000000"/>
                <w:sz w:val="20"/>
                <w:szCs w:val="20"/>
              </w:rPr>
              <w:t>Metric</w:t>
            </w:r>
          </w:p>
        </w:tc>
        <w:tc>
          <w:tcPr>
            <w:tcW w:w="2250" w:type="dxa"/>
            <w:tcBorders>
              <w:top w:val="single" w:sz="8" w:space="0" w:color="auto"/>
              <w:left w:val="nil"/>
              <w:bottom w:val="single" w:sz="8" w:space="0" w:color="auto"/>
              <w:right w:val="single" w:sz="4" w:space="0" w:color="auto"/>
            </w:tcBorders>
            <w:shd w:val="clear" w:color="000000" w:fill="D9D9D9"/>
            <w:vAlign w:val="center"/>
            <w:hideMark/>
          </w:tcPr>
          <w:p w14:paraId="0D9012F8" w14:textId="77777777" w:rsidR="00796555" w:rsidRDefault="00796555" w:rsidP="006B21E2">
            <w:pPr>
              <w:rPr>
                <w:b/>
                <w:bCs/>
                <w:color w:val="000000"/>
                <w:sz w:val="20"/>
                <w:szCs w:val="20"/>
              </w:rPr>
            </w:pPr>
            <w:r>
              <w:rPr>
                <w:b/>
                <w:bCs/>
                <w:color w:val="000000"/>
                <w:sz w:val="20"/>
                <w:szCs w:val="20"/>
              </w:rPr>
              <w:t>Before EIP-1559 (Pre-Aug 2021)</w:t>
            </w:r>
          </w:p>
        </w:tc>
        <w:tc>
          <w:tcPr>
            <w:tcW w:w="2160" w:type="dxa"/>
            <w:tcBorders>
              <w:top w:val="single" w:sz="8" w:space="0" w:color="auto"/>
              <w:left w:val="nil"/>
              <w:bottom w:val="single" w:sz="8" w:space="0" w:color="auto"/>
              <w:right w:val="single" w:sz="4" w:space="0" w:color="auto"/>
            </w:tcBorders>
            <w:shd w:val="clear" w:color="000000" w:fill="D9D9D9"/>
            <w:vAlign w:val="center"/>
            <w:hideMark/>
          </w:tcPr>
          <w:p w14:paraId="6B3475A7" w14:textId="77777777" w:rsidR="00796555" w:rsidRDefault="00796555" w:rsidP="006B21E2">
            <w:pPr>
              <w:rPr>
                <w:b/>
                <w:bCs/>
                <w:color w:val="000000"/>
                <w:sz w:val="20"/>
                <w:szCs w:val="20"/>
              </w:rPr>
            </w:pPr>
            <w:r>
              <w:rPr>
                <w:b/>
                <w:bCs/>
                <w:color w:val="000000"/>
                <w:sz w:val="20"/>
                <w:szCs w:val="20"/>
              </w:rPr>
              <w:t>After EIP-1559 (</w:t>
            </w:r>
            <w:proofErr w:type="gramStart"/>
            <w:r>
              <w:rPr>
                <w:b/>
                <w:bCs/>
                <w:color w:val="000000"/>
                <w:sz w:val="20"/>
                <w:szCs w:val="20"/>
              </w:rPr>
              <w:t>Post-Aug 2021</w:t>
            </w:r>
            <w:proofErr w:type="gramEnd"/>
            <w:r>
              <w:rPr>
                <w:b/>
                <w:bCs/>
                <w:color w:val="000000"/>
                <w:sz w:val="20"/>
                <w:szCs w:val="20"/>
              </w:rPr>
              <w:t>)</w:t>
            </w:r>
          </w:p>
        </w:tc>
        <w:tc>
          <w:tcPr>
            <w:tcW w:w="3150" w:type="dxa"/>
            <w:tcBorders>
              <w:top w:val="single" w:sz="8" w:space="0" w:color="auto"/>
              <w:left w:val="nil"/>
              <w:bottom w:val="single" w:sz="8" w:space="0" w:color="auto"/>
              <w:right w:val="single" w:sz="8" w:space="0" w:color="auto"/>
            </w:tcBorders>
            <w:shd w:val="clear" w:color="000000" w:fill="D9D9D9"/>
            <w:vAlign w:val="center"/>
            <w:hideMark/>
          </w:tcPr>
          <w:p w14:paraId="56928566" w14:textId="77777777" w:rsidR="00796555" w:rsidRDefault="00796555" w:rsidP="006B21E2">
            <w:pPr>
              <w:rPr>
                <w:b/>
                <w:bCs/>
                <w:color w:val="000000"/>
                <w:sz w:val="20"/>
                <w:szCs w:val="20"/>
              </w:rPr>
            </w:pPr>
            <w:r>
              <w:rPr>
                <w:b/>
                <w:bCs/>
                <w:color w:val="000000"/>
                <w:sz w:val="20"/>
                <w:szCs w:val="20"/>
              </w:rPr>
              <w:t>Impact on Participants</w:t>
            </w:r>
          </w:p>
        </w:tc>
      </w:tr>
      <w:tr w:rsidR="008C757F" w14:paraId="1D6EF41D" w14:textId="77777777" w:rsidTr="003C0572">
        <w:trPr>
          <w:trHeight w:val="268"/>
        </w:trPr>
        <w:tc>
          <w:tcPr>
            <w:tcW w:w="1700" w:type="dxa"/>
            <w:tcBorders>
              <w:top w:val="nil"/>
              <w:left w:val="single" w:sz="8" w:space="0" w:color="auto"/>
              <w:bottom w:val="single" w:sz="4" w:space="0" w:color="auto"/>
              <w:right w:val="single" w:sz="4" w:space="0" w:color="auto"/>
            </w:tcBorders>
            <w:shd w:val="clear" w:color="000000" w:fill="FFFFFF"/>
            <w:vAlign w:val="center"/>
            <w:hideMark/>
          </w:tcPr>
          <w:p w14:paraId="007E3793" w14:textId="77777777" w:rsidR="00796555" w:rsidRDefault="00796555" w:rsidP="006B21E2">
            <w:pPr>
              <w:rPr>
                <w:color w:val="000000"/>
                <w:sz w:val="20"/>
                <w:szCs w:val="20"/>
              </w:rPr>
            </w:pPr>
            <w:r>
              <w:rPr>
                <w:color w:val="000000"/>
                <w:sz w:val="20"/>
                <w:szCs w:val="20"/>
              </w:rPr>
              <w:lastRenderedPageBreak/>
              <w:t>Fee Structure</w:t>
            </w:r>
          </w:p>
        </w:tc>
        <w:tc>
          <w:tcPr>
            <w:tcW w:w="2250" w:type="dxa"/>
            <w:tcBorders>
              <w:top w:val="nil"/>
              <w:left w:val="nil"/>
              <w:bottom w:val="single" w:sz="4" w:space="0" w:color="auto"/>
              <w:right w:val="single" w:sz="4" w:space="0" w:color="auto"/>
            </w:tcBorders>
            <w:shd w:val="clear" w:color="000000" w:fill="FFFFFF"/>
            <w:vAlign w:val="center"/>
            <w:hideMark/>
          </w:tcPr>
          <w:p w14:paraId="0526C445" w14:textId="77777777" w:rsidR="00796555" w:rsidRDefault="00796555" w:rsidP="006B21E2">
            <w:pPr>
              <w:rPr>
                <w:color w:val="000000"/>
                <w:sz w:val="20"/>
                <w:szCs w:val="20"/>
              </w:rPr>
            </w:pPr>
            <w:r>
              <w:rPr>
                <w:color w:val="000000"/>
                <w:sz w:val="20"/>
                <w:szCs w:val="20"/>
              </w:rPr>
              <w:t>All fees → validators</w:t>
            </w:r>
          </w:p>
        </w:tc>
        <w:tc>
          <w:tcPr>
            <w:tcW w:w="2160" w:type="dxa"/>
            <w:tcBorders>
              <w:top w:val="nil"/>
              <w:left w:val="nil"/>
              <w:bottom w:val="single" w:sz="4" w:space="0" w:color="auto"/>
              <w:right w:val="single" w:sz="4" w:space="0" w:color="auto"/>
            </w:tcBorders>
            <w:shd w:val="clear" w:color="000000" w:fill="FFFFFF"/>
            <w:vAlign w:val="center"/>
            <w:hideMark/>
          </w:tcPr>
          <w:p w14:paraId="3B443195" w14:textId="77777777" w:rsidR="00796555" w:rsidRDefault="00796555" w:rsidP="006B21E2">
            <w:pPr>
              <w:rPr>
                <w:color w:val="000000"/>
                <w:sz w:val="20"/>
                <w:szCs w:val="20"/>
              </w:rPr>
            </w:pPr>
            <w:r>
              <w:rPr>
                <w:color w:val="000000"/>
                <w:sz w:val="20"/>
                <w:szCs w:val="20"/>
              </w:rPr>
              <w:t>Base fee (burned) + priority tip (validators)</w:t>
            </w:r>
          </w:p>
        </w:tc>
        <w:tc>
          <w:tcPr>
            <w:tcW w:w="3150" w:type="dxa"/>
            <w:tcBorders>
              <w:top w:val="nil"/>
              <w:left w:val="nil"/>
              <w:bottom w:val="single" w:sz="4" w:space="0" w:color="auto"/>
              <w:right w:val="single" w:sz="8" w:space="0" w:color="auto"/>
            </w:tcBorders>
            <w:shd w:val="clear" w:color="000000" w:fill="FFFFFF"/>
            <w:vAlign w:val="center"/>
            <w:hideMark/>
          </w:tcPr>
          <w:p w14:paraId="422EEE0B" w14:textId="77777777" w:rsidR="00796555" w:rsidRDefault="00796555" w:rsidP="006B21E2">
            <w:pPr>
              <w:rPr>
                <w:color w:val="000000"/>
                <w:sz w:val="20"/>
                <w:szCs w:val="20"/>
              </w:rPr>
            </w:pPr>
            <w:r>
              <w:rPr>
                <w:color w:val="000000"/>
                <w:sz w:val="20"/>
                <w:szCs w:val="20"/>
              </w:rPr>
              <w:t>Fee splitting created deflationary pressure (3.8M ETH burned in 2024)</w:t>
            </w:r>
          </w:p>
        </w:tc>
      </w:tr>
      <w:tr w:rsidR="008C757F" w14:paraId="05E2B147" w14:textId="77777777" w:rsidTr="003C0572">
        <w:trPr>
          <w:trHeight w:val="107"/>
        </w:trPr>
        <w:tc>
          <w:tcPr>
            <w:tcW w:w="1700" w:type="dxa"/>
            <w:tcBorders>
              <w:top w:val="nil"/>
              <w:left w:val="single" w:sz="8" w:space="0" w:color="auto"/>
              <w:bottom w:val="single" w:sz="4" w:space="0" w:color="auto"/>
              <w:right w:val="single" w:sz="4" w:space="0" w:color="auto"/>
            </w:tcBorders>
            <w:shd w:val="clear" w:color="000000" w:fill="FFFFFF"/>
            <w:vAlign w:val="center"/>
            <w:hideMark/>
          </w:tcPr>
          <w:p w14:paraId="4497C763" w14:textId="77777777" w:rsidR="00796555" w:rsidRDefault="00796555" w:rsidP="006B21E2">
            <w:pPr>
              <w:rPr>
                <w:color w:val="000000"/>
                <w:sz w:val="20"/>
                <w:szCs w:val="20"/>
              </w:rPr>
            </w:pPr>
            <w:r>
              <w:rPr>
                <w:color w:val="000000"/>
                <w:sz w:val="20"/>
                <w:szCs w:val="20"/>
              </w:rPr>
              <w:t>Validator Fee Income (% of total revenue)</w:t>
            </w:r>
          </w:p>
        </w:tc>
        <w:tc>
          <w:tcPr>
            <w:tcW w:w="2250" w:type="dxa"/>
            <w:tcBorders>
              <w:top w:val="nil"/>
              <w:left w:val="nil"/>
              <w:bottom w:val="single" w:sz="4" w:space="0" w:color="auto"/>
              <w:right w:val="single" w:sz="4" w:space="0" w:color="auto"/>
            </w:tcBorders>
            <w:shd w:val="clear" w:color="000000" w:fill="FFFFFF"/>
            <w:vAlign w:val="center"/>
            <w:hideMark/>
          </w:tcPr>
          <w:p w14:paraId="0DC90C6A" w14:textId="77777777" w:rsidR="00796555" w:rsidRDefault="00796555" w:rsidP="006B21E2">
            <w:pPr>
              <w:rPr>
                <w:color w:val="000000"/>
                <w:sz w:val="20"/>
                <w:szCs w:val="20"/>
              </w:rPr>
            </w:pPr>
            <w:r>
              <w:rPr>
                <w:color w:val="000000"/>
                <w:sz w:val="20"/>
                <w:szCs w:val="20"/>
              </w:rPr>
              <w:t>8-35% (highly variable with congestion)</w:t>
            </w:r>
          </w:p>
        </w:tc>
        <w:tc>
          <w:tcPr>
            <w:tcW w:w="2160" w:type="dxa"/>
            <w:tcBorders>
              <w:top w:val="nil"/>
              <w:left w:val="nil"/>
              <w:bottom w:val="single" w:sz="4" w:space="0" w:color="auto"/>
              <w:right w:val="single" w:sz="4" w:space="0" w:color="auto"/>
            </w:tcBorders>
            <w:shd w:val="clear" w:color="000000" w:fill="FFFFFF"/>
            <w:vAlign w:val="center"/>
            <w:hideMark/>
          </w:tcPr>
          <w:p w14:paraId="74EE041D" w14:textId="77777777" w:rsidR="00796555" w:rsidRDefault="00796555" w:rsidP="006B21E2">
            <w:pPr>
              <w:rPr>
                <w:color w:val="000000"/>
                <w:sz w:val="20"/>
                <w:szCs w:val="20"/>
              </w:rPr>
            </w:pPr>
            <w:r>
              <w:rPr>
                <w:color w:val="000000"/>
                <w:sz w:val="20"/>
                <w:szCs w:val="20"/>
              </w:rPr>
              <w:t>3-12% (more stable but lower)</w:t>
            </w:r>
          </w:p>
        </w:tc>
        <w:tc>
          <w:tcPr>
            <w:tcW w:w="3150" w:type="dxa"/>
            <w:tcBorders>
              <w:top w:val="nil"/>
              <w:left w:val="nil"/>
              <w:bottom w:val="single" w:sz="4" w:space="0" w:color="auto"/>
              <w:right w:val="single" w:sz="8" w:space="0" w:color="auto"/>
            </w:tcBorders>
            <w:shd w:val="clear" w:color="000000" w:fill="FFFFFF"/>
            <w:vAlign w:val="center"/>
            <w:hideMark/>
          </w:tcPr>
          <w:p w14:paraId="6A20C2EB" w14:textId="77777777" w:rsidR="00796555" w:rsidRDefault="00796555" w:rsidP="006B21E2">
            <w:pPr>
              <w:rPr>
                <w:color w:val="000000"/>
                <w:sz w:val="20"/>
                <w:szCs w:val="20"/>
              </w:rPr>
            </w:pPr>
            <w:r>
              <w:rPr>
                <w:color w:val="000000"/>
                <w:sz w:val="20"/>
                <w:szCs w:val="20"/>
              </w:rPr>
              <w:t>Reduced but stabilized fee income; compensated by ETH price appreciation</w:t>
            </w:r>
          </w:p>
        </w:tc>
      </w:tr>
      <w:tr w:rsidR="008C757F" w14:paraId="2DF34278" w14:textId="77777777" w:rsidTr="003C0572">
        <w:trPr>
          <w:trHeight w:val="69"/>
        </w:trPr>
        <w:tc>
          <w:tcPr>
            <w:tcW w:w="1700" w:type="dxa"/>
            <w:tcBorders>
              <w:top w:val="nil"/>
              <w:left w:val="single" w:sz="8" w:space="0" w:color="auto"/>
              <w:bottom w:val="single" w:sz="4" w:space="0" w:color="auto"/>
              <w:right w:val="single" w:sz="4" w:space="0" w:color="auto"/>
            </w:tcBorders>
            <w:shd w:val="clear" w:color="000000" w:fill="FFFFFF"/>
            <w:vAlign w:val="center"/>
            <w:hideMark/>
          </w:tcPr>
          <w:p w14:paraId="64B7A697" w14:textId="77777777" w:rsidR="00796555" w:rsidRDefault="00796555" w:rsidP="006B21E2">
            <w:pPr>
              <w:rPr>
                <w:color w:val="000000"/>
                <w:sz w:val="20"/>
                <w:szCs w:val="20"/>
              </w:rPr>
            </w:pPr>
            <w:r>
              <w:rPr>
                <w:color w:val="000000"/>
                <w:sz w:val="20"/>
                <w:szCs w:val="20"/>
              </w:rPr>
              <w:t>Direct Validator Returns</w:t>
            </w:r>
          </w:p>
        </w:tc>
        <w:tc>
          <w:tcPr>
            <w:tcW w:w="2250" w:type="dxa"/>
            <w:tcBorders>
              <w:top w:val="nil"/>
              <w:left w:val="nil"/>
              <w:bottom w:val="single" w:sz="4" w:space="0" w:color="auto"/>
              <w:right w:val="single" w:sz="4" w:space="0" w:color="auto"/>
            </w:tcBorders>
            <w:shd w:val="clear" w:color="000000" w:fill="FFFFFF"/>
            <w:vAlign w:val="center"/>
            <w:hideMark/>
          </w:tcPr>
          <w:p w14:paraId="747ED8BA" w14:textId="77777777" w:rsidR="00796555" w:rsidRDefault="00796555" w:rsidP="006B21E2">
            <w:pPr>
              <w:rPr>
                <w:color w:val="000000"/>
                <w:sz w:val="20"/>
                <w:szCs w:val="20"/>
              </w:rPr>
            </w:pPr>
            <w:r>
              <w:rPr>
                <w:color w:val="000000"/>
                <w:sz w:val="20"/>
                <w:szCs w:val="20"/>
              </w:rPr>
              <w:t>Variable, congestion-dependent</w:t>
            </w:r>
          </w:p>
        </w:tc>
        <w:tc>
          <w:tcPr>
            <w:tcW w:w="2160" w:type="dxa"/>
            <w:tcBorders>
              <w:top w:val="nil"/>
              <w:left w:val="nil"/>
              <w:bottom w:val="single" w:sz="4" w:space="0" w:color="auto"/>
              <w:right w:val="single" w:sz="4" w:space="0" w:color="auto"/>
            </w:tcBorders>
            <w:shd w:val="clear" w:color="000000" w:fill="FFFFFF"/>
            <w:vAlign w:val="center"/>
            <w:hideMark/>
          </w:tcPr>
          <w:p w14:paraId="414D4AA9" w14:textId="77777777" w:rsidR="00796555" w:rsidRDefault="00796555" w:rsidP="006B21E2">
            <w:pPr>
              <w:rPr>
                <w:color w:val="000000"/>
                <w:sz w:val="20"/>
                <w:szCs w:val="20"/>
              </w:rPr>
            </w:pPr>
            <w:r>
              <w:rPr>
                <w:color w:val="000000"/>
                <w:sz w:val="20"/>
                <w:szCs w:val="20"/>
              </w:rPr>
              <w:t>4.8% APR (3.2% emissions + 1.6% fees)</w:t>
            </w:r>
          </w:p>
        </w:tc>
        <w:tc>
          <w:tcPr>
            <w:tcW w:w="3150" w:type="dxa"/>
            <w:tcBorders>
              <w:top w:val="nil"/>
              <w:left w:val="nil"/>
              <w:bottom w:val="single" w:sz="4" w:space="0" w:color="auto"/>
              <w:right w:val="single" w:sz="8" w:space="0" w:color="auto"/>
            </w:tcBorders>
            <w:shd w:val="clear" w:color="000000" w:fill="FFFFFF"/>
            <w:vAlign w:val="center"/>
            <w:hideMark/>
          </w:tcPr>
          <w:p w14:paraId="4D360F3C" w14:textId="77777777" w:rsidR="00796555" w:rsidRDefault="00796555" w:rsidP="006B21E2">
            <w:pPr>
              <w:rPr>
                <w:color w:val="000000"/>
                <w:sz w:val="20"/>
                <w:szCs w:val="20"/>
              </w:rPr>
            </w:pPr>
            <w:r>
              <w:rPr>
                <w:color w:val="000000"/>
                <w:sz w:val="20"/>
                <w:szCs w:val="20"/>
              </w:rPr>
              <w:t>More predictable but requires $96K capital (32 ETH)</w:t>
            </w:r>
          </w:p>
        </w:tc>
      </w:tr>
      <w:tr w:rsidR="008C757F" w14:paraId="5CAA24F9" w14:textId="77777777" w:rsidTr="003C0572">
        <w:trPr>
          <w:trHeight w:val="197"/>
        </w:trPr>
        <w:tc>
          <w:tcPr>
            <w:tcW w:w="1700" w:type="dxa"/>
            <w:tcBorders>
              <w:top w:val="nil"/>
              <w:left w:val="single" w:sz="8" w:space="0" w:color="auto"/>
              <w:bottom w:val="single" w:sz="4" w:space="0" w:color="auto"/>
              <w:right w:val="single" w:sz="4" w:space="0" w:color="auto"/>
            </w:tcBorders>
            <w:shd w:val="clear" w:color="000000" w:fill="FFFFFF"/>
            <w:vAlign w:val="center"/>
            <w:hideMark/>
          </w:tcPr>
          <w:p w14:paraId="6849CEFB" w14:textId="77777777" w:rsidR="00796555" w:rsidRDefault="00796555" w:rsidP="006B21E2">
            <w:pPr>
              <w:rPr>
                <w:color w:val="000000"/>
                <w:sz w:val="20"/>
                <w:szCs w:val="20"/>
              </w:rPr>
            </w:pPr>
            <w:r>
              <w:rPr>
                <w:color w:val="000000"/>
                <w:sz w:val="20"/>
                <w:szCs w:val="20"/>
              </w:rPr>
              <w:t>Lido Liquid Staking Returns</w:t>
            </w:r>
          </w:p>
        </w:tc>
        <w:tc>
          <w:tcPr>
            <w:tcW w:w="2250" w:type="dxa"/>
            <w:tcBorders>
              <w:top w:val="nil"/>
              <w:left w:val="nil"/>
              <w:bottom w:val="single" w:sz="4" w:space="0" w:color="auto"/>
              <w:right w:val="single" w:sz="4" w:space="0" w:color="auto"/>
            </w:tcBorders>
            <w:shd w:val="clear" w:color="000000" w:fill="FFFFFF"/>
            <w:vAlign w:val="center"/>
            <w:hideMark/>
          </w:tcPr>
          <w:p w14:paraId="729667C5" w14:textId="77777777" w:rsidR="00796555" w:rsidRDefault="00796555" w:rsidP="006B21E2">
            <w:pPr>
              <w:rPr>
                <w:color w:val="000000"/>
                <w:sz w:val="20"/>
                <w:szCs w:val="20"/>
              </w:rPr>
            </w:pPr>
            <w:r>
              <w:rPr>
                <w:color w:val="000000"/>
                <w:sz w:val="20"/>
                <w:szCs w:val="20"/>
              </w:rPr>
              <w:t>N/A (Lido launched post-EIP-1559)</w:t>
            </w:r>
          </w:p>
        </w:tc>
        <w:tc>
          <w:tcPr>
            <w:tcW w:w="2160" w:type="dxa"/>
            <w:tcBorders>
              <w:top w:val="nil"/>
              <w:left w:val="nil"/>
              <w:bottom w:val="single" w:sz="4" w:space="0" w:color="auto"/>
              <w:right w:val="single" w:sz="4" w:space="0" w:color="auto"/>
            </w:tcBorders>
            <w:shd w:val="clear" w:color="000000" w:fill="FFFFFF"/>
            <w:vAlign w:val="center"/>
            <w:hideMark/>
          </w:tcPr>
          <w:p w14:paraId="0F17E2AF" w14:textId="77777777" w:rsidR="00796555" w:rsidRDefault="00796555" w:rsidP="006B21E2">
            <w:pPr>
              <w:rPr>
                <w:color w:val="000000"/>
                <w:sz w:val="20"/>
                <w:szCs w:val="20"/>
              </w:rPr>
            </w:pPr>
            <w:r>
              <w:rPr>
                <w:color w:val="000000"/>
                <w:sz w:val="20"/>
                <w:szCs w:val="20"/>
              </w:rPr>
              <w:t>4.2% APR (after 10% protocol fee)</w:t>
            </w:r>
          </w:p>
        </w:tc>
        <w:tc>
          <w:tcPr>
            <w:tcW w:w="3150" w:type="dxa"/>
            <w:tcBorders>
              <w:top w:val="nil"/>
              <w:left w:val="nil"/>
              <w:bottom w:val="single" w:sz="4" w:space="0" w:color="auto"/>
              <w:right w:val="single" w:sz="8" w:space="0" w:color="auto"/>
            </w:tcBorders>
            <w:shd w:val="clear" w:color="000000" w:fill="FFFFFF"/>
            <w:vAlign w:val="center"/>
            <w:hideMark/>
          </w:tcPr>
          <w:p w14:paraId="22601FA1" w14:textId="77777777" w:rsidR="00796555" w:rsidRDefault="00796555" w:rsidP="006B21E2">
            <w:pPr>
              <w:rPr>
                <w:color w:val="000000"/>
                <w:sz w:val="20"/>
                <w:szCs w:val="20"/>
              </w:rPr>
            </w:pPr>
            <w:r>
              <w:rPr>
                <w:color w:val="000000"/>
                <w:sz w:val="20"/>
                <w:szCs w:val="20"/>
              </w:rPr>
              <w:t>Accessible with 0.1 ETH minimum but returns &lt; risk-free Treasury (4.5%)</w:t>
            </w:r>
          </w:p>
        </w:tc>
      </w:tr>
      <w:tr w:rsidR="008C757F" w14:paraId="45457B2D" w14:textId="77777777" w:rsidTr="003C0572">
        <w:trPr>
          <w:trHeight w:val="125"/>
        </w:trPr>
        <w:tc>
          <w:tcPr>
            <w:tcW w:w="1700" w:type="dxa"/>
            <w:tcBorders>
              <w:top w:val="nil"/>
              <w:left w:val="single" w:sz="8" w:space="0" w:color="auto"/>
              <w:bottom w:val="single" w:sz="4" w:space="0" w:color="auto"/>
              <w:right w:val="single" w:sz="4" w:space="0" w:color="auto"/>
            </w:tcBorders>
            <w:shd w:val="clear" w:color="000000" w:fill="FFFFFF"/>
            <w:vAlign w:val="center"/>
            <w:hideMark/>
          </w:tcPr>
          <w:p w14:paraId="06595B39" w14:textId="77777777" w:rsidR="00796555" w:rsidRDefault="00796555" w:rsidP="006B21E2">
            <w:pPr>
              <w:rPr>
                <w:color w:val="000000"/>
                <w:sz w:val="20"/>
                <w:szCs w:val="20"/>
              </w:rPr>
            </w:pPr>
            <w:r>
              <w:rPr>
                <w:color w:val="000000"/>
                <w:sz w:val="20"/>
                <w:szCs w:val="20"/>
              </w:rPr>
              <w:t>Centralized Staking Returns</w:t>
            </w:r>
          </w:p>
        </w:tc>
        <w:tc>
          <w:tcPr>
            <w:tcW w:w="2250" w:type="dxa"/>
            <w:tcBorders>
              <w:top w:val="nil"/>
              <w:left w:val="nil"/>
              <w:bottom w:val="single" w:sz="4" w:space="0" w:color="auto"/>
              <w:right w:val="single" w:sz="4" w:space="0" w:color="auto"/>
            </w:tcBorders>
            <w:shd w:val="clear" w:color="000000" w:fill="FFFFFF"/>
            <w:vAlign w:val="center"/>
            <w:hideMark/>
          </w:tcPr>
          <w:p w14:paraId="2D0D495D" w14:textId="77777777" w:rsidR="00796555" w:rsidRDefault="00796555" w:rsidP="006B21E2">
            <w:pPr>
              <w:rPr>
                <w:color w:val="000000"/>
                <w:sz w:val="20"/>
                <w:szCs w:val="20"/>
              </w:rPr>
            </w:pPr>
            <w:r>
              <w:rPr>
                <w:color w:val="000000"/>
                <w:sz w:val="20"/>
                <w:szCs w:val="20"/>
              </w:rPr>
              <w:t>3-5% typical</w:t>
            </w:r>
          </w:p>
        </w:tc>
        <w:tc>
          <w:tcPr>
            <w:tcW w:w="2160" w:type="dxa"/>
            <w:tcBorders>
              <w:top w:val="nil"/>
              <w:left w:val="nil"/>
              <w:bottom w:val="single" w:sz="4" w:space="0" w:color="auto"/>
              <w:right w:val="single" w:sz="4" w:space="0" w:color="auto"/>
            </w:tcBorders>
            <w:shd w:val="clear" w:color="000000" w:fill="FFFFFF"/>
            <w:vAlign w:val="center"/>
            <w:hideMark/>
          </w:tcPr>
          <w:p w14:paraId="71C43C57" w14:textId="77777777" w:rsidR="00796555" w:rsidRDefault="00796555" w:rsidP="006B21E2">
            <w:pPr>
              <w:rPr>
                <w:color w:val="000000"/>
                <w:sz w:val="20"/>
                <w:szCs w:val="20"/>
              </w:rPr>
            </w:pPr>
            <w:r>
              <w:rPr>
                <w:color w:val="000000"/>
                <w:sz w:val="20"/>
                <w:szCs w:val="20"/>
              </w:rPr>
              <w:t>3.8% APR (after 15-25% platform fees)</w:t>
            </w:r>
          </w:p>
        </w:tc>
        <w:tc>
          <w:tcPr>
            <w:tcW w:w="3150" w:type="dxa"/>
            <w:tcBorders>
              <w:top w:val="nil"/>
              <w:left w:val="nil"/>
              <w:bottom w:val="single" w:sz="4" w:space="0" w:color="auto"/>
              <w:right w:val="single" w:sz="8" w:space="0" w:color="auto"/>
            </w:tcBorders>
            <w:shd w:val="clear" w:color="000000" w:fill="FFFFFF"/>
            <w:vAlign w:val="center"/>
            <w:hideMark/>
          </w:tcPr>
          <w:p w14:paraId="104BC15B" w14:textId="77777777" w:rsidR="00796555" w:rsidRDefault="00796555" w:rsidP="006B21E2">
            <w:pPr>
              <w:rPr>
                <w:color w:val="000000"/>
                <w:sz w:val="20"/>
                <w:szCs w:val="20"/>
              </w:rPr>
            </w:pPr>
            <w:r>
              <w:rPr>
                <w:color w:val="000000"/>
                <w:sz w:val="20"/>
                <w:szCs w:val="20"/>
              </w:rPr>
              <w:t>Most accessible but lowest returns; convenience premium = 1-2% APR</w:t>
            </w:r>
          </w:p>
        </w:tc>
      </w:tr>
      <w:tr w:rsidR="008C757F" w14:paraId="285D2F4C" w14:textId="77777777" w:rsidTr="003C0572">
        <w:trPr>
          <w:trHeight w:val="69"/>
        </w:trPr>
        <w:tc>
          <w:tcPr>
            <w:tcW w:w="1700" w:type="dxa"/>
            <w:tcBorders>
              <w:top w:val="nil"/>
              <w:left w:val="single" w:sz="8" w:space="0" w:color="auto"/>
              <w:bottom w:val="single" w:sz="4" w:space="0" w:color="auto"/>
              <w:right w:val="single" w:sz="4" w:space="0" w:color="auto"/>
            </w:tcBorders>
            <w:shd w:val="clear" w:color="000000" w:fill="FFFFFF"/>
            <w:vAlign w:val="center"/>
            <w:hideMark/>
          </w:tcPr>
          <w:p w14:paraId="15935341" w14:textId="77777777" w:rsidR="00796555" w:rsidRDefault="00796555" w:rsidP="006B21E2">
            <w:pPr>
              <w:rPr>
                <w:color w:val="000000"/>
                <w:sz w:val="20"/>
                <w:szCs w:val="20"/>
              </w:rPr>
            </w:pPr>
            <w:r>
              <w:rPr>
                <w:color w:val="000000"/>
                <w:sz w:val="20"/>
                <w:szCs w:val="20"/>
              </w:rPr>
              <w:t>Base Fee Volatility</w:t>
            </w:r>
          </w:p>
        </w:tc>
        <w:tc>
          <w:tcPr>
            <w:tcW w:w="2250" w:type="dxa"/>
            <w:tcBorders>
              <w:top w:val="nil"/>
              <w:left w:val="nil"/>
              <w:bottom w:val="single" w:sz="4" w:space="0" w:color="auto"/>
              <w:right w:val="single" w:sz="4" w:space="0" w:color="auto"/>
            </w:tcBorders>
            <w:shd w:val="clear" w:color="000000" w:fill="FFFFFF"/>
            <w:vAlign w:val="center"/>
            <w:hideMark/>
          </w:tcPr>
          <w:p w14:paraId="4FED994A" w14:textId="77777777" w:rsidR="00796555" w:rsidRDefault="00796555" w:rsidP="006B21E2">
            <w:pPr>
              <w:rPr>
                <w:color w:val="000000"/>
                <w:sz w:val="20"/>
                <w:szCs w:val="20"/>
              </w:rPr>
            </w:pPr>
            <w:r>
              <w:rPr>
                <w:color w:val="000000"/>
                <w:sz w:val="20"/>
                <w:szCs w:val="20"/>
              </w:rPr>
              <w:t>High (baseline volatility)</w:t>
            </w:r>
          </w:p>
        </w:tc>
        <w:tc>
          <w:tcPr>
            <w:tcW w:w="2160" w:type="dxa"/>
            <w:tcBorders>
              <w:top w:val="nil"/>
              <w:left w:val="nil"/>
              <w:bottom w:val="single" w:sz="4" w:space="0" w:color="auto"/>
              <w:right w:val="single" w:sz="4" w:space="0" w:color="auto"/>
            </w:tcBorders>
            <w:shd w:val="clear" w:color="000000" w:fill="FFFFFF"/>
            <w:vAlign w:val="center"/>
            <w:hideMark/>
          </w:tcPr>
          <w:p w14:paraId="691E79F5" w14:textId="77777777" w:rsidR="00796555" w:rsidRDefault="00796555" w:rsidP="006B21E2">
            <w:pPr>
              <w:rPr>
                <w:color w:val="000000"/>
                <w:sz w:val="20"/>
                <w:szCs w:val="20"/>
              </w:rPr>
            </w:pPr>
            <w:r>
              <w:rPr>
                <w:color w:val="000000"/>
                <w:sz w:val="20"/>
                <w:szCs w:val="20"/>
              </w:rPr>
              <w:t>Reduced 61% (algorithmic adjustment)</w:t>
            </w:r>
          </w:p>
        </w:tc>
        <w:tc>
          <w:tcPr>
            <w:tcW w:w="3150" w:type="dxa"/>
            <w:tcBorders>
              <w:top w:val="nil"/>
              <w:left w:val="nil"/>
              <w:bottom w:val="single" w:sz="4" w:space="0" w:color="auto"/>
              <w:right w:val="single" w:sz="8" w:space="0" w:color="auto"/>
            </w:tcBorders>
            <w:shd w:val="clear" w:color="000000" w:fill="FFFFFF"/>
            <w:vAlign w:val="center"/>
            <w:hideMark/>
          </w:tcPr>
          <w:p w14:paraId="5139902F" w14:textId="77777777" w:rsidR="00796555" w:rsidRDefault="00796555" w:rsidP="006B21E2">
            <w:pPr>
              <w:rPr>
                <w:color w:val="000000"/>
                <w:sz w:val="20"/>
                <w:szCs w:val="20"/>
              </w:rPr>
            </w:pPr>
            <w:r>
              <w:rPr>
                <w:color w:val="000000"/>
                <w:sz w:val="20"/>
                <w:szCs w:val="20"/>
              </w:rPr>
              <w:t>Improved predictability for routine operations</w:t>
            </w:r>
          </w:p>
        </w:tc>
      </w:tr>
      <w:tr w:rsidR="008C757F" w14:paraId="59982FA7" w14:textId="77777777" w:rsidTr="003C0572">
        <w:trPr>
          <w:trHeight w:val="69"/>
        </w:trPr>
        <w:tc>
          <w:tcPr>
            <w:tcW w:w="1700" w:type="dxa"/>
            <w:tcBorders>
              <w:top w:val="nil"/>
              <w:left w:val="single" w:sz="8" w:space="0" w:color="auto"/>
              <w:bottom w:val="single" w:sz="4" w:space="0" w:color="auto"/>
              <w:right w:val="single" w:sz="4" w:space="0" w:color="auto"/>
            </w:tcBorders>
            <w:shd w:val="clear" w:color="000000" w:fill="FFFFFF"/>
            <w:vAlign w:val="center"/>
            <w:hideMark/>
          </w:tcPr>
          <w:p w14:paraId="19EC3062" w14:textId="77777777" w:rsidR="00796555" w:rsidRDefault="00796555" w:rsidP="006B21E2">
            <w:pPr>
              <w:rPr>
                <w:color w:val="000000"/>
                <w:sz w:val="20"/>
                <w:szCs w:val="20"/>
              </w:rPr>
            </w:pPr>
            <w:r>
              <w:rPr>
                <w:color w:val="000000"/>
                <w:sz w:val="20"/>
                <w:szCs w:val="20"/>
              </w:rPr>
              <w:t>Total Fee Volatility (base + priority)</w:t>
            </w:r>
          </w:p>
        </w:tc>
        <w:tc>
          <w:tcPr>
            <w:tcW w:w="2250" w:type="dxa"/>
            <w:tcBorders>
              <w:top w:val="nil"/>
              <w:left w:val="nil"/>
              <w:bottom w:val="single" w:sz="4" w:space="0" w:color="auto"/>
              <w:right w:val="single" w:sz="4" w:space="0" w:color="auto"/>
            </w:tcBorders>
            <w:shd w:val="clear" w:color="000000" w:fill="FFFFFF"/>
            <w:vAlign w:val="center"/>
            <w:hideMark/>
          </w:tcPr>
          <w:p w14:paraId="1508D4CE" w14:textId="77777777" w:rsidR="00796555" w:rsidRDefault="00796555" w:rsidP="006B21E2">
            <w:pPr>
              <w:rPr>
                <w:color w:val="000000"/>
                <w:sz w:val="20"/>
                <w:szCs w:val="20"/>
              </w:rPr>
            </w:pPr>
            <w:r>
              <w:rPr>
                <w:color w:val="000000"/>
                <w:sz w:val="20"/>
                <w:szCs w:val="20"/>
              </w:rPr>
              <w:t>Baseline</w:t>
            </w:r>
          </w:p>
        </w:tc>
        <w:tc>
          <w:tcPr>
            <w:tcW w:w="2160" w:type="dxa"/>
            <w:tcBorders>
              <w:top w:val="nil"/>
              <w:left w:val="nil"/>
              <w:bottom w:val="single" w:sz="4" w:space="0" w:color="auto"/>
              <w:right w:val="single" w:sz="4" w:space="0" w:color="auto"/>
            </w:tcBorders>
            <w:shd w:val="clear" w:color="000000" w:fill="FFFFFF"/>
            <w:vAlign w:val="center"/>
            <w:hideMark/>
          </w:tcPr>
          <w:p w14:paraId="0ED894F7" w14:textId="77777777" w:rsidR="00796555" w:rsidRDefault="00796555" w:rsidP="006B21E2">
            <w:pPr>
              <w:rPr>
                <w:color w:val="000000"/>
                <w:sz w:val="20"/>
                <w:szCs w:val="20"/>
              </w:rPr>
            </w:pPr>
            <w:r>
              <w:rPr>
                <w:color w:val="000000"/>
                <w:sz w:val="20"/>
                <w:szCs w:val="20"/>
              </w:rPr>
              <w:t>Reduced only 31% (priority tips spike during congestion)</w:t>
            </w:r>
          </w:p>
        </w:tc>
        <w:tc>
          <w:tcPr>
            <w:tcW w:w="3150" w:type="dxa"/>
            <w:tcBorders>
              <w:top w:val="nil"/>
              <w:left w:val="nil"/>
              <w:bottom w:val="single" w:sz="4" w:space="0" w:color="auto"/>
              <w:right w:val="single" w:sz="8" w:space="0" w:color="auto"/>
            </w:tcBorders>
            <w:shd w:val="clear" w:color="000000" w:fill="FFFFFF"/>
            <w:vAlign w:val="center"/>
            <w:hideMark/>
          </w:tcPr>
          <w:p w14:paraId="25D78F10" w14:textId="77777777" w:rsidR="00796555" w:rsidRDefault="00796555" w:rsidP="006B21E2">
            <w:pPr>
              <w:rPr>
                <w:color w:val="000000"/>
                <w:sz w:val="20"/>
                <w:szCs w:val="20"/>
              </w:rPr>
            </w:pPr>
            <w:r>
              <w:rPr>
                <w:color w:val="000000"/>
                <w:sz w:val="20"/>
                <w:szCs w:val="20"/>
              </w:rPr>
              <w:t xml:space="preserve">Partial </w:t>
            </w:r>
            <w:proofErr w:type="gramStart"/>
            <w:r>
              <w:rPr>
                <w:color w:val="000000"/>
                <w:sz w:val="20"/>
                <w:szCs w:val="20"/>
              </w:rPr>
              <w:t>improvement;</w:t>
            </w:r>
            <w:proofErr w:type="gramEnd"/>
            <w:r>
              <w:rPr>
                <w:color w:val="000000"/>
                <w:sz w:val="20"/>
                <w:szCs w:val="20"/>
              </w:rPr>
              <w:t xml:space="preserve"> auction dynamics persist via priority tips</w:t>
            </w:r>
          </w:p>
        </w:tc>
      </w:tr>
      <w:tr w:rsidR="008C757F" w14:paraId="18FD095B" w14:textId="77777777" w:rsidTr="003C0572">
        <w:trPr>
          <w:trHeight w:val="69"/>
        </w:trPr>
        <w:tc>
          <w:tcPr>
            <w:tcW w:w="1700" w:type="dxa"/>
            <w:tcBorders>
              <w:top w:val="nil"/>
              <w:left w:val="single" w:sz="8" w:space="0" w:color="auto"/>
              <w:bottom w:val="single" w:sz="8" w:space="0" w:color="auto"/>
              <w:right w:val="single" w:sz="4" w:space="0" w:color="auto"/>
            </w:tcBorders>
            <w:shd w:val="clear" w:color="000000" w:fill="FFFFFF"/>
            <w:vAlign w:val="center"/>
            <w:hideMark/>
          </w:tcPr>
          <w:p w14:paraId="3E690783" w14:textId="77777777" w:rsidR="00796555" w:rsidRDefault="00796555" w:rsidP="006B21E2">
            <w:pPr>
              <w:rPr>
                <w:color w:val="000000"/>
                <w:sz w:val="20"/>
                <w:szCs w:val="20"/>
              </w:rPr>
            </w:pPr>
            <w:r>
              <w:rPr>
                <w:color w:val="000000"/>
                <w:sz w:val="20"/>
                <w:szCs w:val="20"/>
              </w:rPr>
              <w:t>ETH Supply Impact</w:t>
            </w:r>
          </w:p>
        </w:tc>
        <w:tc>
          <w:tcPr>
            <w:tcW w:w="2250" w:type="dxa"/>
            <w:tcBorders>
              <w:top w:val="nil"/>
              <w:left w:val="nil"/>
              <w:bottom w:val="single" w:sz="8" w:space="0" w:color="auto"/>
              <w:right w:val="single" w:sz="4" w:space="0" w:color="auto"/>
            </w:tcBorders>
            <w:shd w:val="clear" w:color="000000" w:fill="FFFFFF"/>
            <w:vAlign w:val="center"/>
            <w:hideMark/>
          </w:tcPr>
          <w:p w14:paraId="5E52115E" w14:textId="77777777" w:rsidR="00796555" w:rsidRDefault="00796555" w:rsidP="006B21E2">
            <w:pPr>
              <w:rPr>
                <w:color w:val="000000"/>
                <w:sz w:val="20"/>
                <w:szCs w:val="20"/>
              </w:rPr>
            </w:pPr>
            <w:r>
              <w:rPr>
                <w:color w:val="000000"/>
                <w:sz w:val="20"/>
                <w:szCs w:val="20"/>
              </w:rPr>
              <w:t>Inflationary (new issuance &gt; burn)</w:t>
            </w:r>
          </w:p>
        </w:tc>
        <w:tc>
          <w:tcPr>
            <w:tcW w:w="2160" w:type="dxa"/>
            <w:tcBorders>
              <w:top w:val="nil"/>
              <w:left w:val="nil"/>
              <w:bottom w:val="single" w:sz="8" w:space="0" w:color="auto"/>
              <w:right w:val="single" w:sz="4" w:space="0" w:color="auto"/>
            </w:tcBorders>
            <w:shd w:val="clear" w:color="000000" w:fill="FFFFFF"/>
            <w:vAlign w:val="center"/>
            <w:hideMark/>
          </w:tcPr>
          <w:p w14:paraId="0D7128C1" w14:textId="77777777" w:rsidR="00796555" w:rsidRDefault="00796555" w:rsidP="006B21E2">
            <w:pPr>
              <w:rPr>
                <w:color w:val="000000"/>
                <w:sz w:val="20"/>
                <w:szCs w:val="20"/>
              </w:rPr>
            </w:pPr>
            <w:r>
              <w:rPr>
                <w:color w:val="000000"/>
                <w:sz w:val="20"/>
                <w:szCs w:val="20"/>
              </w:rPr>
              <w:t>Deflationary periods (3.8M ETH burned in 2024 = 3.2% supply)</w:t>
            </w:r>
          </w:p>
        </w:tc>
        <w:tc>
          <w:tcPr>
            <w:tcW w:w="3150" w:type="dxa"/>
            <w:tcBorders>
              <w:top w:val="nil"/>
              <w:left w:val="nil"/>
              <w:bottom w:val="single" w:sz="8" w:space="0" w:color="auto"/>
              <w:right w:val="single" w:sz="8" w:space="0" w:color="auto"/>
            </w:tcBorders>
            <w:shd w:val="clear" w:color="000000" w:fill="FFFFFF"/>
            <w:vAlign w:val="center"/>
            <w:hideMark/>
          </w:tcPr>
          <w:p w14:paraId="49353347" w14:textId="77777777" w:rsidR="00796555" w:rsidRDefault="00796555" w:rsidP="006B21E2">
            <w:pPr>
              <w:rPr>
                <w:color w:val="000000"/>
                <w:sz w:val="20"/>
                <w:szCs w:val="20"/>
              </w:rPr>
            </w:pPr>
            <w:r>
              <w:rPr>
                <w:color w:val="000000"/>
                <w:sz w:val="20"/>
                <w:szCs w:val="20"/>
              </w:rPr>
              <w:t xml:space="preserve">Burn mechanism supported ETH price; indirect benefit to </w:t>
            </w:r>
            <w:proofErr w:type="spellStart"/>
            <w:r>
              <w:rPr>
                <w:color w:val="000000"/>
                <w:sz w:val="20"/>
                <w:szCs w:val="20"/>
              </w:rPr>
              <w:t>stakers</w:t>
            </w:r>
            <w:proofErr w:type="spellEnd"/>
          </w:p>
        </w:tc>
      </w:tr>
    </w:tbl>
    <w:p w14:paraId="257F9459" w14:textId="6537075D" w:rsidR="001277C8" w:rsidRPr="00542848" w:rsidRDefault="001277C8" w:rsidP="006B21E2">
      <w:pPr>
        <w:rPr>
          <w:color w:val="000000" w:themeColor="text1"/>
          <w:sz w:val="22"/>
          <w:szCs w:val="22"/>
        </w:rPr>
      </w:pPr>
      <w:r w:rsidRPr="00542848">
        <w:rPr>
          <w:i/>
          <w:iCs/>
          <w:color w:val="000000" w:themeColor="text1"/>
          <w:sz w:val="22"/>
          <w:szCs w:val="22"/>
        </w:rPr>
        <w:t>Source:</w:t>
      </w:r>
      <w:r w:rsidRPr="00542848">
        <w:rPr>
          <w:color w:val="000000" w:themeColor="text1"/>
          <w:sz w:val="22"/>
          <w:szCs w:val="22"/>
        </w:rPr>
        <w:t xml:space="preserve"> Ethereum network data pre/post EIP-1559 implementation (August 2021). 2024 burn data from etherscan.io.</w:t>
      </w:r>
    </w:p>
    <w:p w14:paraId="1BFAC359" w14:textId="77777777" w:rsidR="00DE5604" w:rsidRPr="00DE5604" w:rsidRDefault="00DE5604" w:rsidP="006B21E2">
      <w:pPr>
        <w:jc w:val="both"/>
        <w:rPr>
          <w:rFonts w:eastAsiaTheme="majorEastAsia"/>
          <w:color w:val="FF0000"/>
        </w:rPr>
      </w:pPr>
    </w:p>
    <w:p w14:paraId="7E24FA0E" w14:textId="31703BD1" w:rsidR="00DE5604" w:rsidRPr="003830FA" w:rsidRDefault="00DE5604" w:rsidP="006B21E2">
      <w:pPr>
        <w:jc w:val="both"/>
        <w:rPr>
          <w:rFonts w:eastAsiaTheme="majorEastAsia"/>
          <w:b/>
          <w:bCs/>
          <w:color w:val="000000" w:themeColor="text1"/>
        </w:rPr>
      </w:pPr>
      <w:r w:rsidRPr="003830FA">
        <w:rPr>
          <w:rFonts w:eastAsiaTheme="majorEastAsia"/>
          <w:b/>
          <w:bCs/>
          <w:color w:val="000000" w:themeColor="text1"/>
        </w:rPr>
        <w:t>Critical Observations</w:t>
      </w:r>
    </w:p>
    <w:p w14:paraId="6B99EB49" w14:textId="77777777" w:rsidR="00DE5604" w:rsidRPr="00DE5604" w:rsidRDefault="00DE5604" w:rsidP="006B21E2">
      <w:pPr>
        <w:jc w:val="both"/>
        <w:rPr>
          <w:rFonts w:eastAsiaTheme="majorEastAsia"/>
          <w:color w:val="FF0000"/>
        </w:rPr>
      </w:pPr>
    </w:p>
    <w:p w14:paraId="0AE447A2" w14:textId="47D33947" w:rsidR="00DE5604" w:rsidRPr="003830FA" w:rsidRDefault="00DE5604" w:rsidP="006B21E2">
      <w:pPr>
        <w:ind w:left="720"/>
        <w:jc w:val="both"/>
        <w:rPr>
          <w:rFonts w:eastAsiaTheme="majorEastAsia"/>
          <w:color w:val="000000" w:themeColor="text1"/>
        </w:rPr>
      </w:pPr>
      <w:r w:rsidRPr="003830FA">
        <w:rPr>
          <w:rFonts w:eastAsiaTheme="majorEastAsia"/>
          <w:b/>
          <w:bCs/>
          <w:i/>
          <w:iCs/>
          <w:color w:val="000000" w:themeColor="text1"/>
        </w:rPr>
        <w:t>Fee Income Redistribution:</w:t>
      </w:r>
      <w:r w:rsidRPr="003830FA">
        <w:rPr>
          <w:rFonts w:eastAsiaTheme="majorEastAsia"/>
          <w:color w:val="000000" w:themeColor="text1"/>
        </w:rPr>
        <w:t xml:space="preserve"> </w:t>
      </w:r>
      <w:r w:rsidR="003830FA" w:rsidRPr="003830FA">
        <w:rPr>
          <w:rFonts w:eastAsiaTheme="majorEastAsia"/>
          <w:color w:val="000000" w:themeColor="text1"/>
        </w:rPr>
        <w:t>The v</w:t>
      </w:r>
      <w:r w:rsidRPr="003830FA">
        <w:rPr>
          <w:rFonts w:eastAsiaTheme="majorEastAsia"/>
          <w:color w:val="000000" w:themeColor="text1"/>
        </w:rPr>
        <w:t xml:space="preserve">alidator fee income decreased from 8-35% to 3-12% of total revenue, representing 58-73% reduction at the low end. However, this apparent loss was compensated by two factors: (a) increased predictability enabling better planning, and (b) ETH price appreciation partially attributed to deflationary burning (3.8M ETH = 3.2% supply in 2024). The mechanism transferred </w:t>
      </w:r>
      <w:r w:rsidR="003830FA" w:rsidRPr="003830FA">
        <w:rPr>
          <w:rFonts w:eastAsiaTheme="majorEastAsia"/>
          <w:color w:val="000000" w:themeColor="text1"/>
        </w:rPr>
        <w:t xml:space="preserve">the </w:t>
      </w:r>
      <w:r w:rsidRPr="003830FA">
        <w:rPr>
          <w:rFonts w:eastAsiaTheme="majorEastAsia"/>
          <w:color w:val="000000" w:themeColor="text1"/>
        </w:rPr>
        <w:t>value from validators to all ETH holders through supply reduction rather than direct fee distribution.</w:t>
      </w:r>
    </w:p>
    <w:p w14:paraId="729CCBEB" w14:textId="77777777" w:rsidR="00DE5604" w:rsidRPr="003830FA" w:rsidRDefault="00DE5604" w:rsidP="006B21E2">
      <w:pPr>
        <w:ind w:left="720"/>
        <w:jc w:val="both"/>
        <w:rPr>
          <w:rFonts w:eastAsiaTheme="majorEastAsia"/>
          <w:color w:val="000000" w:themeColor="text1"/>
        </w:rPr>
      </w:pPr>
    </w:p>
    <w:p w14:paraId="0447EDD0" w14:textId="0C2B7FF6" w:rsidR="00DE5604" w:rsidRPr="003830FA" w:rsidRDefault="00DE5604" w:rsidP="006B21E2">
      <w:pPr>
        <w:ind w:left="720"/>
        <w:jc w:val="both"/>
        <w:rPr>
          <w:rFonts w:eastAsiaTheme="majorEastAsia"/>
          <w:color w:val="000000" w:themeColor="text1"/>
        </w:rPr>
      </w:pPr>
      <w:r w:rsidRPr="003830FA">
        <w:rPr>
          <w:rFonts w:eastAsiaTheme="majorEastAsia"/>
          <w:b/>
          <w:bCs/>
          <w:i/>
          <w:iCs/>
          <w:color w:val="000000" w:themeColor="text1"/>
        </w:rPr>
        <w:t>Accessibility Hierarchy Post-EIP-1559:</w:t>
      </w:r>
      <w:r w:rsidRPr="003830FA">
        <w:rPr>
          <w:rFonts w:eastAsiaTheme="majorEastAsia"/>
          <w:color w:val="000000" w:themeColor="text1"/>
        </w:rPr>
        <w:t xml:space="preserve"> Direct validation (4.8% APR) requires $96,000 capital</w:t>
      </w:r>
      <w:r w:rsidR="003830FA" w:rsidRPr="003830FA">
        <w:rPr>
          <w:rFonts w:eastAsiaTheme="majorEastAsia"/>
          <w:color w:val="000000" w:themeColor="text1"/>
        </w:rPr>
        <w:t xml:space="preserve"> which </w:t>
      </w:r>
      <w:r w:rsidRPr="003830FA">
        <w:rPr>
          <w:rFonts w:eastAsiaTheme="majorEastAsia"/>
          <w:color w:val="000000" w:themeColor="text1"/>
        </w:rPr>
        <w:t>exclud</w:t>
      </w:r>
      <w:r w:rsidR="003830FA" w:rsidRPr="003830FA">
        <w:rPr>
          <w:rFonts w:eastAsiaTheme="majorEastAsia"/>
          <w:color w:val="000000" w:themeColor="text1"/>
        </w:rPr>
        <w:t>es</w:t>
      </w:r>
      <w:r w:rsidRPr="003830FA">
        <w:rPr>
          <w:rFonts w:eastAsiaTheme="majorEastAsia"/>
          <w:color w:val="000000" w:themeColor="text1"/>
        </w:rPr>
        <w:t xml:space="preserve"> 99%+ of participants. Liquid staking via Lido (4.2% APR) reduces </w:t>
      </w:r>
      <w:r w:rsidR="003830FA" w:rsidRPr="003830FA">
        <w:rPr>
          <w:rFonts w:eastAsiaTheme="majorEastAsia"/>
          <w:color w:val="000000" w:themeColor="text1"/>
        </w:rPr>
        <w:t xml:space="preserve">the </w:t>
      </w:r>
      <w:r w:rsidRPr="003830FA">
        <w:rPr>
          <w:rFonts w:eastAsiaTheme="majorEastAsia"/>
          <w:color w:val="000000" w:themeColor="text1"/>
        </w:rPr>
        <w:t xml:space="preserve">entry to 0.1 ETH (~$300) but extracts 10% protocol fee, creating </w:t>
      </w:r>
      <w:r w:rsidR="003830FA" w:rsidRPr="003830FA">
        <w:rPr>
          <w:rFonts w:eastAsiaTheme="majorEastAsia"/>
          <w:color w:val="000000" w:themeColor="text1"/>
        </w:rPr>
        <w:t xml:space="preserve">a </w:t>
      </w:r>
      <w:r w:rsidRPr="003830FA">
        <w:rPr>
          <w:rFonts w:eastAsiaTheme="majorEastAsia"/>
          <w:color w:val="000000" w:themeColor="text1"/>
        </w:rPr>
        <w:t>0.6 percentage point differential. Centralized staking (3.8% APR) offers maximum accessibility but imposes 15-25% platform fees</w:t>
      </w:r>
      <w:r w:rsidR="003830FA" w:rsidRPr="003830FA">
        <w:rPr>
          <w:rFonts w:eastAsiaTheme="majorEastAsia"/>
          <w:color w:val="000000" w:themeColor="text1"/>
        </w:rPr>
        <w:t xml:space="preserve"> which then </w:t>
      </w:r>
      <w:r w:rsidRPr="003830FA">
        <w:rPr>
          <w:rFonts w:eastAsiaTheme="majorEastAsia"/>
          <w:color w:val="000000" w:themeColor="text1"/>
        </w:rPr>
        <w:t>result</w:t>
      </w:r>
      <w:r w:rsidR="003830FA" w:rsidRPr="003830FA">
        <w:rPr>
          <w:rFonts w:eastAsiaTheme="majorEastAsia"/>
          <w:color w:val="000000" w:themeColor="text1"/>
        </w:rPr>
        <w:t>s</w:t>
      </w:r>
      <w:r w:rsidRPr="003830FA">
        <w:rPr>
          <w:rFonts w:eastAsiaTheme="majorEastAsia"/>
          <w:color w:val="000000" w:themeColor="text1"/>
        </w:rPr>
        <w:t xml:space="preserve"> in 1.0 percentage point underperformance versus direct validation. </w:t>
      </w:r>
    </w:p>
    <w:p w14:paraId="567AE634" w14:textId="77777777" w:rsidR="00DE5604" w:rsidRPr="00DE5604" w:rsidRDefault="00DE5604" w:rsidP="006B21E2">
      <w:pPr>
        <w:ind w:left="720"/>
        <w:jc w:val="both"/>
        <w:rPr>
          <w:rFonts w:eastAsiaTheme="majorEastAsia"/>
          <w:color w:val="FF0000"/>
        </w:rPr>
      </w:pPr>
    </w:p>
    <w:p w14:paraId="43DE4816" w14:textId="3DF40D1C" w:rsidR="00DE5604" w:rsidRPr="00EC6AF5" w:rsidRDefault="00DE5604" w:rsidP="006B21E2">
      <w:pPr>
        <w:ind w:left="720"/>
        <w:jc w:val="both"/>
        <w:rPr>
          <w:rFonts w:eastAsiaTheme="majorEastAsia"/>
          <w:color w:val="000000" w:themeColor="text1"/>
        </w:rPr>
      </w:pPr>
      <w:r w:rsidRPr="00EC6AF5">
        <w:rPr>
          <w:rFonts w:eastAsiaTheme="majorEastAsia"/>
          <w:b/>
          <w:bCs/>
          <w:i/>
          <w:iCs/>
          <w:color w:val="000000" w:themeColor="text1"/>
        </w:rPr>
        <w:t>Partial Volatility Resolution:</w:t>
      </w:r>
      <w:r w:rsidRPr="00EC6AF5">
        <w:rPr>
          <w:rFonts w:eastAsiaTheme="majorEastAsia"/>
          <w:color w:val="000000" w:themeColor="text1"/>
        </w:rPr>
        <w:t xml:space="preserve"> </w:t>
      </w:r>
      <w:r w:rsidR="00EC6AF5" w:rsidRPr="00EC6AF5">
        <w:rPr>
          <w:rFonts w:eastAsiaTheme="majorEastAsia"/>
          <w:color w:val="000000" w:themeColor="text1"/>
        </w:rPr>
        <w:t>The b</w:t>
      </w:r>
      <w:r w:rsidRPr="00EC6AF5">
        <w:rPr>
          <w:rFonts w:eastAsiaTheme="majorEastAsia"/>
          <w:color w:val="000000" w:themeColor="text1"/>
        </w:rPr>
        <w:t>ase fee volatility reduction (61%) successfully addressed one component of fee unpredictability. However, priority tips</w:t>
      </w:r>
      <w:r w:rsidR="00EC6AF5" w:rsidRPr="00EC6AF5">
        <w:rPr>
          <w:rFonts w:eastAsiaTheme="majorEastAsia"/>
          <w:color w:val="000000" w:themeColor="text1"/>
        </w:rPr>
        <w:t xml:space="preserve"> - </w:t>
      </w:r>
      <w:r w:rsidRPr="00EC6AF5">
        <w:rPr>
          <w:rFonts w:eastAsiaTheme="majorEastAsia"/>
          <w:color w:val="000000" w:themeColor="text1"/>
        </w:rPr>
        <w:t>the mechanism enabling users to pay for transaction urgency</w:t>
      </w:r>
      <w:r w:rsidR="00EC6AF5" w:rsidRPr="00EC6AF5">
        <w:rPr>
          <w:rFonts w:eastAsiaTheme="majorEastAsia"/>
          <w:color w:val="000000" w:themeColor="text1"/>
        </w:rPr>
        <w:t xml:space="preserve"> - </w:t>
      </w:r>
      <w:r w:rsidRPr="00EC6AF5">
        <w:rPr>
          <w:rFonts w:eastAsiaTheme="majorEastAsia"/>
          <w:color w:val="000000" w:themeColor="text1"/>
        </w:rPr>
        <w:t>retained auction dynamics during congestion. Total fee volatility reduction (31%) demonstrates that EIP-1559 solved half the problem while preserving market-based price discovery for scarce block space. This partial solution benefits sophisticated participants who can optimize base/priority fee ratios while casual users face continued complexity.</w:t>
      </w:r>
    </w:p>
    <w:p w14:paraId="41803CBF" w14:textId="77777777" w:rsidR="00DE5604" w:rsidRPr="00DE5604" w:rsidRDefault="00DE5604" w:rsidP="006B21E2">
      <w:pPr>
        <w:jc w:val="both"/>
        <w:rPr>
          <w:rFonts w:eastAsiaTheme="majorEastAsia"/>
          <w:color w:val="FF0000"/>
        </w:rPr>
      </w:pPr>
    </w:p>
    <w:p w14:paraId="6FA75389" w14:textId="01B86726" w:rsidR="00DE5604" w:rsidRPr="00EC6AF5" w:rsidRDefault="00DE5604" w:rsidP="006B21E2">
      <w:pPr>
        <w:ind w:left="720"/>
        <w:jc w:val="both"/>
        <w:rPr>
          <w:rFonts w:eastAsiaTheme="majorEastAsia"/>
          <w:color w:val="000000" w:themeColor="text1"/>
        </w:rPr>
      </w:pPr>
      <w:r w:rsidRPr="00EC6AF5">
        <w:rPr>
          <w:rFonts w:eastAsiaTheme="majorEastAsia"/>
          <w:b/>
          <w:bCs/>
          <w:i/>
          <w:iCs/>
          <w:color w:val="000000" w:themeColor="text1"/>
        </w:rPr>
        <w:t>Economic vs Technical Success:</w:t>
      </w:r>
      <w:r w:rsidRPr="00EC6AF5">
        <w:rPr>
          <w:rFonts w:eastAsiaTheme="majorEastAsia"/>
          <w:color w:val="000000" w:themeColor="text1"/>
        </w:rPr>
        <w:t xml:space="preserve"> EIP-1559 achieved technical objectives (algorithmic fee adjustment, supply deflation) while creating economic trade-offs. Validators received more stable but </w:t>
      </w:r>
      <w:proofErr w:type="gramStart"/>
      <w:r w:rsidRPr="00EC6AF5">
        <w:rPr>
          <w:rFonts w:eastAsiaTheme="majorEastAsia"/>
          <w:color w:val="000000" w:themeColor="text1"/>
        </w:rPr>
        <w:t>reduced fee</w:t>
      </w:r>
      <w:proofErr w:type="gramEnd"/>
      <w:r w:rsidRPr="00EC6AF5">
        <w:rPr>
          <w:rFonts w:eastAsiaTheme="majorEastAsia"/>
          <w:color w:val="000000" w:themeColor="text1"/>
        </w:rPr>
        <w:t xml:space="preserve"> income. Small </w:t>
      </w:r>
      <w:proofErr w:type="spellStart"/>
      <w:r w:rsidRPr="00EC6AF5">
        <w:rPr>
          <w:rFonts w:eastAsiaTheme="majorEastAsia"/>
          <w:color w:val="000000" w:themeColor="text1"/>
        </w:rPr>
        <w:t>stakers</w:t>
      </w:r>
      <w:proofErr w:type="spellEnd"/>
      <w:r w:rsidRPr="00EC6AF5">
        <w:rPr>
          <w:rFonts w:eastAsiaTheme="majorEastAsia"/>
          <w:color w:val="000000" w:themeColor="text1"/>
        </w:rPr>
        <w:t xml:space="preserve"> gained accessibility (via Lido) but earned </w:t>
      </w:r>
      <w:r w:rsidRPr="00EC6AF5">
        <w:rPr>
          <w:rFonts w:eastAsiaTheme="majorEastAsia"/>
          <w:color w:val="000000" w:themeColor="text1"/>
        </w:rPr>
        <w:lastRenderedPageBreak/>
        <w:t xml:space="preserve">returns below risk-free rates (3.8-4.2% vs 4.5% Treasury). The mechanism improved </w:t>
      </w:r>
      <w:r w:rsidR="00EC6AF5" w:rsidRPr="00EC6AF5">
        <w:rPr>
          <w:rFonts w:eastAsiaTheme="majorEastAsia"/>
          <w:color w:val="000000" w:themeColor="text1"/>
        </w:rPr>
        <w:t xml:space="preserve">the </w:t>
      </w:r>
      <w:r w:rsidRPr="00EC6AF5">
        <w:rPr>
          <w:rFonts w:eastAsiaTheme="majorEastAsia"/>
          <w:color w:val="000000" w:themeColor="text1"/>
        </w:rPr>
        <w:t>network economics (deflationary pressure supported price) while degrading individual economics.</w:t>
      </w:r>
    </w:p>
    <w:p w14:paraId="013C9B0C" w14:textId="77777777" w:rsidR="00DE5604" w:rsidRPr="00DE5604" w:rsidRDefault="00DE5604" w:rsidP="006B21E2">
      <w:pPr>
        <w:ind w:left="720"/>
        <w:jc w:val="both"/>
        <w:rPr>
          <w:rFonts w:eastAsiaTheme="majorEastAsia"/>
          <w:color w:val="FF0000"/>
        </w:rPr>
      </w:pPr>
    </w:p>
    <w:p w14:paraId="0D14BA9C" w14:textId="221AD5BC" w:rsidR="00DE5604" w:rsidRPr="006B47F3" w:rsidRDefault="00DE5604" w:rsidP="006B21E2">
      <w:pPr>
        <w:ind w:left="720"/>
        <w:jc w:val="both"/>
        <w:rPr>
          <w:rFonts w:eastAsiaTheme="majorEastAsia"/>
          <w:color w:val="000000" w:themeColor="text1"/>
        </w:rPr>
      </w:pPr>
      <w:r w:rsidRPr="006B47F3">
        <w:rPr>
          <w:rFonts w:eastAsiaTheme="majorEastAsia"/>
          <w:b/>
          <w:bCs/>
          <w:i/>
          <w:iCs/>
          <w:color w:val="000000" w:themeColor="text1"/>
        </w:rPr>
        <w:t>Risk-Return Violation:</w:t>
      </w:r>
      <w:r w:rsidRPr="006B47F3">
        <w:rPr>
          <w:rFonts w:eastAsiaTheme="majorEastAsia"/>
          <w:color w:val="000000" w:themeColor="text1"/>
        </w:rPr>
        <w:t xml:space="preserve"> Post-EIP-1559 staking offers 3.8-4.8% nominal returns while accepting full ETH price volatility (weekly standard deviation 6.7% during </w:t>
      </w:r>
      <w:r w:rsidR="006B47F3" w:rsidRPr="006B47F3">
        <w:rPr>
          <w:rFonts w:eastAsiaTheme="majorEastAsia"/>
          <w:color w:val="000000" w:themeColor="text1"/>
        </w:rPr>
        <w:t xml:space="preserve">the </w:t>
      </w:r>
      <w:r w:rsidRPr="006B47F3">
        <w:rPr>
          <w:rFonts w:eastAsiaTheme="majorEastAsia"/>
          <w:color w:val="000000" w:themeColor="text1"/>
        </w:rPr>
        <w:t xml:space="preserve">study period). Traditional finance would </w:t>
      </w:r>
      <w:r w:rsidR="006B47F3" w:rsidRPr="006B47F3">
        <w:rPr>
          <w:rFonts w:eastAsiaTheme="majorEastAsia"/>
          <w:color w:val="000000" w:themeColor="text1"/>
        </w:rPr>
        <w:t>classify</w:t>
      </w:r>
      <w:r w:rsidRPr="006B47F3">
        <w:rPr>
          <w:rFonts w:eastAsiaTheme="majorEastAsia"/>
          <w:color w:val="000000" w:themeColor="text1"/>
        </w:rPr>
        <w:t xml:space="preserve"> this risk-return profile </w:t>
      </w:r>
      <w:r w:rsidR="006B47F3" w:rsidRPr="006B47F3">
        <w:rPr>
          <w:rFonts w:eastAsiaTheme="majorEastAsia"/>
          <w:color w:val="000000" w:themeColor="text1"/>
        </w:rPr>
        <w:t xml:space="preserve">as </w:t>
      </w:r>
      <w:r w:rsidRPr="006B47F3">
        <w:rPr>
          <w:rFonts w:eastAsiaTheme="majorEastAsia"/>
          <w:color w:val="000000" w:themeColor="text1"/>
        </w:rPr>
        <w:t>unacceptable</w:t>
      </w:r>
      <w:r w:rsidR="006B47F3" w:rsidRPr="006B47F3">
        <w:rPr>
          <w:rFonts w:eastAsiaTheme="majorEastAsia"/>
          <w:color w:val="000000" w:themeColor="text1"/>
        </w:rPr>
        <w:t xml:space="preserve"> as it only shows</w:t>
      </w:r>
      <w:r w:rsidRPr="006B47F3">
        <w:rPr>
          <w:rFonts w:eastAsiaTheme="majorEastAsia"/>
          <w:color w:val="000000" w:themeColor="text1"/>
        </w:rPr>
        <w:t xml:space="preserve"> equity-like volatility for bond-like returns. </w:t>
      </w:r>
      <w:r w:rsidR="006B47F3" w:rsidRPr="006B47F3">
        <w:rPr>
          <w:rFonts w:eastAsiaTheme="majorEastAsia"/>
          <w:color w:val="000000" w:themeColor="text1"/>
        </w:rPr>
        <w:t>A r</w:t>
      </w:r>
      <w:r w:rsidRPr="006B47F3">
        <w:rPr>
          <w:rFonts w:eastAsiaTheme="majorEastAsia"/>
          <w:color w:val="000000" w:themeColor="text1"/>
        </w:rPr>
        <w:t xml:space="preserve">ational participation </w:t>
      </w:r>
      <w:r w:rsidR="006B47F3" w:rsidRPr="006B47F3">
        <w:rPr>
          <w:rFonts w:eastAsiaTheme="majorEastAsia"/>
          <w:color w:val="000000" w:themeColor="text1"/>
        </w:rPr>
        <w:t xml:space="preserve">would </w:t>
      </w:r>
      <w:r w:rsidRPr="006B47F3">
        <w:rPr>
          <w:rFonts w:eastAsiaTheme="majorEastAsia"/>
          <w:color w:val="000000" w:themeColor="text1"/>
        </w:rPr>
        <w:t xml:space="preserve">require non-financial motivations </w:t>
      </w:r>
      <w:r w:rsidR="006B47F3" w:rsidRPr="006B47F3">
        <w:rPr>
          <w:rFonts w:eastAsiaTheme="majorEastAsia"/>
          <w:color w:val="000000" w:themeColor="text1"/>
        </w:rPr>
        <w:t xml:space="preserve">such as </w:t>
      </w:r>
      <w:r w:rsidRPr="006B47F3">
        <w:rPr>
          <w:rFonts w:eastAsiaTheme="majorEastAsia"/>
          <w:color w:val="000000" w:themeColor="text1"/>
        </w:rPr>
        <w:t xml:space="preserve">supporting </w:t>
      </w:r>
      <w:r w:rsidR="006B47F3" w:rsidRPr="006B47F3">
        <w:rPr>
          <w:rFonts w:eastAsiaTheme="majorEastAsia"/>
          <w:color w:val="000000" w:themeColor="text1"/>
        </w:rPr>
        <w:t xml:space="preserve">the </w:t>
      </w:r>
      <w:r w:rsidRPr="006B47F3">
        <w:rPr>
          <w:rFonts w:eastAsiaTheme="majorEastAsia"/>
          <w:color w:val="000000" w:themeColor="text1"/>
        </w:rPr>
        <w:t>network, governance rights, long-term price appreciation expectations</w:t>
      </w:r>
      <w:r w:rsidR="006B47F3" w:rsidRPr="006B47F3">
        <w:rPr>
          <w:rFonts w:eastAsiaTheme="majorEastAsia"/>
          <w:color w:val="000000" w:themeColor="text1"/>
        </w:rPr>
        <w:t xml:space="preserve">, </w:t>
      </w:r>
      <w:r w:rsidRPr="006B47F3">
        <w:rPr>
          <w:rFonts w:eastAsiaTheme="majorEastAsia"/>
          <w:color w:val="000000" w:themeColor="text1"/>
        </w:rPr>
        <w:t>rather than yield optimization.</w:t>
      </w:r>
    </w:p>
    <w:p w14:paraId="6F479C55" w14:textId="77777777" w:rsidR="00DE5604" w:rsidRPr="00DE5604" w:rsidRDefault="00DE5604" w:rsidP="006B21E2">
      <w:pPr>
        <w:ind w:left="720"/>
        <w:jc w:val="both"/>
        <w:rPr>
          <w:rFonts w:eastAsiaTheme="majorEastAsia"/>
          <w:color w:val="FF0000"/>
        </w:rPr>
      </w:pPr>
    </w:p>
    <w:p w14:paraId="29454DEC" w14:textId="1DE86443" w:rsidR="00DE5604" w:rsidRPr="00365E9E" w:rsidRDefault="00DE5604" w:rsidP="006B21E2">
      <w:pPr>
        <w:ind w:left="720"/>
        <w:jc w:val="both"/>
        <w:rPr>
          <w:rFonts w:eastAsiaTheme="majorEastAsia"/>
          <w:color w:val="000000" w:themeColor="text1"/>
        </w:rPr>
      </w:pPr>
      <w:r w:rsidRPr="00365E9E">
        <w:rPr>
          <w:rFonts w:eastAsiaTheme="majorEastAsia"/>
          <w:b/>
          <w:bCs/>
          <w:i/>
          <w:iCs/>
          <w:color w:val="000000" w:themeColor="text1"/>
        </w:rPr>
        <w:t>Theoretical Implication:</w:t>
      </w:r>
      <w:r w:rsidRPr="00365E9E">
        <w:rPr>
          <w:rFonts w:eastAsiaTheme="majorEastAsia"/>
          <w:color w:val="000000" w:themeColor="text1"/>
        </w:rPr>
        <w:t xml:space="preserve"> EIP-1559 demonstrates that protocol-level improvements can simultaneously enhance network economics (deflationary supply, fee predictability) while degrading individual participant economics (reduced returns, continued volatility). The divergence between collective and individual interests explains why technically successful upgrades may </w:t>
      </w:r>
      <w:proofErr w:type="gramStart"/>
      <w:r w:rsidRPr="00365E9E">
        <w:rPr>
          <w:rFonts w:eastAsiaTheme="majorEastAsia"/>
          <w:color w:val="000000" w:themeColor="text1"/>
        </w:rPr>
        <w:t>reduce</w:t>
      </w:r>
      <w:proofErr w:type="gramEnd"/>
      <w:r w:rsidRPr="00365E9E">
        <w:rPr>
          <w:rFonts w:eastAsiaTheme="majorEastAsia"/>
          <w:color w:val="000000" w:themeColor="text1"/>
        </w:rPr>
        <w:t xml:space="preserve"> rather than increase income viability for capital-constrained participants. Fee mechanism design optimizes for network sustainability rather than participant profitability.</w:t>
      </w:r>
    </w:p>
    <w:p w14:paraId="62CB1B24" w14:textId="77777777" w:rsidR="00DE5604" w:rsidRPr="00DE5604" w:rsidRDefault="00DE5604" w:rsidP="006B21E2">
      <w:pPr>
        <w:ind w:left="720"/>
        <w:jc w:val="both"/>
        <w:rPr>
          <w:rFonts w:eastAsiaTheme="majorEastAsia"/>
          <w:color w:val="FF0000"/>
        </w:rPr>
      </w:pPr>
    </w:p>
    <w:p w14:paraId="1AFADB2E" w14:textId="77777777" w:rsidR="003746BF" w:rsidRPr="003746BF" w:rsidRDefault="00DE5604" w:rsidP="006B21E2">
      <w:pPr>
        <w:jc w:val="both"/>
        <w:rPr>
          <w:rFonts w:eastAsiaTheme="majorEastAsia"/>
          <w:b/>
          <w:bCs/>
          <w:color w:val="000000" w:themeColor="text1"/>
        </w:rPr>
      </w:pPr>
      <w:r w:rsidRPr="003746BF">
        <w:rPr>
          <w:rFonts w:eastAsiaTheme="majorEastAsia"/>
          <w:b/>
          <w:bCs/>
          <w:color w:val="000000" w:themeColor="text1"/>
        </w:rPr>
        <w:t>Natural Experiment Conclusion</w:t>
      </w:r>
    </w:p>
    <w:p w14:paraId="3FCA598A" w14:textId="5D03BE73" w:rsidR="001277C8" w:rsidRPr="003746BF" w:rsidRDefault="00DE5604" w:rsidP="006B21E2">
      <w:pPr>
        <w:jc w:val="both"/>
        <w:rPr>
          <w:rFonts w:eastAsiaTheme="majorEastAsia"/>
          <w:color w:val="000000" w:themeColor="text1"/>
        </w:rPr>
      </w:pPr>
      <w:r w:rsidRPr="003746BF">
        <w:rPr>
          <w:rFonts w:eastAsiaTheme="majorEastAsia"/>
          <w:color w:val="000000" w:themeColor="text1"/>
        </w:rPr>
        <w:t xml:space="preserve">The EIP-1559 implementation provides rare empirical evidence of protocol-level fee mechanism impact. The results suggest that fee burning creates value for token holders </w:t>
      </w:r>
      <w:r w:rsidR="003746BF" w:rsidRPr="003746BF">
        <w:rPr>
          <w:rFonts w:eastAsiaTheme="majorEastAsia"/>
          <w:color w:val="000000" w:themeColor="text1"/>
        </w:rPr>
        <w:t xml:space="preserve">with </w:t>
      </w:r>
      <w:r w:rsidRPr="003746BF">
        <w:rPr>
          <w:rFonts w:eastAsiaTheme="majorEastAsia"/>
          <w:color w:val="000000" w:themeColor="text1"/>
        </w:rPr>
        <w:t>price support through supply reduction</w:t>
      </w:r>
      <w:r w:rsidR="003746BF" w:rsidRPr="003746BF">
        <w:rPr>
          <w:rFonts w:eastAsiaTheme="majorEastAsia"/>
          <w:color w:val="000000" w:themeColor="text1"/>
        </w:rPr>
        <w:t xml:space="preserve">. But on the other </w:t>
      </w:r>
      <w:proofErr w:type="gramStart"/>
      <w:r w:rsidR="003746BF" w:rsidRPr="003746BF">
        <w:rPr>
          <w:rFonts w:eastAsiaTheme="majorEastAsia"/>
          <w:color w:val="000000" w:themeColor="text1"/>
        </w:rPr>
        <w:t>hand</w:t>
      </w:r>
      <w:proofErr w:type="gramEnd"/>
      <w:r w:rsidR="003746BF" w:rsidRPr="003746BF">
        <w:rPr>
          <w:rFonts w:eastAsiaTheme="majorEastAsia"/>
          <w:color w:val="000000" w:themeColor="text1"/>
        </w:rPr>
        <w:t xml:space="preserve"> it </w:t>
      </w:r>
      <w:r w:rsidRPr="003746BF">
        <w:rPr>
          <w:rFonts w:eastAsiaTheme="majorEastAsia"/>
          <w:color w:val="000000" w:themeColor="text1"/>
        </w:rPr>
        <w:t>diminish</w:t>
      </w:r>
      <w:r w:rsidR="003746BF" w:rsidRPr="003746BF">
        <w:rPr>
          <w:rFonts w:eastAsiaTheme="majorEastAsia"/>
          <w:color w:val="000000" w:themeColor="text1"/>
        </w:rPr>
        <w:t>es</w:t>
      </w:r>
      <w:r w:rsidRPr="003746BF">
        <w:rPr>
          <w:rFonts w:eastAsiaTheme="majorEastAsia"/>
          <w:color w:val="000000" w:themeColor="text1"/>
        </w:rPr>
        <w:t xml:space="preserve"> value for validators specifically </w:t>
      </w:r>
      <w:r w:rsidR="003746BF" w:rsidRPr="003746BF">
        <w:rPr>
          <w:rFonts w:eastAsiaTheme="majorEastAsia"/>
          <w:color w:val="000000" w:themeColor="text1"/>
        </w:rPr>
        <w:t xml:space="preserve">when looking at </w:t>
      </w:r>
      <w:r w:rsidRPr="003746BF">
        <w:rPr>
          <w:rFonts w:eastAsiaTheme="majorEastAsia"/>
          <w:color w:val="000000" w:themeColor="text1"/>
        </w:rPr>
        <w:t xml:space="preserve">reduced fee income. For limited-capital participants considering staking, post-EIP-1559 returns (3.8-4.2% via accessible methods) make economic sense only for existing token holders </w:t>
      </w:r>
      <w:r w:rsidR="003746BF" w:rsidRPr="003746BF">
        <w:rPr>
          <w:rFonts w:eastAsiaTheme="majorEastAsia"/>
          <w:color w:val="000000" w:themeColor="text1"/>
        </w:rPr>
        <w:t xml:space="preserve">which are </w:t>
      </w:r>
      <w:r w:rsidRPr="003746BF">
        <w:rPr>
          <w:rFonts w:eastAsiaTheme="majorEastAsia"/>
          <w:color w:val="000000" w:themeColor="text1"/>
        </w:rPr>
        <w:t>seeking yield on assets held for other purposes</w:t>
      </w:r>
      <w:r w:rsidR="003746BF" w:rsidRPr="003746BF">
        <w:rPr>
          <w:rFonts w:eastAsiaTheme="majorEastAsia"/>
          <w:color w:val="000000" w:themeColor="text1"/>
        </w:rPr>
        <w:t xml:space="preserve"> </w:t>
      </w:r>
      <w:proofErr w:type="gramStart"/>
      <w:r w:rsidR="003746BF" w:rsidRPr="003746BF">
        <w:rPr>
          <w:rFonts w:eastAsiaTheme="majorEastAsia"/>
          <w:color w:val="000000" w:themeColor="text1"/>
        </w:rPr>
        <w:t>that</w:t>
      </w:r>
      <w:proofErr w:type="gramEnd"/>
      <w:r w:rsidR="003746BF" w:rsidRPr="003746BF">
        <w:rPr>
          <w:rFonts w:eastAsiaTheme="majorEastAsia"/>
          <w:color w:val="000000" w:themeColor="text1"/>
        </w:rPr>
        <w:t xml:space="preserve"> a</w:t>
      </w:r>
      <w:r w:rsidRPr="003746BF">
        <w:rPr>
          <w:rFonts w:eastAsiaTheme="majorEastAsia"/>
          <w:color w:val="000000" w:themeColor="text1"/>
        </w:rPr>
        <w:t xml:space="preserve"> standalone income strategy.</w:t>
      </w:r>
    </w:p>
    <w:p w14:paraId="4E2D8E97" w14:textId="77777777" w:rsidR="001277C8" w:rsidRPr="003C66A0" w:rsidRDefault="001277C8" w:rsidP="006B21E2">
      <w:pPr>
        <w:jc w:val="both"/>
        <w:rPr>
          <w:rFonts w:eastAsiaTheme="majorEastAsia"/>
          <w:b/>
          <w:bCs/>
          <w:color w:val="000000" w:themeColor="text1"/>
        </w:rPr>
      </w:pPr>
    </w:p>
    <w:p w14:paraId="15D03C5C" w14:textId="75F7E340" w:rsidR="00331CD9" w:rsidRPr="003C66A0" w:rsidRDefault="008D6F57" w:rsidP="006B21E2">
      <w:pPr>
        <w:pStyle w:val="Heading3"/>
        <w:jc w:val="both"/>
        <w:rPr>
          <w:rFonts w:eastAsiaTheme="majorEastAsia"/>
        </w:rPr>
      </w:pPr>
      <w:bookmarkStart w:id="136" w:name="_Toc214721942"/>
      <w:r w:rsidRPr="003C66A0">
        <w:rPr>
          <w:rFonts w:eastAsiaTheme="majorEastAsia"/>
        </w:rPr>
        <w:t>6</w:t>
      </w:r>
      <w:r w:rsidR="00331CD9" w:rsidRPr="003C66A0">
        <w:rPr>
          <w:rFonts w:eastAsiaTheme="majorEastAsia"/>
        </w:rPr>
        <w:t>.1.2 Alternative Consensus Mechanisms: Different Games, Different Rules</w:t>
      </w:r>
      <w:bookmarkEnd w:id="136"/>
    </w:p>
    <w:p w14:paraId="70A864EB" w14:textId="3BB98DA0" w:rsidR="00331CD9" w:rsidRPr="003C66A0" w:rsidRDefault="005407A6" w:rsidP="006B21E2">
      <w:pPr>
        <w:jc w:val="both"/>
        <w:rPr>
          <w:rFonts w:eastAsiaTheme="majorEastAsia"/>
          <w:bCs/>
          <w:color w:val="000000" w:themeColor="text1"/>
        </w:rPr>
      </w:pPr>
      <w:r w:rsidRPr="003C66A0">
        <w:rPr>
          <w:rFonts w:eastAsiaTheme="majorEastAsia"/>
          <w:bCs/>
          <w:color w:val="000000" w:themeColor="text1"/>
        </w:rPr>
        <w:t>A c</w:t>
      </w:r>
      <w:r w:rsidR="00331CD9" w:rsidRPr="003C66A0">
        <w:rPr>
          <w:rFonts w:eastAsiaTheme="majorEastAsia"/>
          <w:bCs/>
          <w:color w:val="000000" w:themeColor="text1"/>
        </w:rPr>
        <w:t xml:space="preserve">omparative analysis across consensus mechanisms </w:t>
      </w:r>
      <w:r w:rsidRPr="003C66A0">
        <w:rPr>
          <w:rFonts w:eastAsiaTheme="majorEastAsia"/>
          <w:bCs/>
          <w:color w:val="000000" w:themeColor="text1"/>
        </w:rPr>
        <w:t>showed</w:t>
      </w:r>
      <w:r w:rsidR="00331CD9" w:rsidRPr="003C66A0">
        <w:rPr>
          <w:rFonts w:eastAsiaTheme="majorEastAsia"/>
          <w:bCs/>
          <w:color w:val="000000" w:themeColor="text1"/>
        </w:rPr>
        <w:t xml:space="preserve"> how technical architecture determines </w:t>
      </w:r>
      <w:r w:rsidRPr="003C66A0">
        <w:rPr>
          <w:rFonts w:eastAsiaTheme="majorEastAsia"/>
          <w:bCs/>
          <w:color w:val="000000" w:themeColor="text1"/>
        </w:rPr>
        <w:t xml:space="preserve">the </w:t>
      </w:r>
      <w:r w:rsidR="00331CD9" w:rsidRPr="003C66A0">
        <w:rPr>
          <w:rFonts w:eastAsiaTheme="majorEastAsia"/>
          <w:bCs/>
          <w:color w:val="000000" w:themeColor="text1"/>
        </w:rPr>
        <w:t>economic opportunity:</w:t>
      </w:r>
    </w:p>
    <w:p w14:paraId="282DF027" w14:textId="77777777" w:rsidR="005C21FD" w:rsidRPr="003C66A0" w:rsidRDefault="005C21FD" w:rsidP="006B21E2">
      <w:pPr>
        <w:jc w:val="both"/>
        <w:rPr>
          <w:rFonts w:eastAsiaTheme="majorEastAsia"/>
          <w:b/>
          <w:bCs/>
          <w:color w:val="000000" w:themeColor="text1"/>
        </w:rPr>
      </w:pPr>
    </w:p>
    <w:p w14:paraId="073480DD" w14:textId="07A38B91" w:rsidR="00331CD9" w:rsidRPr="003C66A0" w:rsidRDefault="00331CD9" w:rsidP="006B21E2">
      <w:pPr>
        <w:jc w:val="both"/>
        <w:rPr>
          <w:rFonts w:eastAsiaTheme="majorEastAsia"/>
          <w:bCs/>
          <w:color w:val="000000" w:themeColor="text1"/>
        </w:rPr>
      </w:pPr>
      <w:r w:rsidRPr="003C66A0">
        <w:rPr>
          <w:rFonts w:eastAsiaTheme="majorEastAsia"/>
          <w:b/>
          <w:bCs/>
          <w:color w:val="000000" w:themeColor="text1"/>
        </w:rPr>
        <w:t xml:space="preserve">Proof of Stake (Ethereum, Cardano, </w:t>
      </w:r>
      <w:proofErr w:type="spellStart"/>
      <w:r w:rsidRPr="003C66A0">
        <w:rPr>
          <w:rFonts w:eastAsiaTheme="majorEastAsia"/>
          <w:b/>
          <w:bCs/>
          <w:color w:val="000000" w:themeColor="text1"/>
        </w:rPr>
        <w:t>Algorand</w:t>
      </w:r>
      <w:proofErr w:type="spellEnd"/>
      <w:r w:rsidRPr="003C66A0">
        <w:rPr>
          <w:rFonts w:eastAsiaTheme="majorEastAsia"/>
          <w:b/>
          <w:bCs/>
          <w:color w:val="000000" w:themeColor="text1"/>
        </w:rPr>
        <w:t>):</w:t>
      </w:r>
    </w:p>
    <w:p w14:paraId="04404A92" w14:textId="77777777" w:rsidR="00331CD9" w:rsidRPr="003C66A0" w:rsidRDefault="00331CD9" w:rsidP="006B21E2">
      <w:pPr>
        <w:numPr>
          <w:ilvl w:val="0"/>
          <w:numId w:val="40"/>
        </w:numPr>
        <w:jc w:val="both"/>
        <w:rPr>
          <w:rFonts w:eastAsiaTheme="majorEastAsia"/>
          <w:bCs/>
          <w:color w:val="000000" w:themeColor="text1"/>
        </w:rPr>
      </w:pPr>
      <w:r w:rsidRPr="003C66A0">
        <w:rPr>
          <w:rFonts w:eastAsiaTheme="majorEastAsia"/>
          <w:bCs/>
          <w:color w:val="000000" w:themeColor="text1"/>
        </w:rPr>
        <w:t>Entry barriers: High for direct participation ($96,000 Ethereum, $5,000 Cardano)</w:t>
      </w:r>
    </w:p>
    <w:p w14:paraId="317983EE" w14:textId="77777777" w:rsidR="00331CD9" w:rsidRPr="003C66A0" w:rsidRDefault="00331CD9" w:rsidP="006B21E2">
      <w:pPr>
        <w:numPr>
          <w:ilvl w:val="0"/>
          <w:numId w:val="40"/>
        </w:numPr>
        <w:jc w:val="both"/>
        <w:rPr>
          <w:rFonts w:eastAsiaTheme="majorEastAsia"/>
          <w:bCs/>
          <w:color w:val="000000" w:themeColor="text1"/>
        </w:rPr>
      </w:pPr>
      <w:r w:rsidRPr="003C66A0">
        <w:rPr>
          <w:rFonts w:eastAsiaTheme="majorEastAsia"/>
          <w:bCs/>
          <w:color w:val="000000" w:themeColor="text1"/>
        </w:rPr>
        <w:t>Delegation options: Available, reducing barriers to $10-100</w:t>
      </w:r>
    </w:p>
    <w:p w14:paraId="1DC7007A" w14:textId="77777777" w:rsidR="00331CD9" w:rsidRPr="003C66A0" w:rsidRDefault="00331CD9" w:rsidP="006B21E2">
      <w:pPr>
        <w:numPr>
          <w:ilvl w:val="0"/>
          <w:numId w:val="40"/>
        </w:numPr>
        <w:jc w:val="both"/>
        <w:rPr>
          <w:rFonts w:eastAsiaTheme="majorEastAsia"/>
          <w:bCs/>
          <w:color w:val="000000" w:themeColor="text1"/>
        </w:rPr>
      </w:pPr>
      <w:r w:rsidRPr="003C66A0">
        <w:rPr>
          <w:rFonts w:eastAsiaTheme="majorEastAsia"/>
          <w:bCs/>
          <w:color w:val="000000" w:themeColor="text1"/>
        </w:rPr>
        <w:t>Fee capture: 15-30% of validator income</w:t>
      </w:r>
    </w:p>
    <w:p w14:paraId="766A18F1" w14:textId="77777777" w:rsidR="00331CD9" w:rsidRPr="003C66A0" w:rsidRDefault="00331CD9" w:rsidP="006B21E2">
      <w:pPr>
        <w:numPr>
          <w:ilvl w:val="0"/>
          <w:numId w:val="40"/>
        </w:numPr>
        <w:jc w:val="both"/>
        <w:rPr>
          <w:rFonts w:eastAsiaTheme="majorEastAsia"/>
          <w:bCs/>
          <w:color w:val="000000" w:themeColor="text1"/>
        </w:rPr>
      </w:pPr>
      <w:r w:rsidRPr="003C66A0">
        <w:rPr>
          <w:rFonts w:eastAsiaTheme="majorEastAsia"/>
          <w:bCs/>
          <w:color w:val="000000" w:themeColor="text1"/>
        </w:rPr>
        <w:t>Return stability: High (coefficient of variation 0.23)</w:t>
      </w:r>
    </w:p>
    <w:p w14:paraId="3813171F" w14:textId="77777777" w:rsidR="005C21FD" w:rsidRPr="003C66A0" w:rsidRDefault="005C21FD" w:rsidP="006B21E2">
      <w:pPr>
        <w:jc w:val="both"/>
        <w:rPr>
          <w:rFonts w:eastAsiaTheme="majorEastAsia"/>
          <w:b/>
          <w:bCs/>
          <w:color w:val="000000" w:themeColor="text1"/>
        </w:rPr>
      </w:pPr>
    </w:p>
    <w:p w14:paraId="5F4BC079" w14:textId="0562BDAC" w:rsidR="00331CD9" w:rsidRPr="003C66A0" w:rsidRDefault="00331CD9" w:rsidP="006B21E2">
      <w:pPr>
        <w:jc w:val="both"/>
        <w:rPr>
          <w:rFonts w:eastAsiaTheme="majorEastAsia"/>
          <w:bCs/>
          <w:color w:val="000000" w:themeColor="text1"/>
        </w:rPr>
      </w:pPr>
      <w:r w:rsidRPr="003C66A0">
        <w:rPr>
          <w:rFonts w:eastAsiaTheme="majorEastAsia"/>
          <w:b/>
          <w:bCs/>
          <w:color w:val="000000" w:themeColor="text1"/>
        </w:rPr>
        <w:t>Delegated Proof of Stake (EOS, Tron, BSC):</w:t>
      </w:r>
    </w:p>
    <w:p w14:paraId="7823C396" w14:textId="77777777" w:rsidR="00331CD9" w:rsidRPr="003C66A0" w:rsidRDefault="00331CD9" w:rsidP="006B21E2">
      <w:pPr>
        <w:numPr>
          <w:ilvl w:val="0"/>
          <w:numId w:val="41"/>
        </w:numPr>
        <w:jc w:val="both"/>
        <w:rPr>
          <w:rFonts w:eastAsiaTheme="majorEastAsia"/>
          <w:bCs/>
          <w:color w:val="000000" w:themeColor="text1"/>
        </w:rPr>
      </w:pPr>
      <w:r w:rsidRPr="003C66A0">
        <w:rPr>
          <w:rFonts w:eastAsiaTheme="majorEastAsia"/>
          <w:bCs/>
          <w:color w:val="000000" w:themeColor="text1"/>
        </w:rPr>
        <w:t>Entry barriers: Extreme for validators (top 21-27 only)</w:t>
      </w:r>
    </w:p>
    <w:p w14:paraId="0F134556" w14:textId="77777777" w:rsidR="00331CD9" w:rsidRPr="003C66A0" w:rsidRDefault="00331CD9" w:rsidP="006B21E2">
      <w:pPr>
        <w:numPr>
          <w:ilvl w:val="0"/>
          <w:numId w:val="41"/>
        </w:numPr>
        <w:jc w:val="both"/>
        <w:rPr>
          <w:rFonts w:eastAsiaTheme="majorEastAsia"/>
          <w:bCs/>
          <w:color w:val="000000" w:themeColor="text1"/>
        </w:rPr>
      </w:pPr>
      <w:r w:rsidRPr="003C66A0">
        <w:rPr>
          <w:rFonts w:eastAsiaTheme="majorEastAsia"/>
          <w:bCs/>
          <w:color w:val="000000" w:themeColor="text1"/>
        </w:rPr>
        <w:t>Delegation options: Widely available, $1 minimum</w:t>
      </w:r>
    </w:p>
    <w:p w14:paraId="7157A0D2" w14:textId="77777777" w:rsidR="00331CD9" w:rsidRPr="003C66A0" w:rsidRDefault="00331CD9" w:rsidP="006B21E2">
      <w:pPr>
        <w:numPr>
          <w:ilvl w:val="0"/>
          <w:numId w:val="41"/>
        </w:numPr>
        <w:jc w:val="both"/>
        <w:rPr>
          <w:rFonts w:eastAsiaTheme="majorEastAsia"/>
          <w:bCs/>
          <w:color w:val="000000" w:themeColor="text1"/>
        </w:rPr>
      </w:pPr>
      <w:r w:rsidRPr="003C66A0">
        <w:rPr>
          <w:rFonts w:eastAsiaTheme="majorEastAsia"/>
          <w:bCs/>
          <w:color w:val="000000" w:themeColor="text1"/>
        </w:rPr>
        <w:t>Fee capture: 5-10% of validator income</w:t>
      </w:r>
    </w:p>
    <w:p w14:paraId="49C19B6A" w14:textId="77777777" w:rsidR="00331CD9" w:rsidRDefault="00331CD9" w:rsidP="006B21E2">
      <w:pPr>
        <w:numPr>
          <w:ilvl w:val="0"/>
          <w:numId w:val="41"/>
        </w:numPr>
        <w:jc w:val="both"/>
        <w:rPr>
          <w:rFonts w:eastAsiaTheme="majorEastAsia"/>
          <w:bCs/>
          <w:color w:val="000000" w:themeColor="text1"/>
        </w:rPr>
      </w:pPr>
      <w:r w:rsidRPr="003C66A0">
        <w:rPr>
          <w:rFonts w:eastAsiaTheme="majorEastAsia"/>
          <w:bCs/>
          <w:color w:val="000000" w:themeColor="text1"/>
        </w:rPr>
        <w:t>Return stability: Moderate (coefficient of variation 0.41)</w:t>
      </w:r>
    </w:p>
    <w:p w14:paraId="6AD45497" w14:textId="77777777" w:rsidR="001970FA" w:rsidRPr="003C66A0" w:rsidRDefault="001970FA" w:rsidP="006B21E2">
      <w:pPr>
        <w:ind w:left="720"/>
        <w:jc w:val="both"/>
        <w:rPr>
          <w:rFonts w:eastAsiaTheme="majorEastAsia"/>
          <w:bCs/>
          <w:color w:val="000000" w:themeColor="text1"/>
        </w:rPr>
      </w:pPr>
    </w:p>
    <w:p w14:paraId="2374068E" w14:textId="77777777" w:rsidR="00331CD9" w:rsidRPr="003C66A0" w:rsidRDefault="00331CD9" w:rsidP="006B21E2">
      <w:pPr>
        <w:jc w:val="both"/>
        <w:rPr>
          <w:rFonts w:eastAsiaTheme="majorEastAsia"/>
          <w:bCs/>
          <w:color w:val="000000" w:themeColor="text1"/>
        </w:rPr>
      </w:pPr>
      <w:r w:rsidRPr="003C66A0">
        <w:rPr>
          <w:rFonts w:eastAsiaTheme="majorEastAsia"/>
          <w:b/>
          <w:bCs/>
          <w:color w:val="000000" w:themeColor="text1"/>
        </w:rPr>
        <w:t xml:space="preserve">Proof of Authority (BSC validator set, Polygon </w:t>
      </w:r>
      <w:proofErr w:type="spellStart"/>
      <w:r w:rsidRPr="003C66A0">
        <w:rPr>
          <w:rFonts w:eastAsiaTheme="majorEastAsia"/>
          <w:b/>
          <w:bCs/>
          <w:color w:val="000000" w:themeColor="text1"/>
        </w:rPr>
        <w:t>PoS</w:t>
      </w:r>
      <w:proofErr w:type="spellEnd"/>
      <w:r w:rsidRPr="003C66A0">
        <w:rPr>
          <w:rFonts w:eastAsiaTheme="majorEastAsia"/>
          <w:b/>
          <w:bCs/>
          <w:color w:val="000000" w:themeColor="text1"/>
        </w:rPr>
        <w:t>):</w:t>
      </w:r>
    </w:p>
    <w:p w14:paraId="352C2F48" w14:textId="77777777" w:rsidR="00331CD9" w:rsidRPr="003C66A0" w:rsidRDefault="00331CD9" w:rsidP="006B21E2">
      <w:pPr>
        <w:numPr>
          <w:ilvl w:val="0"/>
          <w:numId w:val="42"/>
        </w:numPr>
        <w:jc w:val="both"/>
        <w:rPr>
          <w:rFonts w:eastAsiaTheme="majorEastAsia"/>
          <w:bCs/>
          <w:color w:val="000000" w:themeColor="text1"/>
        </w:rPr>
      </w:pPr>
      <w:r w:rsidRPr="003C66A0">
        <w:rPr>
          <w:rFonts w:eastAsiaTheme="majorEastAsia"/>
          <w:bCs/>
          <w:color w:val="000000" w:themeColor="text1"/>
        </w:rPr>
        <w:t>Entry barriers: Permission required, not capital-based</w:t>
      </w:r>
    </w:p>
    <w:p w14:paraId="7B1EB1BF" w14:textId="77777777" w:rsidR="00331CD9" w:rsidRPr="003C66A0" w:rsidRDefault="00331CD9" w:rsidP="006B21E2">
      <w:pPr>
        <w:numPr>
          <w:ilvl w:val="0"/>
          <w:numId w:val="42"/>
        </w:numPr>
        <w:jc w:val="both"/>
        <w:rPr>
          <w:rFonts w:eastAsiaTheme="majorEastAsia"/>
          <w:bCs/>
          <w:color w:val="000000" w:themeColor="text1"/>
        </w:rPr>
      </w:pPr>
      <w:r w:rsidRPr="003C66A0">
        <w:rPr>
          <w:rFonts w:eastAsiaTheme="majorEastAsia"/>
          <w:bCs/>
          <w:color w:val="000000" w:themeColor="text1"/>
        </w:rPr>
        <w:t>Delegation options: Limited or none</w:t>
      </w:r>
    </w:p>
    <w:p w14:paraId="6395EF5C" w14:textId="77777777" w:rsidR="00331CD9" w:rsidRPr="003C66A0" w:rsidRDefault="00331CD9" w:rsidP="006B21E2">
      <w:pPr>
        <w:numPr>
          <w:ilvl w:val="0"/>
          <w:numId w:val="42"/>
        </w:numPr>
        <w:jc w:val="both"/>
        <w:rPr>
          <w:rFonts w:eastAsiaTheme="majorEastAsia"/>
          <w:bCs/>
          <w:color w:val="000000" w:themeColor="text1"/>
        </w:rPr>
      </w:pPr>
      <w:r w:rsidRPr="003C66A0">
        <w:rPr>
          <w:rFonts w:eastAsiaTheme="majorEastAsia"/>
          <w:bCs/>
          <w:color w:val="000000" w:themeColor="text1"/>
        </w:rPr>
        <w:t>Fee capture: 40-60% of validator income</w:t>
      </w:r>
    </w:p>
    <w:p w14:paraId="0A0C89BF" w14:textId="77777777" w:rsidR="00331CD9" w:rsidRPr="003C66A0" w:rsidRDefault="00331CD9" w:rsidP="006B21E2">
      <w:pPr>
        <w:numPr>
          <w:ilvl w:val="0"/>
          <w:numId w:val="42"/>
        </w:numPr>
        <w:jc w:val="both"/>
        <w:rPr>
          <w:rFonts w:eastAsiaTheme="majorEastAsia"/>
          <w:bCs/>
          <w:color w:val="000000" w:themeColor="text1"/>
        </w:rPr>
      </w:pPr>
      <w:r w:rsidRPr="003C66A0">
        <w:rPr>
          <w:rFonts w:eastAsiaTheme="majorEastAsia"/>
          <w:bCs/>
          <w:color w:val="000000" w:themeColor="text1"/>
        </w:rPr>
        <w:t>Return stability: Very high (coefficient of variation 0.12)</w:t>
      </w:r>
    </w:p>
    <w:p w14:paraId="29A70625" w14:textId="77777777" w:rsidR="005C21FD" w:rsidRPr="003C66A0" w:rsidRDefault="005C21FD" w:rsidP="006B21E2">
      <w:pPr>
        <w:jc w:val="both"/>
        <w:rPr>
          <w:rFonts w:eastAsiaTheme="majorEastAsia"/>
          <w:bCs/>
          <w:color w:val="000000" w:themeColor="text1"/>
        </w:rPr>
      </w:pPr>
    </w:p>
    <w:p w14:paraId="1E0D1864" w14:textId="7224A207" w:rsidR="00331CD9" w:rsidRPr="003C66A0" w:rsidRDefault="00331CD9" w:rsidP="006B21E2">
      <w:pPr>
        <w:jc w:val="both"/>
        <w:rPr>
          <w:rFonts w:eastAsiaTheme="majorEastAsia"/>
          <w:bCs/>
          <w:color w:val="000000" w:themeColor="text1"/>
        </w:rPr>
      </w:pPr>
      <w:r w:rsidRPr="003C66A0">
        <w:rPr>
          <w:rFonts w:eastAsiaTheme="majorEastAsia"/>
          <w:bCs/>
          <w:color w:val="000000" w:themeColor="text1"/>
        </w:rPr>
        <w:t>The pattern</w:t>
      </w:r>
      <w:r w:rsidR="005407A6" w:rsidRPr="003C66A0">
        <w:rPr>
          <w:rFonts w:eastAsiaTheme="majorEastAsia"/>
          <w:bCs/>
          <w:color w:val="000000" w:themeColor="text1"/>
        </w:rPr>
        <w:t xml:space="preserve"> identified here shows that</w:t>
      </w:r>
      <w:r w:rsidRPr="003C66A0">
        <w:rPr>
          <w:rFonts w:eastAsiaTheme="majorEastAsia"/>
          <w:bCs/>
          <w:color w:val="000000" w:themeColor="text1"/>
        </w:rPr>
        <w:t xml:space="preserve"> lower barriers correlate with lower returns and less fee capture. </w:t>
      </w:r>
    </w:p>
    <w:p w14:paraId="5B3FE800" w14:textId="77777777" w:rsidR="009F3043" w:rsidRDefault="009F3043" w:rsidP="006B21E2">
      <w:pPr>
        <w:jc w:val="both"/>
        <w:rPr>
          <w:rFonts w:eastAsiaTheme="majorEastAsia"/>
          <w:b/>
          <w:bCs/>
          <w:color w:val="000000" w:themeColor="text1"/>
        </w:rPr>
      </w:pPr>
    </w:p>
    <w:p w14:paraId="1AE8C99E" w14:textId="4EBDE6CB" w:rsidR="00510401" w:rsidRPr="00F84223" w:rsidRDefault="00510401" w:rsidP="006B21E2">
      <w:pPr>
        <w:jc w:val="both"/>
        <w:rPr>
          <w:rFonts w:eastAsiaTheme="majorEastAsia"/>
          <w:color w:val="000000" w:themeColor="text1"/>
        </w:rPr>
      </w:pPr>
      <w:r w:rsidRPr="00F84223">
        <w:rPr>
          <w:rFonts w:eastAsiaTheme="majorEastAsia"/>
          <w:color w:val="000000" w:themeColor="text1"/>
        </w:rPr>
        <w:t>Table 6.</w:t>
      </w:r>
      <w:r w:rsidR="00C5607F">
        <w:rPr>
          <w:rFonts w:eastAsiaTheme="majorEastAsia"/>
          <w:color w:val="000000" w:themeColor="text1"/>
        </w:rPr>
        <w:t>B</w:t>
      </w:r>
      <w:r w:rsidRPr="00F84223">
        <w:rPr>
          <w:rFonts w:eastAsiaTheme="majorEastAsia"/>
          <w:color w:val="000000" w:themeColor="text1"/>
        </w:rPr>
        <w:t xml:space="preserve"> </w:t>
      </w:r>
      <w:r w:rsidR="00896DD7">
        <w:rPr>
          <w:rFonts w:eastAsiaTheme="majorEastAsia"/>
          <w:color w:val="000000" w:themeColor="text1"/>
        </w:rPr>
        <w:t xml:space="preserve">below </w:t>
      </w:r>
      <w:r w:rsidRPr="00F84223">
        <w:rPr>
          <w:rFonts w:eastAsiaTheme="majorEastAsia"/>
          <w:color w:val="000000" w:themeColor="text1"/>
        </w:rPr>
        <w:t>synthesizes the comparative analysis of protocol-level fee mechanisms across major blockchain networks, revealing how consensus architecture determines participation accessibility and economic outcomes</w:t>
      </w:r>
    </w:p>
    <w:p w14:paraId="01EEF175" w14:textId="77777777" w:rsidR="00510401" w:rsidRDefault="00510401" w:rsidP="006B21E2">
      <w:pPr>
        <w:jc w:val="both"/>
        <w:rPr>
          <w:rFonts w:eastAsiaTheme="majorEastAsia"/>
          <w:b/>
          <w:bCs/>
          <w:color w:val="000000" w:themeColor="text1"/>
        </w:rPr>
      </w:pPr>
    </w:p>
    <w:p w14:paraId="018B8B44" w14:textId="07BE7F1F" w:rsidR="00510401" w:rsidRDefault="00510401" w:rsidP="006B21E2">
      <w:pPr>
        <w:pStyle w:val="Heading3"/>
        <w:jc w:val="both"/>
        <w:rPr>
          <w:color w:val="000000" w:themeColor="text1"/>
        </w:rPr>
      </w:pPr>
      <w:bookmarkStart w:id="137" w:name="_Toc214721943"/>
      <w:r w:rsidRPr="00510401">
        <w:rPr>
          <w:color w:val="000000" w:themeColor="text1"/>
        </w:rPr>
        <w:t>Table 6.</w:t>
      </w:r>
      <w:r w:rsidR="00C5607F">
        <w:rPr>
          <w:color w:val="000000" w:themeColor="text1"/>
        </w:rPr>
        <w:t>B</w:t>
      </w:r>
      <w:r w:rsidRPr="00510401">
        <w:rPr>
          <w:color w:val="000000" w:themeColor="text1"/>
        </w:rPr>
        <w:t>: Protocol-Level Fee Models Comparison Across Major Blockchains</w:t>
      </w:r>
      <w:bookmarkEnd w:id="137"/>
    </w:p>
    <w:p w14:paraId="233034E5" w14:textId="77777777" w:rsidR="007B6BAB" w:rsidRDefault="007B6BAB" w:rsidP="006B21E2"/>
    <w:tbl>
      <w:tblPr>
        <w:tblW w:w="9350" w:type="dxa"/>
        <w:tblLayout w:type="fixed"/>
        <w:tblLook w:val="04A0" w:firstRow="1" w:lastRow="0" w:firstColumn="1" w:lastColumn="0" w:noHBand="0" w:noVBand="1"/>
      </w:tblPr>
      <w:tblGrid>
        <w:gridCol w:w="1253"/>
        <w:gridCol w:w="1416"/>
        <w:gridCol w:w="1527"/>
        <w:gridCol w:w="1039"/>
        <w:gridCol w:w="875"/>
        <w:gridCol w:w="900"/>
        <w:gridCol w:w="2340"/>
      </w:tblGrid>
      <w:tr w:rsidR="00990CCB" w:rsidRPr="00990CCB" w14:paraId="1EA8A4D3" w14:textId="77777777" w:rsidTr="00990CCB">
        <w:trPr>
          <w:trHeight w:val="1380"/>
        </w:trPr>
        <w:tc>
          <w:tcPr>
            <w:tcW w:w="1253" w:type="dxa"/>
            <w:tcBorders>
              <w:top w:val="single" w:sz="8" w:space="0" w:color="auto"/>
              <w:left w:val="single" w:sz="8" w:space="0" w:color="auto"/>
              <w:bottom w:val="single" w:sz="8" w:space="0" w:color="auto"/>
              <w:right w:val="single" w:sz="4" w:space="0" w:color="auto"/>
            </w:tcBorders>
            <w:shd w:val="clear" w:color="000000" w:fill="E0E0E0"/>
            <w:vAlign w:val="center"/>
            <w:hideMark/>
          </w:tcPr>
          <w:p w14:paraId="156F214A" w14:textId="77777777" w:rsidR="007B6BAB" w:rsidRPr="00990CCB" w:rsidRDefault="007B6BAB" w:rsidP="006B21E2">
            <w:pPr>
              <w:jc w:val="center"/>
              <w:rPr>
                <w:b/>
                <w:bCs/>
                <w:color w:val="000000"/>
                <w:sz w:val="20"/>
                <w:szCs w:val="20"/>
              </w:rPr>
            </w:pPr>
            <w:r w:rsidRPr="00990CCB">
              <w:rPr>
                <w:b/>
                <w:bCs/>
                <w:color w:val="000000"/>
                <w:sz w:val="20"/>
                <w:szCs w:val="20"/>
              </w:rPr>
              <w:t>Consensus Mechanism / Network</w:t>
            </w:r>
          </w:p>
        </w:tc>
        <w:tc>
          <w:tcPr>
            <w:tcW w:w="1416" w:type="dxa"/>
            <w:tcBorders>
              <w:top w:val="single" w:sz="8" w:space="0" w:color="auto"/>
              <w:left w:val="nil"/>
              <w:bottom w:val="single" w:sz="8" w:space="0" w:color="auto"/>
              <w:right w:val="single" w:sz="4" w:space="0" w:color="auto"/>
            </w:tcBorders>
            <w:shd w:val="clear" w:color="000000" w:fill="E0E0E0"/>
            <w:vAlign w:val="center"/>
            <w:hideMark/>
          </w:tcPr>
          <w:p w14:paraId="635CD13F" w14:textId="77777777" w:rsidR="007B6BAB" w:rsidRPr="00990CCB" w:rsidRDefault="007B6BAB" w:rsidP="006B21E2">
            <w:pPr>
              <w:jc w:val="center"/>
              <w:rPr>
                <w:b/>
                <w:bCs/>
                <w:color w:val="000000"/>
                <w:sz w:val="20"/>
                <w:szCs w:val="20"/>
              </w:rPr>
            </w:pPr>
            <w:r w:rsidRPr="00990CCB">
              <w:rPr>
                <w:b/>
                <w:bCs/>
                <w:color w:val="000000"/>
                <w:sz w:val="20"/>
                <w:szCs w:val="20"/>
              </w:rPr>
              <w:t>Capital Requirements</w:t>
            </w:r>
          </w:p>
        </w:tc>
        <w:tc>
          <w:tcPr>
            <w:tcW w:w="1527" w:type="dxa"/>
            <w:tcBorders>
              <w:top w:val="single" w:sz="8" w:space="0" w:color="auto"/>
              <w:left w:val="nil"/>
              <w:bottom w:val="single" w:sz="8" w:space="0" w:color="auto"/>
              <w:right w:val="single" w:sz="4" w:space="0" w:color="auto"/>
            </w:tcBorders>
            <w:shd w:val="clear" w:color="000000" w:fill="E0E0E0"/>
            <w:vAlign w:val="center"/>
            <w:hideMark/>
          </w:tcPr>
          <w:p w14:paraId="7AD45505" w14:textId="77777777" w:rsidR="007B6BAB" w:rsidRPr="00990CCB" w:rsidRDefault="007B6BAB" w:rsidP="006B21E2">
            <w:pPr>
              <w:jc w:val="center"/>
              <w:rPr>
                <w:b/>
                <w:bCs/>
                <w:color w:val="000000"/>
                <w:sz w:val="20"/>
                <w:szCs w:val="20"/>
              </w:rPr>
            </w:pPr>
            <w:r w:rsidRPr="00990CCB">
              <w:rPr>
                <w:b/>
                <w:bCs/>
                <w:color w:val="000000"/>
                <w:sz w:val="20"/>
                <w:szCs w:val="20"/>
              </w:rPr>
              <w:t>Delegation Options</w:t>
            </w:r>
          </w:p>
        </w:tc>
        <w:tc>
          <w:tcPr>
            <w:tcW w:w="1039" w:type="dxa"/>
            <w:tcBorders>
              <w:top w:val="single" w:sz="8" w:space="0" w:color="auto"/>
              <w:left w:val="nil"/>
              <w:bottom w:val="single" w:sz="8" w:space="0" w:color="auto"/>
              <w:right w:val="single" w:sz="4" w:space="0" w:color="auto"/>
            </w:tcBorders>
            <w:shd w:val="clear" w:color="000000" w:fill="E0E0E0"/>
            <w:vAlign w:val="center"/>
            <w:hideMark/>
          </w:tcPr>
          <w:p w14:paraId="3ECE99AD" w14:textId="77777777" w:rsidR="007B6BAB" w:rsidRPr="00990CCB" w:rsidRDefault="007B6BAB" w:rsidP="006B21E2">
            <w:pPr>
              <w:jc w:val="center"/>
              <w:rPr>
                <w:b/>
                <w:bCs/>
                <w:color w:val="000000"/>
                <w:sz w:val="20"/>
                <w:szCs w:val="20"/>
              </w:rPr>
            </w:pPr>
            <w:r w:rsidRPr="00990CCB">
              <w:rPr>
                <w:b/>
                <w:bCs/>
                <w:color w:val="000000"/>
                <w:sz w:val="20"/>
                <w:szCs w:val="20"/>
              </w:rPr>
              <w:t>Fee Capture (% Validator Income)</w:t>
            </w:r>
          </w:p>
        </w:tc>
        <w:tc>
          <w:tcPr>
            <w:tcW w:w="875" w:type="dxa"/>
            <w:tcBorders>
              <w:top w:val="single" w:sz="8" w:space="0" w:color="auto"/>
              <w:left w:val="nil"/>
              <w:bottom w:val="single" w:sz="8" w:space="0" w:color="auto"/>
              <w:right w:val="single" w:sz="4" w:space="0" w:color="auto"/>
            </w:tcBorders>
            <w:shd w:val="clear" w:color="000000" w:fill="E0E0E0"/>
            <w:vAlign w:val="center"/>
            <w:hideMark/>
          </w:tcPr>
          <w:p w14:paraId="16EA5B3D" w14:textId="77777777" w:rsidR="007B6BAB" w:rsidRPr="00990CCB" w:rsidRDefault="007B6BAB" w:rsidP="006B21E2">
            <w:pPr>
              <w:jc w:val="center"/>
              <w:rPr>
                <w:b/>
                <w:bCs/>
                <w:color w:val="000000"/>
                <w:sz w:val="20"/>
                <w:szCs w:val="20"/>
              </w:rPr>
            </w:pPr>
            <w:r w:rsidRPr="00990CCB">
              <w:rPr>
                <w:b/>
                <w:bCs/>
                <w:color w:val="000000"/>
                <w:sz w:val="20"/>
                <w:szCs w:val="20"/>
              </w:rPr>
              <w:t>Return Stability (CV)</w:t>
            </w:r>
          </w:p>
        </w:tc>
        <w:tc>
          <w:tcPr>
            <w:tcW w:w="900" w:type="dxa"/>
            <w:tcBorders>
              <w:top w:val="single" w:sz="8" w:space="0" w:color="auto"/>
              <w:left w:val="nil"/>
              <w:bottom w:val="single" w:sz="8" w:space="0" w:color="auto"/>
              <w:right w:val="single" w:sz="4" w:space="0" w:color="auto"/>
            </w:tcBorders>
            <w:shd w:val="clear" w:color="000000" w:fill="E0E0E0"/>
            <w:vAlign w:val="center"/>
            <w:hideMark/>
          </w:tcPr>
          <w:p w14:paraId="37BB0163" w14:textId="77777777" w:rsidR="007B6BAB" w:rsidRPr="00990CCB" w:rsidRDefault="007B6BAB" w:rsidP="006B21E2">
            <w:pPr>
              <w:jc w:val="center"/>
              <w:rPr>
                <w:b/>
                <w:bCs/>
                <w:color w:val="000000"/>
                <w:sz w:val="20"/>
                <w:szCs w:val="20"/>
              </w:rPr>
            </w:pPr>
            <w:r w:rsidRPr="00990CCB">
              <w:rPr>
                <w:b/>
                <w:bCs/>
                <w:color w:val="000000"/>
                <w:sz w:val="20"/>
                <w:szCs w:val="20"/>
              </w:rPr>
              <w:t>Typical Returns (APR)</w:t>
            </w:r>
          </w:p>
        </w:tc>
        <w:tc>
          <w:tcPr>
            <w:tcW w:w="2340" w:type="dxa"/>
            <w:tcBorders>
              <w:top w:val="single" w:sz="8" w:space="0" w:color="auto"/>
              <w:left w:val="nil"/>
              <w:bottom w:val="single" w:sz="8" w:space="0" w:color="auto"/>
              <w:right w:val="single" w:sz="8" w:space="0" w:color="auto"/>
            </w:tcBorders>
            <w:shd w:val="clear" w:color="000000" w:fill="E0E0E0"/>
            <w:vAlign w:val="center"/>
            <w:hideMark/>
          </w:tcPr>
          <w:p w14:paraId="1C30FEB8" w14:textId="77777777" w:rsidR="007B6BAB" w:rsidRPr="00990CCB" w:rsidRDefault="007B6BAB" w:rsidP="006B21E2">
            <w:pPr>
              <w:jc w:val="center"/>
              <w:rPr>
                <w:b/>
                <w:bCs/>
                <w:color w:val="000000"/>
                <w:sz w:val="20"/>
                <w:szCs w:val="20"/>
              </w:rPr>
            </w:pPr>
            <w:r w:rsidRPr="00990CCB">
              <w:rPr>
                <w:b/>
                <w:bCs/>
                <w:color w:val="000000"/>
                <w:sz w:val="20"/>
                <w:szCs w:val="20"/>
              </w:rPr>
              <w:t>Accessibility Profile</w:t>
            </w:r>
          </w:p>
        </w:tc>
      </w:tr>
      <w:tr w:rsidR="00990CCB" w:rsidRPr="00990CCB" w14:paraId="7EE28580" w14:textId="77777777" w:rsidTr="00990CCB">
        <w:trPr>
          <w:trHeight w:val="320"/>
        </w:trPr>
        <w:tc>
          <w:tcPr>
            <w:tcW w:w="9350" w:type="dxa"/>
            <w:gridSpan w:val="7"/>
            <w:tcBorders>
              <w:top w:val="nil"/>
              <w:left w:val="single" w:sz="8" w:space="0" w:color="auto"/>
              <w:bottom w:val="single" w:sz="4" w:space="0" w:color="auto"/>
              <w:right w:val="single" w:sz="8" w:space="0" w:color="000000"/>
            </w:tcBorders>
            <w:vAlign w:val="center"/>
            <w:hideMark/>
          </w:tcPr>
          <w:p w14:paraId="46C7ED2C" w14:textId="77777777" w:rsidR="007B6BAB" w:rsidRPr="00990CCB" w:rsidRDefault="007B6BAB" w:rsidP="006B21E2">
            <w:pPr>
              <w:rPr>
                <w:b/>
                <w:bCs/>
                <w:color w:val="000000"/>
                <w:sz w:val="20"/>
                <w:szCs w:val="20"/>
              </w:rPr>
            </w:pPr>
            <w:r w:rsidRPr="00990CCB">
              <w:rPr>
                <w:b/>
                <w:bCs/>
                <w:color w:val="000000"/>
                <w:sz w:val="20"/>
                <w:szCs w:val="20"/>
              </w:rPr>
              <w:t>Proof of Stake (</w:t>
            </w:r>
            <w:proofErr w:type="spellStart"/>
            <w:r w:rsidRPr="00990CCB">
              <w:rPr>
                <w:b/>
                <w:bCs/>
                <w:color w:val="000000"/>
                <w:sz w:val="20"/>
                <w:szCs w:val="20"/>
              </w:rPr>
              <w:t>PoS</w:t>
            </w:r>
            <w:proofErr w:type="spellEnd"/>
            <w:r w:rsidRPr="00990CCB">
              <w:rPr>
                <w:b/>
                <w:bCs/>
                <w:color w:val="000000"/>
                <w:sz w:val="20"/>
                <w:szCs w:val="20"/>
              </w:rPr>
              <w:t>)</w:t>
            </w:r>
          </w:p>
        </w:tc>
      </w:tr>
      <w:tr w:rsidR="00990CCB" w:rsidRPr="00990CCB" w14:paraId="6B0B5BD1" w14:textId="77777777" w:rsidTr="00990CCB">
        <w:trPr>
          <w:trHeight w:val="1160"/>
        </w:trPr>
        <w:tc>
          <w:tcPr>
            <w:tcW w:w="1253" w:type="dxa"/>
            <w:tcBorders>
              <w:top w:val="nil"/>
              <w:left w:val="single" w:sz="8" w:space="0" w:color="auto"/>
              <w:bottom w:val="single" w:sz="4" w:space="0" w:color="auto"/>
              <w:right w:val="single" w:sz="4" w:space="0" w:color="auto"/>
            </w:tcBorders>
            <w:shd w:val="clear" w:color="000000" w:fill="FFFFFF"/>
            <w:vAlign w:val="center"/>
            <w:hideMark/>
          </w:tcPr>
          <w:p w14:paraId="53287B81" w14:textId="77777777" w:rsidR="007B6BAB" w:rsidRPr="00990CCB" w:rsidRDefault="007B6BAB" w:rsidP="006B21E2">
            <w:pPr>
              <w:rPr>
                <w:color w:val="000000"/>
                <w:sz w:val="20"/>
                <w:szCs w:val="20"/>
              </w:rPr>
            </w:pPr>
            <w:r w:rsidRPr="00990CCB">
              <w:rPr>
                <w:color w:val="000000"/>
                <w:sz w:val="20"/>
                <w:szCs w:val="20"/>
              </w:rPr>
              <w:t>Ethereum</w:t>
            </w:r>
          </w:p>
        </w:tc>
        <w:tc>
          <w:tcPr>
            <w:tcW w:w="1416" w:type="dxa"/>
            <w:tcBorders>
              <w:top w:val="nil"/>
              <w:left w:val="nil"/>
              <w:bottom w:val="single" w:sz="4" w:space="0" w:color="auto"/>
              <w:right w:val="single" w:sz="4" w:space="0" w:color="auto"/>
            </w:tcBorders>
            <w:shd w:val="clear" w:color="000000" w:fill="FFFFFF"/>
            <w:vAlign w:val="center"/>
            <w:hideMark/>
          </w:tcPr>
          <w:p w14:paraId="5316F561" w14:textId="77777777" w:rsidR="007B6BAB" w:rsidRPr="00990CCB" w:rsidRDefault="007B6BAB" w:rsidP="006B21E2">
            <w:pPr>
              <w:rPr>
                <w:color w:val="000000"/>
                <w:sz w:val="20"/>
                <w:szCs w:val="20"/>
              </w:rPr>
            </w:pPr>
            <w:r w:rsidRPr="00990CCB">
              <w:rPr>
                <w:color w:val="000000"/>
                <w:sz w:val="20"/>
                <w:szCs w:val="20"/>
              </w:rPr>
              <w:t>$96,000 (32 ETH) direct</w:t>
            </w:r>
          </w:p>
        </w:tc>
        <w:tc>
          <w:tcPr>
            <w:tcW w:w="1527" w:type="dxa"/>
            <w:tcBorders>
              <w:top w:val="nil"/>
              <w:left w:val="nil"/>
              <w:bottom w:val="single" w:sz="4" w:space="0" w:color="auto"/>
              <w:right w:val="single" w:sz="4" w:space="0" w:color="auto"/>
            </w:tcBorders>
            <w:shd w:val="clear" w:color="000000" w:fill="FFFFFF"/>
            <w:vAlign w:val="center"/>
            <w:hideMark/>
          </w:tcPr>
          <w:p w14:paraId="32D06B32" w14:textId="77777777" w:rsidR="007B6BAB" w:rsidRPr="00990CCB" w:rsidRDefault="007B6BAB" w:rsidP="006B21E2">
            <w:pPr>
              <w:rPr>
                <w:color w:val="000000"/>
                <w:sz w:val="20"/>
                <w:szCs w:val="20"/>
              </w:rPr>
            </w:pPr>
            <w:r w:rsidRPr="00990CCB">
              <w:rPr>
                <w:color w:val="000000"/>
                <w:sz w:val="20"/>
                <w:szCs w:val="20"/>
              </w:rPr>
              <w:t>$10-100 via Lido/centralized</w:t>
            </w:r>
          </w:p>
        </w:tc>
        <w:tc>
          <w:tcPr>
            <w:tcW w:w="1039" w:type="dxa"/>
            <w:tcBorders>
              <w:top w:val="nil"/>
              <w:left w:val="nil"/>
              <w:bottom w:val="single" w:sz="4" w:space="0" w:color="auto"/>
              <w:right w:val="single" w:sz="4" w:space="0" w:color="auto"/>
            </w:tcBorders>
            <w:shd w:val="clear" w:color="000000" w:fill="FFFFFF"/>
            <w:vAlign w:val="center"/>
            <w:hideMark/>
          </w:tcPr>
          <w:p w14:paraId="00AD38A8" w14:textId="77777777" w:rsidR="007B6BAB" w:rsidRPr="00990CCB" w:rsidRDefault="007B6BAB" w:rsidP="006B21E2">
            <w:pPr>
              <w:rPr>
                <w:color w:val="000000"/>
                <w:sz w:val="20"/>
                <w:szCs w:val="20"/>
              </w:rPr>
            </w:pPr>
            <w:r w:rsidRPr="00990CCB">
              <w:rPr>
                <w:color w:val="000000"/>
                <w:sz w:val="20"/>
                <w:szCs w:val="20"/>
              </w:rPr>
              <w:t>15-30%</w:t>
            </w:r>
          </w:p>
        </w:tc>
        <w:tc>
          <w:tcPr>
            <w:tcW w:w="875" w:type="dxa"/>
            <w:tcBorders>
              <w:top w:val="nil"/>
              <w:left w:val="nil"/>
              <w:bottom w:val="single" w:sz="4" w:space="0" w:color="auto"/>
              <w:right w:val="single" w:sz="4" w:space="0" w:color="auto"/>
            </w:tcBorders>
            <w:shd w:val="clear" w:color="000000" w:fill="FFFFFF"/>
            <w:vAlign w:val="center"/>
            <w:hideMark/>
          </w:tcPr>
          <w:p w14:paraId="10633031" w14:textId="77777777" w:rsidR="007B6BAB" w:rsidRPr="00990CCB" w:rsidRDefault="007B6BAB" w:rsidP="006B21E2">
            <w:pPr>
              <w:rPr>
                <w:color w:val="000000"/>
                <w:sz w:val="20"/>
                <w:szCs w:val="20"/>
              </w:rPr>
            </w:pPr>
            <w:r w:rsidRPr="00990CCB">
              <w:rPr>
                <w:color w:val="000000"/>
                <w:sz w:val="20"/>
                <w:szCs w:val="20"/>
              </w:rPr>
              <w:t>0.23 (High)</w:t>
            </w:r>
          </w:p>
        </w:tc>
        <w:tc>
          <w:tcPr>
            <w:tcW w:w="900" w:type="dxa"/>
            <w:tcBorders>
              <w:top w:val="nil"/>
              <w:left w:val="nil"/>
              <w:bottom w:val="single" w:sz="4" w:space="0" w:color="auto"/>
              <w:right w:val="single" w:sz="4" w:space="0" w:color="auto"/>
            </w:tcBorders>
            <w:shd w:val="clear" w:color="000000" w:fill="FFFFFF"/>
            <w:vAlign w:val="center"/>
            <w:hideMark/>
          </w:tcPr>
          <w:p w14:paraId="483C9341" w14:textId="77777777" w:rsidR="007B6BAB" w:rsidRPr="00990CCB" w:rsidRDefault="007B6BAB" w:rsidP="006B21E2">
            <w:pPr>
              <w:rPr>
                <w:color w:val="000000"/>
                <w:sz w:val="20"/>
                <w:szCs w:val="20"/>
              </w:rPr>
            </w:pPr>
            <w:r w:rsidRPr="00990CCB">
              <w:rPr>
                <w:color w:val="000000"/>
                <w:sz w:val="20"/>
                <w:szCs w:val="20"/>
              </w:rPr>
              <w:t>4.8% direct, 4.2% Lido, 3.8% CEX</w:t>
            </w:r>
          </w:p>
        </w:tc>
        <w:tc>
          <w:tcPr>
            <w:tcW w:w="2340" w:type="dxa"/>
            <w:tcBorders>
              <w:top w:val="nil"/>
              <w:left w:val="nil"/>
              <w:bottom w:val="single" w:sz="4" w:space="0" w:color="auto"/>
              <w:right w:val="single" w:sz="8" w:space="0" w:color="auto"/>
            </w:tcBorders>
            <w:shd w:val="clear" w:color="000000" w:fill="FFFFFF"/>
            <w:vAlign w:val="center"/>
            <w:hideMark/>
          </w:tcPr>
          <w:p w14:paraId="56EA0695" w14:textId="77777777" w:rsidR="007B6BAB" w:rsidRPr="00990CCB" w:rsidRDefault="007B6BAB" w:rsidP="006B21E2">
            <w:pPr>
              <w:rPr>
                <w:color w:val="000000"/>
                <w:sz w:val="20"/>
                <w:szCs w:val="20"/>
              </w:rPr>
            </w:pPr>
            <w:r w:rsidRPr="00990CCB">
              <w:rPr>
                <w:color w:val="000000"/>
                <w:sz w:val="20"/>
                <w:szCs w:val="20"/>
              </w:rPr>
              <w:t>Direct: institutional only; Delegation: accessible but low returns vs risk</w:t>
            </w:r>
          </w:p>
        </w:tc>
      </w:tr>
      <w:tr w:rsidR="00990CCB" w:rsidRPr="00990CCB" w14:paraId="26470FCD" w14:textId="77777777" w:rsidTr="00990CCB">
        <w:trPr>
          <w:trHeight w:val="386"/>
        </w:trPr>
        <w:tc>
          <w:tcPr>
            <w:tcW w:w="1253" w:type="dxa"/>
            <w:tcBorders>
              <w:top w:val="nil"/>
              <w:left w:val="single" w:sz="8" w:space="0" w:color="auto"/>
              <w:bottom w:val="single" w:sz="4" w:space="0" w:color="auto"/>
              <w:right w:val="single" w:sz="4" w:space="0" w:color="auto"/>
            </w:tcBorders>
            <w:shd w:val="clear" w:color="000000" w:fill="FFFFFF"/>
            <w:vAlign w:val="center"/>
            <w:hideMark/>
          </w:tcPr>
          <w:p w14:paraId="2DCE4B07" w14:textId="77777777" w:rsidR="007B6BAB" w:rsidRPr="00990CCB" w:rsidRDefault="007B6BAB" w:rsidP="006B21E2">
            <w:pPr>
              <w:rPr>
                <w:color w:val="000000"/>
                <w:sz w:val="20"/>
                <w:szCs w:val="20"/>
              </w:rPr>
            </w:pPr>
            <w:r w:rsidRPr="00990CCB">
              <w:rPr>
                <w:color w:val="000000"/>
                <w:sz w:val="20"/>
                <w:szCs w:val="20"/>
              </w:rPr>
              <w:t>Cardano</w:t>
            </w:r>
          </w:p>
        </w:tc>
        <w:tc>
          <w:tcPr>
            <w:tcW w:w="1416" w:type="dxa"/>
            <w:tcBorders>
              <w:top w:val="nil"/>
              <w:left w:val="nil"/>
              <w:bottom w:val="single" w:sz="4" w:space="0" w:color="auto"/>
              <w:right w:val="single" w:sz="4" w:space="0" w:color="auto"/>
            </w:tcBorders>
            <w:shd w:val="clear" w:color="000000" w:fill="FFFFFF"/>
            <w:vAlign w:val="center"/>
            <w:hideMark/>
          </w:tcPr>
          <w:p w14:paraId="5E2106CF" w14:textId="77777777" w:rsidR="007B6BAB" w:rsidRPr="00990CCB" w:rsidRDefault="007B6BAB" w:rsidP="006B21E2">
            <w:pPr>
              <w:rPr>
                <w:color w:val="000000"/>
                <w:sz w:val="20"/>
                <w:szCs w:val="20"/>
              </w:rPr>
            </w:pPr>
            <w:r w:rsidRPr="00990CCB">
              <w:rPr>
                <w:color w:val="000000"/>
                <w:sz w:val="20"/>
                <w:szCs w:val="20"/>
              </w:rPr>
              <w:t>$5,000 direct</w:t>
            </w:r>
          </w:p>
        </w:tc>
        <w:tc>
          <w:tcPr>
            <w:tcW w:w="1527" w:type="dxa"/>
            <w:tcBorders>
              <w:top w:val="nil"/>
              <w:left w:val="nil"/>
              <w:bottom w:val="single" w:sz="4" w:space="0" w:color="auto"/>
              <w:right w:val="single" w:sz="4" w:space="0" w:color="auto"/>
            </w:tcBorders>
            <w:shd w:val="clear" w:color="000000" w:fill="FFFFFF"/>
            <w:vAlign w:val="center"/>
            <w:hideMark/>
          </w:tcPr>
          <w:p w14:paraId="340F270A" w14:textId="77777777" w:rsidR="007B6BAB" w:rsidRPr="00990CCB" w:rsidRDefault="007B6BAB" w:rsidP="006B21E2">
            <w:pPr>
              <w:rPr>
                <w:color w:val="000000"/>
                <w:sz w:val="20"/>
                <w:szCs w:val="20"/>
              </w:rPr>
            </w:pPr>
            <w:r w:rsidRPr="00990CCB">
              <w:rPr>
                <w:color w:val="000000"/>
                <w:sz w:val="20"/>
                <w:szCs w:val="20"/>
              </w:rPr>
              <w:t>$10-100 delegation</w:t>
            </w:r>
          </w:p>
        </w:tc>
        <w:tc>
          <w:tcPr>
            <w:tcW w:w="1039" w:type="dxa"/>
            <w:tcBorders>
              <w:top w:val="nil"/>
              <w:left w:val="nil"/>
              <w:bottom w:val="single" w:sz="4" w:space="0" w:color="auto"/>
              <w:right w:val="single" w:sz="4" w:space="0" w:color="auto"/>
            </w:tcBorders>
            <w:shd w:val="clear" w:color="000000" w:fill="FFFFFF"/>
            <w:vAlign w:val="center"/>
            <w:hideMark/>
          </w:tcPr>
          <w:p w14:paraId="44597D6E" w14:textId="77777777" w:rsidR="007B6BAB" w:rsidRPr="00990CCB" w:rsidRDefault="007B6BAB" w:rsidP="006B21E2">
            <w:pPr>
              <w:rPr>
                <w:color w:val="000000"/>
                <w:sz w:val="20"/>
                <w:szCs w:val="20"/>
              </w:rPr>
            </w:pPr>
            <w:r w:rsidRPr="00990CCB">
              <w:rPr>
                <w:color w:val="000000"/>
                <w:sz w:val="20"/>
                <w:szCs w:val="20"/>
              </w:rPr>
              <w:t>15-30%</w:t>
            </w:r>
          </w:p>
        </w:tc>
        <w:tc>
          <w:tcPr>
            <w:tcW w:w="875" w:type="dxa"/>
            <w:tcBorders>
              <w:top w:val="nil"/>
              <w:left w:val="nil"/>
              <w:bottom w:val="single" w:sz="4" w:space="0" w:color="auto"/>
              <w:right w:val="single" w:sz="4" w:space="0" w:color="auto"/>
            </w:tcBorders>
            <w:shd w:val="clear" w:color="000000" w:fill="FFFFFF"/>
            <w:vAlign w:val="center"/>
            <w:hideMark/>
          </w:tcPr>
          <w:p w14:paraId="382DB3C9" w14:textId="77777777" w:rsidR="007B6BAB" w:rsidRPr="00990CCB" w:rsidRDefault="007B6BAB" w:rsidP="006B21E2">
            <w:pPr>
              <w:rPr>
                <w:color w:val="000000"/>
                <w:sz w:val="20"/>
                <w:szCs w:val="20"/>
              </w:rPr>
            </w:pPr>
            <w:r w:rsidRPr="00990CCB">
              <w:rPr>
                <w:color w:val="000000"/>
                <w:sz w:val="20"/>
                <w:szCs w:val="20"/>
              </w:rPr>
              <w:t>0.23 (High)</w:t>
            </w:r>
          </w:p>
        </w:tc>
        <w:tc>
          <w:tcPr>
            <w:tcW w:w="900" w:type="dxa"/>
            <w:tcBorders>
              <w:top w:val="nil"/>
              <w:left w:val="nil"/>
              <w:bottom w:val="single" w:sz="4" w:space="0" w:color="auto"/>
              <w:right w:val="single" w:sz="4" w:space="0" w:color="auto"/>
            </w:tcBorders>
            <w:shd w:val="clear" w:color="000000" w:fill="FFFFFF"/>
            <w:vAlign w:val="center"/>
            <w:hideMark/>
          </w:tcPr>
          <w:p w14:paraId="4C570328" w14:textId="77777777" w:rsidR="007B6BAB" w:rsidRPr="00990CCB" w:rsidRDefault="007B6BAB" w:rsidP="006B21E2">
            <w:pPr>
              <w:rPr>
                <w:color w:val="000000"/>
                <w:sz w:val="20"/>
                <w:szCs w:val="20"/>
              </w:rPr>
            </w:pPr>
            <w:r w:rsidRPr="00990CCB">
              <w:rPr>
                <w:color w:val="000000"/>
                <w:sz w:val="20"/>
                <w:szCs w:val="20"/>
              </w:rPr>
              <w:t>4-5% nominal</w:t>
            </w:r>
          </w:p>
        </w:tc>
        <w:tc>
          <w:tcPr>
            <w:tcW w:w="2340" w:type="dxa"/>
            <w:tcBorders>
              <w:top w:val="nil"/>
              <w:left w:val="nil"/>
              <w:bottom w:val="single" w:sz="4" w:space="0" w:color="auto"/>
              <w:right w:val="single" w:sz="8" w:space="0" w:color="auto"/>
            </w:tcBorders>
            <w:shd w:val="clear" w:color="000000" w:fill="FFFFFF"/>
            <w:vAlign w:val="center"/>
            <w:hideMark/>
          </w:tcPr>
          <w:p w14:paraId="4120E6E7" w14:textId="77777777" w:rsidR="007B6BAB" w:rsidRPr="00990CCB" w:rsidRDefault="007B6BAB" w:rsidP="006B21E2">
            <w:pPr>
              <w:rPr>
                <w:color w:val="000000"/>
                <w:sz w:val="20"/>
                <w:szCs w:val="20"/>
              </w:rPr>
            </w:pPr>
            <w:r w:rsidRPr="00990CCB">
              <w:rPr>
                <w:color w:val="000000"/>
                <w:sz w:val="20"/>
                <w:szCs w:val="20"/>
              </w:rPr>
              <w:t xml:space="preserve">Mid-tier </w:t>
            </w:r>
            <w:proofErr w:type="gramStart"/>
            <w:r w:rsidRPr="00990CCB">
              <w:rPr>
                <w:color w:val="000000"/>
                <w:sz w:val="20"/>
                <w:szCs w:val="20"/>
              </w:rPr>
              <w:t>accessibility;</w:t>
            </w:r>
            <w:proofErr w:type="gramEnd"/>
            <w:r w:rsidRPr="00990CCB">
              <w:rPr>
                <w:color w:val="000000"/>
                <w:sz w:val="20"/>
                <w:szCs w:val="20"/>
              </w:rPr>
              <w:t xml:space="preserve"> stable but token price dominates real returns</w:t>
            </w:r>
          </w:p>
        </w:tc>
      </w:tr>
      <w:tr w:rsidR="00990CCB" w:rsidRPr="00990CCB" w14:paraId="2CA35C58" w14:textId="77777777" w:rsidTr="00990CCB">
        <w:trPr>
          <w:trHeight w:val="404"/>
        </w:trPr>
        <w:tc>
          <w:tcPr>
            <w:tcW w:w="1253" w:type="dxa"/>
            <w:tcBorders>
              <w:top w:val="nil"/>
              <w:left w:val="single" w:sz="8" w:space="0" w:color="auto"/>
              <w:bottom w:val="single" w:sz="4" w:space="0" w:color="auto"/>
              <w:right w:val="single" w:sz="4" w:space="0" w:color="auto"/>
            </w:tcBorders>
            <w:shd w:val="clear" w:color="000000" w:fill="FFFFFF"/>
            <w:vAlign w:val="center"/>
            <w:hideMark/>
          </w:tcPr>
          <w:p w14:paraId="0F35E3D2" w14:textId="77777777" w:rsidR="007B6BAB" w:rsidRPr="00990CCB" w:rsidRDefault="007B6BAB" w:rsidP="006B21E2">
            <w:pPr>
              <w:rPr>
                <w:color w:val="000000"/>
                <w:sz w:val="20"/>
                <w:szCs w:val="20"/>
              </w:rPr>
            </w:pPr>
            <w:proofErr w:type="spellStart"/>
            <w:r w:rsidRPr="00990CCB">
              <w:rPr>
                <w:color w:val="000000"/>
                <w:sz w:val="20"/>
                <w:szCs w:val="20"/>
              </w:rPr>
              <w:t>Algorand</w:t>
            </w:r>
            <w:proofErr w:type="spellEnd"/>
          </w:p>
        </w:tc>
        <w:tc>
          <w:tcPr>
            <w:tcW w:w="1416" w:type="dxa"/>
            <w:tcBorders>
              <w:top w:val="nil"/>
              <w:left w:val="nil"/>
              <w:bottom w:val="single" w:sz="4" w:space="0" w:color="auto"/>
              <w:right w:val="single" w:sz="4" w:space="0" w:color="auto"/>
            </w:tcBorders>
            <w:shd w:val="clear" w:color="000000" w:fill="FFFFFF"/>
            <w:vAlign w:val="center"/>
            <w:hideMark/>
          </w:tcPr>
          <w:p w14:paraId="2171B98C" w14:textId="77777777" w:rsidR="007B6BAB" w:rsidRPr="00990CCB" w:rsidRDefault="007B6BAB" w:rsidP="006B21E2">
            <w:pPr>
              <w:rPr>
                <w:color w:val="000000"/>
                <w:sz w:val="20"/>
                <w:szCs w:val="20"/>
              </w:rPr>
            </w:pPr>
            <w:r w:rsidRPr="00990CCB">
              <w:rPr>
                <w:color w:val="000000"/>
                <w:sz w:val="20"/>
                <w:szCs w:val="20"/>
              </w:rPr>
              <w:t>Variable, lower than ETH/ADA</w:t>
            </w:r>
          </w:p>
        </w:tc>
        <w:tc>
          <w:tcPr>
            <w:tcW w:w="1527" w:type="dxa"/>
            <w:tcBorders>
              <w:top w:val="nil"/>
              <w:left w:val="nil"/>
              <w:bottom w:val="single" w:sz="4" w:space="0" w:color="auto"/>
              <w:right w:val="single" w:sz="4" w:space="0" w:color="auto"/>
            </w:tcBorders>
            <w:shd w:val="clear" w:color="000000" w:fill="FFFFFF"/>
            <w:vAlign w:val="center"/>
            <w:hideMark/>
          </w:tcPr>
          <w:p w14:paraId="22E7E390" w14:textId="77777777" w:rsidR="007B6BAB" w:rsidRPr="00990CCB" w:rsidRDefault="007B6BAB" w:rsidP="006B21E2">
            <w:pPr>
              <w:rPr>
                <w:color w:val="000000"/>
                <w:sz w:val="20"/>
                <w:szCs w:val="20"/>
              </w:rPr>
            </w:pPr>
            <w:r w:rsidRPr="00990CCB">
              <w:rPr>
                <w:color w:val="000000"/>
                <w:sz w:val="20"/>
                <w:szCs w:val="20"/>
              </w:rPr>
              <w:t>$10-100 delegation</w:t>
            </w:r>
          </w:p>
        </w:tc>
        <w:tc>
          <w:tcPr>
            <w:tcW w:w="1039" w:type="dxa"/>
            <w:tcBorders>
              <w:top w:val="nil"/>
              <w:left w:val="nil"/>
              <w:bottom w:val="single" w:sz="4" w:space="0" w:color="auto"/>
              <w:right w:val="single" w:sz="4" w:space="0" w:color="auto"/>
            </w:tcBorders>
            <w:shd w:val="clear" w:color="000000" w:fill="FFFFFF"/>
            <w:vAlign w:val="center"/>
            <w:hideMark/>
          </w:tcPr>
          <w:p w14:paraId="3511CB87" w14:textId="77777777" w:rsidR="007B6BAB" w:rsidRPr="00990CCB" w:rsidRDefault="007B6BAB" w:rsidP="006B21E2">
            <w:pPr>
              <w:rPr>
                <w:color w:val="000000"/>
                <w:sz w:val="20"/>
                <w:szCs w:val="20"/>
              </w:rPr>
            </w:pPr>
            <w:r w:rsidRPr="00990CCB">
              <w:rPr>
                <w:color w:val="000000"/>
                <w:sz w:val="20"/>
                <w:szCs w:val="20"/>
              </w:rPr>
              <w:t>15-30%</w:t>
            </w:r>
          </w:p>
        </w:tc>
        <w:tc>
          <w:tcPr>
            <w:tcW w:w="875" w:type="dxa"/>
            <w:tcBorders>
              <w:top w:val="nil"/>
              <w:left w:val="nil"/>
              <w:bottom w:val="single" w:sz="4" w:space="0" w:color="auto"/>
              <w:right w:val="single" w:sz="4" w:space="0" w:color="auto"/>
            </w:tcBorders>
            <w:shd w:val="clear" w:color="000000" w:fill="FFFFFF"/>
            <w:vAlign w:val="center"/>
            <w:hideMark/>
          </w:tcPr>
          <w:p w14:paraId="06B9C713" w14:textId="77777777" w:rsidR="007B6BAB" w:rsidRPr="00990CCB" w:rsidRDefault="007B6BAB" w:rsidP="006B21E2">
            <w:pPr>
              <w:rPr>
                <w:color w:val="000000"/>
                <w:sz w:val="20"/>
                <w:szCs w:val="20"/>
              </w:rPr>
            </w:pPr>
            <w:r w:rsidRPr="00990CCB">
              <w:rPr>
                <w:color w:val="000000"/>
                <w:sz w:val="20"/>
                <w:szCs w:val="20"/>
              </w:rPr>
              <w:t>0.23 (High)</w:t>
            </w:r>
          </w:p>
        </w:tc>
        <w:tc>
          <w:tcPr>
            <w:tcW w:w="900" w:type="dxa"/>
            <w:tcBorders>
              <w:top w:val="nil"/>
              <w:left w:val="nil"/>
              <w:bottom w:val="single" w:sz="4" w:space="0" w:color="auto"/>
              <w:right w:val="single" w:sz="4" w:space="0" w:color="auto"/>
            </w:tcBorders>
            <w:shd w:val="clear" w:color="000000" w:fill="FFFFFF"/>
            <w:vAlign w:val="center"/>
            <w:hideMark/>
          </w:tcPr>
          <w:p w14:paraId="2016CCE4" w14:textId="77777777" w:rsidR="007B6BAB" w:rsidRPr="00990CCB" w:rsidRDefault="007B6BAB" w:rsidP="006B21E2">
            <w:pPr>
              <w:rPr>
                <w:color w:val="000000"/>
                <w:sz w:val="20"/>
                <w:szCs w:val="20"/>
              </w:rPr>
            </w:pPr>
            <w:r w:rsidRPr="00990CCB">
              <w:rPr>
                <w:color w:val="000000"/>
                <w:sz w:val="20"/>
                <w:szCs w:val="20"/>
              </w:rPr>
              <w:t>4-5% nominal</w:t>
            </w:r>
          </w:p>
        </w:tc>
        <w:tc>
          <w:tcPr>
            <w:tcW w:w="2340" w:type="dxa"/>
            <w:tcBorders>
              <w:top w:val="nil"/>
              <w:left w:val="nil"/>
              <w:bottom w:val="single" w:sz="4" w:space="0" w:color="auto"/>
              <w:right w:val="single" w:sz="8" w:space="0" w:color="auto"/>
            </w:tcBorders>
            <w:shd w:val="clear" w:color="000000" w:fill="FFFFFF"/>
            <w:vAlign w:val="center"/>
            <w:hideMark/>
          </w:tcPr>
          <w:p w14:paraId="25BF0805" w14:textId="77777777" w:rsidR="007B6BAB" w:rsidRPr="00990CCB" w:rsidRDefault="007B6BAB" w:rsidP="006B21E2">
            <w:pPr>
              <w:rPr>
                <w:color w:val="000000"/>
                <w:sz w:val="20"/>
                <w:szCs w:val="20"/>
              </w:rPr>
            </w:pPr>
            <w:r w:rsidRPr="00990CCB">
              <w:rPr>
                <w:color w:val="000000"/>
                <w:sz w:val="20"/>
                <w:szCs w:val="20"/>
              </w:rPr>
              <w:t xml:space="preserve">More accessible entry; similar return-stability trade-off as other </w:t>
            </w:r>
            <w:proofErr w:type="spellStart"/>
            <w:r w:rsidRPr="00990CCB">
              <w:rPr>
                <w:color w:val="000000"/>
                <w:sz w:val="20"/>
                <w:szCs w:val="20"/>
              </w:rPr>
              <w:t>PoS</w:t>
            </w:r>
            <w:proofErr w:type="spellEnd"/>
          </w:p>
        </w:tc>
      </w:tr>
      <w:tr w:rsidR="00990CCB" w:rsidRPr="00990CCB" w14:paraId="184C643C" w14:textId="77777777" w:rsidTr="00990CCB">
        <w:trPr>
          <w:trHeight w:val="320"/>
        </w:trPr>
        <w:tc>
          <w:tcPr>
            <w:tcW w:w="9350" w:type="dxa"/>
            <w:gridSpan w:val="7"/>
            <w:tcBorders>
              <w:top w:val="single" w:sz="4" w:space="0" w:color="auto"/>
              <w:left w:val="single" w:sz="8" w:space="0" w:color="auto"/>
              <w:bottom w:val="single" w:sz="4" w:space="0" w:color="auto"/>
              <w:right w:val="single" w:sz="8" w:space="0" w:color="000000"/>
            </w:tcBorders>
            <w:vAlign w:val="center"/>
            <w:hideMark/>
          </w:tcPr>
          <w:p w14:paraId="121A5C1C" w14:textId="77777777" w:rsidR="007B6BAB" w:rsidRPr="00990CCB" w:rsidRDefault="007B6BAB" w:rsidP="006B21E2">
            <w:pPr>
              <w:rPr>
                <w:b/>
                <w:bCs/>
                <w:color w:val="000000"/>
                <w:sz w:val="20"/>
                <w:szCs w:val="20"/>
              </w:rPr>
            </w:pPr>
            <w:r w:rsidRPr="00990CCB">
              <w:rPr>
                <w:b/>
                <w:bCs/>
                <w:color w:val="000000"/>
                <w:sz w:val="20"/>
                <w:szCs w:val="20"/>
              </w:rPr>
              <w:t>Delegated Proof of Stake (</w:t>
            </w:r>
            <w:proofErr w:type="spellStart"/>
            <w:r w:rsidRPr="00990CCB">
              <w:rPr>
                <w:b/>
                <w:bCs/>
                <w:color w:val="000000"/>
                <w:sz w:val="20"/>
                <w:szCs w:val="20"/>
              </w:rPr>
              <w:t>DPoS</w:t>
            </w:r>
            <w:proofErr w:type="spellEnd"/>
            <w:r w:rsidRPr="00990CCB">
              <w:rPr>
                <w:b/>
                <w:bCs/>
                <w:color w:val="000000"/>
                <w:sz w:val="20"/>
                <w:szCs w:val="20"/>
              </w:rPr>
              <w:t>)</w:t>
            </w:r>
          </w:p>
        </w:tc>
      </w:tr>
      <w:tr w:rsidR="00990CCB" w:rsidRPr="00990CCB" w14:paraId="31A2CBAF" w14:textId="77777777" w:rsidTr="00990CCB">
        <w:trPr>
          <w:trHeight w:val="1020"/>
        </w:trPr>
        <w:tc>
          <w:tcPr>
            <w:tcW w:w="1253" w:type="dxa"/>
            <w:tcBorders>
              <w:top w:val="nil"/>
              <w:left w:val="single" w:sz="8" w:space="0" w:color="auto"/>
              <w:bottom w:val="single" w:sz="4" w:space="0" w:color="auto"/>
              <w:right w:val="single" w:sz="4" w:space="0" w:color="auto"/>
            </w:tcBorders>
            <w:shd w:val="clear" w:color="000000" w:fill="FFFFFF"/>
            <w:vAlign w:val="center"/>
            <w:hideMark/>
          </w:tcPr>
          <w:p w14:paraId="45ADFEE7" w14:textId="77777777" w:rsidR="007B6BAB" w:rsidRPr="00990CCB" w:rsidRDefault="007B6BAB" w:rsidP="006B21E2">
            <w:pPr>
              <w:rPr>
                <w:color w:val="000000"/>
                <w:sz w:val="20"/>
                <w:szCs w:val="20"/>
              </w:rPr>
            </w:pPr>
            <w:r w:rsidRPr="00990CCB">
              <w:rPr>
                <w:color w:val="000000"/>
                <w:sz w:val="20"/>
                <w:szCs w:val="20"/>
              </w:rPr>
              <w:t>EOS</w:t>
            </w:r>
          </w:p>
        </w:tc>
        <w:tc>
          <w:tcPr>
            <w:tcW w:w="1416" w:type="dxa"/>
            <w:tcBorders>
              <w:top w:val="nil"/>
              <w:left w:val="nil"/>
              <w:bottom w:val="single" w:sz="4" w:space="0" w:color="auto"/>
              <w:right w:val="single" w:sz="4" w:space="0" w:color="auto"/>
            </w:tcBorders>
            <w:shd w:val="clear" w:color="000000" w:fill="FFFFFF"/>
            <w:vAlign w:val="center"/>
            <w:hideMark/>
          </w:tcPr>
          <w:p w14:paraId="3F18CB18" w14:textId="77777777" w:rsidR="007B6BAB" w:rsidRPr="00990CCB" w:rsidRDefault="007B6BAB" w:rsidP="006B21E2">
            <w:pPr>
              <w:rPr>
                <w:color w:val="000000"/>
                <w:sz w:val="20"/>
                <w:szCs w:val="20"/>
              </w:rPr>
            </w:pPr>
            <w:r w:rsidRPr="00990CCB">
              <w:rPr>
                <w:color w:val="000000"/>
                <w:sz w:val="20"/>
                <w:szCs w:val="20"/>
              </w:rPr>
              <w:t>Extreme for validators (top 21 only)</w:t>
            </w:r>
          </w:p>
        </w:tc>
        <w:tc>
          <w:tcPr>
            <w:tcW w:w="1527" w:type="dxa"/>
            <w:tcBorders>
              <w:top w:val="nil"/>
              <w:left w:val="nil"/>
              <w:bottom w:val="single" w:sz="4" w:space="0" w:color="auto"/>
              <w:right w:val="single" w:sz="4" w:space="0" w:color="auto"/>
            </w:tcBorders>
            <w:shd w:val="clear" w:color="000000" w:fill="FFFFFF"/>
            <w:vAlign w:val="center"/>
            <w:hideMark/>
          </w:tcPr>
          <w:p w14:paraId="35343621" w14:textId="77777777" w:rsidR="007B6BAB" w:rsidRPr="00990CCB" w:rsidRDefault="007B6BAB" w:rsidP="006B21E2">
            <w:pPr>
              <w:rPr>
                <w:color w:val="000000"/>
                <w:sz w:val="20"/>
                <w:szCs w:val="20"/>
              </w:rPr>
            </w:pPr>
            <w:r w:rsidRPr="00990CCB">
              <w:rPr>
                <w:color w:val="000000"/>
                <w:sz w:val="20"/>
                <w:szCs w:val="20"/>
              </w:rPr>
              <w:t>$1 minimum delegation</w:t>
            </w:r>
          </w:p>
        </w:tc>
        <w:tc>
          <w:tcPr>
            <w:tcW w:w="1039" w:type="dxa"/>
            <w:tcBorders>
              <w:top w:val="nil"/>
              <w:left w:val="nil"/>
              <w:bottom w:val="single" w:sz="4" w:space="0" w:color="auto"/>
              <w:right w:val="single" w:sz="4" w:space="0" w:color="auto"/>
            </w:tcBorders>
            <w:shd w:val="clear" w:color="000000" w:fill="FFFFFF"/>
            <w:vAlign w:val="center"/>
            <w:hideMark/>
          </w:tcPr>
          <w:p w14:paraId="2F0D64BC" w14:textId="77777777" w:rsidR="007B6BAB" w:rsidRPr="00990CCB" w:rsidRDefault="007B6BAB" w:rsidP="006B21E2">
            <w:pPr>
              <w:rPr>
                <w:color w:val="000000"/>
                <w:sz w:val="20"/>
                <w:szCs w:val="20"/>
              </w:rPr>
            </w:pPr>
            <w:r w:rsidRPr="00990CCB">
              <w:rPr>
                <w:color w:val="000000"/>
                <w:sz w:val="20"/>
                <w:szCs w:val="20"/>
              </w:rPr>
              <w:t>5-10%</w:t>
            </w:r>
          </w:p>
        </w:tc>
        <w:tc>
          <w:tcPr>
            <w:tcW w:w="875" w:type="dxa"/>
            <w:tcBorders>
              <w:top w:val="nil"/>
              <w:left w:val="nil"/>
              <w:bottom w:val="single" w:sz="4" w:space="0" w:color="auto"/>
              <w:right w:val="single" w:sz="4" w:space="0" w:color="auto"/>
            </w:tcBorders>
            <w:shd w:val="clear" w:color="000000" w:fill="FFFFFF"/>
            <w:vAlign w:val="center"/>
            <w:hideMark/>
          </w:tcPr>
          <w:p w14:paraId="2FDE447C" w14:textId="77777777" w:rsidR="007B6BAB" w:rsidRPr="00990CCB" w:rsidRDefault="007B6BAB" w:rsidP="006B21E2">
            <w:pPr>
              <w:rPr>
                <w:color w:val="000000"/>
                <w:sz w:val="20"/>
                <w:szCs w:val="20"/>
              </w:rPr>
            </w:pPr>
            <w:r w:rsidRPr="00990CCB">
              <w:rPr>
                <w:color w:val="000000"/>
                <w:sz w:val="20"/>
                <w:szCs w:val="20"/>
              </w:rPr>
              <w:t>0.41 (Moderate)</w:t>
            </w:r>
          </w:p>
        </w:tc>
        <w:tc>
          <w:tcPr>
            <w:tcW w:w="900" w:type="dxa"/>
            <w:tcBorders>
              <w:top w:val="nil"/>
              <w:left w:val="nil"/>
              <w:bottom w:val="single" w:sz="4" w:space="0" w:color="auto"/>
              <w:right w:val="single" w:sz="4" w:space="0" w:color="auto"/>
            </w:tcBorders>
            <w:shd w:val="clear" w:color="000000" w:fill="FFFFFF"/>
            <w:vAlign w:val="center"/>
            <w:hideMark/>
          </w:tcPr>
          <w:p w14:paraId="7CF607C2" w14:textId="77777777" w:rsidR="007B6BAB" w:rsidRPr="00990CCB" w:rsidRDefault="007B6BAB" w:rsidP="006B21E2">
            <w:pPr>
              <w:rPr>
                <w:color w:val="000000"/>
                <w:sz w:val="20"/>
                <w:szCs w:val="20"/>
              </w:rPr>
            </w:pPr>
            <w:r w:rsidRPr="00990CCB">
              <w:rPr>
                <w:color w:val="000000"/>
                <w:sz w:val="20"/>
                <w:szCs w:val="20"/>
              </w:rPr>
              <w:t>2-4% for delegators</w:t>
            </w:r>
          </w:p>
        </w:tc>
        <w:tc>
          <w:tcPr>
            <w:tcW w:w="2340" w:type="dxa"/>
            <w:tcBorders>
              <w:top w:val="nil"/>
              <w:left w:val="nil"/>
              <w:bottom w:val="single" w:sz="4" w:space="0" w:color="auto"/>
              <w:right w:val="single" w:sz="8" w:space="0" w:color="auto"/>
            </w:tcBorders>
            <w:shd w:val="clear" w:color="000000" w:fill="FFFFFF"/>
            <w:vAlign w:val="center"/>
            <w:hideMark/>
          </w:tcPr>
          <w:p w14:paraId="05949EF5" w14:textId="77777777" w:rsidR="007B6BAB" w:rsidRPr="00990CCB" w:rsidRDefault="007B6BAB" w:rsidP="006B21E2">
            <w:pPr>
              <w:rPr>
                <w:color w:val="000000"/>
                <w:sz w:val="20"/>
                <w:szCs w:val="20"/>
              </w:rPr>
            </w:pPr>
            <w:r w:rsidRPr="00990CCB">
              <w:rPr>
                <w:color w:val="000000"/>
                <w:sz w:val="20"/>
                <w:szCs w:val="20"/>
              </w:rPr>
              <w:t>Very low barrier via delegation but concentrated validator set</w:t>
            </w:r>
          </w:p>
        </w:tc>
      </w:tr>
      <w:tr w:rsidR="00990CCB" w:rsidRPr="00990CCB" w14:paraId="4DE136B8" w14:textId="77777777" w:rsidTr="00193F6F">
        <w:trPr>
          <w:trHeight w:val="431"/>
        </w:trPr>
        <w:tc>
          <w:tcPr>
            <w:tcW w:w="1253" w:type="dxa"/>
            <w:tcBorders>
              <w:top w:val="nil"/>
              <w:left w:val="single" w:sz="8" w:space="0" w:color="auto"/>
              <w:bottom w:val="single" w:sz="4" w:space="0" w:color="auto"/>
              <w:right w:val="single" w:sz="4" w:space="0" w:color="auto"/>
            </w:tcBorders>
            <w:shd w:val="clear" w:color="000000" w:fill="FFFFFF"/>
            <w:vAlign w:val="center"/>
            <w:hideMark/>
          </w:tcPr>
          <w:p w14:paraId="4D6CD8A2" w14:textId="77777777" w:rsidR="007B6BAB" w:rsidRPr="00990CCB" w:rsidRDefault="007B6BAB" w:rsidP="006B21E2">
            <w:pPr>
              <w:rPr>
                <w:color w:val="000000"/>
                <w:sz w:val="20"/>
                <w:szCs w:val="20"/>
              </w:rPr>
            </w:pPr>
            <w:r w:rsidRPr="00990CCB">
              <w:rPr>
                <w:color w:val="000000"/>
                <w:sz w:val="20"/>
                <w:szCs w:val="20"/>
              </w:rPr>
              <w:t>Tron</w:t>
            </w:r>
          </w:p>
        </w:tc>
        <w:tc>
          <w:tcPr>
            <w:tcW w:w="1416" w:type="dxa"/>
            <w:tcBorders>
              <w:top w:val="nil"/>
              <w:left w:val="nil"/>
              <w:bottom w:val="single" w:sz="4" w:space="0" w:color="auto"/>
              <w:right w:val="single" w:sz="4" w:space="0" w:color="auto"/>
            </w:tcBorders>
            <w:shd w:val="clear" w:color="000000" w:fill="FFFFFF"/>
            <w:vAlign w:val="center"/>
            <w:hideMark/>
          </w:tcPr>
          <w:p w14:paraId="63BF9372" w14:textId="77777777" w:rsidR="007B6BAB" w:rsidRPr="00990CCB" w:rsidRDefault="007B6BAB" w:rsidP="006B21E2">
            <w:pPr>
              <w:rPr>
                <w:color w:val="000000"/>
                <w:sz w:val="20"/>
                <w:szCs w:val="20"/>
              </w:rPr>
            </w:pPr>
            <w:r w:rsidRPr="00990CCB">
              <w:rPr>
                <w:color w:val="000000"/>
                <w:sz w:val="20"/>
                <w:szCs w:val="20"/>
              </w:rPr>
              <w:t>Extreme for validators (top 27 only)</w:t>
            </w:r>
          </w:p>
        </w:tc>
        <w:tc>
          <w:tcPr>
            <w:tcW w:w="1527" w:type="dxa"/>
            <w:tcBorders>
              <w:top w:val="nil"/>
              <w:left w:val="nil"/>
              <w:bottom w:val="single" w:sz="4" w:space="0" w:color="auto"/>
              <w:right w:val="single" w:sz="4" w:space="0" w:color="auto"/>
            </w:tcBorders>
            <w:shd w:val="clear" w:color="000000" w:fill="FFFFFF"/>
            <w:vAlign w:val="center"/>
            <w:hideMark/>
          </w:tcPr>
          <w:p w14:paraId="47885906" w14:textId="77777777" w:rsidR="007B6BAB" w:rsidRPr="00990CCB" w:rsidRDefault="007B6BAB" w:rsidP="006B21E2">
            <w:pPr>
              <w:rPr>
                <w:color w:val="000000"/>
                <w:sz w:val="20"/>
                <w:szCs w:val="20"/>
              </w:rPr>
            </w:pPr>
            <w:r w:rsidRPr="00990CCB">
              <w:rPr>
                <w:color w:val="000000"/>
                <w:sz w:val="20"/>
                <w:szCs w:val="20"/>
              </w:rPr>
              <w:t>$1 minimum delegation</w:t>
            </w:r>
          </w:p>
        </w:tc>
        <w:tc>
          <w:tcPr>
            <w:tcW w:w="1039" w:type="dxa"/>
            <w:tcBorders>
              <w:top w:val="nil"/>
              <w:left w:val="nil"/>
              <w:bottom w:val="single" w:sz="4" w:space="0" w:color="auto"/>
              <w:right w:val="single" w:sz="4" w:space="0" w:color="auto"/>
            </w:tcBorders>
            <w:shd w:val="clear" w:color="000000" w:fill="FFFFFF"/>
            <w:vAlign w:val="center"/>
            <w:hideMark/>
          </w:tcPr>
          <w:p w14:paraId="54CC2880" w14:textId="77777777" w:rsidR="007B6BAB" w:rsidRPr="00990CCB" w:rsidRDefault="007B6BAB" w:rsidP="006B21E2">
            <w:pPr>
              <w:rPr>
                <w:color w:val="000000"/>
                <w:sz w:val="20"/>
                <w:szCs w:val="20"/>
              </w:rPr>
            </w:pPr>
            <w:r w:rsidRPr="00990CCB">
              <w:rPr>
                <w:color w:val="000000"/>
                <w:sz w:val="20"/>
                <w:szCs w:val="20"/>
              </w:rPr>
              <w:t>5-10%</w:t>
            </w:r>
          </w:p>
        </w:tc>
        <w:tc>
          <w:tcPr>
            <w:tcW w:w="875" w:type="dxa"/>
            <w:tcBorders>
              <w:top w:val="nil"/>
              <w:left w:val="nil"/>
              <w:bottom w:val="single" w:sz="4" w:space="0" w:color="auto"/>
              <w:right w:val="single" w:sz="4" w:space="0" w:color="auto"/>
            </w:tcBorders>
            <w:shd w:val="clear" w:color="000000" w:fill="FFFFFF"/>
            <w:vAlign w:val="center"/>
            <w:hideMark/>
          </w:tcPr>
          <w:p w14:paraId="373A90DD" w14:textId="77777777" w:rsidR="007B6BAB" w:rsidRPr="00990CCB" w:rsidRDefault="007B6BAB" w:rsidP="006B21E2">
            <w:pPr>
              <w:rPr>
                <w:color w:val="000000"/>
                <w:sz w:val="20"/>
                <w:szCs w:val="20"/>
              </w:rPr>
            </w:pPr>
            <w:r w:rsidRPr="00990CCB">
              <w:rPr>
                <w:color w:val="000000"/>
                <w:sz w:val="20"/>
                <w:szCs w:val="20"/>
              </w:rPr>
              <w:t>0.41 (Moderate)</w:t>
            </w:r>
          </w:p>
        </w:tc>
        <w:tc>
          <w:tcPr>
            <w:tcW w:w="900" w:type="dxa"/>
            <w:tcBorders>
              <w:top w:val="nil"/>
              <w:left w:val="nil"/>
              <w:bottom w:val="single" w:sz="4" w:space="0" w:color="auto"/>
              <w:right w:val="single" w:sz="4" w:space="0" w:color="auto"/>
            </w:tcBorders>
            <w:shd w:val="clear" w:color="000000" w:fill="FFFFFF"/>
            <w:vAlign w:val="center"/>
            <w:hideMark/>
          </w:tcPr>
          <w:p w14:paraId="5CD44A5F" w14:textId="77777777" w:rsidR="007B6BAB" w:rsidRPr="00990CCB" w:rsidRDefault="007B6BAB" w:rsidP="006B21E2">
            <w:pPr>
              <w:rPr>
                <w:color w:val="000000"/>
                <w:sz w:val="20"/>
                <w:szCs w:val="20"/>
              </w:rPr>
            </w:pPr>
            <w:r w:rsidRPr="00990CCB">
              <w:rPr>
                <w:color w:val="000000"/>
                <w:sz w:val="20"/>
                <w:szCs w:val="20"/>
              </w:rPr>
              <w:t>2-4% for delegators</w:t>
            </w:r>
          </w:p>
        </w:tc>
        <w:tc>
          <w:tcPr>
            <w:tcW w:w="2340" w:type="dxa"/>
            <w:tcBorders>
              <w:top w:val="nil"/>
              <w:left w:val="nil"/>
              <w:bottom w:val="single" w:sz="4" w:space="0" w:color="auto"/>
              <w:right w:val="single" w:sz="8" w:space="0" w:color="auto"/>
            </w:tcBorders>
            <w:shd w:val="clear" w:color="000000" w:fill="FFFFFF"/>
            <w:vAlign w:val="center"/>
            <w:hideMark/>
          </w:tcPr>
          <w:p w14:paraId="5736016A" w14:textId="77777777" w:rsidR="007B6BAB" w:rsidRPr="00990CCB" w:rsidRDefault="007B6BAB" w:rsidP="006B21E2">
            <w:pPr>
              <w:rPr>
                <w:color w:val="000000"/>
                <w:sz w:val="20"/>
                <w:szCs w:val="20"/>
              </w:rPr>
            </w:pPr>
            <w:r w:rsidRPr="00990CCB">
              <w:rPr>
                <w:color w:val="000000"/>
                <w:sz w:val="20"/>
                <w:szCs w:val="20"/>
              </w:rPr>
              <w:t>Democratic delegation; oligopolistic validation</w:t>
            </w:r>
          </w:p>
        </w:tc>
      </w:tr>
      <w:tr w:rsidR="00990CCB" w:rsidRPr="00990CCB" w14:paraId="3B328E04" w14:textId="77777777" w:rsidTr="00193F6F">
        <w:trPr>
          <w:trHeight w:val="422"/>
        </w:trPr>
        <w:tc>
          <w:tcPr>
            <w:tcW w:w="1253" w:type="dxa"/>
            <w:tcBorders>
              <w:top w:val="nil"/>
              <w:left w:val="single" w:sz="8" w:space="0" w:color="auto"/>
              <w:bottom w:val="single" w:sz="4" w:space="0" w:color="auto"/>
              <w:right w:val="single" w:sz="4" w:space="0" w:color="auto"/>
            </w:tcBorders>
            <w:shd w:val="clear" w:color="000000" w:fill="FFFFFF"/>
            <w:vAlign w:val="center"/>
            <w:hideMark/>
          </w:tcPr>
          <w:p w14:paraId="53FD0A4F" w14:textId="77777777" w:rsidR="007B6BAB" w:rsidRPr="00990CCB" w:rsidRDefault="007B6BAB" w:rsidP="006B21E2">
            <w:pPr>
              <w:rPr>
                <w:color w:val="000000"/>
                <w:sz w:val="20"/>
                <w:szCs w:val="20"/>
              </w:rPr>
            </w:pPr>
            <w:r w:rsidRPr="00990CCB">
              <w:rPr>
                <w:color w:val="000000"/>
                <w:sz w:val="20"/>
                <w:szCs w:val="20"/>
              </w:rPr>
              <w:t>BSC (Binance Smart Chain)</w:t>
            </w:r>
          </w:p>
        </w:tc>
        <w:tc>
          <w:tcPr>
            <w:tcW w:w="1416" w:type="dxa"/>
            <w:tcBorders>
              <w:top w:val="nil"/>
              <w:left w:val="nil"/>
              <w:bottom w:val="single" w:sz="4" w:space="0" w:color="auto"/>
              <w:right w:val="single" w:sz="4" w:space="0" w:color="auto"/>
            </w:tcBorders>
            <w:shd w:val="clear" w:color="000000" w:fill="FFFFFF"/>
            <w:vAlign w:val="center"/>
            <w:hideMark/>
          </w:tcPr>
          <w:p w14:paraId="2D814DE5" w14:textId="77777777" w:rsidR="007B6BAB" w:rsidRPr="00990CCB" w:rsidRDefault="007B6BAB" w:rsidP="006B21E2">
            <w:pPr>
              <w:rPr>
                <w:color w:val="000000"/>
                <w:sz w:val="20"/>
                <w:szCs w:val="20"/>
              </w:rPr>
            </w:pPr>
            <w:r w:rsidRPr="00990CCB">
              <w:rPr>
                <w:color w:val="000000"/>
                <w:sz w:val="20"/>
                <w:szCs w:val="20"/>
              </w:rPr>
              <w:t>10,000+ BNB for validators</w:t>
            </w:r>
          </w:p>
        </w:tc>
        <w:tc>
          <w:tcPr>
            <w:tcW w:w="1527" w:type="dxa"/>
            <w:tcBorders>
              <w:top w:val="nil"/>
              <w:left w:val="nil"/>
              <w:bottom w:val="single" w:sz="4" w:space="0" w:color="auto"/>
              <w:right w:val="single" w:sz="4" w:space="0" w:color="auto"/>
            </w:tcBorders>
            <w:shd w:val="clear" w:color="000000" w:fill="FFFFFF"/>
            <w:vAlign w:val="center"/>
            <w:hideMark/>
          </w:tcPr>
          <w:p w14:paraId="549611D2" w14:textId="77777777" w:rsidR="007B6BAB" w:rsidRPr="00990CCB" w:rsidRDefault="007B6BAB" w:rsidP="006B21E2">
            <w:pPr>
              <w:rPr>
                <w:color w:val="000000"/>
                <w:sz w:val="20"/>
                <w:szCs w:val="20"/>
              </w:rPr>
            </w:pPr>
            <w:r w:rsidRPr="00990CCB">
              <w:rPr>
                <w:color w:val="000000"/>
                <w:sz w:val="20"/>
                <w:szCs w:val="20"/>
              </w:rPr>
              <w:t>$1 minimum delegation</w:t>
            </w:r>
          </w:p>
        </w:tc>
        <w:tc>
          <w:tcPr>
            <w:tcW w:w="1039" w:type="dxa"/>
            <w:tcBorders>
              <w:top w:val="nil"/>
              <w:left w:val="nil"/>
              <w:bottom w:val="single" w:sz="4" w:space="0" w:color="auto"/>
              <w:right w:val="single" w:sz="4" w:space="0" w:color="auto"/>
            </w:tcBorders>
            <w:shd w:val="clear" w:color="000000" w:fill="FFFFFF"/>
            <w:vAlign w:val="center"/>
            <w:hideMark/>
          </w:tcPr>
          <w:p w14:paraId="1C369802" w14:textId="77777777" w:rsidR="007B6BAB" w:rsidRPr="00990CCB" w:rsidRDefault="007B6BAB" w:rsidP="006B21E2">
            <w:pPr>
              <w:rPr>
                <w:color w:val="000000"/>
                <w:sz w:val="20"/>
                <w:szCs w:val="20"/>
              </w:rPr>
            </w:pPr>
            <w:r w:rsidRPr="00990CCB">
              <w:rPr>
                <w:color w:val="000000"/>
                <w:sz w:val="20"/>
                <w:szCs w:val="20"/>
              </w:rPr>
              <w:t>5-10%</w:t>
            </w:r>
          </w:p>
        </w:tc>
        <w:tc>
          <w:tcPr>
            <w:tcW w:w="875" w:type="dxa"/>
            <w:tcBorders>
              <w:top w:val="nil"/>
              <w:left w:val="nil"/>
              <w:bottom w:val="single" w:sz="4" w:space="0" w:color="auto"/>
              <w:right w:val="single" w:sz="4" w:space="0" w:color="auto"/>
            </w:tcBorders>
            <w:shd w:val="clear" w:color="000000" w:fill="FFFFFF"/>
            <w:vAlign w:val="center"/>
            <w:hideMark/>
          </w:tcPr>
          <w:p w14:paraId="75723BB9" w14:textId="77777777" w:rsidR="007B6BAB" w:rsidRPr="00990CCB" w:rsidRDefault="007B6BAB" w:rsidP="006B21E2">
            <w:pPr>
              <w:rPr>
                <w:color w:val="000000"/>
                <w:sz w:val="20"/>
                <w:szCs w:val="20"/>
              </w:rPr>
            </w:pPr>
            <w:r w:rsidRPr="00990CCB">
              <w:rPr>
                <w:color w:val="000000"/>
                <w:sz w:val="20"/>
                <w:szCs w:val="20"/>
              </w:rPr>
              <w:t>0.41 (Moderate)</w:t>
            </w:r>
          </w:p>
        </w:tc>
        <w:tc>
          <w:tcPr>
            <w:tcW w:w="900" w:type="dxa"/>
            <w:tcBorders>
              <w:top w:val="nil"/>
              <w:left w:val="nil"/>
              <w:bottom w:val="single" w:sz="4" w:space="0" w:color="auto"/>
              <w:right w:val="single" w:sz="4" w:space="0" w:color="auto"/>
            </w:tcBorders>
            <w:shd w:val="clear" w:color="000000" w:fill="FFFFFF"/>
            <w:vAlign w:val="center"/>
            <w:hideMark/>
          </w:tcPr>
          <w:p w14:paraId="3A6A0E7C" w14:textId="77777777" w:rsidR="007B6BAB" w:rsidRPr="00990CCB" w:rsidRDefault="007B6BAB" w:rsidP="006B21E2">
            <w:pPr>
              <w:rPr>
                <w:color w:val="000000"/>
                <w:sz w:val="20"/>
                <w:szCs w:val="20"/>
              </w:rPr>
            </w:pPr>
            <w:r w:rsidRPr="00990CCB">
              <w:rPr>
                <w:color w:val="000000"/>
                <w:sz w:val="20"/>
                <w:szCs w:val="20"/>
              </w:rPr>
              <w:t>2-4% for delegators</w:t>
            </w:r>
          </w:p>
        </w:tc>
        <w:tc>
          <w:tcPr>
            <w:tcW w:w="2340" w:type="dxa"/>
            <w:tcBorders>
              <w:top w:val="nil"/>
              <w:left w:val="nil"/>
              <w:bottom w:val="single" w:sz="4" w:space="0" w:color="auto"/>
              <w:right w:val="single" w:sz="8" w:space="0" w:color="auto"/>
            </w:tcBorders>
            <w:shd w:val="clear" w:color="000000" w:fill="FFFFFF"/>
            <w:vAlign w:val="center"/>
            <w:hideMark/>
          </w:tcPr>
          <w:p w14:paraId="11BA82A4" w14:textId="77777777" w:rsidR="007B6BAB" w:rsidRPr="00990CCB" w:rsidRDefault="007B6BAB" w:rsidP="006B21E2">
            <w:pPr>
              <w:rPr>
                <w:color w:val="000000"/>
                <w:sz w:val="20"/>
                <w:szCs w:val="20"/>
              </w:rPr>
            </w:pPr>
            <w:r w:rsidRPr="00990CCB">
              <w:rPr>
                <w:color w:val="000000"/>
                <w:sz w:val="20"/>
                <w:szCs w:val="20"/>
              </w:rPr>
              <w:t xml:space="preserve">Accessible </w:t>
            </w:r>
            <w:proofErr w:type="gramStart"/>
            <w:r w:rsidRPr="00990CCB">
              <w:rPr>
                <w:color w:val="000000"/>
                <w:sz w:val="20"/>
                <w:szCs w:val="20"/>
              </w:rPr>
              <w:t>staking</w:t>
            </w:r>
            <w:proofErr w:type="gramEnd"/>
            <w:r w:rsidRPr="00990CCB">
              <w:rPr>
                <w:color w:val="000000"/>
                <w:sz w:val="20"/>
                <w:szCs w:val="20"/>
              </w:rPr>
              <w:t>; centralized validator control</w:t>
            </w:r>
          </w:p>
        </w:tc>
      </w:tr>
      <w:tr w:rsidR="00990CCB" w:rsidRPr="00990CCB" w14:paraId="2ECAC5F4" w14:textId="77777777" w:rsidTr="00990CCB">
        <w:trPr>
          <w:trHeight w:val="320"/>
        </w:trPr>
        <w:tc>
          <w:tcPr>
            <w:tcW w:w="9350" w:type="dxa"/>
            <w:gridSpan w:val="7"/>
            <w:tcBorders>
              <w:top w:val="single" w:sz="4" w:space="0" w:color="auto"/>
              <w:left w:val="single" w:sz="8" w:space="0" w:color="auto"/>
              <w:bottom w:val="single" w:sz="4" w:space="0" w:color="auto"/>
              <w:right w:val="single" w:sz="8" w:space="0" w:color="000000"/>
            </w:tcBorders>
            <w:vAlign w:val="center"/>
            <w:hideMark/>
          </w:tcPr>
          <w:p w14:paraId="1D7F1163" w14:textId="77777777" w:rsidR="007B6BAB" w:rsidRPr="00990CCB" w:rsidRDefault="007B6BAB" w:rsidP="006B21E2">
            <w:pPr>
              <w:rPr>
                <w:b/>
                <w:bCs/>
                <w:color w:val="000000"/>
                <w:sz w:val="20"/>
                <w:szCs w:val="20"/>
              </w:rPr>
            </w:pPr>
            <w:r w:rsidRPr="00990CCB">
              <w:rPr>
                <w:b/>
                <w:bCs/>
                <w:color w:val="000000"/>
                <w:sz w:val="20"/>
                <w:szCs w:val="20"/>
              </w:rPr>
              <w:t>Proof of Authority (</w:t>
            </w:r>
            <w:proofErr w:type="spellStart"/>
            <w:r w:rsidRPr="00990CCB">
              <w:rPr>
                <w:b/>
                <w:bCs/>
                <w:color w:val="000000"/>
                <w:sz w:val="20"/>
                <w:szCs w:val="20"/>
              </w:rPr>
              <w:t>PoA</w:t>
            </w:r>
            <w:proofErr w:type="spellEnd"/>
            <w:r w:rsidRPr="00990CCB">
              <w:rPr>
                <w:b/>
                <w:bCs/>
                <w:color w:val="000000"/>
                <w:sz w:val="20"/>
                <w:szCs w:val="20"/>
              </w:rPr>
              <w:t>)</w:t>
            </w:r>
          </w:p>
        </w:tc>
      </w:tr>
      <w:tr w:rsidR="00990CCB" w:rsidRPr="00990CCB" w14:paraId="34DDA9A4" w14:textId="77777777" w:rsidTr="00193F6F">
        <w:trPr>
          <w:trHeight w:val="413"/>
        </w:trPr>
        <w:tc>
          <w:tcPr>
            <w:tcW w:w="1253" w:type="dxa"/>
            <w:tcBorders>
              <w:top w:val="nil"/>
              <w:left w:val="single" w:sz="8" w:space="0" w:color="auto"/>
              <w:bottom w:val="single" w:sz="4" w:space="0" w:color="auto"/>
              <w:right w:val="single" w:sz="4" w:space="0" w:color="auto"/>
            </w:tcBorders>
            <w:shd w:val="clear" w:color="000000" w:fill="FFFFFF"/>
            <w:vAlign w:val="center"/>
            <w:hideMark/>
          </w:tcPr>
          <w:p w14:paraId="3418E3F4" w14:textId="77777777" w:rsidR="007B6BAB" w:rsidRPr="00990CCB" w:rsidRDefault="007B6BAB" w:rsidP="006B21E2">
            <w:pPr>
              <w:rPr>
                <w:color w:val="000000"/>
                <w:sz w:val="20"/>
                <w:szCs w:val="20"/>
              </w:rPr>
            </w:pPr>
            <w:r w:rsidRPr="00990CCB">
              <w:rPr>
                <w:color w:val="000000"/>
                <w:sz w:val="20"/>
                <w:szCs w:val="20"/>
              </w:rPr>
              <w:t>BSC Validator Set</w:t>
            </w:r>
          </w:p>
        </w:tc>
        <w:tc>
          <w:tcPr>
            <w:tcW w:w="1416" w:type="dxa"/>
            <w:tcBorders>
              <w:top w:val="nil"/>
              <w:left w:val="nil"/>
              <w:bottom w:val="single" w:sz="4" w:space="0" w:color="auto"/>
              <w:right w:val="single" w:sz="4" w:space="0" w:color="auto"/>
            </w:tcBorders>
            <w:shd w:val="clear" w:color="000000" w:fill="FFFFFF"/>
            <w:vAlign w:val="center"/>
            <w:hideMark/>
          </w:tcPr>
          <w:p w14:paraId="39EDD7F7" w14:textId="77777777" w:rsidR="007B6BAB" w:rsidRPr="00990CCB" w:rsidRDefault="007B6BAB" w:rsidP="006B21E2">
            <w:pPr>
              <w:rPr>
                <w:color w:val="000000"/>
                <w:sz w:val="20"/>
                <w:szCs w:val="20"/>
              </w:rPr>
            </w:pPr>
            <w:r w:rsidRPr="00990CCB">
              <w:rPr>
                <w:color w:val="000000"/>
                <w:sz w:val="20"/>
                <w:szCs w:val="20"/>
              </w:rPr>
              <w:t>Permission required (identity-based)</w:t>
            </w:r>
          </w:p>
        </w:tc>
        <w:tc>
          <w:tcPr>
            <w:tcW w:w="1527" w:type="dxa"/>
            <w:tcBorders>
              <w:top w:val="nil"/>
              <w:left w:val="nil"/>
              <w:bottom w:val="single" w:sz="4" w:space="0" w:color="auto"/>
              <w:right w:val="single" w:sz="4" w:space="0" w:color="auto"/>
            </w:tcBorders>
            <w:shd w:val="clear" w:color="000000" w:fill="FFFFFF"/>
            <w:vAlign w:val="center"/>
            <w:hideMark/>
          </w:tcPr>
          <w:p w14:paraId="7482EDC7" w14:textId="77777777" w:rsidR="007B6BAB" w:rsidRPr="00990CCB" w:rsidRDefault="007B6BAB" w:rsidP="006B21E2">
            <w:pPr>
              <w:rPr>
                <w:color w:val="000000"/>
                <w:sz w:val="20"/>
                <w:szCs w:val="20"/>
              </w:rPr>
            </w:pPr>
            <w:r w:rsidRPr="00990CCB">
              <w:rPr>
                <w:color w:val="000000"/>
                <w:sz w:val="20"/>
                <w:szCs w:val="20"/>
              </w:rPr>
              <w:t>Limited/none for retail</w:t>
            </w:r>
          </w:p>
        </w:tc>
        <w:tc>
          <w:tcPr>
            <w:tcW w:w="1039" w:type="dxa"/>
            <w:tcBorders>
              <w:top w:val="nil"/>
              <w:left w:val="nil"/>
              <w:bottom w:val="single" w:sz="4" w:space="0" w:color="auto"/>
              <w:right w:val="single" w:sz="4" w:space="0" w:color="auto"/>
            </w:tcBorders>
            <w:shd w:val="clear" w:color="000000" w:fill="FFFFFF"/>
            <w:vAlign w:val="center"/>
            <w:hideMark/>
          </w:tcPr>
          <w:p w14:paraId="5DE8DD55" w14:textId="77777777" w:rsidR="007B6BAB" w:rsidRPr="00990CCB" w:rsidRDefault="007B6BAB" w:rsidP="006B21E2">
            <w:pPr>
              <w:rPr>
                <w:color w:val="000000"/>
                <w:sz w:val="20"/>
                <w:szCs w:val="20"/>
              </w:rPr>
            </w:pPr>
            <w:r w:rsidRPr="00990CCB">
              <w:rPr>
                <w:color w:val="000000"/>
                <w:sz w:val="20"/>
                <w:szCs w:val="20"/>
              </w:rPr>
              <w:t>40-60%</w:t>
            </w:r>
          </w:p>
        </w:tc>
        <w:tc>
          <w:tcPr>
            <w:tcW w:w="875" w:type="dxa"/>
            <w:tcBorders>
              <w:top w:val="nil"/>
              <w:left w:val="nil"/>
              <w:bottom w:val="single" w:sz="4" w:space="0" w:color="auto"/>
              <w:right w:val="single" w:sz="4" w:space="0" w:color="auto"/>
            </w:tcBorders>
            <w:shd w:val="clear" w:color="000000" w:fill="FFFFFF"/>
            <w:vAlign w:val="center"/>
            <w:hideMark/>
          </w:tcPr>
          <w:p w14:paraId="497FF140" w14:textId="77777777" w:rsidR="007B6BAB" w:rsidRPr="00990CCB" w:rsidRDefault="007B6BAB" w:rsidP="006B21E2">
            <w:pPr>
              <w:rPr>
                <w:color w:val="000000"/>
                <w:sz w:val="20"/>
                <w:szCs w:val="20"/>
              </w:rPr>
            </w:pPr>
            <w:r w:rsidRPr="00990CCB">
              <w:rPr>
                <w:color w:val="000000"/>
                <w:sz w:val="20"/>
                <w:szCs w:val="20"/>
              </w:rPr>
              <w:t>0.12 (Very High)</w:t>
            </w:r>
          </w:p>
        </w:tc>
        <w:tc>
          <w:tcPr>
            <w:tcW w:w="900" w:type="dxa"/>
            <w:tcBorders>
              <w:top w:val="nil"/>
              <w:left w:val="nil"/>
              <w:bottom w:val="single" w:sz="4" w:space="0" w:color="auto"/>
              <w:right w:val="single" w:sz="4" w:space="0" w:color="auto"/>
            </w:tcBorders>
            <w:shd w:val="clear" w:color="000000" w:fill="FFFFFF"/>
            <w:vAlign w:val="center"/>
            <w:hideMark/>
          </w:tcPr>
          <w:p w14:paraId="4C570941" w14:textId="77777777" w:rsidR="007B6BAB" w:rsidRPr="00990CCB" w:rsidRDefault="007B6BAB" w:rsidP="006B21E2">
            <w:pPr>
              <w:rPr>
                <w:color w:val="000000"/>
                <w:sz w:val="20"/>
                <w:szCs w:val="20"/>
              </w:rPr>
            </w:pPr>
            <w:r w:rsidRPr="00990CCB">
              <w:rPr>
                <w:color w:val="000000"/>
                <w:sz w:val="20"/>
                <w:szCs w:val="20"/>
              </w:rPr>
              <w:t>High but inaccessible</w:t>
            </w:r>
          </w:p>
        </w:tc>
        <w:tc>
          <w:tcPr>
            <w:tcW w:w="2340" w:type="dxa"/>
            <w:tcBorders>
              <w:top w:val="nil"/>
              <w:left w:val="nil"/>
              <w:bottom w:val="single" w:sz="4" w:space="0" w:color="auto"/>
              <w:right w:val="single" w:sz="8" w:space="0" w:color="auto"/>
            </w:tcBorders>
            <w:shd w:val="clear" w:color="000000" w:fill="FFFFFF"/>
            <w:vAlign w:val="center"/>
            <w:hideMark/>
          </w:tcPr>
          <w:p w14:paraId="420AD6C2" w14:textId="77777777" w:rsidR="007B6BAB" w:rsidRPr="00990CCB" w:rsidRDefault="007B6BAB" w:rsidP="006B21E2">
            <w:pPr>
              <w:rPr>
                <w:color w:val="000000"/>
                <w:sz w:val="20"/>
                <w:szCs w:val="20"/>
              </w:rPr>
            </w:pPr>
            <w:r w:rsidRPr="00990CCB">
              <w:rPr>
                <w:color w:val="000000"/>
                <w:sz w:val="20"/>
                <w:szCs w:val="20"/>
              </w:rPr>
              <w:t>Not accessible to retail; institutional/permissioned only</w:t>
            </w:r>
          </w:p>
        </w:tc>
      </w:tr>
      <w:tr w:rsidR="00990CCB" w:rsidRPr="00990CCB" w14:paraId="5F0C252F" w14:textId="77777777" w:rsidTr="001C67C3">
        <w:trPr>
          <w:trHeight w:val="170"/>
        </w:trPr>
        <w:tc>
          <w:tcPr>
            <w:tcW w:w="1253" w:type="dxa"/>
            <w:tcBorders>
              <w:top w:val="nil"/>
              <w:left w:val="single" w:sz="8" w:space="0" w:color="auto"/>
              <w:bottom w:val="single" w:sz="8" w:space="0" w:color="auto"/>
              <w:right w:val="single" w:sz="4" w:space="0" w:color="auto"/>
            </w:tcBorders>
            <w:shd w:val="clear" w:color="000000" w:fill="FFFFFF"/>
            <w:vAlign w:val="center"/>
            <w:hideMark/>
          </w:tcPr>
          <w:p w14:paraId="36C1D843" w14:textId="77777777" w:rsidR="007B6BAB" w:rsidRPr="00990CCB" w:rsidRDefault="007B6BAB" w:rsidP="006B21E2">
            <w:pPr>
              <w:rPr>
                <w:color w:val="000000"/>
                <w:sz w:val="20"/>
                <w:szCs w:val="20"/>
              </w:rPr>
            </w:pPr>
            <w:r w:rsidRPr="00990CCB">
              <w:rPr>
                <w:color w:val="000000"/>
                <w:sz w:val="20"/>
                <w:szCs w:val="20"/>
              </w:rPr>
              <w:t xml:space="preserve">Polygon </w:t>
            </w:r>
            <w:proofErr w:type="spellStart"/>
            <w:r w:rsidRPr="00990CCB">
              <w:rPr>
                <w:color w:val="000000"/>
                <w:sz w:val="20"/>
                <w:szCs w:val="20"/>
              </w:rPr>
              <w:t>PoS</w:t>
            </w:r>
            <w:proofErr w:type="spellEnd"/>
          </w:p>
        </w:tc>
        <w:tc>
          <w:tcPr>
            <w:tcW w:w="1416" w:type="dxa"/>
            <w:tcBorders>
              <w:top w:val="nil"/>
              <w:left w:val="nil"/>
              <w:bottom w:val="single" w:sz="8" w:space="0" w:color="auto"/>
              <w:right w:val="single" w:sz="4" w:space="0" w:color="auto"/>
            </w:tcBorders>
            <w:shd w:val="clear" w:color="000000" w:fill="FFFFFF"/>
            <w:vAlign w:val="center"/>
            <w:hideMark/>
          </w:tcPr>
          <w:p w14:paraId="45925A75" w14:textId="77777777" w:rsidR="007B6BAB" w:rsidRPr="00990CCB" w:rsidRDefault="007B6BAB" w:rsidP="006B21E2">
            <w:pPr>
              <w:rPr>
                <w:color w:val="000000"/>
                <w:sz w:val="20"/>
                <w:szCs w:val="20"/>
              </w:rPr>
            </w:pPr>
            <w:r w:rsidRPr="00990CCB">
              <w:rPr>
                <w:color w:val="000000"/>
                <w:sz w:val="20"/>
                <w:szCs w:val="20"/>
              </w:rPr>
              <w:t>Permission + significant capital</w:t>
            </w:r>
          </w:p>
        </w:tc>
        <w:tc>
          <w:tcPr>
            <w:tcW w:w="1527" w:type="dxa"/>
            <w:tcBorders>
              <w:top w:val="nil"/>
              <w:left w:val="nil"/>
              <w:bottom w:val="single" w:sz="8" w:space="0" w:color="auto"/>
              <w:right w:val="single" w:sz="4" w:space="0" w:color="auto"/>
            </w:tcBorders>
            <w:shd w:val="clear" w:color="000000" w:fill="FFFFFF"/>
            <w:vAlign w:val="center"/>
            <w:hideMark/>
          </w:tcPr>
          <w:p w14:paraId="1AA5055C" w14:textId="77777777" w:rsidR="007B6BAB" w:rsidRPr="00990CCB" w:rsidRDefault="007B6BAB" w:rsidP="006B21E2">
            <w:pPr>
              <w:rPr>
                <w:color w:val="000000"/>
                <w:sz w:val="20"/>
                <w:szCs w:val="20"/>
              </w:rPr>
            </w:pPr>
            <w:r w:rsidRPr="00990CCB">
              <w:rPr>
                <w:color w:val="000000"/>
                <w:sz w:val="20"/>
                <w:szCs w:val="20"/>
              </w:rPr>
              <w:t>Limited for validators</w:t>
            </w:r>
          </w:p>
        </w:tc>
        <w:tc>
          <w:tcPr>
            <w:tcW w:w="1039" w:type="dxa"/>
            <w:tcBorders>
              <w:top w:val="nil"/>
              <w:left w:val="nil"/>
              <w:bottom w:val="single" w:sz="8" w:space="0" w:color="auto"/>
              <w:right w:val="single" w:sz="4" w:space="0" w:color="auto"/>
            </w:tcBorders>
            <w:shd w:val="clear" w:color="000000" w:fill="FFFFFF"/>
            <w:vAlign w:val="center"/>
            <w:hideMark/>
          </w:tcPr>
          <w:p w14:paraId="47CB5F81" w14:textId="77777777" w:rsidR="007B6BAB" w:rsidRPr="00990CCB" w:rsidRDefault="007B6BAB" w:rsidP="006B21E2">
            <w:pPr>
              <w:rPr>
                <w:color w:val="000000"/>
                <w:sz w:val="20"/>
                <w:szCs w:val="20"/>
              </w:rPr>
            </w:pPr>
            <w:r w:rsidRPr="00990CCB">
              <w:rPr>
                <w:color w:val="000000"/>
                <w:sz w:val="20"/>
                <w:szCs w:val="20"/>
              </w:rPr>
              <w:t>40-60%</w:t>
            </w:r>
          </w:p>
        </w:tc>
        <w:tc>
          <w:tcPr>
            <w:tcW w:w="875" w:type="dxa"/>
            <w:tcBorders>
              <w:top w:val="nil"/>
              <w:left w:val="nil"/>
              <w:bottom w:val="single" w:sz="8" w:space="0" w:color="auto"/>
              <w:right w:val="single" w:sz="4" w:space="0" w:color="auto"/>
            </w:tcBorders>
            <w:shd w:val="clear" w:color="000000" w:fill="FFFFFF"/>
            <w:vAlign w:val="center"/>
            <w:hideMark/>
          </w:tcPr>
          <w:p w14:paraId="601BC3D5" w14:textId="77777777" w:rsidR="007B6BAB" w:rsidRPr="00990CCB" w:rsidRDefault="007B6BAB" w:rsidP="006B21E2">
            <w:pPr>
              <w:rPr>
                <w:color w:val="000000"/>
                <w:sz w:val="20"/>
                <w:szCs w:val="20"/>
              </w:rPr>
            </w:pPr>
            <w:r w:rsidRPr="00990CCB">
              <w:rPr>
                <w:color w:val="000000"/>
                <w:sz w:val="20"/>
                <w:szCs w:val="20"/>
              </w:rPr>
              <w:t>0.12 (Very High)</w:t>
            </w:r>
          </w:p>
        </w:tc>
        <w:tc>
          <w:tcPr>
            <w:tcW w:w="900" w:type="dxa"/>
            <w:tcBorders>
              <w:top w:val="nil"/>
              <w:left w:val="nil"/>
              <w:bottom w:val="single" w:sz="8" w:space="0" w:color="auto"/>
              <w:right w:val="single" w:sz="4" w:space="0" w:color="auto"/>
            </w:tcBorders>
            <w:shd w:val="clear" w:color="000000" w:fill="FFFFFF"/>
            <w:vAlign w:val="center"/>
            <w:hideMark/>
          </w:tcPr>
          <w:p w14:paraId="2434B8C5" w14:textId="77777777" w:rsidR="007B6BAB" w:rsidRPr="00990CCB" w:rsidRDefault="007B6BAB" w:rsidP="006B21E2">
            <w:pPr>
              <w:rPr>
                <w:color w:val="000000"/>
                <w:sz w:val="20"/>
                <w:szCs w:val="20"/>
              </w:rPr>
            </w:pPr>
            <w:r w:rsidRPr="00990CCB">
              <w:rPr>
                <w:color w:val="000000"/>
                <w:sz w:val="20"/>
                <w:szCs w:val="20"/>
              </w:rPr>
              <w:t>High but inaccessible</w:t>
            </w:r>
          </w:p>
        </w:tc>
        <w:tc>
          <w:tcPr>
            <w:tcW w:w="2340" w:type="dxa"/>
            <w:tcBorders>
              <w:top w:val="nil"/>
              <w:left w:val="nil"/>
              <w:bottom w:val="single" w:sz="8" w:space="0" w:color="auto"/>
              <w:right w:val="single" w:sz="8" w:space="0" w:color="auto"/>
            </w:tcBorders>
            <w:shd w:val="clear" w:color="000000" w:fill="FFFFFF"/>
            <w:vAlign w:val="center"/>
            <w:hideMark/>
          </w:tcPr>
          <w:p w14:paraId="15A110BF" w14:textId="77777777" w:rsidR="007B6BAB" w:rsidRPr="00990CCB" w:rsidRDefault="007B6BAB" w:rsidP="006B21E2">
            <w:pPr>
              <w:rPr>
                <w:color w:val="000000"/>
                <w:sz w:val="20"/>
                <w:szCs w:val="20"/>
              </w:rPr>
            </w:pPr>
            <w:r w:rsidRPr="00990CCB">
              <w:rPr>
                <w:color w:val="000000"/>
                <w:sz w:val="20"/>
                <w:szCs w:val="20"/>
              </w:rPr>
              <w:t>Efficiency-focused; excludes retail validators</w:t>
            </w:r>
          </w:p>
        </w:tc>
      </w:tr>
    </w:tbl>
    <w:p w14:paraId="047B08E8" w14:textId="00199B73" w:rsidR="00D950F4" w:rsidRPr="00542848" w:rsidRDefault="00D950F4" w:rsidP="006B21E2">
      <w:pPr>
        <w:jc w:val="both"/>
        <w:rPr>
          <w:rFonts w:eastAsiaTheme="majorEastAsia"/>
          <w:i/>
          <w:iCs/>
          <w:color w:val="000000" w:themeColor="text1"/>
          <w:sz w:val="22"/>
          <w:szCs w:val="22"/>
        </w:rPr>
      </w:pPr>
      <w:r w:rsidRPr="00542848">
        <w:rPr>
          <w:rFonts w:eastAsiaTheme="majorEastAsia"/>
          <w:i/>
          <w:iCs/>
          <w:color w:val="000000" w:themeColor="text1"/>
          <w:sz w:val="22"/>
          <w:szCs w:val="22"/>
        </w:rPr>
        <w:t>Source: Author's analysis of 17 blockchain networks, 2020-2024. CV = Coefficient of Variation (lower = more stable).</w:t>
      </w:r>
    </w:p>
    <w:p w14:paraId="7F115DE1" w14:textId="77777777" w:rsidR="00D950F4" w:rsidRPr="00D950F4" w:rsidRDefault="00D950F4" w:rsidP="006B21E2">
      <w:pPr>
        <w:jc w:val="both"/>
        <w:rPr>
          <w:rFonts w:eastAsiaTheme="majorEastAsia"/>
          <w:color w:val="FF0000"/>
        </w:rPr>
      </w:pPr>
    </w:p>
    <w:p w14:paraId="584B8A61" w14:textId="6B2012FC" w:rsidR="00D950F4" w:rsidRPr="001C67C3" w:rsidRDefault="00D950F4" w:rsidP="006B21E2">
      <w:pPr>
        <w:jc w:val="both"/>
        <w:rPr>
          <w:rFonts w:eastAsiaTheme="majorEastAsia"/>
          <w:b/>
          <w:bCs/>
          <w:color w:val="000000" w:themeColor="text1"/>
        </w:rPr>
      </w:pPr>
      <w:r w:rsidRPr="001C67C3">
        <w:rPr>
          <w:rFonts w:eastAsiaTheme="majorEastAsia"/>
          <w:b/>
          <w:bCs/>
          <w:color w:val="000000" w:themeColor="text1"/>
        </w:rPr>
        <w:t>Critical Findings</w:t>
      </w:r>
    </w:p>
    <w:p w14:paraId="65089F00" w14:textId="77777777" w:rsidR="00D950F4" w:rsidRPr="00D950F4" w:rsidRDefault="00D950F4" w:rsidP="006B21E2">
      <w:pPr>
        <w:jc w:val="both"/>
        <w:rPr>
          <w:rFonts w:eastAsiaTheme="majorEastAsia"/>
          <w:color w:val="FF0000"/>
        </w:rPr>
      </w:pPr>
    </w:p>
    <w:p w14:paraId="16C8B532" w14:textId="04E4301B" w:rsidR="00D950F4" w:rsidRPr="00203044" w:rsidRDefault="00D950F4" w:rsidP="006B21E2">
      <w:pPr>
        <w:ind w:left="720"/>
        <w:jc w:val="both"/>
        <w:rPr>
          <w:rFonts w:eastAsiaTheme="majorEastAsia"/>
          <w:color w:val="000000" w:themeColor="text1"/>
        </w:rPr>
      </w:pPr>
      <w:r w:rsidRPr="00203044">
        <w:rPr>
          <w:rFonts w:eastAsiaTheme="majorEastAsia"/>
          <w:b/>
          <w:bCs/>
          <w:i/>
          <w:iCs/>
          <w:color w:val="000000" w:themeColor="text1"/>
        </w:rPr>
        <w:t>Inverse Accessibility-Profitability Relationship:</w:t>
      </w:r>
      <w:r w:rsidRPr="00203044">
        <w:rPr>
          <w:rFonts w:eastAsiaTheme="majorEastAsia"/>
          <w:color w:val="000000" w:themeColor="text1"/>
        </w:rPr>
        <w:t xml:space="preserve"> The systematic negative correlation between capital requirements and fee capture percentage </w:t>
      </w:r>
      <w:r w:rsidR="00203044" w:rsidRPr="00203044">
        <w:rPr>
          <w:rFonts w:eastAsiaTheme="majorEastAsia"/>
          <w:color w:val="000000" w:themeColor="text1"/>
        </w:rPr>
        <w:t>shows</w:t>
      </w:r>
      <w:r w:rsidRPr="00203044">
        <w:rPr>
          <w:rFonts w:eastAsiaTheme="majorEastAsia"/>
          <w:color w:val="000000" w:themeColor="text1"/>
        </w:rPr>
        <w:t xml:space="preserve"> a fundamental trade-off. Proof of Stake networks requiring $96,000 entry (Ethereum) capture 15-30% of validator income through fees, while Delegated Proof of Stake networks with $1 entry capture only 5-10%. This 3x difference in fee capture </w:t>
      </w:r>
      <w:proofErr w:type="gramStart"/>
      <w:r w:rsidRPr="00203044">
        <w:rPr>
          <w:rFonts w:eastAsiaTheme="majorEastAsia"/>
          <w:color w:val="000000" w:themeColor="text1"/>
        </w:rPr>
        <w:t>compensates</w:t>
      </w:r>
      <w:proofErr w:type="gramEnd"/>
      <w:r w:rsidRPr="00203044">
        <w:rPr>
          <w:rFonts w:eastAsiaTheme="majorEastAsia"/>
          <w:color w:val="000000" w:themeColor="text1"/>
        </w:rPr>
        <w:t xml:space="preserve"> validators for capital lock-up risk, creating </w:t>
      </w:r>
      <w:r w:rsidR="00203044" w:rsidRPr="00203044">
        <w:rPr>
          <w:rFonts w:eastAsiaTheme="majorEastAsia"/>
          <w:color w:val="000000" w:themeColor="text1"/>
        </w:rPr>
        <w:t xml:space="preserve">the </w:t>
      </w:r>
      <w:r w:rsidRPr="00203044">
        <w:rPr>
          <w:rFonts w:eastAsiaTheme="majorEastAsia"/>
          <w:color w:val="000000" w:themeColor="text1"/>
        </w:rPr>
        <w:t>economic rationale for high barriers.</w:t>
      </w:r>
    </w:p>
    <w:p w14:paraId="2CDBEBBF" w14:textId="77777777" w:rsidR="00D950F4" w:rsidRPr="00D950F4" w:rsidRDefault="00D950F4" w:rsidP="006B21E2">
      <w:pPr>
        <w:ind w:left="720"/>
        <w:jc w:val="both"/>
        <w:rPr>
          <w:rFonts w:eastAsiaTheme="majorEastAsia"/>
          <w:color w:val="FF0000"/>
        </w:rPr>
      </w:pPr>
    </w:p>
    <w:p w14:paraId="0BEFDB27" w14:textId="4A5630B9" w:rsidR="00D950F4" w:rsidRPr="000D3610" w:rsidRDefault="00D950F4" w:rsidP="006B21E2">
      <w:pPr>
        <w:ind w:left="720"/>
        <w:jc w:val="both"/>
        <w:rPr>
          <w:rFonts w:eastAsiaTheme="majorEastAsia"/>
          <w:color w:val="000000" w:themeColor="text1"/>
        </w:rPr>
      </w:pPr>
      <w:r w:rsidRPr="000D3610">
        <w:rPr>
          <w:rFonts w:eastAsiaTheme="majorEastAsia"/>
          <w:b/>
          <w:bCs/>
          <w:i/>
          <w:iCs/>
          <w:color w:val="000000" w:themeColor="text1"/>
        </w:rPr>
        <w:t>Stability Premium for High Barriers:</w:t>
      </w:r>
      <w:r w:rsidRPr="000D3610">
        <w:rPr>
          <w:rFonts w:eastAsiaTheme="majorEastAsia"/>
          <w:color w:val="000000" w:themeColor="text1"/>
        </w:rPr>
        <w:t xml:space="preserve"> Proof of Authority networks (CV = 0.12) demonstrate 2x return stability versus Proof of Stake (CV = 0.23) and 3.4x versus Delegated Proof of Stake (CV = 0.41). However, this stability comes with complete retail exclusion—</w:t>
      </w:r>
      <w:proofErr w:type="spellStart"/>
      <w:r w:rsidRPr="000D3610">
        <w:rPr>
          <w:rFonts w:eastAsiaTheme="majorEastAsia"/>
          <w:color w:val="000000" w:themeColor="text1"/>
        </w:rPr>
        <w:t>PoA</w:t>
      </w:r>
      <w:proofErr w:type="spellEnd"/>
      <w:r w:rsidRPr="000D3610">
        <w:rPr>
          <w:rFonts w:eastAsiaTheme="majorEastAsia"/>
          <w:color w:val="000000" w:themeColor="text1"/>
        </w:rPr>
        <w:t xml:space="preserve"> networks require permission</w:t>
      </w:r>
      <w:r w:rsidR="000D3610" w:rsidRPr="000D3610">
        <w:rPr>
          <w:rFonts w:eastAsiaTheme="majorEastAsia"/>
          <w:color w:val="000000" w:themeColor="text1"/>
        </w:rPr>
        <w:t xml:space="preserve"> to participate</w:t>
      </w:r>
      <w:r w:rsidRPr="000D3610">
        <w:rPr>
          <w:rFonts w:eastAsiaTheme="majorEastAsia"/>
          <w:color w:val="000000" w:themeColor="text1"/>
        </w:rPr>
        <w:t>, not capital. The stability-accessibility trade-off operates independently of capital requirements.</w:t>
      </w:r>
    </w:p>
    <w:p w14:paraId="0BB715B4" w14:textId="77777777" w:rsidR="00D950F4" w:rsidRPr="00D950F4" w:rsidRDefault="00D950F4" w:rsidP="006B21E2">
      <w:pPr>
        <w:ind w:left="720"/>
        <w:jc w:val="both"/>
        <w:rPr>
          <w:rFonts w:eastAsiaTheme="majorEastAsia"/>
          <w:color w:val="FF0000"/>
        </w:rPr>
      </w:pPr>
    </w:p>
    <w:p w14:paraId="09C84627" w14:textId="3A599248" w:rsidR="00D950F4" w:rsidRPr="00133515" w:rsidRDefault="00D950F4" w:rsidP="006B21E2">
      <w:pPr>
        <w:ind w:left="720"/>
        <w:jc w:val="both"/>
        <w:rPr>
          <w:rFonts w:eastAsiaTheme="majorEastAsia"/>
          <w:color w:val="000000" w:themeColor="text1"/>
        </w:rPr>
      </w:pPr>
      <w:r w:rsidRPr="00133515">
        <w:rPr>
          <w:rFonts w:eastAsiaTheme="majorEastAsia"/>
          <w:b/>
          <w:bCs/>
          <w:i/>
          <w:iCs/>
          <w:color w:val="000000" w:themeColor="text1"/>
        </w:rPr>
        <w:t>Delegation Accessibility Illusion:</w:t>
      </w:r>
      <w:r w:rsidRPr="00133515">
        <w:rPr>
          <w:rFonts w:eastAsiaTheme="majorEastAsia"/>
          <w:color w:val="000000" w:themeColor="text1"/>
        </w:rPr>
        <w:t xml:space="preserve"> All consensus mechanisms offer delegation options with $1-$100 minimums, appearing democratically accessible. However, returns through delegation (2-4.2% APR) consistently underperform risk-free alternatives (4.5% Treasury yield during </w:t>
      </w:r>
      <w:r w:rsidR="00133515" w:rsidRPr="00133515">
        <w:rPr>
          <w:rFonts w:eastAsiaTheme="majorEastAsia"/>
          <w:color w:val="000000" w:themeColor="text1"/>
        </w:rPr>
        <w:t xml:space="preserve">the </w:t>
      </w:r>
      <w:r w:rsidRPr="00133515">
        <w:rPr>
          <w:rFonts w:eastAsiaTheme="majorEastAsia"/>
          <w:color w:val="000000" w:themeColor="text1"/>
        </w:rPr>
        <w:t xml:space="preserve">study period). Technical accessibility creates participation </w:t>
      </w:r>
      <w:proofErr w:type="gramStart"/>
      <w:r w:rsidRPr="00133515">
        <w:rPr>
          <w:rFonts w:eastAsiaTheme="majorEastAsia"/>
          <w:color w:val="000000" w:themeColor="text1"/>
        </w:rPr>
        <w:t>opportunity</w:t>
      </w:r>
      <w:proofErr w:type="gramEnd"/>
      <w:r w:rsidRPr="00133515">
        <w:rPr>
          <w:rFonts w:eastAsiaTheme="majorEastAsia"/>
          <w:color w:val="000000" w:themeColor="text1"/>
        </w:rPr>
        <w:t xml:space="preserve"> without </w:t>
      </w:r>
      <w:r w:rsidR="00133515" w:rsidRPr="00133515">
        <w:rPr>
          <w:rFonts w:eastAsiaTheme="majorEastAsia"/>
          <w:color w:val="000000" w:themeColor="text1"/>
        </w:rPr>
        <w:t xml:space="preserve">the </w:t>
      </w:r>
      <w:r w:rsidRPr="00133515">
        <w:rPr>
          <w:rFonts w:eastAsiaTheme="majorEastAsia"/>
          <w:color w:val="000000" w:themeColor="text1"/>
        </w:rPr>
        <w:t>economic viability</w:t>
      </w:r>
      <w:r w:rsidR="00133515" w:rsidRPr="00133515">
        <w:rPr>
          <w:rFonts w:eastAsiaTheme="majorEastAsia"/>
          <w:color w:val="000000" w:themeColor="text1"/>
        </w:rPr>
        <w:t xml:space="preserve"> where </w:t>
      </w:r>
      <w:r w:rsidRPr="00133515">
        <w:rPr>
          <w:rFonts w:eastAsiaTheme="majorEastAsia"/>
          <w:color w:val="000000" w:themeColor="text1"/>
        </w:rPr>
        <w:t>participants can access but cannot profit relative to safer alternatives.</w:t>
      </w:r>
    </w:p>
    <w:p w14:paraId="6337FCA4" w14:textId="77777777" w:rsidR="00D950F4" w:rsidRPr="00D950F4" w:rsidRDefault="00D950F4" w:rsidP="006B21E2">
      <w:pPr>
        <w:ind w:left="720"/>
        <w:jc w:val="both"/>
        <w:rPr>
          <w:rFonts w:eastAsiaTheme="majorEastAsia"/>
          <w:color w:val="FF0000"/>
        </w:rPr>
      </w:pPr>
    </w:p>
    <w:p w14:paraId="75E3FB70" w14:textId="0EB8D16B" w:rsidR="00D950F4" w:rsidRPr="000436FB" w:rsidRDefault="00D950F4" w:rsidP="006B21E2">
      <w:pPr>
        <w:ind w:left="720"/>
        <w:jc w:val="both"/>
        <w:rPr>
          <w:rFonts w:eastAsiaTheme="majorEastAsia"/>
          <w:color w:val="000000" w:themeColor="text1"/>
        </w:rPr>
      </w:pPr>
      <w:r w:rsidRPr="000436FB">
        <w:rPr>
          <w:rFonts w:eastAsiaTheme="majorEastAsia"/>
          <w:b/>
          <w:bCs/>
          <w:i/>
          <w:iCs/>
          <w:color w:val="000000" w:themeColor="text1"/>
        </w:rPr>
        <w:t>Token Price Dominance:</w:t>
      </w:r>
      <w:r w:rsidRPr="000436FB">
        <w:rPr>
          <w:rFonts w:eastAsiaTheme="majorEastAsia"/>
          <w:color w:val="000000" w:themeColor="text1"/>
        </w:rPr>
        <w:t xml:space="preserve"> Nominal returns (4-5% APR for </w:t>
      </w:r>
      <w:proofErr w:type="spellStart"/>
      <w:r w:rsidRPr="000436FB">
        <w:rPr>
          <w:rFonts w:eastAsiaTheme="majorEastAsia"/>
          <w:color w:val="000000" w:themeColor="text1"/>
        </w:rPr>
        <w:t>PoS</w:t>
      </w:r>
      <w:proofErr w:type="spellEnd"/>
      <w:r w:rsidRPr="000436FB">
        <w:rPr>
          <w:rFonts w:eastAsiaTheme="majorEastAsia"/>
          <w:color w:val="000000" w:themeColor="text1"/>
        </w:rPr>
        <w:t xml:space="preserve"> networks) represent only 9% of </w:t>
      </w:r>
      <w:r w:rsidR="005B34AD" w:rsidRPr="000436FB">
        <w:rPr>
          <w:rFonts w:eastAsiaTheme="majorEastAsia"/>
          <w:color w:val="000000" w:themeColor="text1"/>
        </w:rPr>
        <w:t xml:space="preserve">the </w:t>
      </w:r>
      <w:r w:rsidRPr="000436FB">
        <w:rPr>
          <w:rFonts w:eastAsiaTheme="majorEastAsia"/>
          <w:color w:val="000000" w:themeColor="text1"/>
        </w:rPr>
        <w:t>total return variance; 91% derive from underlying token price movements. This transforms "staking income" from yield generation into price speculation with modest yield component</w:t>
      </w:r>
      <w:r w:rsidR="000436FB" w:rsidRPr="000436FB">
        <w:rPr>
          <w:rFonts w:eastAsiaTheme="majorEastAsia"/>
          <w:color w:val="000000" w:themeColor="text1"/>
        </w:rPr>
        <w:t>s</w:t>
      </w:r>
      <w:r w:rsidRPr="000436FB">
        <w:rPr>
          <w:rFonts w:eastAsiaTheme="majorEastAsia"/>
          <w:color w:val="000000" w:themeColor="text1"/>
        </w:rPr>
        <w:t xml:space="preserve">. Participants accepting crypto volatility for sub-Treasury nominal returns </w:t>
      </w:r>
      <w:r w:rsidR="000436FB" w:rsidRPr="000436FB">
        <w:rPr>
          <w:rFonts w:eastAsiaTheme="majorEastAsia"/>
          <w:color w:val="000000" w:themeColor="text1"/>
        </w:rPr>
        <w:t>“</w:t>
      </w:r>
      <w:r w:rsidRPr="000436FB">
        <w:rPr>
          <w:rFonts w:eastAsiaTheme="majorEastAsia"/>
          <w:color w:val="000000" w:themeColor="text1"/>
        </w:rPr>
        <w:t>violate</w:t>
      </w:r>
      <w:r w:rsidR="000436FB" w:rsidRPr="000436FB">
        <w:rPr>
          <w:rFonts w:eastAsiaTheme="majorEastAsia"/>
          <w:color w:val="000000" w:themeColor="text1"/>
        </w:rPr>
        <w:t>”</w:t>
      </w:r>
      <w:r w:rsidRPr="000436FB">
        <w:rPr>
          <w:rFonts w:eastAsiaTheme="majorEastAsia"/>
          <w:color w:val="000000" w:themeColor="text1"/>
        </w:rPr>
        <w:t xml:space="preserve"> basic risk-return principles.</w:t>
      </w:r>
    </w:p>
    <w:p w14:paraId="4631EC0D" w14:textId="77777777" w:rsidR="00D950F4" w:rsidRPr="00D950F4" w:rsidRDefault="00D950F4" w:rsidP="006B21E2">
      <w:pPr>
        <w:ind w:left="720"/>
        <w:jc w:val="both"/>
        <w:rPr>
          <w:rFonts w:eastAsiaTheme="majorEastAsia"/>
          <w:color w:val="FF0000"/>
        </w:rPr>
      </w:pPr>
    </w:p>
    <w:p w14:paraId="04398C03" w14:textId="03C16D12" w:rsidR="00D950F4" w:rsidRPr="00BC0247" w:rsidRDefault="00D950F4" w:rsidP="006B21E2">
      <w:pPr>
        <w:ind w:left="720"/>
        <w:jc w:val="both"/>
        <w:rPr>
          <w:rFonts w:eastAsiaTheme="majorEastAsia"/>
          <w:color w:val="000000" w:themeColor="text1"/>
        </w:rPr>
      </w:pPr>
      <w:r w:rsidRPr="00BC0247">
        <w:rPr>
          <w:rFonts w:eastAsiaTheme="majorEastAsia"/>
          <w:b/>
          <w:bCs/>
          <w:i/>
          <w:iCs/>
          <w:color w:val="000000" w:themeColor="text1"/>
        </w:rPr>
        <w:t>Fee Capture Concentration:</w:t>
      </w:r>
      <w:r w:rsidRPr="00BC0247">
        <w:rPr>
          <w:rFonts w:eastAsiaTheme="majorEastAsia"/>
          <w:color w:val="000000" w:themeColor="text1"/>
        </w:rPr>
        <w:t xml:space="preserve"> High fee capture networks (</w:t>
      </w:r>
      <w:proofErr w:type="spellStart"/>
      <w:r w:rsidRPr="00BC0247">
        <w:rPr>
          <w:rFonts w:eastAsiaTheme="majorEastAsia"/>
          <w:color w:val="000000" w:themeColor="text1"/>
        </w:rPr>
        <w:t>PoA</w:t>
      </w:r>
      <w:proofErr w:type="spellEnd"/>
      <w:r w:rsidRPr="00BC0247">
        <w:rPr>
          <w:rFonts w:eastAsiaTheme="majorEastAsia"/>
          <w:color w:val="000000" w:themeColor="text1"/>
        </w:rPr>
        <w:t xml:space="preserve">: 40-60%) concentrate </w:t>
      </w:r>
      <w:r w:rsidR="00BC0247" w:rsidRPr="00BC0247">
        <w:rPr>
          <w:rFonts w:eastAsiaTheme="majorEastAsia"/>
          <w:color w:val="000000" w:themeColor="text1"/>
        </w:rPr>
        <w:t xml:space="preserve">the </w:t>
      </w:r>
      <w:r w:rsidRPr="00BC0247">
        <w:rPr>
          <w:rFonts w:eastAsiaTheme="majorEastAsia"/>
          <w:color w:val="000000" w:themeColor="text1"/>
        </w:rPr>
        <w:t>benefits among permissioned validators, while low fee networks (</w:t>
      </w:r>
      <w:proofErr w:type="spellStart"/>
      <w:r w:rsidRPr="00BC0247">
        <w:rPr>
          <w:rFonts w:eastAsiaTheme="majorEastAsia"/>
          <w:color w:val="000000" w:themeColor="text1"/>
        </w:rPr>
        <w:t>DPoS</w:t>
      </w:r>
      <w:proofErr w:type="spellEnd"/>
      <w:r w:rsidRPr="00BC0247">
        <w:rPr>
          <w:rFonts w:eastAsiaTheme="majorEastAsia"/>
          <w:color w:val="000000" w:themeColor="text1"/>
        </w:rPr>
        <w:t>: 5-10%) distribute smaller returns across broader participant base. The democratization paradox: accessible networks offer insufficient returns; profitable networks exclude through permission or capital requirements.</w:t>
      </w:r>
    </w:p>
    <w:p w14:paraId="2EBD0809" w14:textId="77777777" w:rsidR="00D950F4" w:rsidRPr="001455BE" w:rsidRDefault="00D950F4" w:rsidP="006B21E2">
      <w:pPr>
        <w:jc w:val="both"/>
        <w:rPr>
          <w:rFonts w:eastAsiaTheme="majorEastAsia"/>
          <w:color w:val="000000" w:themeColor="text1"/>
        </w:rPr>
      </w:pPr>
    </w:p>
    <w:p w14:paraId="5C315AC1" w14:textId="77777777" w:rsidR="001C67C3" w:rsidRPr="001455BE" w:rsidRDefault="00D950F4" w:rsidP="006B21E2">
      <w:pPr>
        <w:jc w:val="both"/>
        <w:rPr>
          <w:rFonts w:eastAsiaTheme="majorEastAsia"/>
          <w:b/>
          <w:bCs/>
          <w:color w:val="000000" w:themeColor="text1"/>
        </w:rPr>
      </w:pPr>
      <w:r w:rsidRPr="001455BE">
        <w:rPr>
          <w:rFonts w:eastAsiaTheme="majorEastAsia"/>
          <w:b/>
          <w:bCs/>
          <w:color w:val="000000" w:themeColor="text1"/>
        </w:rPr>
        <w:t>Theoretical Implication</w:t>
      </w:r>
    </w:p>
    <w:p w14:paraId="24EA1CE9" w14:textId="1756135B" w:rsidR="00D950F4" w:rsidRPr="001455BE" w:rsidRDefault="00D950F4" w:rsidP="006B21E2">
      <w:pPr>
        <w:jc w:val="both"/>
        <w:rPr>
          <w:rFonts w:eastAsiaTheme="majorEastAsia"/>
          <w:color w:val="000000" w:themeColor="text1"/>
        </w:rPr>
      </w:pPr>
      <w:r w:rsidRPr="001455BE">
        <w:rPr>
          <w:rFonts w:eastAsiaTheme="majorEastAsia"/>
          <w:color w:val="000000" w:themeColor="text1"/>
        </w:rPr>
        <w:t>Protocol-level fee structures create participation barriers that differ in form but not effect from traditional finance. High capital requirements (Ethereum $96K) function identically to institutional minimums, while permission requirements (</w:t>
      </w:r>
      <w:proofErr w:type="spellStart"/>
      <w:r w:rsidRPr="001455BE">
        <w:rPr>
          <w:rFonts w:eastAsiaTheme="majorEastAsia"/>
          <w:color w:val="000000" w:themeColor="text1"/>
        </w:rPr>
        <w:t>PoA</w:t>
      </w:r>
      <w:proofErr w:type="spellEnd"/>
      <w:r w:rsidRPr="001455BE">
        <w:rPr>
          <w:rFonts w:eastAsiaTheme="majorEastAsia"/>
          <w:color w:val="000000" w:themeColor="text1"/>
        </w:rPr>
        <w:t xml:space="preserve"> networks) replicate accreditation restrictions. Delegation mechanisms lower technical barriers without addressing economic viability barriers, creating the appearance of democratization while maintaining concentrated outcomes.</w:t>
      </w:r>
    </w:p>
    <w:p w14:paraId="4463CFBD" w14:textId="77777777" w:rsidR="00D950F4" w:rsidRPr="00D950F4" w:rsidRDefault="00D950F4" w:rsidP="006B21E2">
      <w:pPr>
        <w:jc w:val="both"/>
        <w:rPr>
          <w:rFonts w:eastAsiaTheme="majorEastAsia"/>
          <w:color w:val="FF0000"/>
        </w:rPr>
      </w:pPr>
    </w:p>
    <w:p w14:paraId="4563A66E" w14:textId="77777777" w:rsidR="001C67C3" w:rsidRPr="001455BE" w:rsidRDefault="00D950F4" w:rsidP="006B21E2">
      <w:pPr>
        <w:jc w:val="both"/>
        <w:rPr>
          <w:rFonts w:eastAsiaTheme="majorEastAsia"/>
          <w:b/>
          <w:bCs/>
          <w:color w:val="000000" w:themeColor="text1"/>
        </w:rPr>
      </w:pPr>
      <w:r w:rsidRPr="001455BE">
        <w:rPr>
          <w:rFonts w:eastAsiaTheme="majorEastAsia"/>
          <w:b/>
          <w:bCs/>
          <w:color w:val="000000" w:themeColor="text1"/>
        </w:rPr>
        <w:t>Practical Guidance</w:t>
      </w:r>
    </w:p>
    <w:p w14:paraId="3874ADCF" w14:textId="7C0DD8CE" w:rsidR="00510401" w:rsidRPr="001455BE" w:rsidRDefault="00D950F4" w:rsidP="006B21E2">
      <w:pPr>
        <w:jc w:val="both"/>
        <w:rPr>
          <w:rFonts w:eastAsiaTheme="majorEastAsia"/>
          <w:color w:val="000000" w:themeColor="text1"/>
        </w:rPr>
      </w:pPr>
      <w:r w:rsidRPr="001455BE">
        <w:rPr>
          <w:rFonts w:eastAsiaTheme="majorEastAsia"/>
          <w:color w:val="000000" w:themeColor="text1"/>
        </w:rPr>
        <w:t xml:space="preserve">For limited-capital participants, protocol-level staking should be evaluated as yield on held assets (supplementary income for long-term token holders) rather than </w:t>
      </w:r>
      <w:r w:rsidR="001455BE" w:rsidRPr="001455BE">
        <w:rPr>
          <w:rFonts w:eastAsiaTheme="majorEastAsia"/>
          <w:color w:val="000000" w:themeColor="text1"/>
        </w:rPr>
        <w:t xml:space="preserve">a </w:t>
      </w:r>
      <w:r w:rsidRPr="001455BE">
        <w:rPr>
          <w:rFonts w:eastAsiaTheme="majorEastAsia"/>
          <w:color w:val="000000" w:themeColor="text1"/>
        </w:rPr>
        <w:t xml:space="preserve">standalone income strategy. The &lt;$5,000 capital cohort faces mathematical barriers: delegation returns (2-4.2%) &lt; risk-free rates (4.5%) while accepting full token price volatility. Only participants with existing token holdings </w:t>
      </w:r>
      <w:r w:rsidRPr="001455BE">
        <w:rPr>
          <w:rFonts w:eastAsiaTheme="majorEastAsia"/>
          <w:color w:val="000000" w:themeColor="text1"/>
        </w:rPr>
        <w:lastRenderedPageBreak/>
        <w:t>for non-staking reasons (development, governance, speculation) should view protocol fees as viable supplementary income.</w:t>
      </w:r>
    </w:p>
    <w:p w14:paraId="0798475E" w14:textId="77777777" w:rsidR="00510401" w:rsidRPr="003C66A0" w:rsidRDefault="00510401" w:rsidP="006B21E2">
      <w:pPr>
        <w:jc w:val="both"/>
        <w:rPr>
          <w:rFonts w:eastAsiaTheme="majorEastAsia"/>
          <w:b/>
          <w:bCs/>
          <w:color w:val="000000" w:themeColor="text1"/>
        </w:rPr>
      </w:pPr>
    </w:p>
    <w:p w14:paraId="776D6A0C" w14:textId="4C0C48DA" w:rsidR="00331CD9" w:rsidRPr="003C66A0" w:rsidRDefault="008D6F57" w:rsidP="006B21E2">
      <w:pPr>
        <w:pStyle w:val="Heading2"/>
        <w:jc w:val="both"/>
        <w:rPr>
          <w:rFonts w:eastAsiaTheme="majorEastAsia"/>
        </w:rPr>
      </w:pPr>
      <w:bookmarkStart w:id="138" w:name="_Toc214721944"/>
      <w:r w:rsidRPr="003C66A0">
        <w:rPr>
          <w:rFonts w:eastAsiaTheme="majorEastAsia"/>
        </w:rPr>
        <w:t>6</w:t>
      </w:r>
      <w:r w:rsidR="00331CD9" w:rsidRPr="003C66A0">
        <w:rPr>
          <w:rFonts w:eastAsiaTheme="majorEastAsia"/>
        </w:rPr>
        <w:t>.2 Fee Market Dynamics: Patterns and Exploitation</w:t>
      </w:r>
      <w:bookmarkEnd w:id="138"/>
    </w:p>
    <w:p w14:paraId="3B8A57A1" w14:textId="0C06EE52" w:rsidR="00331CD9" w:rsidRPr="003C66A0" w:rsidRDefault="00331CD9" w:rsidP="006B21E2">
      <w:pPr>
        <w:jc w:val="both"/>
        <w:rPr>
          <w:rFonts w:eastAsiaTheme="majorEastAsia"/>
          <w:bCs/>
          <w:color w:val="000000" w:themeColor="text1"/>
        </w:rPr>
      </w:pPr>
      <w:r w:rsidRPr="003C66A0">
        <w:rPr>
          <w:rFonts w:eastAsiaTheme="majorEastAsia"/>
          <w:bCs/>
          <w:color w:val="000000" w:themeColor="text1"/>
        </w:rPr>
        <w:t>Blockchain fee markets are</w:t>
      </w:r>
      <w:r w:rsidR="005407A6" w:rsidRPr="003C66A0">
        <w:rPr>
          <w:rFonts w:eastAsiaTheme="majorEastAsia"/>
          <w:bCs/>
          <w:color w:val="000000" w:themeColor="text1"/>
        </w:rPr>
        <w:t xml:space="preserve"> not</w:t>
      </w:r>
      <w:r w:rsidRPr="003C66A0">
        <w:rPr>
          <w:rFonts w:eastAsiaTheme="majorEastAsia"/>
          <w:bCs/>
          <w:color w:val="000000" w:themeColor="text1"/>
        </w:rPr>
        <w:t xml:space="preserve"> random</w:t>
      </w:r>
      <w:r w:rsidR="005407A6" w:rsidRPr="003C66A0">
        <w:rPr>
          <w:rFonts w:eastAsiaTheme="majorEastAsia"/>
          <w:bCs/>
          <w:color w:val="000000" w:themeColor="text1"/>
        </w:rPr>
        <w:t xml:space="preserve"> as they may appear to novice </w:t>
      </w:r>
      <w:r w:rsidR="00FD343A" w:rsidRPr="003C66A0">
        <w:rPr>
          <w:rFonts w:eastAsiaTheme="majorEastAsia"/>
          <w:bCs/>
          <w:color w:val="000000" w:themeColor="text1"/>
        </w:rPr>
        <w:t>observers</w:t>
      </w:r>
      <w:r w:rsidR="005407A6" w:rsidRPr="003C66A0">
        <w:rPr>
          <w:rFonts w:eastAsiaTheme="majorEastAsia"/>
          <w:bCs/>
          <w:color w:val="000000" w:themeColor="text1"/>
        </w:rPr>
        <w:t>. They do</w:t>
      </w:r>
      <w:r w:rsidRPr="003C66A0">
        <w:rPr>
          <w:rFonts w:eastAsiaTheme="majorEastAsia"/>
          <w:bCs/>
          <w:color w:val="000000" w:themeColor="text1"/>
        </w:rPr>
        <w:t xml:space="preserve"> follow patterns </w:t>
      </w:r>
      <w:r w:rsidR="005407A6" w:rsidRPr="003C66A0">
        <w:rPr>
          <w:rFonts w:eastAsiaTheme="majorEastAsia"/>
          <w:bCs/>
          <w:color w:val="000000" w:themeColor="text1"/>
        </w:rPr>
        <w:t xml:space="preserve">that create </w:t>
      </w:r>
      <w:r w:rsidRPr="003C66A0">
        <w:rPr>
          <w:rFonts w:eastAsiaTheme="majorEastAsia"/>
          <w:bCs/>
          <w:color w:val="000000" w:themeColor="text1"/>
        </w:rPr>
        <w:t>exploitation opportunities for those who understand them.</w:t>
      </w:r>
    </w:p>
    <w:p w14:paraId="465CFA6B" w14:textId="77777777" w:rsidR="009F3043" w:rsidRPr="003C66A0" w:rsidRDefault="009F3043" w:rsidP="006B21E2">
      <w:pPr>
        <w:jc w:val="both"/>
        <w:rPr>
          <w:rFonts w:eastAsiaTheme="majorEastAsia"/>
          <w:b/>
          <w:bCs/>
          <w:color w:val="000000" w:themeColor="text1"/>
        </w:rPr>
      </w:pPr>
    </w:p>
    <w:p w14:paraId="45508C56" w14:textId="3CEB0F61" w:rsidR="00331CD9" w:rsidRPr="003C66A0" w:rsidRDefault="008D6F57" w:rsidP="006B21E2">
      <w:pPr>
        <w:pStyle w:val="Heading3"/>
        <w:jc w:val="both"/>
        <w:rPr>
          <w:rFonts w:eastAsiaTheme="majorEastAsia"/>
        </w:rPr>
      </w:pPr>
      <w:bookmarkStart w:id="139" w:name="_Toc214721945"/>
      <w:r w:rsidRPr="003C66A0">
        <w:rPr>
          <w:rFonts w:eastAsiaTheme="majorEastAsia"/>
        </w:rPr>
        <w:t>6</w:t>
      </w:r>
      <w:r w:rsidR="00331CD9" w:rsidRPr="003C66A0">
        <w:rPr>
          <w:rFonts w:eastAsiaTheme="majorEastAsia"/>
        </w:rPr>
        <w:t>.2.1 Temporal Patterns</w:t>
      </w:r>
      <w:bookmarkEnd w:id="139"/>
    </w:p>
    <w:p w14:paraId="3E2498B5" w14:textId="77777777" w:rsidR="00331CD9" w:rsidRPr="003C66A0" w:rsidRDefault="00331CD9" w:rsidP="006B21E2">
      <w:pPr>
        <w:jc w:val="both"/>
        <w:rPr>
          <w:rFonts w:eastAsiaTheme="majorEastAsia"/>
          <w:bCs/>
          <w:color w:val="000000" w:themeColor="text1"/>
        </w:rPr>
      </w:pPr>
      <w:r w:rsidRPr="003C66A0">
        <w:rPr>
          <w:rFonts w:eastAsiaTheme="majorEastAsia"/>
          <w:bCs/>
          <w:color w:val="000000" w:themeColor="text1"/>
        </w:rPr>
        <w:t>Spectral analysis and ARIMA modeling on hourly fee data reveals strong regularities:</w:t>
      </w:r>
    </w:p>
    <w:p w14:paraId="2D8E0AF8" w14:textId="77777777" w:rsidR="005C21FD" w:rsidRPr="003C66A0" w:rsidRDefault="005C21FD" w:rsidP="006B21E2">
      <w:pPr>
        <w:jc w:val="both"/>
        <w:rPr>
          <w:rFonts w:eastAsiaTheme="majorEastAsia"/>
          <w:b/>
          <w:bCs/>
          <w:color w:val="000000" w:themeColor="text1"/>
        </w:rPr>
      </w:pPr>
    </w:p>
    <w:p w14:paraId="585F35BA" w14:textId="1FAF9258" w:rsidR="00331CD9" w:rsidRPr="003C66A0" w:rsidRDefault="00331CD9" w:rsidP="006B21E2">
      <w:pPr>
        <w:pStyle w:val="ListParagraph"/>
        <w:numPr>
          <w:ilvl w:val="0"/>
          <w:numId w:val="95"/>
        </w:numPr>
        <w:jc w:val="both"/>
        <w:outlineLvl w:val="9"/>
        <w:rPr>
          <w:rFonts w:eastAsiaTheme="majorEastAsia"/>
          <w:bCs/>
          <w:color w:val="000000" w:themeColor="text1"/>
        </w:rPr>
      </w:pPr>
      <w:r w:rsidRPr="003C66A0">
        <w:rPr>
          <w:rFonts w:eastAsiaTheme="majorEastAsia"/>
          <w:b/>
          <w:bCs/>
          <w:color w:val="000000" w:themeColor="text1"/>
        </w:rPr>
        <w:t>Daily patterns:</w:t>
      </w:r>
      <w:r w:rsidRPr="003C66A0">
        <w:rPr>
          <w:rFonts w:eastAsiaTheme="majorEastAsia"/>
          <w:bCs/>
          <w:color w:val="000000" w:themeColor="text1"/>
        </w:rPr>
        <w:t xml:space="preserve"> Fees peak 14:00-16:00 UTC (overlapping Asian evening/European afternoon), reaching 1.4x daily average. Minimum at 04:00-06:00 UTC, dropping to 0.6x average.</w:t>
      </w:r>
    </w:p>
    <w:p w14:paraId="579D0533" w14:textId="77777777" w:rsidR="00331CD9" w:rsidRPr="003C66A0" w:rsidRDefault="00331CD9" w:rsidP="006B21E2">
      <w:pPr>
        <w:pStyle w:val="ListParagraph"/>
        <w:numPr>
          <w:ilvl w:val="0"/>
          <w:numId w:val="95"/>
        </w:numPr>
        <w:jc w:val="both"/>
        <w:outlineLvl w:val="9"/>
        <w:rPr>
          <w:rFonts w:eastAsiaTheme="majorEastAsia"/>
          <w:bCs/>
          <w:color w:val="000000" w:themeColor="text1"/>
        </w:rPr>
      </w:pPr>
      <w:r w:rsidRPr="003C66A0">
        <w:rPr>
          <w:rFonts w:eastAsiaTheme="majorEastAsia"/>
          <w:b/>
          <w:bCs/>
          <w:color w:val="000000" w:themeColor="text1"/>
        </w:rPr>
        <w:t>Weekly patterns:</w:t>
      </w:r>
      <w:r w:rsidRPr="003C66A0">
        <w:rPr>
          <w:rFonts w:eastAsiaTheme="majorEastAsia"/>
          <w:bCs/>
          <w:color w:val="000000" w:themeColor="text1"/>
        </w:rPr>
        <w:t xml:space="preserve"> Tuesday-Thursday show 15% higher fees than weekends. Monday shows highest volatility (standard deviation 2.1x mean).</w:t>
      </w:r>
    </w:p>
    <w:p w14:paraId="3DDD4D32" w14:textId="77777777" w:rsidR="00331CD9" w:rsidRPr="003C66A0" w:rsidRDefault="00331CD9" w:rsidP="006B21E2">
      <w:pPr>
        <w:pStyle w:val="ListParagraph"/>
        <w:numPr>
          <w:ilvl w:val="0"/>
          <w:numId w:val="95"/>
        </w:numPr>
        <w:jc w:val="both"/>
        <w:outlineLvl w:val="9"/>
        <w:rPr>
          <w:rFonts w:eastAsiaTheme="majorEastAsia"/>
          <w:bCs/>
          <w:color w:val="000000" w:themeColor="text1"/>
        </w:rPr>
      </w:pPr>
      <w:r w:rsidRPr="003C66A0">
        <w:rPr>
          <w:rFonts w:eastAsiaTheme="majorEastAsia"/>
          <w:b/>
          <w:bCs/>
          <w:color w:val="000000" w:themeColor="text1"/>
        </w:rPr>
        <w:t>Monthly patterns:</w:t>
      </w:r>
      <w:r w:rsidRPr="003C66A0">
        <w:rPr>
          <w:rFonts w:eastAsiaTheme="majorEastAsia"/>
          <w:bCs/>
          <w:color w:val="000000" w:themeColor="text1"/>
        </w:rPr>
        <w:t xml:space="preserve"> First/last days show 25% elevation, correlated with institutional rebalancing.</w:t>
      </w:r>
    </w:p>
    <w:p w14:paraId="6D43D169" w14:textId="77777777" w:rsidR="005407A6" w:rsidRPr="003C66A0" w:rsidRDefault="005407A6" w:rsidP="006B21E2">
      <w:pPr>
        <w:pStyle w:val="ListParagraph"/>
        <w:jc w:val="both"/>
        <w:outlineLvl w:val="9"/>
        <w:rPr>
          <w:rFonts w:eastAsiaTheme="majorEastAsia"/>
          <w:bCs/>
          <w:color w:val="000000" w:themeColor="text1"/>
        </w:rPr>
      </w:pPr>
    </w:p>
    <w:p w14:paraId="6DE73E91" w14:textId="4442FF07" w:rsidR="00331CD9" w:rsidRPr="003C66A0" w:rsidRDefault="005407A6" w:rsidP="006B21E2">
      <w:pPr>
        <w:jc w:val="both"/>
        <w:rPr>
          <w:rFonts w:eastAsiaTheme="majorEastAsia"/>
          <w:bCs/>
          <w:color w:val="000000" w:themeColor="text1"/>
        </w:rPr>
      </w:pPr>
      <w:r w:rsidRPr="003C66A0">
        <w:rPr>
          <w:rFonts w:eastAsiaTheme="majorEastAsia"/>
          <w:bCs/>
          <w:color w:val="000000" w:themeColor="text1"/>
        </w:rPr>
        <w:t>The a</w:t>
      </w:r>
      <w:r w:rsidR="00331CD9" w:rsidRPr="003C66A0">
        <w:rPr>
          <w:rFonts w:eastAsiaTheme="majorEastAsia"/>
          <w:bCs/>
          <w:color w:val="000000" w:themeColor="text1"/>
        </w:rPr>
        <w:t xml:space="preserve">nalysis of 10,000 addresses identified as "gas optimizers" shows they saved </w:t>
      </w:r>
      <w:r w:rsidRPr="003C66A0">
        <w:rPr>
          <w:rFonts w:eastAsiaTheme="majorEastAsia"/>
          <w:bCs/>
          <w:color w:val="000000" w:themeColor="text1"/>
        </w:rPr>
        <w:t xml:space="preserve">an </w:t>
      </w:r>
      <w:r w:rsidR="00331CD9" w:rsidRPr="003C66A0">
        <w:rPr>
          <w:rFonts w:eastAsiaTheme="majorEastAsia"/>
          <w:bCs/>
          <w:color w:val="000000" w:themeColor="text1"/>
        </w:rPr>
        <w:t xml:space="preserve">average </w:t>
      </w:r>
      <w:r w:rsidRPr="003C66A0">
        <w:rPr>
          <w:rFonts w:eastAsiaTheme="majorEastAsia"/>
          <w:bCs/>
          <w:color w:val="000000" w:themeColor="text1"/>
        </w:rPr>
        <w:t xml:space="preserve">of </w:t>
      </w:r>
      <w:r w:rsidR="00331CD9" w:rsidRPr="003C66A0">
        <w:rPr>
          <w:rFonts w:eastAsiaTheme="majorEastAsia"/>
          <w:bCs/>
          <w:color w:val="000000" w:themeColor="text1"/>
        </w:rPr>
        <w:t>27% on transaction costs. But</w:t>
      </w:r>
      <w:r w:rsidRPr="003C66A0">
        <w:rPr>
          <w:rFonts w:eastAsiaTheme="majorEastAsia"/>
          <w:bCs/>
          <w:color w:val="000000" w:themeColor="text1"/>
        </w:rPr>
        <w:t xml:space="preserve"> the</w:t>
      </w:r>
      <w:r w:rsidR="00331CD9" w:rsidRPr="003C66A0">
        <w:rPr>
          <w:rFonts w:eastAsiaTheme="majorEastAsia"/>
          <w:bCs/>
          <w:color w:val="000000" w:themeColor="text1"/>
        </w:rPr>
        <w:t xml:space="preserve"> optimization require</w:t>
      </w:r>
      <w:r w:rsidRPr="003C66A0">
        <w:rPr>
          <w:rFonts w:eastAsiaTheme="majorEastAsia"/>
          <w:bCs/>
          <w:color w:val="000000" w:themeColor="text1"/>
        </w:rPr>
        <w:t>d</w:t>
      </w:r>
      <w:r w:rsidR="00331CD9" w:rsidRPr="003C66A0">
        <w:rPr>
          <w:rFonts w:eastAsiaTheme="majorEastAsia"/>
          <w:bCs/>
          <w:color w:val="000000" w:themeColor="text1"/>
        </w:rPr>
        <w:t xml:space="preserve"> monitoring </w:t>
      </w:r>
      <w:r w:rsidRPr="003C66A0">
        <w:rPr>
          <w:rFonts w:eastAsiaTheme="majorEastAsia"/>
          <w:bCs/>
          <w:color w:val="000000" w:themeColor="text1"/>
        </w:rPr>
        <w:t xml:space="preserve">the </w:t>
      </w:r>
      <w:r w:rsidR="00331CD9" w:rsidRPr="003C66A0">
        <w:rPr>
          <w:rFonts w:eastAsiaTheme="majorEastAsia"/>
          <w:bCs/>
          <w:color w:val="000000" w:themeColor="text1"/>
        </w:rPr>
        <w:t xml:space="preserve">infrastructure, </w:t>
      </w:r>
      <w:r w:rsidRPr="003C66A0">
        <w:rPr>
          <w:rFonts w:eastAsiaTheme="majorEastAsia"/>
          <w:bCs/>
          <w:color w:val="000000" w:themeColor="text1"/>
        </w:rPr>
        <w:t xml:space="preserve">maintaining </w:t>
      </w:r>
      <w:r w:rsidR="00331CD9" w:rsidRPr="003C66A0">
        <w:rPr>
          <w:rFonts w:eastAsiaTheme="majorEastAsia"/>
          <w:bCs/>
          <w:color w:val="000000" w:themeColor="text1"/>
        </w:rPr>
        <w:t xml:space="preserve">transaction flexibility, and </w:t>
      </w:r>
      <w:r w:rsidRPr="003C66A0">
        <w:rPr>
          <w:rFonts w:eastAsiaTheme="majorEastAsia"/>
          <w:bCs/>
          <w:color w:val="000000" w:themeColor="text1"/>
        </w:rPr>
        <w:t xml:space="preserve">having a </w:t>
      </w:r>
      <w:r w:rsidR="00331CD9" w:rsidRPr="003C66A0">
        <w:rPr>
          <w:rFonts w:eastAsiaTheme="majorEastAsia"/>
          <w:bCs/>
          <w:color w:val="000000" w:themeColor="text1"/>
        </w:rPr>
        <w:t xml:space="preserve">sufficient volume to justify </w:t>
      </w:r>
      <w:r w:rsidRPr="003C66A0">
        <w:rPr>
          <w:rFonts w:eastAsiaTheme="majorEastAsia"/>
          <w:bCs/>
          <w:color w:val="000000" w:themeColor="text1"/>
        </w:rPr>
        <w:t xml:space="preserve">the </w:t>
      </w:r>
      <w:r w:rsidR="00331CD9" w:rsidRPr="003C66A0">
        <w:rPr>
          <w:rFonts w:eastAsiaTheme="majorEastAsia"/>
          <w:bCs/>
          <w:color w:val="000000" w:themeColor="text1"/>
        </w:rPr>
        <w:t>effort</w:t>
      </w:r>
      <w:r w:rsidRPr="003C66A0">
        <w:rPr>
          <w:rFonts w:eastAsiaTheme="majorEastAsia"/>
          <w:bCs/>
          <w:color w:val="000000" w:themeColor="text1"/>
        </w:rPr>
        <w:t xml:space="preserve"> spent</w:t>
      </w:r>
      <w:r w:rsidR="00331CD9" w:rsidRPr="003C66A0">
        <w:rPr>
          <w:rFonts w:eastAsiaTheme="majorEastAsia"/>
          <w:bCs/>
          <w:color w:val="000000" w:themeColor="text1"/>
        </w:rPr>
        <w:t>. For someone making 5 transactions monthly</w:t>
      </w:r>
      <w:r w:rsidRPr="003C66A0">
        <w:rPr>
          <w:rFonts w:eastAsiaTheme="majorEastAsia"/>
          <w:bCs/>
          <w:color w:val="000000" w:themeColor="text1"/>
        </w:rPr>
        <w:t xml:space="preserve"> and making </w:t>
      </w:r>
      <w:r w:rsidR="00331CD9" w:rsidRPr="003C66A0">
        <w:rPr>
          <w:rFonts w:eastAsiaTheme="majorEastAsia"/>
          <w:bCs/>
          <w:color w:val="000000" w:themeColor="text1"/>
        </w:rPr>
        <w:t>27% savings on $50 equals $13.50</w:t>
      </w:r>
      <w:r w:rsidRPr="003C66A0">
        <w:rPr>
          <w:rFonts w:eastAsiaTheme="majorEastAsia"/>
          <w:bCs/>
          <w:color w:val="000000" w:themeColor="text1"/>
        </w:rPr>
        <w:t xml:space="preserve">. That is </w:t>
      </w:r>
      <w:r w:rsidR="00331CD9" w:rsidRPr="003C66A0">
        <w:rPr>
          <w:rFonts w:eastAsiaTheme="majorEastAsia"/>
          <w:bCs/>
          <w:color w:val="000000" w:themeColor="text1"/>
        </w:rPr>
        <w:t xml:space="preserve">less than </w:t>
      </w:r>
      <w:r w:rsidRPr="003C66A0">
        <w:rPr>
          <w:rFonts w:eastAsiaTheme="majorEastAsia"/>
          <w:bCs/>
          <w:color w:val="000000" w:themeColor="text1"/>
        </w:rPr>
        <w:t xml:space="preserve">the cost of </w:t>
      </w:r>
      <w:r w:rsidR="00331CD9" w:rsidRPr="003C66A0">
        <w:rPr>
          <w:rFonts w:eastAsiaTheme="majorEastAsia"/>
          <w:bCs/>
          <w:color w:val="000000" w:themeColor="text1"/>
        </w:rPr>
        <w:t>monitoring</w:t>
      </w:r>
      <w:r w:rsidRPr="003C66A0">
        <w:rPr>
          <w:rFonts w:eastAsiaTheme="majorEastAsia"/>
          <w:bCs/>
          <w:color w:val="000000" w:themeColor="text1"/>
        </w:rPr>
        <w:t xml:space="preserve"> and therefore not viable.</w:t>
      </w:r>
    </w:p>
    <w:p w14:paraId="6523EC0D" w14:textId="77777777" w:rsidR="005C21FD" w:rsidRPr="003C66A0" w:rsidRDefault="005C21FD" w:rsidP="006B21E2">
      <w:pPr>
        <w:jc w:val="both"/>
        <w:rPr>
          <w:rFonts w:eastAsiaTheme="majorEastAsia"/>
          <w:b/>
          <w:bCs/>
          <w:color w:val="000000" w:themeColor="text1"/>
        </w:rPr>
      </w:pPr>
    </w:p>
    <w:p w14:paraId="5B5844D9" w14:textId="13CF7505" w:rsidR="00331CD9" w:rsidRPr="003C66A0" w:rsidRDefault="008D6F57" w:rsidP="006B21E2">
      <w:pPr>
        <w:pStyle w:val="Heading3"/>
        <w:jc w:val="both"/>
        <w:rPr>
          <w:rFonts w:eastAsiaTheme="majorEastAsia"/>
        </w:rPr>
      </w:pPr>
      <w:bookmarkStart w:id="140" w:name="_Toc214721946"/>
      <w:r w:rsidRPr="003C66A0">
        <w:rPr>
          <w:rFonts w:eastAsiaTheme="majorEastAsia"/>
        </w:rPr>
        <w:t>6</w:t>
      </w:r>
      <w:r w:rsidR="00331CD9" w:rsidRPr="003C66A0">
        <w:rPr>
          <w:rFonts w:eastAsiaTheme="majorEastAsia"/>
        </w:rPr>
        <w:t>.2.2 MEV and Fee Market Manipulation</w:t>
      </w:r>
      <w:bookmarkEnd w:id="140"/>
    </w:p>
    <w:p w14:paraId="6456228E" w14:textId="1A02EAD2" w:rsidR="00331CD9" w:rsidRPr="003C66A0" w:rsidRDefault="00331CD9" w:rsidP="006B21E2">
      <w:pPr>
        <w:jc w:val="both"/>
        <w:rPr>
          <w:rFonts w:eastAsiaTheme="majorEastAsia"/>
          <w:bCs/>
          <w:color w:val="000000" w:themeColor="text1"/>
        </w:rPr>
      </w:pPr>
      <w:r w:rsidRPr="003C66A0">
        <w:rPr>
          <w:rFonts w:eastAsiaTheme="majorEastAsia"/>
          <w:bCs/>
          <w:color w:val="000000" w:themeColor="text1"/>
        </w:rPr>
        <w:t xml:space="preserve">Maximum Extractable Value represents $1.38 billion extracted from users (2020-2024), concentrated in </w:t>
      </w:r>
      <w:r w:rsidR="005407A6" w:rsidRPr="003C66A0">
        <w:rPr>
          <w:rFonts w:eastAsiaTheme="majorEastAsia"/>
          <w:bCs/>
          <w:color w:val="000000" w:themeColor="text1"/>
        </w:rPr>
        <w:t>the following</w:t>
      </w:r>
      <w:r w:rsidRPr="003C66A0">
        <w:rPr>
          <w:rFonts w:eastAsiaTheme="majorEastAsia"/>
          <w:bCs/>
          <w:color w:val="000000" w:themeColor="text1"/>
        </w:rPr>
        <w:t xml:space="preserve"> conditions:</w:t>
      </w:r>
    </w:p>
    <w:p w14:paraId="577886BD" w14:textId="7AFC91E2" w:rsidR="00331CD9" w:rsidRPr="003C66A0" w:rsidRDefault="00DF0BD9" w:rsidP="006B21E2">
      <w:pPr>
        <w:numPr>
          <w:ilvl w:val="0"/>
          <w:numId w:val="43"/>
        </w:numPr>
        <w:jc w:val="both"/>
        <w:rPr>
          <w:rFonts w:eastAsiaTheme="majorEastAsia"/>
          <w:bCs/>
          <w:color w:val="000000" w:themeColor="text1"/>
        </w:rPr>
      </w:pPr>
      <w:r w:rsidRPr="00DF0BD9">
        <w:rPr>
          <w:rFonts w:eastAsiaTheme="majorEastAsia"/>
          <w:bCs/>
          <w:color w:val="000000" w:themeColor="text1"/>
        </w:rPr>
        <w:t>73% (95% CI: 65%-80%; accounting for survivorship bias: likely 73-90%)</w:t>
      </w:r>
      <w:r>
        <w:rPr>
          <w:rFonts w:eastAsiaTheme="majorEastAsia"/>
          <w:bCs/>
          <w:color w:val="000000" w:themeColor="text1"/>
        </w:rPr>
        <w:t xml:space="preserve"> </w:t>
      </w:r>
      <w:r w:rsidR="00331CD9" w:rsidRPr="003C66A0">
        <w:rPr>
          <w:rFonts w:eastAsiaTheme="majorEastAsia"/>
          <w:bCs/>
          <w:color w:val="000000" w:themeColor="text1"/>
        </w:rPr>
        <w:t>during high volatility (&gt;2 standard deviations)</w:t>
      </w:r>
    </w:p>
    <w:p w14:paraId="45D5E2BE" w14:textId="77777777" w:rsidR="00331CD9" w:rsidRPr="003C66A0" w:rsidRDefault="00331CD9" w:rsidP="006B21E2">
      <w:pPr>
        <w:numPr>
          <w:ilvl w:val="0"/>
          <w:numId w:val="43"/>
        </w:numPr>
        <w:jc w:val="both"/>
        <w:rPr>
          <w:rFonts w:eastAsiaTheme="majorEastAsia"/>
          <w:bCs/>
          <w:color w:val="000000" w:themeColor="text1"/>
        </w:rPr>
      </w:pPr>
      <w:r w:rsidRPr="003C66A0">
        <w:rPr>
          <w:rFonts w:eastAsiaTheme="majorEastAsia"/>
          <w:bCs/>
          <w:color w:val="000000" w:themeColor="text1"/>
        </w:rPr>
        <w:t>81% involving tokens &lt;$100M market cap</w:t>
      </w:r>
    </w:p>
    <w:p w14:paraId="396863F2" w14:textId="77777777" w:rsidR="00331CD9" w:rsidRPr="003C66A0" w:rsidRDefault="00331CD9" w:rsidP="006B21E2">
      <w:pPr>
        <w:numPr>
          <w:ilvl w:val="0"/>
          <w:numId w:val="43"/>
        </w:numPr>
        <w:jc w:val="both"/>
        <w:rPr>
          <w:rFonts w:eastAsiaTheme="majorEastAsia"/>
          <w:bCs/>
          <w:color w:val="000000" w:themeColor="text1"/>
        </w:rPr>
      </w:pPr>
      <w:r w:rsidRPr="003C66A0">
        <w:rPr>
          <w:rFonts w:eastAsiaTheme="majorEastAsia"/>
          <w:bCs/>
          <w:color w:val="000000" w:themeColor="text1"/>
        </w:rPr>
        <w:t>67% in first 10 blocks after price movements</w:t>
      </w:r>
    </w:p>
    <w:p w14:paraId="74CF1B58" w14:textId="77777777" w:rsidR="00331CD9" w:rsidRPr="003C66A0" w:rsidRDefault="00331CD9" w:rsidP="006B21E2">
      <w:pPr>
        <w:numPr>
          <w:ilvl w:val="0"/>
          <w:numId w:val="43"/>
        </w:numPr>
        <w:jc w:val="both"/>
        <w:rPr>
          <w:rFonts w:eastAsiaTheme="majorEastAsia"/>
          <w:bCs/>
          <w:color w:val="000000" w:themeColor="text1"/>
        </w:rPr>
      </w:pPr>
      <w:r w:rsidRPr="003C66A0">
        <w:rPr>
          <w:rFonts w:eastAsiaTheme="majorEastAsia"/>
          <w:bCs/>
          <w:color w:val="000000" w:themeColor="text1"/>
        </w:rPr>
        <w:t>89% extracted by top 50 operators</w:t>
      </w:r>
    </w:p>
    <w:p w14:paraId="28E9780F" w14:textId="77777777" w:rsidR="005C21FD" w:rsidRPr="003C66A0" w:rsidRDefault="005C21FD" w:rsidP="006B21E2">
      <w:pPr>
        <w:jc w:val="both"/>
        <w:rPr>
          <w:rFonts w:eastAsiaTheme="majorEastAsia"/>
          <w:bCs/>
          <w:color w:val="000000" w:themeColor="text1"/>
        </w:rPr>
      </w:pPr>
    </w:p>
    <w:p w14:paraId="4858F667" w14:textId="537D8540" w:rsidR="00331CD9" w:rsidRDefault="00331CD9" w:rsidP="006B21E2">
      <w:pPr>
        <w:jc w:val="both"/>
        <w:rPr>
          <w:rFonts w:eastAsiaTheme="majorEastAsia"/>
          <w:bCs/>
          <w:color w:val="000000" w:themeColor="text1"/>
        </w:rPr>
      </w:pPr>
      <w:r w:rsidRPr="003C66A0">
        <w:rPr>
          <w:rFonts w:eastAsiaTheme="majorEastAsia"/>
          <w:bCs/>
          <w:color w:val="000000" w:themeColor="text1"/>
        </w:rPr>
        <w:t xml:space="preserve">Small participants attempting MEV showed ~12% success rate versus 67% for established operators. </w:t>
      </w:r>
      <w:proofErr w:type="gramStart"/>
      <w:r w:rsidRPr="003C66A0">
        <w:rPr>
          <w:rFonts w:eastAsiaTheme="majorEastAsia"/>
          <w:bCs/>
          <w:color w:val="000000" w:themeColor="text1"/>
        </w:rPr>
        <w:t>The democratic</w:t>
      </w:r>
      <w:proofErr w:type="gramEnd"/>
      <w:r w:rsidRPr="003C66A0">
        <w:rPr>
          <w:rFonts w:eastAsiaTheme="majorEastAsia"/>
          <w:bCs/>
          <w:color w:val="000000" w:themeColor="text1"/>
        </w:rPr>
        <w:t xml:space="preserve"> architecture</w:t>
      </w:r>
      <w:r w:rsidR="0010086C" w:rsidRPr="003C66A0">
        <w:rPr>
          <w:rFonts w:eastAsiaTheme="majorEastAsia"/>
          <w:bCs/>
          <w:color w:val="000000" w:themeColor="text1"/>
        </w:rPr>
        <w:t xml:space="preserve"> does not </w:t>
      </w:r>
      <w:r w:rsidR="005407A6" w:rsidRPr="003C66A0">
        <w:rPr>
          <w:rFonts w:eastAsiaTheme="majorEastAsia"/>
          <w:bCs/>
          <w:color w:val="000000" w:themeColor="text1"/>
        </w:rPr>
        <w:t xml:space="preserve">seem to </w:t>
      </w:r>
      <w:r w:rsidRPr="003C66A0">
        <w:rPr>
          <w:rFonts w:eastAsiaTheme="majorEastAsia"/>
          <w:bCs/>
          <w:color w:val="000000" w:themeColor="text1"/>
        </w:rPr>
        <w:t>create democratic outcomes when speed and sophistication dominate</w:t>
      </w:r>
      <w:r w:rsidR="005407A6" w:rsidRPr="003C66A0">
        <w:rPr>
          <w:rFonts w:eastAsiaTheme="majorEastAsia"/>
          <w:bCs/>
          <w:color w:val="000000" w:themeColor="text1"/>
        </w:rPr>
        <w:t xml:space="preserve"> as shown in the different parts of this research.</w:t>
      </w:r>
    </w:p>
    <w:p w14:paraId="04A4AB1F" w14:textId="77777777" w:rsidR="00DF1D60" w:rsidRDefault="00DF1D60" w:rsidP="006B21E2">
      <w:pPr>
        <w:jc w:val="both"/>
        <w:rPr>
          <w:rFonts w:eastAsiaTheme="majorEastAsia"/>
          <w:bCs/>
          <w:color w:val="000000" w:themeColor="text1"/>
        </w:rPr>
      </w:pPr>
    </w:p>
    <w:p w14:paraId="504E9C7C" w14:textId="74F23013" w:rsidR="00DF1D60" w:rsidRPr="0011773D" w:rsidRDefault="00DF1D60" w:rsidP="006B21E2">
      <w:pPr>
        <w:jc w:val="both"/>
        <w:rPr>
          <w:rFonts w:eastAsiaTheme="majorEastAsia"/>
          <w:bCs/>
          <w:color w:val="000000" w:themeColor="text1"/>
        </w:rPr>
      </w:pPr>
      <w:r w:rsidRPr="0011773D">
        <w:rPr>
          <w:rFonts w:eastAsiaTheme="majorEastAsia"/>
          <w:bCs/>
          <w:color w:val="000000" w:themeColor="text1"/>
        </w:rPr>
        <w:t xml:space="preserve">Table </w:t>
      </w:r>
      <w:r w:rsidR="003372C0" w:rsidRPr="0011773D">
        <w:rPr>
          <w:rFonts w:eastAsiaTheme="majorEastAsia"/>
          <w:bCs/>
          <w:color w:val="000000" w:themeColor="text1"/>
        </w:rPr>
        <w:t xml:space="preserve">below </w:t>
      </w:r>
      <w:r w:rsidRPr="0011773D">
        <w:rPr>
          <w:rFonts w:eastAsiaTheme="majorEastAsia"/>
          <w:bCs/>
          <w:color w:val="000000" w:themeColor="text1"/>
        </w:rPr>
        <w:t xml:space="preserve">quantifies </w:t>
      </w:r>
      <w:r w:rsidR="0011773D" w:rsidRPr="0011773D">
        <w:rPr>
          <w:rFonts w:eastAsiaTheme="majorEastAsia"/>
          <w:bCs/>
          <w:color w:val="000000" w:themeColor="text1"/>
        </w:rPr>
        <w:t xml:space="preserve">the </w:t>
      </w:r>
      <w:r w:rsidRPr="0011773D">
        <w:rPr>
          <w:rFonts w:eastAsiaTheme="majorEastAsia"/>
          <w:bCs/>
          <w:color w:val="000000" w:themeColor="text1"/>
        </w:rPr>
        <w:t xml:space="preserve">Maximum Extractable Value (MEV) concentration patterns and success rate differentials, revealing MEV as </w:t>
      </w:r>
      <w:r w:rsidR="0011773D" w:rsidRPr="0011773D">
        <w:rPr>
          <w:rFonts w:eastAsiaTheme="majorEastAsia"/>
          <w:bCs/>
          <w:color w:val="000000" w:themeColor="text1"/>
        </w:rPr>
        <w:t xml:space="preserve">a </w:t>
      </w:r>
      <w:r w:rsidRPr="0011773D">
        <w:rPr>
          <w:rFonts w:eastAsiaTheme="majorEastAsia"/>
          <w:bCs/>
          <w:color w:val="000000" w:themeColor="text1"/>
        </w:rPr>
        <w:t>systematic wealth transfer from unsophisticated to sophisticated participants rather than extractable opportunity for limited-capital entrants.</w:t>
      </w:r>
    </w:p>
    <w:p w14:paraId="31BC9134" w14:textId="77777777" w:rsidR="00DF1D60" w:rsidRDefault="00DF1D60" w:rsidP="006B21E2">
      <w:pPr>
        <w:jc w:val="both"/>
        <w:rPr>
          <w:rFonts w:eastAsiaTheme="majorEastAsia"/>
          <w:bCs/>
          <w:color w:val="000000" w:themeColor="text1"/>
        </w:rPr>
      </w:pPr>
    </w:p>
    <w:p w14:paraId="29EE50E8" w14:textId="7ECC1CF5" w:rsidR="005A0D08" w:rsidRPr="005A0D08" w:rsidRDefault="00DF1D60" w:rsidP="006B21E2">
      <w:pPr>
        <w:pStyle w:val="Heading3"/>
        <w:jc w:val="both"/>
        <w:rPr>
          <w:color w:val="000000" w:themeColor="text1"/>
        </w:rPr>
      </w:pPr>
      <w:bookmarkStart w:id="141" w:name="_Toc214721947"/>
      <w:r w:rsidRPr="00DF1D60">
        <w:rPr>
          <w:color w:val="000000" w:themeColor="text1"/>
        </w:rPr>
        <w:t>Table 6.</w:t>
      </w:r>
      <w:r w:rsidR="00C5607F">
        <w:rPr>
          <w:color w:val="000000" w:themeColor="text1"/>
        </w:rPr>
        <w:t>C</w:t>
      </w:r>
      <w:r w:rsidRPr="00DF1D60">
        <w:rPr>
          <w:color w:val="000000" w:themeColor="text1"/>
        </w:rPr>
        <w:t>: MEV Extraction Patterns - Concentration and Success Rates</w:t>
      </w:r>
      <w:bookmarkEnd w:id="141"/>
    </w:p>
    <w:p w14:paraId="18BCBB6C" w14:textId="77777777" w:rsidR="005A0D08" w:rsidRDefault="005A0D08" w:rsidP="006B21E2">
      <w:pPr>
        <w:jc w:val="both"/>
        <w:rPr>
          <w:i/>
          <w:iCs/>
          <w:color w:val="000000" w:themeColor="text1"/>
          <w:sz w:val="20"/>
          <w:szCs w:val="20"/>
        </w:rPr>
      </w:pPr>
    </w:p>
    <w:tbl>
      <w:tblPr>
        <w:tblW w:w="9350" w:type="dxa"/>
        <w:tblLook w:val="04A0" w:firstRow="1" w:lastRow="0" w:firstColumn="1" w:lastColumn="0" w:noHBand="0" w:noVBand="1"/>
      </w:tblPr>
      <w:tblGrid>
        <w:gridCol w:w="2150"/>
        <w:gridCol w:w="1450"/>
        <w:gridCol w:w="2870"/>
        <w:gridCol w:w="2880"/>
      </w:tblGrid>
      <w:tr w:rsidR="005A0D08" w14:paraId="3634DF52" w14:textId="77777777" w:rsidTr="005A0D08">
        <w:trPr>
          <w:trHeight w:val="1140"/>
        </w:trPr>
        <w:tc>
          <w:tcPr>
            <w:tcW w:w="2150" w:type="dxa"/>
            <w:tcBorders>
              <w:top w:val="single" w:sz="8" w:space="0" w:color="auto"/>
              <w:left w:val="single" w:sz="8" w:space="0" w:color="auto"/>
              <w:bottom w:val="single" w:sz="8" w:space="0" w:color="auto"/>
              <w:right w:val="single" w:sz="4" w:space="0" w:color="auto"/>
            </w:tcBorders>
            <w:shd w:val="clear" w:color="000000" w:fill="E0E0E0"/>
            <w:vAlign w:val="center"/>
            <w:hideMark/>
          </w:tcPr>
          <w:p w14:paraId="707E379F" w14:textId="77777777" w:rsidR="005A0D08" w:rsidRDefault="005A0D08" w:rsidP="006B21E2">
            <w:pPr>
              <w:jc w:val="center"/>
              <w:rPr>
                <w:b/>
                <w:bCs/>
                <w:color w:val="000000"/>
                <w:sz w:val="20"/>
                <w:szCs w:val="20"/>
              </w:rPr>
            </w:pPr>
            <w:r>
              <w:rPr>
                <w:b/>
                <w:bCs/>
                <w:color w:val="000000"/>
                <w:sz w:val="20"/>
                <w:szCs w:val="20"/>
              </w:rPr>
              <w:t>MEV Pattern/Condition</w:t>
            </w:r>
          </w:p>
        </w:tc>
        <w:tc>
          <w:tcPr>
            <w:tcW w:w="1450" w:type="dxa"/>
            <w:tcBorders>
              <w:top w:val="single" w:sz="8" w:space="0" w:color="auto"/>
              <w:left w:val="nil"/>
              <w:bottom w:val="single" w:sz="8" w:space="0" w:color="auto"/>
              <w:right w:val="single" w:sz="4" w:space="0" w:color="auto"/>
            </w:tcBorders>
            <w:shd w:val="clear" w:color="000000" w:fill="E0E0E0"/>
            <w:vAlign w:val="center"/>
            <w:hideMark/>
          </w:tcPr>
          <w:p w14:paraId="3528B3FE" w14:textId="77777777" w:rsidR="005A0D08" w:rsidRDefault="005A0D08" w:rsidP="006B21E2">
            <w:pPr>
              <w:jc w:val="center"/>
              <w:rPr>
                <w:b/>
                <w:bCs/>
                <w:color w:val="000000"/>
                <w:sz w:val="20"/>
                <w:szCs w:val="20"/>
              </w:rPr>
            </w:pPr>
            <w:r>
              <w:rPr>
                <w:b/>
                <w:bCs/>
                <w:color w:val="000000"/>
                <w:sz w:val="20"/>
                <w:szCs w:val="20"/>
              </w:rPr>
              <w:t>Concentration</w:t>
            </w:r>
          </w:p>
        </w:tc>
        <w:tc>
          <w:tcPr>
            <w:tcW w:w="2870" w:type="dxa"/>
            <w:tcBorders>
              <w:top w:val="single" w:sz="8" w:space="0" w:color="auto"/>
              <w:left w:val="nil"/>
              <w:bottom w:val="single" w:sz="8" w:space="0" w:color="auto"/>
              <w:right w:val="single" w:sz="4" w:space="0" w:color="auto"/>
            </w:tcBorders>
            <w:shd w:val="clear" w:color="000000" w:fill="E0E0E0"/>
            <w:vAlign w:val="center"/>
            <w:hideMark/>
          </w:tcPr>
          <w:p w14:paraId="758DDA08" w14:textId="77777777" w:rsidR="005A0D08" w:rsidRDefault="005A0D08" w:rsidP="006B21E2">
            <w:pPr>
              <w:jc w:val="center"/>
              <w:rPr>
                <w:b/>
                <w:bCs/>
                <w:color w:val="000000"/>
                <w:sz w:val="20"/>
                <w:szCs w:val="20"/>
              </w:rPr>
            </w:pPr>
            <w:r>
              <w:rPr>
                <w:b/>
                <w:bCs/>
                <w:color w:val="000000"/>
                <w:sz w:val="20"/>
                <w:szCs w:val="20"/>
              </w:rPr>
              <w:t>Success Rate by Participant Type</w:t>
            </w:r>
          </w:p>
        </w:tc>
        <w:tc>
          <w:tcPr>
            <w:tcW w:w="2880" w:type="dxa"/>
            <w:tcBorders>
              <w:top w:val="single" w:sz="8" w:space="0" w:color="auto"/>
              <w:left w:val="nil"/>
              <w:bottom w:val="single" w:sz="8" w:space="0" w:color="auto"/>
              <w:right w:val="single" w:sz="8" w:space="0" w:color="auto"/>
            </w:tcBorders>
            <w:shd w:val="clear" w:color="000000" w:fill="E0E0E0"/>
            <w:vAlign w:val="center"/>
            <w:hideMark/>
          </w:tcPr>
          <w:p w14:paraId="5DF25F0A" w14:textId="77777777" w:rsidR="005A0D08" w:rsidRDefault="005A0D08" w:rsidP="006B21E2">
            <w:pPr>
              <w:jc w:val="center"/>
              <w:rPr>
                <w:b/>
                <w:bCs/>
                <w:color w:val="000000"/>
                <w:sz w:val="20"/>
                <w:szCs w:val="20"/>
              </w:rPr>
            </w:pPr>
            <w:r>
              <w:rPr>
                <w:b/>
                <w:bCs/>
                <w:color w:val="000000"/>
                <w:sz w:val="20"/>
                <w:szCs w:val="20"/>
              </w:rPr>
              <w:t>Implication for Limited-Capital Participants</w:t>
            </w:r>
          </w:p>
        </w:tc>
      </w:tr>
      <w:tr w:rsidR="005A0D08" w14:paraId="30A0DB78" w14:textId="77777777" w:rsidTr="003372C0">
        <w:trPr>
          <w:trHeight w:val="54"/>
        </w:trPr>
        <w:tc>
          <w:tcPr>
            <w:tcW w:w="2150" w:type="dxa"/>
            <w:tcBorders>
              <w:top w:val="nil"/>
              <w:left w:val="single" w:sz="8" w:space="0" w:color="auto"/>
              <w:bottom w:val="single" w:sz="4" w:space="0" w:color="auto"/>
              <w:right w:val="single" w:sz="4" w:space="0" w:color="auto"/>
            </w:tcBorders>
            <w:vAlign w:val="center"/>
            <w:hideMark/>
          </w:tcPr>
          <w:p w14:paraId="25681AB7" w14:textId="77777777" w:rsidR="005A0D08" w:rsidRDefault="005A0D08" w:rsidP="006B21E2">
            <w:pPr>
              <w:rPr>
                <w:color w:val="000000"/>
                <w:sz w:val="20"/>
                <w:szCs w:val="20"/>
              </w:rPr>
            </w:pPr>
            <w:r>
              <w:rPr>
                <w:color w:val="000000"/>
                <w:sz w:val="20"/>
                <w:szCs w:val="20"/>
              </w:rPr>
              <w:lastRenderedPageBreak/>
              <w:t>Total MEV Extracted (2020-2023)</w:t>
            </w:r>
          </w:p>
        </w:tc>
        <w:tc>
          <w:tcPr>
            <w:tcW w:w="1450" w:type="dxa"/>
            <w:tcBorders>
              <w:top w:val="nil"/>
              <w:left w:val="nil"/>
              <w:bottom w:val="single" w:sz="4" w:space="0" w:color="auto"/>
              <w:right w:val="single" w:sz="4" w:space="0" w:color="auto"/>
            </w:tcBorders>
            <w:shd w:val="clear" w:color="000000" w:fill="FFFFFF"/>
            <w:vAlign w:val="center"/>
            <w:hideMark/>
          </w:tcPr>
          <w:p w14:paraId="25D5B4BA" w14:textId="77777777" w:rsidR="005A0D08" w:rsidRDefault="005A0D08" w:rsidP="006B21E2">
            <w:pPr>
              <w:rPr>
                <w:color w:val="000000"/>
                <w:sz w:val="20"/>
                <w:szCs w:val="20"/>
              </w:rPr>
            </w:pPr>
            <w:r>
              <w:rPr>
                <w:color w:val="000000"/>
                <w:sz w:val="20"/>
                <w:szCs w:val="20"/>
              </w:rPr>
              <w:t>$1.38 billion</w:t>
            </w:r>
          </w:p>
        </w:tc>
        <w:tc>
          <w:tcPr>
            <w:tcW w:w="2870" w:type="dxa"/>
            <w:tcBorders>
              <w:top w:val="nil"/>
              <w:left w:val="nil"/>
              <w:bottom w:val="single" w:sz="4" w:space="0" w:color="auto"/>
              <w:right w:val="single" w:sz="4" w:space="0" w:color="auto"/>
            </w:tcBorders>
            <w:vAlign w:val="center"/>
            <w:hideMark/>
          </w:tcPr>
          <w:p w14:paraId="1282F9AC" w14:textId="77777777" w:rsidR="005A0D08" w:rsidRDefault="005A0D08" w:rsidP="006B21E2">
            <w:pPr>
              <w:rPr>
                <w:color w:val="000000"/>
                <w:sz w:val="20"/>
                <w:szCs w:val="20"/>
              </w:rPr>
            </w:pPr>
            <w:r>
              <w:rPr>
                <w:color w:val="000000"/>
                <w:sz w:val="20"/>
                <w:szCs w:val="20"/>
              </w:rPr>
              <w:t>N/A</w:t>
            </w:r>
          </w:p>
        </w:tc>
        <w:tc>
          <w:tcPr>
            <w:tcW w:w="2880" w:type="dxa"/>
            <w:tcBorders>
              <w:top w:val="nil"/>
              <w:left w:val="nil"/>
              <w:bottom w:val="single" w:sz="4" w:space="0" w:color="auto"/>
              <w:right w:val="single" w:sz="8" w:space="0" w:color="auto"/>
            </w:tcBorders>
            <w:vAlign w:val="center"/>
            <w:hideMark/>
          </w:tcPr>
          <w:p w14:paraId="45B0F481" w14:textId="77777777" w:rsidR="005A0D08" w:rsidRDefault="005A0D08" w:rsidP="006B21E2">
            <w:pPr>
              <w:rPr>
                <w:color w:val="000000"/>
                <w:sz w:val="20"/>
                <w:szCs w:val="20"/>
              </w:rPr>
            </w:pPr>
            <w:r>
              <w:rPr>
                <w:color w:val="000000"/>
                <w:sz w:val="20"/>
                <w:szCs w:val="20"/>
              </w:rPr>
              <w:t>Represents hidden tax on all DeFi transactions; unavoidable cost</w:t>
            </w:r>
          </w:p>
        </w:tc>
      </w:tr>
      <w:tr w:rsidR="005A0D08" w14:paraId="7E0FC9B2" w14:textId="77777777" w:rsidTr="005A0D08">
        <w:trPr>
          <w:trHeight w:val="413"/>
        </w:trPr>
        <w:tc>
          <w:tcPr>
            <w:tcW w:w="2150" w:type="dxa"/>
            <w:tcBorders>
              <w:top w:val="nil"/>
              <w:left w:val="single" w:sz="8" w:space="0" w:color="auto"/>
              <w:bottom w:val="single" w:sz="4" w:space="0" w:color="auto"/>
              <w:right w:val="single" w:sz="4" w:space="0" w:color="auto"/>
            </w:tcBorders>
            <w:vAlign w:val="center"/>
            <w:hideMark/>
          </w:tcPr>
          <w:p w14:paraId="261065EF" w14:textId="77777777" w:rsidR="005A0D08" w:rsidRDefault="005A0D08" w:rsidP="006B21E2">
            <w:pPr>
              <w:rPr>
                <w:color w:val="000000"/>
                <w:sz w:val="20"/>
                <w:szCs w:val="20"/>
              </w:rPr>
            </w:pPr>
            <w:r>
              <w:rPr>
                <w:color w:val="000000"/>
                <w:sz w:val="20"/>
                <w:szCs w:val="20"/>
              </w:rPr>
              <w:t>High Volatility Periods (&gt;2 SD)</w:t>
            </w:r>
          </w:p>
        </w:tc>
        <w:tc>
          <w:tcPr>
            <w:tcW w:w="1450" w:type="dxa"/>
            <w:tcBorders>
              <w:top w:val="nil"/>
              <w:left w:val="nil"/>
              <w:bottom w:val="single" w:sz="4" w:space="0" w:color="auto"/>
              <w:right w:val="single" w:sz="4" w:space="0" w:color="auto"/>
            </w:tcBorders>
            <w:shd w:val="clear" w:color="000000" w:fill="FFFFFF"/>
            <w:vAlign w:val="center"/>
            <w:hideMark/>
          </w:tcPr>
          <w:p w14:paraId="5E234568" w14:textId="77777777" w:rsidR="005A0D08" w:rsidRDefault="005A0D08" w:rsidP="006B21E2">
            <w:pPr>
              <w:rPr>
                <w:color w:val="000000"/>
                <w:sz w:val="20"/>
                <w:szCs w:val="20"/>
              </w:rPr>
            </w:pPr>
            <w:r>
              <w:rPr>
                <w:color w:val="000000"/>
                <w:sz w:val="20"/>
                <w:szCs w:val="20"/>
              </w:rPr>
              <w:t>73% of MEV extracted</w:t>
            </w:r>
          </w:p>
        </w:tc>
        <w:tc>
          <w:tcPr>
            <w:tcW w:w="2870" w:type="dxa"/>
            <w:tcBorders>
              <w:top w:val="nil"/>
              <w:left w:val="nil"/>
              <w:bottom w:val="single" w:sz="4" w:space="0" w:color="auto"/>
              <w:right w:val="single" w:sz="4" w:space="0" w:color="auto"/>
            </w:tcBorders>
            <w:vAlign w:val="center"/>
            <w:hideMark/>
          </w:tcPr>
          <w:p w14:paraId="0A2AA0D8" w14:textId="77777777" w:rsidR="005A0D08" w:rsidRDefault="005A0D08" w:rsidP="006B21E2">
            <w:pPr>
              <w:rPr>
                <w:color w:val="000000"/>
                <w:sz w:val="20"/>
                <w:szCs w:val="20"/>
              </w:rPr>
            </w:pPr>
            <w:r>
              <w:rPr>
                <w:color w:val="000000"/>
                <w:sz w:val="20"/>
                <w:szCs w:val="20"/>
              </w:rPr>
              <w:t>Professionals: 67% success; Small participants: 12% success</w:t>
            </w:r>
          </w:p>
        </w:tc>
        <w:tc>
          <w:tcPr>
            <w:tcW w:w="2880" w:type="dxa"/>
            <w:tcBorders>
              <w:top w:val="nil"/>
              <w:left w:val="nil"/>
              <w:bottom w:val="single" w:sz="4" w:space="0" w:color="auto"/>
              <w:right w:val="single" w:sz="8" w:space="0" w:color="auto"/>
            </w:tcBorders>
            <w:vAlign w:val="center"/>
            <w:hideMark/>
          </w:tcPr>
          <w:p w14:paraId="20692DD3" w14:textId="77777777" w:rsidR="005A0D08" w:rsidRDefault="005A0D08" w:rsidP="006B21E2">
            <w:pPr>
              <w:rPr>
                <w:color w:val="000000"/>
                <w:sz w:val="20"/>
                <w:szCs w:val="20"/>
              </w:rPr>
            </w:pPr>
            <w:r>
              <w:rPr>
                <w:color w:val="000000"/>
                <w:sz w:val="20"/>
                <w:szCs w:val="20"/>
              </w:rPr>
              <w:t>Volatility creates opportunities but heavily favors sophisticated operators</w:t>
            </w:r>
          </w:p>
        </w:tc>
      </w:tr>
      <w:tr w:rsidR="005A0D08" w14:paraId="27F24063" w14:textId="77777777" w:rsidTr="005A0D08">
        <w:trPr>
          <w:trHeight w:val="251"/>
        </w:trPr>
        <w:tc>
          <w:tcPr>
            <w:tcW w:w="2150" w:type="dxa"/>
            <w:tcBorders>
              <w:top w:val="nil"/>
              <w:left w:val="single" w:sz="8" w:space="0" w:color="auto"/>
              <w:bottom w:val="single" w:sz="4" w:space="0" w:color="auto"/>
              <w:right w:val="single" w:sz="4" w:space="0" w:color="auto"/>
            </w:tcBorders>
            <w:vAlign w:val="center"/>
            <w:hideMark/>
          </w:tcPr>
          <w:p w14:paraId="3EB9ADE5" w14:textId="77777777" w:rsidR="005A0D08" w:rsidRDefault="005A0D08" w:rsidP="006B21E2">
            <w:pPr>
              <w:rPr>
                <w:color w:val="000000"/>
                <w:sz w:val="20"/>
                <w:szCs w:val="20"/>
              </w:rPr>
            </w:pPr>
            <w:r>
              <w:rPr>
                <w:color w:val="000000"/>
                <w:sz w:val="20"/>
                <w:szCs w:val="20"/>
              </w:rPr>
              <w:t>Small-Cap Tokens (&lt;$100M)</w:t>
            </w:r>
          </w:p>
        </w:tc>
        <w:tc>
          <w:tcPr>
            <w:tcW w:w="1450" w:type="dxa"/>
            <w:tcBorders>
              <w:top w:val="nil"/>
              <w:left w:val="nil"/>
              <w:bottom w:val="single" w:sz="4" w:space="0" w:color="auto"/>
              <w:right w:val="single" w:sz="4" w:space="0" w:color="auto"/>
            </w:tcBorders>
            <w:shd w:val="clear" w:color="000000" w:fill="FFFFFF"/>
            <w:vAlign w:val="center"/>
            <w:hideMark/>
          </w:tcPr>
          <w:p w14:paraId="74510A2C" w14:textId="77777777" w:rsidR="005A0D08" w:rsidRDefault="005A0D08" w:rsidP="006B21E2">
            <w:pPr>
              <w:rPr>
                <w:color w:val="000000"/>
                <w:sz w:val="20"/>
                <w:szCs w:val="20"/>
              </w:rPr>
            </w:pPr>
            <w:r>
              <w:rPr>
                <w:color w:val="000000"/>
                <w:sz w:val="20"/>
                <w:szCs w:val="20"/>
              </w:rPr>
              <w:t>81% of MEV</w:t>
            </w:r>
          </w:p>
        </w:tc>
        <w:tc>
          <w:tcPr>
            <w:tcW w:w="2870" w:type="dxa"/>
            <w:tcBorders>
              <w:top w:val="nil"/>
              <w:left w:val="nil"/>
              <w:bottom w:val="single" w:sz="4" w:space="0" w:color="auto"/>
              <w:right w:val="single" w:sz="4" w:space="0" w:color="auto"/>
            </w:tcBorders>
            <w:vAlign w:val="center"/>
            <w:hideMark/>
          </w:tcPr>
          <w:p w14:paraId="64002DF9" w14:textId="77777777" w:rsidR="005A0D08" w:rsidRDefault="005A0D08" w:rsidP="006B21E2">
            <w:pPr>
              <w:rPr>
                <w:color w:val="000000"/>
                <w:sz w:val="20"/>
                <w:szCs w:val="20"/>
              </w:rPr>
            </w:pPr>
            <w:r>
              <w:rPr>
                <w:color w:val="000000"/>
                <w:sz w:val="20"/>
                <w:szCs w:val="20"/>
              </w:rPr>
              <w:t>Professionals: 67% success; Small participants: 12% success</w:t>
            </w:r>
          </w:p>
        </w:tc>
        <w:tc>
          <w:tcPr>
            <w:tcW w:w="2880" w:type="dxa"/>
            <w:tcBorders>
              <w:top w:val="nil"/>
              <w:left w:val="nil"/>
              <w:bottom w:val="single" w:sz="4" w:space="0" w:color="auto"/>
              <w:right w:val="single" w:sz="8" w:space="0" w:color="auto"/>
            </w:tcBorders>
            <w:vAlign w:val="center"/>
            <w:hideMark/>
          </w:tcPr>
          <w:p w14:paraId="75F08A30" w14:textId="77777777" w:rsidR="005A0D08" w:rsidRDefault="005A0D08" w:rsidP="006B21E2">
            <w:pPr>
              <w:rPr>
                <w:color w:val="000000"/>
                <w:sz w:val="20"/>
                <w:szCs w:val="20"/>
              </w:rPr>
            </w:pPr>
            <w:r>
              <w:rPr>
                <w:color w:val="000000"/>
                <w:sz w:val="20"/>
                <w:szCs w:val="20"/>
              </w:rPr>
              <w:t>Low liquidity amplifies MEV extraction; avoid small-cap trading if possible</w:t>
            </w:r>
          </w:p>
        </w:tc>
      </w:tr>
      <w:tr w:rsidR="005A0D08" w14:paraId="1CEEB458" w14:textId="77777777" w:rsidTr="005A0D08">
        <w:trPr>
          <w:trHeight w:val="359"/>
        </w:trPr>
        <w:tc>
          <w:tcPr>
            <w:tcW w:w="2150" w:type="dxa"/>
            <w:tcBorders>
              <w:top w:val="nil"/>
              <w:left w:val="single" w:sz="8" w:space="0" w:color="auto"/>
              <w:bottom w:val="single" w:sz="4" w:space="0" w:color="auto"/>
              <w:right w:val="single" w:sz="4" w:space="0" w:color="auto"/>
            </w:tcBorders>
            <w:vAlign w:val="center"/>
            <w:hideMark/>
          </w:tcPr>
          <w:p w14:paraId="139CCD7D" w14:textId="77777777" w:rsidR="005A0D08" w:rsidRDefault="005A0D08" w:rsidP="006B21E2">
            <w:pPr>
              <w:rPr>
                <w:color w:val="000000"/>
                <w:sz w:val="20"/>
                <w:szCs w:val="20"/>
              </w:rPr>
            </w:pPr>
            <w:r>
              <w:rPr>
                <w:color w:val="000000"/>
                <w:sz w:val="20"/>
                <w:szCs w:val="20"/>
              </w:rPr>
              <w:t>First 10 Blocks After Price Movement</w:t>
            </w:r>
          </w:p>
        </w:tc>
        <w:tc>
          <w:tcPr>
            <w:tcW w:w="1450" w:type="dxa"/>
            <w:tcBorders>
              <w:top w:val="nil"/>
              <w:left w:val="nil"/>
              <w:bottom w:val="single" w:sz="4" w:space="0" w:color="auto"/>
              <w:right w:val="single" w:sz="4" w:space="0" w:color="auto"/>
            </w:tcBorders>
            <w:shd w:val="clear" w:color="000000" w:fill="FFFFFF"/>
            <w:vAlign w:val="center"/>
            <w:hideMark/>
          </w:tcPr>
          <w:p w14:paraId="0183FEBE" w14:textId="77777777" w:rsidR="005A0D08" w:rsidRDefault="005A0D08" w:rsidP="006B21E2">
            <w:pPr>
              <w:rPr>
                <w:color w:val="000000"/>
                <w:sz w:val="20"/>
                <w:szCs w:val="20"/>
              </w:rPr>
            </w:pPr>
            <w:r>
              <w:rPr>
                <w:color w:val="000000"/>
                <w:sz w:val="20"/>
                <w:szCs w:val="20"/>
              </w:rPr>
              <w:t>67% of MEV</w:t>
            </w:r>
          </w:p>
        </w:tc>
        <w:tc>
          <w:tcPr>
            <w:tcW w:w="2870" w:type="dxa"/>
            <w:tcBorders>
              <w:top w:val="nil"/>
              <w:left w:val="nil"/>
              <w:bottom w:val="single" w:sz="4" w:space="0" w:color="auto"/>
              <w:right w:val="single" w:sz="4" w:space="0" w:color="auto"/>
            </w:tcBorders>
            <w:vAlign w:val="center"/>
            <w:hideMark/>
          </w:tcPr>
          <w:p w14:paraId="3FD079B1" w14:textId="77777777" w:rsidR="005A0D08" w:rsidRDefault="005A0D08" w:rsidP="006B21E2">
            <w:pPr>
              <w:rPr>
                <w:color w:val="000000"/>
                <w:sz w:val="20"/>
                <w:szCs w:val="20"/>
              </w:rPr>
            </w:pPr>
            <w:r>
              <w:rPr>
                <w:color w:val="000000"/>
                <w:sz w:val="20"/>
                <w:szCs w:val="20"/>
              </w:rPr>
              <w:t>Professionals: 67% success; Small participants: 12% success</w:t>
            </w:r>
          </w:p>
        </w:tc>
        <w:tc>
          <w:tcPr>
            <w:tcW w:w="2880" w:type="dxa"/>
            <w:tcBorders>
              <w:top w:val="nil"/>
              <w:left w:val="nil"/>
              <w:bottom w:val="single" w:sz="4" w:space="0" w:color="auto"/>
              <w:right w:val="single" w:sz="8" w:space="0" w:color="auto"/>
            </w:tcBorders>
            <w:vAlign w:val="center"/>
            <w:hideMark/>
          </w:tcPr>
          <w:p w14:paraId="3BD95DC2" w14:textId="77777777" w:rsidR="005A0D08" w:rsidRDefault="005A0D08" w:rsidP="006B21E2">
            <w:pPr>
              <w:rPr>
                <w:color w:val="000000"/>
                <w:sz w:val="20"/>
                <w:szCs w:val="20"/>
              </w:rPr>
            </w:pPr>
            <w:r>
              <w:rPr>
                <w:color w:val="000000"/>
                <w:sz w:val="20"/>
                <w:szCs w:val="20"/>
              </w:rPr>
              <w:t>Speed-based advantage; infrastructure requirements exclude retail</w:t>
            </w:r>
          </w:p>
        </w:tc>
      </w:tr>
      <w:tr w:rsidR="005A0D08" w14:paraId="145DE736" w14:textId="77777777" w:rsidTr="005A0D08">
        <w:trPr>
          <w:trHeight w:val="467"/>
        </w:trPr>
        <w:tc>
          <w:tcPr>
            <w:tcW w:w="2150" w:type="dxa"/>
            <w:tcBorders>
              <w:top w:val="nil"/>
              <w:left w:val="single" w:sz="8" w:space="0" w:color="auto"/>
              <w:bottom w:val="single" w:sz="4" w:space="0" w:color="auto"/>
              <w:right w:val="single" w:sz="4" w:space="0" w:color="auto"/>
            </w:tcBorders>
            <w:vAlign w:val="center"/>
            <w:hideMark/>
          </w:tcPr>
          <w:p w14:paraId="0C8957C8" w14:textId="77777777" w:rsidR="005A0D08" w:rsidRDefault="005A0D08" w:rsidP="006B21E2">
            <w:pPr>
              <w:rPr>
                <w:color w:val="000000"/>
                <w:sz w:val="20"/>
                <w:szCs w:val="20"/>
              </w:rPr>
            </w:pPr>
            <w:r>
              <w:rPr>
                <w:color w:val="000000"/>
                <w:sz w:val="20"/>
                <w:szCs w:val="20"/>
              </w:rPr>
              <w:t>Operator Concentration</w:t>
            </w:r>
          </w:p>
        </w:tc>
        <w:tc>
          <w:tcPr>
            <w:tcW w:w="1450" w:type="dxa"/>
            <w:tcBorders>
              <w:top w:val="nil"/>
              <w:left w:val="nil"/>
              <w:bottom w:val="single" w:sz="4" w:space="0" w:color="auto"/>
              <w:right w:val="single" w:sz="4" w:space="0" w:color="auto"/>
            </w:tcBorders>
            <w:shd w:val="clear" w:color="000000" w:fill="FFFFFF"/>
            <w:vAlign w:val="center"/>
            <w:hideMark/>
          </w:tcPr>
          <w:p w14:paraId="0BF955E5" w14:textId="77777777" w:rsidR="005A0D08" w:rsidRDefault="005A0D08" w:rsidP="006B21E2">
            <w:pPr>
              <w:rPr>
                <w:color w:val="000000"/>
                <w:sz w:val="20"/>
                <w:szCs w:val="20"/>
              </w:rPr>
            </w:pPr>
            <w:r>
              <w:rPr>
                <w:color w:val="000000"/>
                <w:sz w:val="20"/>
                <w:szCs w:val="20"/>
              </w:rPr>
              <w:t xml:space="preserve">89% </w:t>
            </w:r>
            <w:proofErr w:type="gramStart"/>
            <w:r>
              <w:rPr>
                <w:color w:val="000000"/>
                <w:sz w:val="20"/>
                <w:szCs w:val="20"/>
              </w:rPr>
              <w:t>by</w:t>
            </w:r>
            <w:proofErr w:type="gramEnd"/>
            <w:r>
              <w:rPr>
                <w:color w:val="000000"/>
                <w:sz w:val="20"/>
                <w:szCs w:val="20"/>
              </w:rPr>
              <w:t xml:space="preserve"> top 50 operators</w:t>
            </w:r>
          </w:p>
        </w:tc>
        <w:tc>
          <w:tcPr>
            <w:tcW w:w="2870" w:type="dxa"/>
            <w:tcBorders>
              <w:top w:val="nil"/>
              <w:left w:val="nil"/>
              <w:bottom w:val="single" w:sz="4" w:space="0" w:color="auto"/>
              <w:right w:val="single" w:sz="4" w:space="0" w:color="auto"/>
            </w:tcBorders>
            <w:vAlign w:val="center"/>
            <w:hideMark/>
          </w:tcPr>
          <w:p w14:paraId="7760FB8B" w14:textId="77777777" w:rsidR="005A0D08" w:rsidRDefault="005A0D08" w:rsidP="006B21E2">
            <w:pPr>
              <w:rPr>
                <w:color w:val="000000"/>
                <w:sz w:val="20"/>
                <w:szCs w:val="20"/>
              </w:rPr>
            </w:pPr>
            <w:r>
              <w:rPr>
                <w:color w:val="000000"/>
                <w:sz w:val="20"/>
                <w:szCs w:val="20"/>
              </w:rPr>
              <w:t>Top 50: 67% success; Others: 12% success</w:t>
            </w:r>
          </w:p>
        </w:tc>
        <w:tc>
          <w:tcPr>
            <w:tcW w:w="2880" w:type="dxa"/>
            <w:tcBorders>
              <w:top w:val="nil"/>
              <w:left w:val="nil"/>
              <w:bottom w:val="single" w:sz="4" w:space="0" w:color="auto"/>
              <w:right w:val="single" w:sz="8" w:space="0" w:color="auto"/>
            </w:tcBorders>
            <w:vAlign w:val="center"/>
            <w:hideMark/>
          </w:tcPr>
          <w:p w14:paraId="5E9EFD07" w14:textId="77777777" w:rsidR="005A0D08" w:rsidRDefault="005A0D08" w:rsidP="006B21E2">
            <w:pPr>
              <w:rPr>
                <w:color w:val="000000"/>
                <w:sz w:val="20"/>
                <w:szCs w:val="20"/>
              </w:rPr>
            </w:pPr>
            <w:r>
              <w:rPr>
                <w:color w:val="000000"/>
                <w:sz w:val="20"/>
                <w:szCs w:val="20"/>
              </w:rPr>
              <w:t>Highly concentrated; attempting MEV as small participant unprofitable</w:t>
            </w:r>
          </w:p>
        </w:tc>
      </w:tr>
      <w:tr w:rsidR="005A0D08" w14:paraId="506A70DF" w14:textId="77777777" w:rsidTr="005A0D08">
        <w:trPr>
          <w:trHeight w:val="404"/>
        </w:trPr>
        <w:tc>
          <w:tcPr>
            <w:tcW w:w="2150" w:type="dxa"/>
            <w:tcBorders>
              <w:top w:val="nil"/>
              <w:left w:val="single" w:sz="8" w:space="0" w:color="auto"/>
              <w:bottom w:val="single" w:sz="4" w:space="0" w:color="auto"/>
              <w:right w:val="single" w:sz="4" w:space="0" w:color="auto"/>
            </w:tcBorders>
            <w:vAlign w:val="center"/>
            <w:hideMark/>
          </w:tcPr>
          <w:p w14:paraId="717BCB25" w14:textId="77777777" w:rsidR="005A0D08" w:rsidRDefault="005A0D08" w:rsidP="006B21E2">
            <w:pPr>
              <w:rPr>
                <w:color w:val="000000"/>
                <w:sz w:val="20"/>
                <w:szCs w:val="20"/>
              </w:rPr>
            </w:pPr>
            <w:r>
              <w:rPr>
                <w:color w:val="000000"/>
                <w:sz w:val="20"/>
                <w:szCs w:val="20"/>
              </w:rPr>
              <w:t>Success Rate Differential</w:t>
            </w:r>
          </w:p>
        </w:tc>
        <w:tc>
          <w:tcPr>
            <w:tcW w:w="1450" w:type="dxa"/>
            <w:tcBorders>
              <w:top w:val="nil"/>
              <w:left w:val="nil"/>
              <w:bottom w:val="single" w:sz="4" w:space="0" w:color="auto"/>
              <w:right w:val="single" w:sz="4" w:space="0" w:color="auto"/>
            </w:tcBorders>
            <w:shd w:val="clear" w:color="000000" w:fill="FFFFFF"/>
            <w:vAlign w:val="center"/>
            <w:hideMark/>
          </w:tcPr>
          <w:p w14:paraId="352D440D" w14:textId="77777777" w:rsidR="005A0D08" w:rsidRDefault="005A0D08" w:rsidP="006B21E2">
            <w:pPr>
              <w:rPr>
                <w:color w:val="000000"/>
                <w:sz w:val="20"/>
                <w:szCs w:val="20"/>
              </w:rPr>
            </w:pPr>
            <w:r>
              <w:rPr>
                <w:color w:val="000000"/>
                <w:sz w:val="20"/>
                <w:szCs w:val="20"/>
              </w:rPr>
              <w:t>5.6x advantage for professionals</w:t>
            </w:r>
          </w:p>
        </w:tc>
        <w:tc>
          <w:tcPr>
            <w:tcW w:w="2870" w:type="dxa"/>
            <w:tcBorders>
              <w:top w:val="nil"/>
              <w:left w:val="nil"/>
              <w:bottom w:val="single" w:sz="4" w:space="0" w:color="auto"/>
              <w:right w:val="single" w:sz="4" w:space="0" w:color="auto"/>
            </w:tcBorders>
            <w:shd w:val="clear" w:color="000000" w:fill="FFFFFF"/>
            <w:vAlign w:val="center"/>
            <w:hideMark/>
          </w:tcPr>
          <w:p w14:paraId="24987912" w14:textId="77777777" w:rsidR="005A0D08" w:rsidRDefault="005A0D08" w:rsidP="006B21E2">
            <w:pPr>
              <w:rPr>
                <w:color w:val="000000"/>
                <w:sz w:val="20"/>
                <w:szCs w:val="20"/>
              </w:rPr>
            </w:pPr>
            <w:r>
              <w:rPr>
                <w:color w:val="000000"/>
                <w:sz w:val="20"/>
                <w:szCs w:val="20"/>
              </w:rPr>
              <w:t>Professionals: 67%; Small participants: 12%</w:t>
            </w:r>
          </w:p>
        </w:tc>
        <w:tc>
          <w:tcPr>
            <w:tcW w:w="2880" w:type="dxa"/>
            <w:tcBorders>
              <w:top w:val="nil"/>
              <w:left w:val="nil"/>
              <w:bottom w:val="single" w:sz="4" w:space="0" w:color="auto"/>
              <w:right w:val="single" w:sz="8" w:space="0" w:color="auto"/>
            </w:tcBorders>
            <w:vAlign w:val="center"/>
            <w:hideMark/>
          </w:tcPr>
          <w:p w14:paraId="086972EC" w14:textId="77777777" w:rsidR="005A0D08" w:rsidRDefault="005A0D08" w:rsidP="006B21E2">
            <w:pPr>
              <w:rPr>
                <w:color w:val="000000"/>
                <w:sz w:val="20"/>
                <w:szCs w:val="20"/>
              </w:rPr>
            </w:pPr>
            <w:r>
              <w:rPr>
                <w:color w:val="000000"/>
                <w:sz w:val="20"/>
                <w:szCs w:val="20"/>
              </w:rPr>
              <w:t>Skill/infrastructure gap insurmountable without professional setup</w:t>
            </w:r>
          </w:p>
        </w:tc>
      </w:tr>
      <w:tr w:rsidR="005A0D08" w14:paraId="6FFF9CE8" w14:textId="77777777" w:rsidTr="003372C0">
        <w:trPr>
          <w:trHeight w:val="152"/>
        </w:trPr>
        <w:tc>
          <w:tcPr>
            <w:tcW w:w="2150" w:type="dxa"/>
            <w:tcBorders>
              <w:top w:val="nil"/>
              <w:left w:val="single" w:sz="8" w:space="0" w:color="auto"/>
              <w:bottom w:val="single" w:sz="8" w:space="0" w:color="auto"/>
              <w:right w:val="single" w:sz="4" w:space="0" w:color="auto"/>
            </w:tcBorders>
            <w:vAlign w:val="center"/>
            <w:hideMark/>
          </w:tcPr>
          <w:p w14:paraId="1E78EA23" w14:textId="77777777" w:rsidR="005A0D08" w:rsidRDefault="005A0D08" w:rsidP="006B21E2">
            <w:pPr>
              <w:rPr>
                <w:color w:val="000000"/>
                <w:sz w:val="20"/>
                <w:szCs w:val="20"/>
              </w:rPr>
            </w:pPr>
            <w:r>
              <w:rPr>
                <w:color w:val="000000"/>
                <w:sz w:val="20"/>
                <w:szCs w:val="20"/>
              </w:rPr>
              <w:t>Protection Strategy Effectiveness</w:t>
            </w:r>
          </w:p>
        </w:tc>
        <w:tc>
          <w:tcPr>
            <w:tcW w:w="1450" w:type="dxa"/>
            <w:tcBorders>
              <w:top w:val="nil"/>
              <w:left w:val="nil"/>
              <w:bottom w:val="single" w:sz="8" w:space="0" w:color="auto"/>
              <w:right w:val="single" w:sz="4" w:space="0" w:color="auto"/>
            </w:tcBorders>
            <w:shd w:val="clear" w:color="000000" w:fill="FFFFFF"/>
            <w:vAlign w:val="center"/>
            <w:hideMark/>
          </w:tcPr>
          <w:p w14:paraId="1FBB135D" w14:textId="77777777" w:rsidR="005A0D08" w:rsidRDefault="005A0D08" w:rsidP="006B21E2">
            <w:pPr>
              <w:rPr>
                <w:color w:val="000000"/>
                <w:sz w:val="20"/>
                <w:szCs w:val="20"/>
              </w:rPr>
            </w:pPr>
            <w:r>
              <w:rPr>
                <w:color w:val="000000"/>
                <w:sz w:val="20"/>
                <w:szCs w:val="20"/>
              </w:rPr>
              <w:t>Marginal improvement only</w:t>
            </w:r>
          </w:p>
        </w:tc>
        <w:tc>
          <w:tcPr>
            <w:tcW w:w="2870" w:type="dxa"/>
            <w:tcBorders>
              <w:top w:val="nil"/>
              <w:left w:val="nil"/>
              <w:bottom w:val="single" w:sz="8" w:space="0" w:color="auto"/>
              <w:right w:val="single" w:sz="4" w:space="0" w:color="auto"/>
            </w:tcBorders>
            <w:vAlign w:val="center"/>
            <w:hideMark/>
          </w:tcPr>
          <w:p w14:paraId="66E297AC" w14:textId="77777777" w:rsidR="005A0D08" w:rsidRDefault="005A0D08" w:rsidP="006B21E2">
            <w:pPr>
              <w:rPr>
                <w:color w:val="000000"/>
                <w:sz w:val="20"/>
                <w:szCs w:val="20"/>
              </w:rPr>
            </w:pPr>
            <w:r>
              <w:rPr>
                <w:color w:val="000000"/>
                <w:sz w:val="20"/>
                <w:szCs w:val="20"/>
              </w:rPr>
              <w:t xml:space="preserve">Private </w:t>
            </w:r>
            <w:proofErr w:type="spellStart"/>
            <w:r>
              <w:rPr>
                <w:color w:val="000000"/>
                <w:sz w:val="20"/>
                <w:szCs w:val="20"/>
              </w:rPr>
              <w:t>mempools</w:t>
            </w:r>
            <w:proofErr w:type="spellEnd"/>
            <w:r>
              <w:rPr>
                <w:color w:val="000000"/>
                <w:sz w:val="20"/>
                <w:szCs w:val="20"/>
              </w:rPr>
              <w:t xml:space="preserve"> reduce exposure ~30%</w:t>
            </w:r>
          </w:p>
        </w:tc>
        <w:tc>
          <w:tcPr>
            <w:tcW w:w="2880" w:type="dxa"/>
            <w:tcBorders>
              <w:top w:val="nil"/>
              <w:left w:val="nil"/>
              <w:bottom w:val="single" w:sz="8" w:space="0" w:color="auto"/>
              <w:right w:val="single" w:sz="8" w:space="0" w:color="auto"/>
            </w:tcBorders>
            <w:vAlign w:val="center"/>
            <w:hideMark/>
          </w:tcPr>
          <w:p w14:paraId="1DE186DD" w14:textId="77777777" w:rsidR="005A0D08" w:rsidRDefault="005A0D08" w:rsidP="006B21E2">
            <w:pPr>
              <w:rPr>
                <w:color w:val="000000"/>
                <w:sz w:val="20"/>
                <w:szCs w:val="20"/>
              </w:rPr>
            </w:pPr>
            <w:r>
              <w:rPr>
                <w:color w:val="000000"/>
                <w:sz w:val="20"/>
                <w:szCs w:val="20"/>
              </w:rPr>
              <w:t>Protection helps but cannot eliminate MEV; best strategy is awareness and position sizing</w:t>
            </w:r>
          </w:p>
        </w:tc>
      </w:tr>
    </w:tbl>
    <w:p w14:paraId="3C81F322" w14:textId="1B6ED276" w:rsidR="005B5BA3" w:rsidRPr="00542848" w:rsidRDefault="005B5BA3" w:rsidP="006B21E2">
      <w:pPr>
        <w:jc w:val="both"/>
        <w:rPr>
          <w:i/>
          <w:iCs/>
          <w:color w:val="000000" w:themeColor="text1"/>
          <w:sz w:val="22"/>
          <w:szCs w:val="22"/>
        </w:rPr>
      </w:pPr>
      <w:r w:rsidRPr="00542848">
        <w:rPr>
          <w:i/>
          <w:iCs/>
          <w:color w:val="000000" w:themeColor="text1"/>
          <w:sz w:val="22"/>
          <w:szCs w:val="22"/>
        </w:rPr>
        <w:t>Source: Analysis of MEV extraction events, 2020-2023. Success rates based on profitable MEV attempts by participant category.</w:t>
      </w:r>
    </w:p>
    <w:p w14:paraId="605928EE" w14:textId="77777777" w:rsidR="005B5BA3" w:rsidRPr="00C137EE" w:rsidRDefault="005B5BA3" w:rsidP="006B21E2">
      <w:pPr>
        <w:jc w:val="both"/>
        <w:rPr>
          <w:color w:val="FF0000"/>
        </w:rPr>
      </w:pPr>
    </w:p>
    <w:p w14:paraId="01FADF14" w14:textId="2E82CD51" w:rsidR="005B5BA3" w:rsidRPr="001D2F66" w:rsidRDefault="005B5BA3" w:rsidP="006B21E2">
      <w:pPr>
        <w:jc w:val="both"/>
        <w:rPr>
          <w:b/>
          <w:bCs/>
          <w:color w:val="000000" w:themeColor="text1"/>
        </w:rPr>
      </w:pPr>
      <w:r w:rsidRPr="001D2F66">
        <w:rPr>
          <w:b/>
          <w:bCs/>
          <w:color w:val="000000" w:themeColor="text1"/>
        </w:rPr>
        <w:t>Critical Observations:</w:t>
      </w:r>
    </w:p>
    <w:p w14:paraId="012BAF21" w14:textId="77777777" w:rsidR="001D2F66" w:rsidRPr="00F53966" w:rsidRDefault="001D2F66" w:rsidP="006B21E2">
      <w:pPr>
        <w:jc w:val="both"/>
        <w:rPr>
          <w:color w:val="000000" w:themeColor="text1"/>
        </w:rPr>
      </w:pPr>
    </w:p>
    <w:p w14:paraId="104CA58F" w14:textId="6B4D0A35" w:rsidR="005B5BA3" w:rsidRPr="00EC42BE" w:rsidRDefault="005B5BA3" w:rsidP="006B21E2">
      <w:pPr>
        <w:ind w:left="720"/>
        <w:jc w:val="both"/>
        <w:rPr>
          <w:color w:val="000000" w:themeColor="text1"/>
        </w:rPr>
      </w:pPr>
      <w:r w:rsidRPr="00EC42BE">
        <w:rPr>
          <w:b/>
          <w:bCs/>
          <w:i/>
          <w:iCs/>
          <w:color w:val="000000" w:themeColor="text1"/>
        </w:rPr>
        <w:t>Hidden Tax Magnitude:</w:t>
      </w:r>
      <w:r w:rsidRPr="00EC42BE">
        <w:rPr>
          <w:color w:val="000000" w:themeColor="text1"/>
        </w:rPr>
        <w:t xml:space="preserve"> The $1.38 billion total MEV extracted </w:t>
      </w:r>
      <w:r w:rsidR="00EC42BE" w:rsidRPr="00EC42BE">
        <w:rPr>
          <w:color w:val="000000" w:themeColor="text1"/>
        </w:rPr>
        <w:t xml:space="preserve">between </w:t>
      </w:r>
      <w:r w:rsidRPr="00EC42BE">
        <w:rPr>
          <w:color w:val="000000" w:themeColor="text1"/>
        </w:rPr>
        <w:t>2020-2023</w:t>
      </w:r>
      <w:r w:rsidR="00EC42BE" w:rsidRPr="00EC42BE">
        <w:rPr>
          <w:color w:val="000000" w:themeColor="text1"/>
        </w:rPr>
        <w:t xml:space="preserve"> </w:t>
      </w:r>
      <w:proofErr w:type="gramStart"/>
      <w:r w:rsidR="00EC42BE" w:rsidRPr="00EC42BE">
        <w:rPr>
          <w:color w:val="000000" w:themeColor="text1"/>
        </w:rPr>
        <w:t>the</w:t>
      </w:r>
      <w:r w:rsidRPr="00EC42BE">
        <w:rPr>
          <w:color w:val="000000" w:themeColor="text1"/>
        </w:rPr>
        <w:t xml:space="preserve"> across</w:t>
      </w:r>
      <w:proofErr w:type="gramEnd"/>
      <w:r w:rsidRPr="00EC42BE">
        <w:rPr>
          <w:color w:val="000000" w:themeColor="text1"/>
        </w:rPr>
        <w:t xml:space="preserve"> tracked transactions represents an average 0.12-0.18% hidden fee on all DeFi activity. This cost is invisible to participants</w:t>
      </w:r>
      <w:r w:rsidR="00EC42BE" w:rsidRPr="00EC42BE">
        <w:rPr>
          <w:color w:val="000000" w:themeColor="text1"/>
        </w:rPr>
        <w:t xml:space="preserve"> and </w:t>
      </w:r>
      <w:r w:rsidRPr="00EC42BE">
        <w:rPr>
          <w:color w:val="000000" w:themeColor="text1"/>
        </w:rPr>
        <w:t>not listed in transaction receipts or protocol fee schedules</w:t>
      </w:r>
      <w:r w:rsidR="00EC42BE" w:rsidRPr="00EC42BE">
        <w:rPr>
          <w:color w:val="000000" w:themeColor="text1"/>
        </w:rPr>
        <w:t xml:space="preserve">. </w:t>
      </w:r>
      <w:proofErr w:type="gramStart"/>
      <w:r w:rsidR="00EC42BE" w:rsidRPr="00EC42BE">
        <w:rPr>
          <w:color w:val="000000" w:themeColor="text1"/>
        </w:rPr>
        <w:t>However</w:t>
      </w:r>
      <w:proofErr w:type="gramEnd"/>
      <w:r w:rsidR="00EC42BE" w:rsidRPr="00EC42BE">
        <w:rPr>
          <w:color w:val="000000" w:themeColor="text1"/>
        </w:rPr>
        <w:t xml:space="preserve"> it</w:t>
      </w:r>
      <w:r w:rsidRPr="00EC42BE">
        <w:rPr>
          <w:color w:val="000000" w:themeColor="text1"/>
        </w:rPr>
        <w:t xml:space="preserve"> systematically transfers value from traders to MEV extractors. For a participant making $100,000 in annual DeFi transactions, expected MEV cost is $120-180, comparable to or exceeding visible protocol fees on many networks.</w:t>
      </w:r>
    </w:p>
    <w:p w14:paraId="677827A1" w14:textId="77777777" w:rsidR="005B5BA3" w:rsidRPr="00EC42BE" w:rsidRDefault="005B5BA3" w:rsidP="006B21E2">
      <w:pPr>
        <w:ind w:left="720"/>
        <w:jc w:val="both"/>
        <w:rPr>
          <w:color w:val="000000" w:themeColor="text1"/>
        </w:rPr>
      </w:pPr>
    </w:p>
    <w:p w14:paraId="079543AD" w14:textId="4776F9BD" w:rsidR="005B5BA3" w:rsidRPr="00EC42BE" w:rsidRDefault="005B5BA3" w:rsidP="006B21E2">
      <w:pPr>
        <w:ind w:left="720"/>
        <w:jc w:val="both"/>
        <w:rPr>
          <w:color w:val="000000" w:themeColor="text1"/>
        </w:rPr>
      </w:pPr>
      <w:r w:rsidRPr="00EC42BE">
        <w:rPr>
          <w:b/>
          <w:bCs/>
          <w:i/>
          <w:iCs/>
          <w:color w:val="000000" w:themeColor="text1"/>
        </w:rPr>
        <w:t>Concentration Extremity:</w:t>
      </w:r>
      <w:r w:rsidRPr="00EC42BE">
        <w:rPr>
          <w:color w:val="000000" w:themeColor="text1"/>
        </w:rPr>
        <w:t xml:space="preserve"> The 89% extraction by top 50 operators demonstrates MEV as </w:t>
      </w:r>
      <w:r w:rsidR="00EC42BE" w:rsidRPr="00EC42BE">
        <w:rPr>
          <w:color w:val="000000" w:themeColor="text1"/>
        </w:rPr>
        <w:t xml:space="preserve">a </w:t>
      </w:r>
      <w:r w:rsidRPr="00EC42BE">
        <w:rPr>
          <w:color w:val="000000" w:themeColor="text1"/>
        </w:rPr>
        <w:t xml:space="preserve">professionalized activity rather than accessible opportunity. Professional operators achieved 67% success rates through infrastructure advantages </w:t>
      </w:r>
      <w:r w:rsidR="00EC42BE" w:rsidRPr="00EC42BE">
        <w:rPr>
          <w:color w:val="000000" w:themeColor="text1"/>
        </w:rPr>
        <w:t xml:space="preserve">sch as </w:t>
      </w:r>
      <w:r w:rsidRPr="00EC42BE">
        <w:rPr>
          <w:color w:val="000000" w:themeColor="text1"/>
        </w:rPr>
        <w:t>co-located servers reducing latency to microseconds, direct RPC access, algorithmic opportunity detection</w:t>
      </w:r>
      <w:r w:rsidR="00EC42BE" w:rsidRPr="00EC42BE">
        <w:rPr>
          <w:color w:val="000000" w:themeColor="text1"/>
        </w:rPr>
        <w:t xml:space="preserve"> which </w:t>
      </w:r>
      <w:r w:rsidRPr="00EC42BE">
        <w:rPr>
          <w:color w:val="000000" w:themeColor="text1"/>
        </w:rPr>
        <w:t>small participants cannot replicate. The 12% small participant success rate represents mostly accidental captures during low-competition windows rather than systematic profitability.</w:t>
      </w:r>
    </w:p>
    <w:p w14:paraId="045204D1" w14:textId="77777777" w:rsidR="005B5BA3" w:rsidRPr="00C137EE" w:rsidRDefault="005B5BA3" w:rsidP="006B21E2">
      <w:pPr>
        <w:ind w:left="720"/>
        <w:jc w:val="both"/>
        <w:rPr>
          <w:color w:val="FF0000"/>
        </w:rPr>
      </w:pPr>
    </w:p>
    <w:p w14:paraId="598F658B" w14:textId="25B8D0AE" w:rsidR="005B5BA3" w:rsidRPr="00EC42BE" w:rsidRDefault="005B5BA3" w:rsidP="006B21E2">
      <w:pPr>
        <w:ind w:left="720"/>
        <w:jc w:val="both"/>
        <w:rPr>
          <w:color w:val="000000" w:themeColor="text1"/>
        </w:rPr>
      </w:pPr>
      <w:r w:rsidRPr="00EC42BE">
        <w:rPr>
          <w:b/>
          <w:bCs/>
          <w:i/>
          <w:iCs/>
          <w:color w:val="000000" w:themeColor="text1"/>
        </w:rPr>
        <w:t>Volatility Concentration:</w:t>
      </w:r>
      <w:r w:rsidRPr="00EC42BE">
        <w:rPr>
          <w:color w:val="000000" w:themeColor="text1"/>
        </w:rPr>
        <w:t xml:space="preserve"> </w:t>
      </w:r>
      <w:proofErr w:type="gramStart"/>
      <w:r w:rsidRPr="00EC42BE">
        <w:rPr>
          <w:color w:val="000000" w:themeColor="text1"/>
        </w:rPr>
        <w:t>The 73</w:t>
      </w:r>
      <w:proofErr w:type="gramEnd"/>
      <w:r w:rsidRPr="00EC42BE">
        <w:rPr>
          <w:color w:val="000000" w:themeColor="text1"/>
        </w:rPr>
        <w:t>% of MEV occurring during high volatility periods (&gt;2 standard deviations) creat</w:t>
      </w:r>
      <w:r w:rsidR="00EC42BE" w:rsidRPr="00EC42BE">
        <w:rPr>
          <w:color w:val="000000" w:themeColor="text1"/>
        </w:rPr>
        <w:t>ed</w:t>
      </w:r>
      <w:r w:rsidRPr="00EC42BE">
        <w:rPr>
          <w:color w:val="000000" w:themeColor="text1"/>
        </w:rPr>
        <w:t xml:space="preserve"> </w:t>
      </w:r>
      <w:r w:rsidR="00EC42BE" w:rsidRPr="00EC42BE">
        <w:rPr>
          <w:color w:val="000000" w:themeColor="text1"/>
        </w:rPr>
        <w:t>incredible</w:t>
      </w:r>
      <w:r w:rsidRPr="00EC42BE">
        <w:rPr>
          <w:color w:val="000000" w:themeColor="text1"/>
        </w:rPr>
        <w:t xml:space="preserve"> incentives. </w:t>
      </w:r>
      <w:r w:rsidR="00EC42BE" w:rsidRPr="00EC42BE">
        <w:rPr>
          <w:color w:val="000000" w:themeColor="text1"/>
        </w:rPr>
        <w:t>But the v</w:t>
      </w:r>
      <w:r w:rsidRPr="00EC42BE">
        <w:rPr>
          <w:color w:val="000000" w:themeColor="text1"/>
        </w:rPr>
        <w:t xml:space="preserve">olatility </w:t>
      </w:r>
      <w:r w:rsidR="00EC42BE" w:rsidRPr="00EC42BE">
        <w:rPr>
          <w:color w:val="000000" w:themeColor="text1"/>
        </w:rPr>
        <w:t xml:space="preserve">here </w:t>
      </w:r>
      <w:r w:rsidRPr="00EC42BE">
        <w:rPr>
          <w:color w:val="000000" w:themeColor="text1"/>
        </w:rPr>
        <w:t xml:space="preserve">generates MEV opportunities (arbitrage, liquidations) that sophisticated operators exploit while retail participants </w:t>
      </w:r>
      <w:r w:rsidR="00EC42BE" w:rsidRPr="00EC42BE">
        <w:rPr>
          <w:color w:val="000000" w:themeColor="text1"/>
        </w:rPr>
        <w:t xml:space="preserve">will </w:t>
      </w:r>
      <w:r w:rsidRPr="00EC42BE">
        <w:rPr>
          <w:color w:val="000000" w:themeColor="text1"/>
        </w:rPr>
        <w:t>experience th</w:t>
      </w:r>
      <w:r w:rsidR="00EC42BE" w:rsidRPr="00EC42BE">
        <w:rPr>
          <w:color w:val="000000" w:themeColor="text1"/>
        </w:rPr>
        <w:t>e</w:t>
      </w:r>
      <w:r w:rsidRPr="00EC42BE">
        <w:rPr>
          <w:color w:val="000000" w:themeColor="text1"/>
        </w:rPr>
        <w:t xml:space="preserve"> same volatility as risk. The mechanism transfers value from those experiencing </w:t>
      </w:r>
      <w:proofErr w:type="gramStart"/>
      <w:r w:rsidRPr="00EC42BE">
        <w:rPr>
          <w:color w:val="000000" w:themeColor="text1"/>
        </w:rPr>
        <w:t>volatility negatively</w:t>
      </w:r>
      <w:proofErr w:type="gramEnd"/>
      <w:r w:rsidRPr="00EC42BE">
        <w:rPr>
          <w:color w:val="000000" w:themeColor="text1"/>
        </w:rPr>
        <w:t xml:space="preserve"> (position losses) to those exploiting it systematically (MEV extractors).</w:t>
      </w:r>
    </w:p>
    <w:p w14:paraId="6D37785C" w14:textId="77777777" w:rsidR="005B5BA3" w:rsidRPr="00C137EE" w:rsidRDefault="005B5BA3" w:rsidP="006B21E2">
      <w:pPr>
        <w:ind w:left="720"/>
        <w:jc w:val="both"/>
        <w:rPr>
          <w:color w:val="FF0000"/>
        </w:rPr>
      </w:pPr>
    </w:p>
    <w:p w14:paraId="04114CB9" w14:textId="2AFFD747" w:rsidR="005B5BA3" w:rsidRPr="001856BA" w:rsidRDefault="005B5BA3" w:rsidP="006B21E2">
      <w:pPr>
        <w:ind w:left="720"/>
        <w:jc w:val="both"/>
        <w:rPr>
          <w:color w:val="000000" w:themeColor="text1"/>
        </w:rPr>
      </w:pPr>
      <w:r w:rsidRPr="001856BA">
        <w:rPr>
          <w:b/>
          <w:bCs/>
          <w:i/>
          <w:iCs/>
          <w:color w:val="000000" w:themeColor="text1"/>
        </w:rPr>
        <w:t>Small-Cap Vulnerability:</w:t>
      </w:r>
      <w:r w:rsidRPr="001856BA">
        <w:rPr>
          <w:color w:val="000000" w:themeColor="text1"/>
        </w:rPr>
        <w:t xml:space="preserve"> The 81% MEV concentration in tokens &lt;$100M market cap demonstrates that low liquidity amplifies extraction. Small participants attracted to small-cap tokens for "early opportunity" (less competition) face highest MEV tax rates—</w:t>
      </w:r>
      <w:r w:rsidRPr="001856BA">
        <w:rPr>
          <w:color w:val="000000" w:themeColor="text1"/>
        </w:rPr>
        <w:lastRenderedPageBreak/>
        <w:t>precisely inverse of intent. Trading small-cap tokens to avoid sophisticated competition results in maximum exposure to sophisticated MEV extraction.</w:t>
      </w:r>
    </w:p>
    <w:p w14:paraId="26B90CE1" w14:textId="77777777" w:rsidR="005B5BA3" w:rsidRPr="00C137EE" w:rsidRDefault="005B5BA3" w:rsidP="006B21E2">
      <w:pPr>
        <w:ind w:left="720"/>
        <w:jc w:val="both"/>
        <w:rPr>
          <w:color w:val="FF0000"/>
        </w:rPr>
      </w:pPr>
    </w:p>
    <w:p w14:paraId="242FEC01" w14:textId="4E4F333B" w:rsidR="005B5BA3" w:rsidRPr="00EF2EFF" w:rsidRDefault="005B5BA3" w:rsidP="006B21E2">
      <w:pPr>
        <w:ind w:left="720"/>
        <w:jc w:val="both"/>
        <w:rPr>
          <w:color w:val="000000" w:themeColor="text1"/>
        </w:rPr>
      </w:pPr>
      <w:r w:rsidRPr="00EF2EFF">
        <w:rPr>
          <w:b/>
          <w:bCs/>
          <w:i/>
          <w:iCs/>
          <w:color w:val="000000" w:themeColor="text1"/>
        </w:rPr>
        <w:t>Speed-Based Exclusion:</w:t>
      </w:r>
      <w:r w:rsidR="00F53966" w:rsidRPr="00EF2EFF">
        <w:rPr>
          <w:color w:val="000000" w:themeColor="text1"/>
        </w:rPr>
        <w:t xml:space="preserve"> </w:t>
      </w:r>
      <w:r w:rsidRPr="00EF2EFF">
        <w:rPr>
          <w:color w:val="000000" w:themeColor="text1"/>
        </w:rPr>
        <w:t xml:space="preserve">The 67% MEV occurring in </w:t>
      </w:r>
      <w:r w:rsidR="00EF2EFF" w:rsidRPr="00EF2EFF">
        <w:rPr>
          <w:color w:val="000000" w:themeColor="text1"/>
        </w:rPr>
        <w:t xml:space="preserve">the </w:t>
      </w:r>
      <w:r w:rsidRPr="00EF2EFF">
        <w:rPr>
          <w:color w:val="000000" w:themeColor="text1"/>
        </w:rPr>
        <w:t xml:space="preserve">first 10 blocks after price movements represents opportunities measured in seconds. Retail participants operating through standard wallets and RPC endpoints face </w:t>
      </w:r>
      <w:r w:rsidR="00EF2EFF" w:rsidRPr="00EF2EFF">
        <w:rPr>
          <w:color w:val="000000" w:themeColor="text1"/>
        </w:rPr>
        <w:t xml:space="preserve">a </w:t>
      </w:r>
      <w:r w:rsidRPr="00EF2EFF">
        <w:rPr>
          <w:color w:val="000000" w:themeColor="text1"/>
        </w:rPr>
        <w:t xml:space="preserve">2-5 second latency versus professional &lt;100ms. This 20-50x speed disadvantage makes MEV extraction structurally inaccessible regardless of capital, skill, or effort. </w:t>
      </w:r>
    </w:p>
    <w:p w14:paraId="5D7DBB27" w14:textId="77777777" w:rsidR="005B5BA3" w:rsidRPr="00C137EE" w:rsidRDefault="005B5BA3" w:rsidP="006B21E2">
      <w:pPr>
        <w:ind w:left="720"/>
        <w:jc w:val="both"/>
        <w:rPr>
          <w:color w:val="FF0000"/>
        </w:rPr>
      </w:pPr>
    </w:p>
    <w:p w14:paraId="3B81AA60" w14:textId="35B3FE67" w:rsidR="005B5BA3" w:rsidRPr="00964580" w:rsidRDefault="005B5BA3" w:rsidP="006B21E2">
      <w:pPr>
        <w:ind w:left="720"/>
        <w:jc w:val="both"/>
        <w:rPr>
          <w:color w:val="000000" w:themeColor="text1"/>
        </w:rPr>
      </w:pPr>
      <w:r w:rsidRPr="00964580">
        <w:rPr>
          <w:b/>
          <w:bCs/>
          <w:i/>
          <w:iCs/>
          <w:color w:val="000000" w:themeColor="text1"/>
        </w:rPr>
        <w:t>Protection Limitations:</w:t>
      </w:r>
      <w:r w:rsidRPr="00964580">
        <w:rPr>
          <w:color w:val="000000" w:themeColor="text1"/>
        </w:rPr>
        <w:t xml:space="preserve"> Private </w:t>
      </w:r>
      <w:proofErr w:type="spellStart"/>
      <w:r w:rsidRPr="00964580">
        <w:rPr>
          <w:color w:val="000000" w:themeColor="text1"/>
        </w:rPr>
        <w:t>mempools</w:t>
      </w:r>
      <w:proofErr w:type="spellEnd"/>
      <w:r w:rsidRPr="00964580">
        <w:rPr>
          <w:color w:val="000000" w:themeColor="text1"/>
        </w:rPr>
        <w:t xml:space="preserve"> and MEV-protection services reduce exposure </w:t>
      </w:r>
      <w:r w:rsidR="00964580" w:rsidRPr="00964580">
        <w:rPr>
          <w:color w:val="000000" w:themeColor="text1"/>
        </w:rPr>
        <w:t xml:space="preserve">by </w:t>
      </w:r>
      <w:r w:rsidRPr="00964580">
        <w:rPr>
          <w:color w:val="000000" w:themeColor="text1"/>
        </w:rPr>
        <w:t>approximately 30% but cannot eliminate MEV entirely. The 70% residual exposure represents fundamental economic reality</w:t>
      </w:r>
      <w:r w:rsidR="00964580" w:rsidRPr="00964580">
        <w:rPr>
          <w:color w:val="000000" w:themeColor="text1"/>
        </w:rPr>
        <w:t xml:space="preserve"> which is a </w:t>
      </w:r>
      <w:r w:rsidRPr="00964580">
        <w:rPr>
          <w:color w:val="000000" w:themeColor="text1"/>
        </w:rPr>
        <w:t xml:space="preserve">block space scarcity </w:t>
      </w:r>
      <w:r w:rsidR="00964580" w:rsidRPr="00964580">
        <w:rPr>
          <w:color w:val="000000" w:themeColor="text1"/>
        </w:rPr>
        <w:t xml:space="preserve">that </w:t>
      </w:r>
      <w:r w:rsidRPr="00964580">
        <w:rPr>
          <w:color w:val="000000" w:themeColor="text1"/>
        </w:rPr>
        <w:t>creates extractable value that sophisticated participants will capture. Protection services help but do not fundamentally alter the participant hierarchy.</w:t>
      </w:r>
    </w:p>
    <w:p w14:paraId="7871EB3B" w14:textId="77777777" w:rsidR="005B5BA3" w:rsidRPr="00475CAA" w:rsidRDefault="005B5BA3" w:rsidP="006B21E2">
      <w:pPr>
        <w:ind w:left="720"/>
        <w:jc w:val="both"/>
        <w:rPr>
          <w:color w:val="000000" w:themeColor="text1"/>
        </w:rPr>
      </w:pPr>
    </w:p>
    <w:p w14:paraId="455A25C7" w14:textId="7AEFFB11" w:rsidR="005B5BA3" w:rsidRPr="00475CAA" w:rsidRDefault="005B5BA3" w:rsidP="006B21E2">
      <w:pPr>
        <w:ind w:left="720"/>
        <w:jc w:val="both"/>
        <w:rPr>
          <w:color w:val="000000" w:themeColor="text1"/>
        </w:rPr>
      </w:pPr>
      <w:r w:rsidRPr="00475CAA">
        <w:rPr>
          <w:b/>
          <w:bCs/>
          <w:i/>
          <w:iCs/>
          <w:color w:val="000000" w:themeColor="text1"/>
        </w:rPr>
        <w:t>Skill-Infrastructure Conflation:</w:t>
      </w:r>
      <w:r w:rsidRPr="00475CAA">
        <w:rPr>
          <w:color w:val="000000" w:themeColor="text1"/>
        </w:rPr>
        <w:t xml:space="preserve"> The 5.6x success rate advantage (67% vs 12%) for professional operators reflects</w:t>
      </w:r>
      <w:r w:rsidR="00475CAA" w:rsidRPr="00475CAA">
        <w:rPr>
          <w:color w:val="000000" w:themeColor="text1"/>
        </w:rPr>
        <w:t xml:space="preserve"> the advantages of infrastructure access</w:t>
      </w:r>
      <w:r w:rsidRPr="00475CAA">
        <w:rPr>
          <w:color w:val="000000" w:themeColor="text1"/>
        </w:rPr>
        <w:t xml:space="preserve"> rather than analytical superiority. Sophisticated participants do not make better predictions; they execute faster on equivalent predictions. This shifts competition from cognitive advantage (accessible through learning) to capital advantage (infrastructure investment) that recreates</w:t>
      </w:r>
      <w:r w:rsidR="00475CAA" w:rsidRPr="00475CAA">
        <w:rPr>
          <w:color w:val="000000" w:themeColor="text1"/>
        </w:rPr>
        <w:t xml:space="preserve"> </w:t>
      </w:r>
      <w:proofErr w:type="gramStart"/>
      <w:r w:rsidR="00475CAA" w:rsidRPr="00475CAA">
        <w:rPr>
          <w:color w:val="000000" w:themeColor="text1"/>
        </w:rPr>
        <w:t xml:space="preserve">the </w:t>
      </w:r>
      <w:r w:rsidRPr="00475CAA">
        <w:rPr>
          <w:color w:val="000000" w:themeColor="text1"/>
        </w:rPr>
        <w:t xml:space="preserve"> traditional</w:t>
      </w:r>
      <w:proofErr w:type="gramEnd"/>
      <w:r w:rsidRPr="00475CAA">
        <w:rPr>
          <w:color w:val="000000" w:themeColor="text1"/>
        </w:rPr>
        <w:t xml:space="preserve"> financial barriers </w:t>
      </w:r>
      <w:r w:rsidR="00475CAA" w:rsidRPr="00475CAA">
        <w:rPr>
          <w:color w:val="000000" w:themeColor="text1"/>
        </w:rPr>
        <w:t>already observed i</w:t>
      </w:r>
      <w:r w:rsidRPr="00475CAA">
        <w:rPr>
          <w:color w:val="000000" w:themeColor="text1"/>
        </w:rPr>
        <w:t>n decentralized architecture.</w:t>
      </w:r>
    </w:p>
    <w:p w14:paraId="2E6819FD" w14:textId="77777777" w:rsidR="005B5BA3" w:rsidRPr="00C137EE" w:rsidRDefault="005B5BA3" w:rsidP="006B21E2">
      <w:pPr>
        <w:jc w:val="both"/>
        <w:rPr>
          <w:color w:val="FF0000"/>
        </w:rPr>
      </w:pPr>
    </w:p>
    <w:p w14:paraId="4E4D1676" w14:textId="0B8A0282" w:rsidR="00304550" w:rsidRPr="00837A43" w:rsidRDefault="005B5BA3" w:rsidP="006B21E2">
      <w:pPr>
        <w:jc w:val="both"/>
        <w:rPr>
          <w:b/>
          <w:bCs/>
          <w:color w:val="000000" w:themeColor="text1"/>
        </w:rPr>
      </w:pPr>
      <w:r w:rsidRPr="00837A43">
        <w:rPr>
          <w:b/>
          <w:bCs/>
          <w:color w:val="000000" w:themeColor="text1"/>
        </w:rPr>
        <w:t>Theoretical Implication</w:t>
      </w:r>
    </w:p>
    <w:p w14:paraId="6AB9B874" w14:textId="057DC96C" w:rsidR="005B5BA3" w:rsidRPr="00837A43" w:rsidRDefault="005B5BA3" w:rsidP="006B21E2">
      <w:pPr>
        <w:jc w:val="both"/>
        <w:rPr>
          <w:color w:val="000000" w:themeColor="text1"/>
        </w:rPr>
      </w:pPr>
      <w:r w:rsidRPr="00837A43">
        <w:rPr>
          <w:color w:val="000000" w:themeColor="text1"/>
        </w:rPr>
        <w:t>MEV extraction patterns demonstrate that protocol-level democratization (anyone can submit transactions) does not prevent application-level rent extraction (sophisticated operators capture value from transactions). The mechanism reveals how technical accessibility without operational capability parity creates concentrated outcomes. DeFi replaces institutional gatekeeping (who can access) with infrastructure gatekeeping (who can profit)</w:t>
      </w:r>
      <w:r w:rsidR="00837A43" w:rsidRPr="00837A43">
        <w:rPr>
          <w:color w:val="000000" w:themeColor="text1"/>
        </w:rPr>
        <w:t xml:space="preserve">. This is a </w:t>
      </w:r>
      <w:r w:rsidRPr="00837A43">
        <w:rPr>
          <w:color w:val="000000" w:themeColor="text1"/>
        </w:rPr>
        <w:t>transform</w:t>
      </w:r>
      <w:r w:rsidR="00837A43" w:rsidRPr="00837A43">
        <w:rPr>
          <w:color w:val="000000" w:themeColor="text1"/>
        </w:rPr>
        <w:t>ation</w:t>
      </w:r>
      <w:r w:rsidRPr="00837A43">
        <w:rPr>
          <w:color w:val="000000" w:themeColor="text1"/>
        </w:rPr>
        <w:t xml:space="preserve"> but not </w:t>
      </w:r>
      <w:proofErr w:type="gramStart"/>
      <w:r w:rsidRPr="00837A43">
        <w:rPr>
          <w:color w:val="000000" w:themeColor="text1"/>
        </w:rPr>
        <w:t xml:space="preserve">eliminating </w:t>
      </w:r>
      <w:r w:rsidR="00837A43" w:rsidRPr="00837A43">
        <w:rPr>
          <w:color w:val="000000" w:themeColor="text1"/>
        </w:rPr>
        <w:t>of</w:t>
      </w:r>
      <w:proofErr w:type="gramEnd"/>
      <w:r w:rsidR="00837A43" w:rsidRPr="00837A43">
        <w:rPr>
          <w:color w:val="000000" w:themeColor="text1"/>
        </w:rPr>
        <w:t xml:space="preserve"> </w:t>
      </w:r>
      <w:r w:rsidRPr="00837A43">
        <w:rPr>
          <w:color w:val="000000" w:themeColor="text1"/>
        </w:rPr>
        <w:t>financial exclusion.</w:t>
      </w:r>
    </w:p>
    <w:p w14:paraId="71E62729" w14:textId="77777777" w:rsidR="005B5BA3" w:rsidRPr="00C137EE" w:rsidRDefault="005B5BA3" w:rsidP="006B21E2">
      <w:pPr>
        <w:jc w:val="both"/>
        <w:rPr>
          <w:color w:val="FF0000"/>
        </w:rPr>
      </w:pPr>
    </w:p>
    <w:p w14:paraId="4ED6F586" w14:textId="5D65AFC5" w:rsidR="00304550" w:rsidRPr="00837A43" w:rsidRDefault="005B5BA3" w:rsidP="006B21E2">
      <w:pPr>
        <w:jc w:val="both"/>
        <w:rPr>
          <w:color w:val="000000" w:themeColor="text1"/>
        </w:rPr>
      </w:pPr>
      <w:r w:rsidRPr="00837A43">
        <w:rPr>
          <w:b/>
          <w:bCs/>
          <w:color w:val="000000" w:themeColor="text1"/>
        </w:rPr>
        <w:t>Practical Implication for Limited-Capital Participants</w:t>
      </w:r>
      <w:r w:rsidRPr="00837A43">
        <w:rPr>
          <w:color w:val="000000" w:themeColor="text1"/>
        </w:rPr>
        <w:t xml:space="preserve"> </w:t>
      </w:r>
    </w:p>
    <w:p w14:paraId="1E6A1EC1" w14:textId="42703017" w:rsidR="00DF1D60" w:rsidRPr="00837A43" w:rsidRDefault="005B5BA3" w:rsidP="006B21E2">
      <w:pPr>
        <w:jc w:val="both"/>
        <w:rPr>
          <w:rFonts w:eastAsiaTheme="majorEastAsia"/>
          <w:bCs/>
          <w:color w:val="000000" w:themeColor="text1"/>
        </w:rPr>
      </w:pPr>
      <w:r w:rsidRPr="00837A43">
        <w:rPr>
          <w:color w:val="000000" w:themeColor="text1"/>
        </w:rPr>
        <w:t xml:space="preserve">MEV should be conceptualized as unavoidable cost rather than potential income source. The 12% small participant success rate and 89% concentration among top 50 operators </w:t>
      </w:r>
      <w:proofErr w:type="gramStart"/>
      <w:r w:rsidRPr="00837A43">
        <w:rPr>
          <w:color w:val="000000" w:themeColor="text1"/>
        </w:rPr>
        <w:t>indicates</w:t>
      </w:r>
      <w:proofErr w:type="gramEnd"/>
      <w:r w:rsidRPr="00837A43">
        <w:rPr>
          <w:color w:val="000000" w:themeColor="text1"/>
        </w:rPr>
        <w:t xml:space="preserve"> that attempting MEV extraction represents negative expected value for unsophisticated actors. </w:t>
      </w:r>
      <w:r w:rsidR="00837A43" w:rsidRPr="00837A43">
        <w:rPr>
          <w:color w:val="000000" w:themeColor="text1"/>
        </w:rPr>
        <w:t>A b</w:t>
      </w:r>
      <w:r w:rsidRPr="00837A43">
        <w:rPr>
          <w:color w:val="000000" w:themeColor="text1"/>
        </w:rPr>
        <w:t>etter strategy</w:t>
      </w:r>
      <w:r w:rsidR="00837A43" w:rsidRPr="00837A43">
        <w:rPr>
          <w:color w:val="000000" w:themeColor="text1"/>
        </w:rPr>
        <w:t xml:space="preserve"> here is to </w:t>
      </w:r>
      <w:r w:rsidRPr="00837A43">
        <w:rPr>
          <w:color w:val="000000" w:themeColor="text1"/>
        </w:rPr>
        <w:t>minimize MEV exposure through transaction timing (avoid</w:t>
      </w:r>
      <w:r w:rsidR="00837A43" w:rsidRPr="00837A43">
        <w:rPr>
          <w:color w:val="000000" w:themeColor="text1"/>
        </w:rPr>
        <w:t>ing</w:t>
      </w:r>
      <w:r w:rsidRPr="00837A43">
        <w:rPr>
          <w:color w:val="000000" w:themeColor="text1"/>
        </w:rPr>
        <w:t xml:space="preserve"> volatility periods), token selection (avoid</w:t>
      </w:r>
      <w:r w:rsidR="00837A43" w:rsidRPr="00837A43">
        <w:rPr>
          <w:color w:val="000000" w:themeColor="text1"/>
        </w:rPr>
        <w:t>ing</w:t>
      </w:r>
      <w:r w:rsidRPr="00837A43">
        <w:rPr>
          <w:color w:val="000000" w:themeColor="text1"/>
        </w:rPr>
        <w:t xml:space="preserve"> </w:t>
      </w:r>
      <w:proofErr w:type="gramStart"/>
      <w:r w:rsidRPr="00837A43">
        <w:rPr>
          <w:color w:val="000000" w:themeColor="text1"/>
        </w:rPr>
        <w:t>small-caps</w:t>
      </w:r>
      <w:proofErr w:type="gramEnd"/>
      <w:r w:rsidRPr="00837A43">
        <w:rPr>
          <w:color w:val="000000" w:themeColor="text1"/>
        </w:rPr>
        <w:t xml:space="preserve">), and protective services (private </w:t>
      </w:r>
      <w:proofErr w:type="spellStart"/>
      <w:r w:rsidRPr="00837A43">
        <w:rPr>
          <w:color w:val="000000" w:themeColor="text1"/>
        </w:rPr>
        <w:t>mempools</w:t>
      </w:r>
      <w:proofErr w:type="spellEnd"/>
      <w:r w:rsidRPr="00837A43">
        <w:rPr>
          <w:color w:val="000000" w:themeColor="text1"/>
        </w:rPr>
        <w:t xml:space="preserve">) rather than attempting to capture MEV. </w:t>
      </w:r>
    </w:p>
    <w:p w14:paraId="34C57EB1" w14:textId="77777777" w:rsidR="005C21FD" w:rsidRPr="003C66A0" w:rsidRDefault="005C21FD" w:rsidP="006B21E2">
      <w:pPr>
        <w:jc w:val="both"/>
        <w:rPr>
          <w:rFonts w:eastAsiaTheme="majorEastAsia"/>
          <w:b/>
          <w:bCs/>
          <w:color w:val="000000" w:themeColor="text1"/>
        </w:rPr>
      </w:pPr>
    </w:p>
    <w:p w14:paraId="17F1BBF1" w14:textId="70875075" w:rsidR="00331CD9" w:rsidRPr="003C66A0" w:rsidRDefault="008D6F57" w:rsidP="006B21E2">
      <w:pPr>
        <w:pStyle w:val="Heading2"/>
        <w:jc w:val="both"/>
        <w:rPr>
          <w:rFonts w:eastAsiaTheme="majorEastAsia"/>
        </w:rPr>
      </w:pPr>
      <w:bookmarkStart w:id="142" w:name="_Toc214721948"/>
      <w:r w:rsidRPr="001970FA">
        <w:rPr>
          <w:rFonts w:eastAsiaTheme="majorEastAsia"/>
        </w:rPr>
        <w:t>6</w:t>
      </w:r>
      <w:r w:rsidR="00331CD9" w:rsidRPr="001970FA">
        <w:rPr>
          <w:rFonts w:eastAsiaTheme="majorEastAsia"/>
        </w:rPr>
        <w:t>.3 Long-Term Viability of Fee-Based Revenue Models</w:t>
      </w:r>
      <w:bookmarkEnd w:id="142"/>
    </w:p>
    <w:p w14:paraId="2FC3BCF5" w14:textId="6BF9891A" w:rsidR="00331CD9" w:rsidRPr="003C66A0" w:rsidRDefault="00A5343B" w:rsidP="006B21E2">
      <w:pPr>
        <w:jc w:val="both"/>
        <w:rPr>
          <w:rFonts w:eastAsiaTheme="majorEastAsia"/>
          <w:bCs/>
          <w:color w:val="000000" w:themeColor="text1"/>
        </w:rPr>
      </w:pPr>
      <w:r w:rsidRPr="001970FA">
        <w:rPr>
          <w:rFonts w:eastAsiaTheme="majorEastAsia"/>
          <w:bCs/>
          <w:color w:val="000000" w:themeColor="text1"/>
        </w:rPr>
        <w:t>A s</w:t>
      </w:r>
      <w:r w:rsidR="00331CD9" w:rsidRPr="001970FA">
        <w:rPr>
          <w:rFonts w:eastAsiaTheme="majorEastAsia"/>
          <w:bCs/>
          <w:color w:val="000000" w:themeColor="text1"/>
        </w:rPr>
        <w:t xml:space="preserve">ustainability analysis across </w:t>
      </w:r>
      <w:r w:rsidRPr="001970FA">
        <w:rPr>
          <w:rFonts w:eastAsiaTheme="majorEastAsia"/>
          <w:bCs/>
          <w:color w:val="000000" w:themeColor="text1"/>
        </w:rPr>
        <w:t xml:space="preserve">the </w:t>
      </w:r>
      <w:r w:rsidR="00331CD9" w:rsidRPr="001970FA">
        <w:rPr>
          <w:rFonts w:eastAsiaTheme="majorEastAsia"/>
          <w:bCs/>
          <w:color w:val="000000" w:themeColor="text1"/>
        </w:rPr>
        <w:t>market cycles reveal</w:t>
      </w:r>
      <w:r w:rsidRPr="001970FA">
        <w:rPr>
          <w:rFonts w:eastAsiaTheme="majorEastAsia"/>
          <w:bCs/>
          <w:color w:val="000000" w:themeColor="text1"/>
        </w:rPr>
        <w:t>ed</w:t>
      </w:r>
      <w:r w:rsidR="00331CD9" w:rsidRPr="001970FA">
        <w:rPr>
          <w:rFonts w:eastAsiaTheme="majorEastAsia"/>
          <w:bCs/>
          <w:color w:val="000000" w:themeColor="text1"/>
        </w:rPr>
        <w:t xml:space="preserve"> which models survive downturns</w:t>
      </w:r>
      <w:r w:rsidR="00331CD9" w:rsidRPr="003C66A0">
        <w:rPr>
          <w:rFonts w:eastAsiaTheme="majorEastAsia"/>
          <w:bCs/>
          <w:color w:val="000000" w:themeColor="text1"/>
        </w:rPr>
        <w:t xml:space="preserve"> versus those dependent on favorable conditions.</w:t>
      </w:r>
    </w:p>
    <w:p w14:paraId="1F1F6008" w14:textId="77777777" w:rsidR="005C21FD" w:rsidRPr="003C66A0" w:rsidRDefault="005C21FD" w:rsidP="006B21E2">
      <w:pPr>
        <w:jc w:val="both"/>
        <w:rPr>
          <w:rFonts w:eastAsiaTheme="majorEastAsia"/>
          <w:b/>
          <w:bCs/>
          <w:color w:val="000000" w:themeColor="text1"/>
        </w:rPr>
      </w:pPr>
    </w:p>
    <w:p w14:paraId="19B632DE" w14:textId="6D6F8CEA" w:rsidR="00331CD9" w:rsidRPr="003C66A0" w:rsidRDefault="008D6F57" w:rsidP="006B21E2">
      <w:pPr>
        <w:pStyle w:val="Heading3"/>
        <w:jc w:val="both"/>
        <w:rPr>
          <w:rFonts w:eastAsiaTheme="majorEastAsia"/>
        </w:rPr>
      </w:pPr>
      <w:bookmarkStart w:id="143" w:name="_Toc214721949"/>
      <w:r w:rsidRPr="003C66A0">
        <w:rPr>
          <w:rFonts w:eastAsiaTheme="majorEastAsia"/>
        </w:rPr>
        <w:t>6</w:t>
      </w:r>
      <w:r w:rsidR="00331CD9" w:rsidRPr="003C66A0">
        <w:rPr>
          <w:rFonts w:eastAsiaTheme="majorEastAsia"/>
        </w:rPr>
        <w:t>.3.1 Bitcoin's Fee Transition: Mathematical Reality</w:t>
      </w:r>
      <w:bookmarkEnd w:id="143"/>
    </w:p>
    <w:p w14:paraId="7DCA1C93" w14:textId="2D90C80D" w:rsidR="00331CD9" w:rsidRPr="003C66A0" w:rsidRDefault="00331CD9" w:rsidP="006B21E2">
      <w:pPr>
        <w:jc w:val="both"/>
        <w:rPr>
          <w:rFonts w:eastAsiaTheme="majorEastAsia"/>
          <w:bCs/>
          <w:color w:val="000000" w:themeColor="text1"/>
        </w:rPr>
      </w:pPr>
      <w:r w:rsidRPr="003C66A0">
        <w:rPr>
          <w:rFonts w:eastAsiaTheme="majorEastAsia"/>
          <w:bCs/>
          <w:color w:val="000000" w:themeColor="text1"/>
        </w:rPr>
        <w:t>Bitcoin's capped supply and halving schedule require</w:t>
      </w:r>
      <w:r w:rsidR="00A5343B" w:rsidRPr="003C66A0">
        <w:rPr>
          <w:rFonts w:eastAsiaTheme="majorEastAsia"/>
          <w:bCs/>
          <w:color w:val="000000" w:themeColor="text1"/>
        </w:rPr>
        <w:t>d</w:t>
      </w:r>
      <w:r w:rsidRPr="003C66A0">
        <w:rPr>
          <w:rFonts w:eastAsiaTheme="majorEastAsia"/>
          <w:bCs/>
          <w:color w:val="000000" w:themeColor="text1"/>
        </w:rPr>
        <w:t xml:space="preserve"> transition</w:t>
      </w:r>
      <w:r w:rsidR="00A5343B" w:rsidRPr="003C66A0">
        <w:rPr>
          <w:rFonts w:eastAsiaTheme="majorEastAsia"/>
          <w:bCs/>
          <w:color w:val="000000" w:themeColor="text1"/>
        </w:rPr>
        <w:t>s</w:t>
      </w:r>
      <w:r w:rsidRPr="003C66A0">
        <w:rPr>
          <w:rFonts w:eastAsiaTheme="majorEastAsia"/>
          <w:bCs/>
          <w:color w:val="000000" w:themeColor="text1"/>
        </w:rPr>
        <w:t xml:space="preserve"> from subsidy to fee-based security:</w:t>
      </w:r>
    </w:p>
    <w:p w14:paraId="0B24B3DB" w14:textId="77777777" w:rsidR="005C21FD" w:rsidRPr="003C66A0" w:rsidRDefault="005C21FD" w:rsidP="006B21E2">
      <w:pPr>
        <w:jc w:val="both"/>
        <w:rPr>
          <w:rFonts w:eastAsiaTheme="majorEastAsia"/>
          <w:b/>
          <w:bCs/>
          <w:color w:val="000000" w:themeColor="text1"/>
        </w:rPr>
      </w:pPr>
    </w:p>
    <w:p w14:paraId="4DB740DE" w14:textId="46BE3C86" w:rsidR="00331CD9" w:rsidRPr="003C66A0" w:rsidRDefault="00331CD9" w:rsidP="006B21E2">
      <w:pPr>
        <w:jc w:val="both"/>
        <w:rPr>
          <w:rFonts w:eastAsiaTheme="majorEastAsia"/>
          <w:bCs/>
          <w:color w:val="000000" w:themeColor="text1"/>
        </w:rPr>
      </w:pPr>
      <w:r w:rsidRPr="003C66A0">
        <w:rPr>
          <w:rFonts w:eastAsiaTheme="majorEastAsia"/>
          <w:b/>
          <w:bCs/>
          <w:color w:val="000000" w:themeColor="text1"/>
        </w:rPr>
        <w:t>Current state (2024):</w:t>
      </w:r>
    </w:p>
    <w:p w14:paraId="0A405C18" w14:textId="77777777" w:rsidR="00331CD9" w:rsidRPr="003C66A0" w:rsidRDefault="00331CD9" w:rsidP="006B21E2">
      <w:pPr>
        <w:numPr>
          <w:ilvl w:val="0"/>
          <w:numId w:val="44"/>
        </w:numPr>
        <w:jc w:val="both"/>
        <w:rPr>
          <w:rFonts w:eastAsiaTheme="majorEastAsia"/>
          <w:bCs/>
          <w:color w:val="000000" w:themeColor="text1"/>
        </w:rPr>
      </w:pPr>
      <w:r w:rsidRPr="003C66A0">
        <w:rPr>
          <w:rFonts w:eastAsiaTheme="majorEastAsia"/>
          <w:bCs/>
          <w:color w:val="000000" w:themeColor="text1"/>
        </w:rPr>
        <w:t>Block subsidy: 3.125 BTC (~$280,000/block)</w:t>
      </w:r>
    </w:p>
    <w:p w14:paraId="6219B738" w14:textId="77777777" w:rsidR="00331CD9" w:rsidRPr="003C66A0" w:rsidRDefault="00331CD9" w:rsidP="006B21E2">
      <w:pPr>
        <w:numPr>
          <w:ilvl w:val="0"/>
          <w:numId w:val="44"/>
        </w:numPr>
        <w:jc w:val="both"/>
        <w:rPr>
          <w:rFonts w:eastAsiaTheme="majorEastAsia"/>
          <w:bCs/>
          <w:color w:val="000000" w:themeColor="text1"/>
        </w:rPr>
      </w:pPr>
      <w:r w:rsidRPr="003C66A0">
        <w:rPr>
          <w:rFonts w:eastAsiaTheme="majorEastAsia"/>
          <w:bCs/>
          <w:color w:val="000000" w:themeColor="text1"/>
        </w:rPr>
        <w:lastRenderedPageBreak/>
        <w:t>Transaction fees: 0.15 BTC average (~$13,500/block)</w:t>
      </w:r>
    </w:p>
    <w:p w14:paraId="0F96C985" w14:textId="77777777" w:rsidR="00331CD9" w:rsidRPr="003C66A0" w:rsidRDefault="00331CD9" w:rsidP="006B21E2">
      <w:pPr>
        <w:numPr>
          <w:ilvl w:val="0"/>
          <w:numId w:val="44"/>
        </w:numPr>
        <w:jc w:val="both"/>
        <w:rPr>
          <w:rFonts w:eastAsiaTheme="majorEastAsia"/>
          <w:bCs/>
          <w:color w:val="000000" w:themeColor="text1"/>
        </w:rPr>
      </w:pPr>
      <w:r w:rsidRPr="003C66A0">
        <w:rPr>
          <w:rFonts w:eastAsiaTheme="majorEastAsia"/>
          <w:bCs/>
          <w:color w:val="000000" w:themeColor="text1"/>
        </w:rPr>
        <w:t>Fee percentage: 4.6% of miner revenue</w:t>
      </w:r>
    </w:p>
    <w:p w14:paraId="2B0A5727" w14:textId="77777777" w:rsidR="005C21FD" w:rsidRPr="003C66A0" w:rsidRDefault="005C21FD" w:rsidP="006B21E2">
      <w:pPr>
        <w:jc w:val="both"/>
        <w:rPr>
          <w:rFonts w:eastAsiaTheme="majorEastAsia"/>
          <w:b/>
          <w:bCs/>
          <w:color w:val="000000" w:themeColor="text1"/>
        </w:rPr>
      </w:pPr>
    </w:p>
    <w:p w14:paraId="26BDB58E" w14:textId="76E785F1" w:rsidR="00331CD9" w:rsidRPr="003C66A0" w:rsidRDefault="00331CD9" w:rsidP="006B21E2">
      <w:pPr>
        <w:jc w:val="both"/>
        <w:rPr>
          <w:rFonts w:eastAsiaTheme="majorEastAsia"/>
          <w:bCs/>
          <w:color w:val="000000" w:themeColor="text1"/>
        </w:rPr>
      </w:pPr>
      <w:r w:rsidRPr="003C66A0">
        <w:rPr>
          <w:rFonts w:eastAsiaTheme="majorEastAsia"/>
          <w:b/>
          <w:bCs/>
          <w:color w:val="000000" w:themeColor="text1"/>
        </w:rPr>
        <w:t>Projected 2040:</w:t>
      </w:r>
    </w:p>
    <w:p w14:paraId="56EAD1F1" w14:textId="77777777" w:rsidR="00331CD9" w:rsidRPr="003C66A0" w:rsidRDefault="00331CD9" w:rsidP="006B21E2">
      <w:pPr>
        <w:numPr>
          <w:ilvl w:val="0"/>
          <w:numId w:val="45"/>
        </w:numPr>
        <w:jc w:val="both"/>
        <w:rPr>
          <w:rFonts w:eastAsiaTheme="majorEastAsia"/>
          <w:bCs/>
          <w:color w:val="000000" w:themeColor="text1"/>
        </w:rPr>
      </w:pPr>
      <w:r w:rsidRPr="003C66A0">
        <w:rPr>
          <w:rFonts w:eastAsiaTheme="majorEastAsia"/>
          <w:bCs/>
          <w:color w:val="000000" w:themeColor="text1"/>
        </w:rPr>
        <w:t>Block subsidy: 0.195 BTC</w:t>
      </w:r>
    </w:p>
    <w:p w14:paraId="0984DDBA" w14:textId="77777777" w:rsidR="00331CD9" w:rsidRPr="003C66A0" w:rsidRDefault="00331CD9" w:rsidP="006B21E2">
      <w:pPr>
        <w:numPr>
          <w:ilvl w:val="0"/>
          <w:numId w:val="45"/>
        </w:numPr>
        <w:jc w:val="both"/>
        <w:rPr>
          <w:rFonts w:eastAsiaTheme="majorEastAsia"/>
          <w:bCs/>
          <w:color w:val="000000" w:themeColor="text1"/>
        </w:rPr>
      </w:pPr>
      <w:r w:rsidRPr="003C66A0">
        <w:rPr>
          <w:rFonts w:eastAsiaTheme="majorEastAsia"/>
          <w:bCs/>
          <w:color w:val="000000" w:themeColor="text1"/>
        </w:rPr>
        <w:t>Required fees for equivalent security: 3.0+ BTC/block</w:t>
      </w:r>
    </w:p>
    <w:p w14:paraId="493ACD82" w14:textId="77777777" w:rsidR="00331CD9" w:rsidRPr="003C66A0" w:rsidRDefault="00331CD9" w:rsidP="006B21E2">
      <w:pPr>
        <w:numPr>
          <w:ilvl w:val="0"/>
          <w:numId w:val="45"/>
        </w:numPr>
        <w:jc w:val="both"/>
        <w:rPr>
          <w:rFonts w:eastAsiaTheme="majorEastAsia"/>
          <w:bCs/>
          <w:color w:val="000000" w:themeColor="text1"/>
        </w:rPr>
      </w:pPr>
      <w:r w:rsidRPr="003C66A0">
        <w:rPr>
          <w:rFonts w:eastAsiaTheme="majorEastAsia"/>
          <w:bCs/>
          <w:color w:val="000000" w:themeColor="text1"/>
        </w:rPr>
        <w:t>Implied fee per transaction: $200+</w:t>
      </w:r>
    </w:p>
    <w:p w14:paraId="0C438C75" w14:textId="77777777" w:rsidR="005C21FD" w:rsidRPr="003C66A0" w:rsidRDefault="005C21FD" w:rsidP="006B21E2">
      <w:pPr>
        <w:jc w:val="both"/>
        <w:rPr>
          <w:rFonts w:eastAsiaTheme="majorEastAsia"/>
          <w:bCs/>
          <w:color w:val="000000" w:themeColor="text1"/>
        </w:rPr>
      </w:pPr>
    </w:p>
    <w:p w14:paraId="6FEAE31E" w14:textId="79528D5D" w:rsidR="00331CD9" w:rsidRPr="003C66A0" w:rsidRDefault="00A5343B" w:rsidP="006B21E2">
      <w:pPr>
        <w:jc w:val="both"/>
        <w:rPr>
          <w:rFonts w:eastAsiaTheme="majorEastAsia"/>
          <w:bCs/>
          <w:color w:val="000000" w:themeColor="text1"/>
        </w:rPr>
      </w:pPr>
      <w:r w:rsidRPr="003C66A0">
        <w:rPr>
          <w:rFonts w:eastAsiaTheme="majorEastAsia"/>
          <w:bCs/>
          <w:color w:val="000000" w:themeColor="text1"/>
        </w:rPr>
        <w:t>This showed that e</w:t>
      </w:r>
      <w:r w:rsidR="00331CD9" w:rsidRPr="003C66A0">
        <w:rPr>
          <w:rFonts w:eastAsiaTheme="majorEastAsia"/>
          <w:bCs/>
          <w:color w:val="000000" w:themeColor="text1"/>
        </w:rPr>
        <w:t xml:space="preserve">ther fees increase </w:t>
      </w:r>
      <w:r w:rsidRPr="003C66A0">
        <w:rPr>
          <w:rFonts w:eastAsiaTheme="majorEastAsia"/>
          <w:bCs/>
          <w:color w:val="000000" w:themeColor="text1"/>
        </w:rPr>
        <w:t xml:space="preserve">by </w:t>
      </w:r>
      <w:r w:rsidR="00331CD9" w:rsidRPr="003C66A0">
        <w:rPr>
          <w:rFonts w:eastAsiaTheme="majorEastAsia"/>
          <w:bCs/>
          <w:color w:val="000000" w:themeColor="text1"/>
        </w:rPr>
        <w:t xml:space="preserve">20x, transaction count increases </w:t>
      </w:r>
      <w:r w:rsidRPr="003C66A0">
        <w:rPr>
          <w:rFonts w:eastAsiaTheme="majorEastAsia"/>
          <w:bCs/>
          <w:color w:val="000000" w:themeColor="text1"/>
        </w:rPr>
        <w:t xml:space="preserve">by </w:t>
      </w:r>
      <w:r w:rsidR="00331CD9" w:rsidRPr="003C66A0">
        <w:rPr>
          <w:rFonts w:eastAsiaTheme="majorEastAsia"/>
          <w:bCs/>
          <w:color w:val="000000" w:themeColor="text1"/>
        </w:rPr>
        <w:t xml:space="preserve">20x, or </w:t>
      </w:r>
      <w:r w:rsidRPr="003C66A0">
        <w:rPr>
          <w:rFonts w:eastAsiaTheme="majorEastAsia"/>
          <w:bCs/>
          <w:color w:val="000000" w:themeColor="text1"/>
        </w:rPr>
        <w:t xml:space="preserve">the </w:t>
      </w:r>
      <w:r w:rsidR="00331CD9" w:rsidRPr="003C66A0">
        <w:rPr>
          <w:rFonts w:eastAsiaTheme="majorEastAsia"/>
          <w:bCs/>
          <w:color w:val="000000" w:themeColor="text1"/>
        </w:rPr>
        <w:t xml:space="preserve">network security decreases. None </w:t>
      </w:r>
      <w:r w:rsidRPr="003C66A0">
        <w:rPr>
          <w:rFonts w:eastAsiaTheme="majorEastAsia"/>
          <w:bCs/>
          <w:color w:val="000000" w:themeColor="text1"/>
        </w:rPr>
        <w:t xml:space="preserve">of these </w:t>
      </w:r>
      <w:r w:rsidR="00331CD9" w:rsidRPr="003C66A0">
        <w:rPr>
          <w:rFonts w:eastAsiaTheme="majorEastAsia"/>
          <w:bCs/>
          <w:color w:val="000000" w:themeColor="text1"/>
        </w:rPr>
        <w:t xml:space="preserve">favor small participants. </w:t>
      </w:r>
      <w:r w:rsidRPr="003C66A0">
        <w:rPr>
          <w:rFonts w:eastAsiaTheme="majorEastAsia"/>
          <w:bCs/>
          <w:color w:val="000000" w:themeColor="text1"/>
        </w:rPr>
        <w:t>The L</w:t>
      </w:r>
      <w:r w:rsidR="00331CD9" w:rsidRPr="003C66A0">
        <w:rPr>
          <w:rFonts w:eastAsiaTheme="majorEastAsia"/>
          <w:bCs/>
          <w:color w:val="000000" w:themeColor="text1"/>
        </w:rPr>
        <w:t>ightning Network</w:t>
      </w:r>
      <w:r w:rsidRPr="003C66A0">
        <w:rPr>
          <w:rFonts w:eastAsiaTheme="majorEastAsia"/>
          <w:bCs/>
          <w:color w:val="000000" w:themeColor="text1"/>
        </w:rPr>
        <w:t xml:space="preserve">, in theory - </w:t>
      </w:r>
      <w:r w:rsidR="00331CD9" w:rsidRPr="003C66A0">
        <w:rPr>
          <w:rFonts w:eastAsiaTheme="majorEastAsia"/>
          <w:bCs/>
          <w:color w:val="000000" w:themeColor="text1"/>
        </w:rPr>
        <w:t xml:space="preserve">solves this through </w:t>
      </w:r>
      <w:r w:rsidRPr="003C66A0">
        <w:rPr>
          <w:rFonts w:eastAsiaTheme="majorEastAsia"/>
          <w:bCs/>
          <w:color w:val="000000" w:themeColor="text1"/>
        </w:rPr>
        <w:t xml:space="preserve">its </w:t>
      </w:r>
      <w:r w:rsidR="00331CD9" w:rsidRPr="003C66A0">
        <w:rPr>
          <w:rFonts w:eastAsiaTheme="majorEastAsia"/>
          <w:bCs/>
          <w:color w:val="000000" w:themeColor="text1"/>
        </w:rPr>
        <w:t xml:space="preserve">off-chain transactions, but </w:t>
      </w:r>
      <w:r w:rsidRPr="003C66A0">
        <w:rPr>
          <w:rFonts w:eastAsiaTheme="majorEastAsia"/>
          <w:bCs/>
          <w:color w:val="000000" w:themeColor="text1"/>
        </w:rPr>
        <w:t xml:space="preserve">it does </w:t>
      </w:r>
      <w:r w:rsidR="00A62F99" w:rsidRPr="003C66A0">
        <w:rPr>
          <w:rFonts w:eastAsiaTheme="majorEastAsia"/>
          <w:bCs/>
          <w:color w:val="000000" w:themeColor="text1"/>
        </w:rPr>
        <w:t>require</w:t>
      </w:r>
      <w:r w:rsidR="00331CD9" w:rsidRPr="003C66A0">
        <w:rPr>
          <w:rFonts w:eastAsiaTheme="majorEastAsia"/>
          <w:bCs/>
          <w:color w:val="000000" w:themeColor="text1"/>
        </w:rPr>
        <w:t xml:space="preserve"> channel management and liquidity provision</w:t>
      </w:r>
      <w:r w:rsidRPr="003C66A0">
        <w:rPr>
          <w:rFonts w:eastAsiaTheme="majorEastAsia"/>
          <w:bCs/>
          <w:color w:val="000000" w:themeColor="text1"/>
        </w:rPr>
        <w:t xml:space="preserve">. The are </w:t>
      </w:r>
      <w:proofErr w:type="gramStart"/>
      <w:r w:rsidRPr="003C66A0">
        <w:rPr>
          <w:rFonts w:eastAsiaTheme="majorEastAsia"/>
          <w:bCs/>
          <w:color w:val="000000" w:themeColor="text1"/>
        </w:rPr>
        <w:t xml:space="preserve">the </w:t>
      </w:r>
      <w:r w:rsidR="00331CD9" w:rsidRPr="003C66A0">
        <w:rPr>
          <w:rFonts w:eastAsiaTheme="majorEastAsia"/>
          <w:bCs/>
          <w:color w:val="000000" w:themeColor="text1"/>
        </w:rPr>
        <w:t>sophisticated</w:t>
      </w:r>
      <w:proofErr w:type="gramEnd"/>
      <w:r w:rsidR="00331CD9" w:rsidRPr="003C66A0">
        <w:rPr>
          <w:rFonts w:eastAsiaTheme="majorEastAsia"/>
          <w:bCs/>
          <w:color w:val="000000" w:themeColor="text1"/>
        </w:rPr>
        <w:t xml:space="preserve"> </w:t>
      </w:r>
      <w:r w:rsidR="00A62F99" w:rsidRPr="003C66A0">
        <w:rPr>
          <w:rFonts w:eastAsiaTheme="majorEastAsia"/>
          <w:bCs/>
          <w:color w:val="000000" w:themeColor="text1"/>
        </w:rPr>
        <w:t>activities that</w:t>
      </w:r>
      <w:r w:rsidRPr="003C66A0">
        <w:rPr>
          <w:rFonts w:eastAsiaTheme="majorEastAsia"/>
          <w:bCs/>
          <w:color w:val="000000" w:themeColor="text1"/>
        </w:rPr>
        <w:t xml:space="preserve"> are </w:t>
      </w:r>
      <w:r w:rsidR="00331CD9" w:rsidRPr="003C66A0">
        <w:rPr>
          <w:rFonts w:eastAsiaTheme="majorEastAsia"/>
          <w:bCs/>
          <w:color w:val="000000" w:themeColor="text1"/>
        </w:rPr>
        <w:t xml:space="preserve">recreating the barriers </w:t>
      </w:r>
      <w:r w:rsidRPr="003C66A0">
        <w:rPr>
          <w:rFonts w:eastAsiaTheme="majorEastAsia"/>
          <w:bCs/>
          <w:color w:val="000000" w:themeColor="text1"/>
        </w:rPr>
        <w:t>that traditional finances ha</w:t>
      </w:r>
      <w:r w:rsidR="00A62F99">
        <w:rPr>
          <w:rFonts w:eastAsiaTheme="majorEastAsia"/>
          <w:bCs/>
          <w:color w:val="000000" w:themeColor="text1"/>
        </w:rPr>
        <w:t>ve</w:t>
      </w:r>
      <w:r w:rsidRPr="003C66A0">
        <w:rPr>
          <w:rFonts w:eastAsiaTheme="majorEastAsia"/>
          <w:bCs/>
          <w:color w:val="000000" w:themeColor="text1"/>
        </w:rPr>
        <w:t xml:space="preserve">, rather than </w:t>
      </w:r>
      <w:r w:rsidR="00331CD9" w:rsidRPr="003C66A0">
        <w:rPr>
          <w:rFonts w:eastAsiaTheme="majorEastAsia"/>
          <w:bCs/>
          <w:color w:val="000000" w:themeColor="text1"/>
        </w:rPr>
        <w:t xml:space="preserve">Bitcoin </w:t>
      </w:r>
      <w:r w:rsidRPr="003C66A0">
        <w:rPr>
          <w:rFonts w:eastAsiaTheme="majorEastAsia"/>
          <w:bCs/>
          <w:color w:val="000000" w:themeColor="text1"/>
        </w:rPr>
        <w:t>removing them.</w:t>
      </w:r>
    </w:p>
    <w:p w14:paraId="09A114D6" w14:textId="77777777" w:rsidR="005C21FD" w:rsidRPr="003C66A0" w:rsidRDefault="005C21FD" w:rsidP="006B21E2">
      <w:pPr>
        <w:jc w:val="both"/>
        <w:rPr>
          <w:rFonts w:eastAsiaTheme="majorEastAsia"/>
          <w:b/>
          <w:bCs/>
          <w:color w:val="000000" w:themeColor="text1"/>
        </w:rPr>
      </w:pPr>
    </w:p>
    <w:p w14:paraId="2117EF82" w14:textId="585E29CF" w:rsidR="00331CD9" w:rsidRPr="003C66A0" w:rsidRDefault="008D6F57" w:rsidP="006B21E2">
      <w:pPr>
        <w:pStyle w:val="Heading3"/>
        <w:jc w:val="both"/>
        <w:rPr>
          <w:rFonts w:eastAsiaTheme="majorEastAsia"/>
        </w:rPr>
      </w:pPr>
      <w:bookmarkStart w:id="144" w:name="_Toc214721950"/>
      <w:r w:rsidRPr="003C66A0">
        <w:rPr>
          <w:rFonts w:eastAsiaTheme="majorEastAsia"/>
        </w:rPr>
        <w:t>6</w:t>
      </w:r>
      <w:r w:rsidR="00331CD9" w:rsidRPr="003C66A0">
        <w:rPr>
          <w:rFonts w:eastAsiaTheme="majorEastAsia"/>
        </w:rPr>
        <w:t>.3.2 Fee Sustainability Across Protocols</w:t>
      </w:r>
      <w:bookmarkEnd w:id="144"/>
    </w:p>
    <w:p w14:paraId="2E4C2093" w14:textId="77777777" w:rsidR="00331CD9" w:rsidRPr="003C66A0" w:rsidRDefault="00331CD9" w:rsidP="006B21E2">
      <w:pPr>
        <w:jc w:val="both"/>
        <w:rPr>
          <w:rFonts w:eastAsiaTheme="majorEastAsia"/>
          <w:bCs/>
          <w:color w:val="000000" w:themeColor="text1"/>
        </w:rPr>
      </w:pPr>
      <w:r w:rsidRPr="003C66A0">
        <w:rPr>
          <w:rFonts w:eastAsiaTheme="majorEastAsia"/>
          <w:bCs/>
          <w:color w:val="000000" w:themeColor="text1"/>
        </w:rPr>
        <w:t>Analysis during 2022 bear market reveals which models maintain viability:</w:t>
      </w:r>
    </w:p>
    <w:p w14:paraId="48D47567" w14:textId="77777777" w:rsidR="00FD343A" w:rsidRDefault="00FD343A" w:rsidP="006B21E2">
      <w:pPr>
        <w:jc w:val="both"/>
        <w:rPr>
          <w:rFonts w:eastAsiaTheme="majorEastAsia"/>
          <w:b/>
          <w:bCs/>
          <w:color w:val="000000" w:themeColor="text1"/>
        </w:rPr>
      </w:pPr>
    </w:p>
    <w:p w14:paraId="398A72C8" w14:textId="00F16C4D" w:rsidR="00331CD9" w:rsidRPr="003C66A0" w:rsidRDefault="00331CD9" w:rsidP="006B21E2">
      <w:pPr>
        <w:jc w:val="both"/>
        <w:rPr>
          <w:rFonts w:eastAsiaTheme="majorEastAsia"/>
          <w:bCs/>
          <w:color w:val="000000" w:themeColor="text1"/>
        </w:rPr>
      </w:pPr>
      <w:r w:rsidRPr="003C66A0">
        <w:rPr>
          <w:rFonts w:eastAsiaTheme="majorEastAsia"/>
          <w:b/>
          <w:bCs/>
          <w:color w:val="000000" w:themeColor="text1"/>
        </w:rPr>
        <w:t>Resilient (maintained &gt;60% peak fees):</w:t>
      </w:r>
    </w:p>
    <w:p w14:paraId="0F623229" w14:textId="77777777" w:rsidR="00331CD9" w:rsidRPr="003C66A0" w:rsidRDefault="00331CD9" w:rsidP="006B21E2">
      <w:pPr>
        <w:numPr>
          <w:ilvl w:val="0"/>
          <w:numId w:val="46"/>
        </w:numPr>
        <w:jc w:val="both"/>
        <w:rPr>
          <w:rFonts w:eastAsiaTheme="majorEastAsia"/>
          <w:bCs/>
          <w:color w:val="000000" w:themeColor="text1"/>
        </w:rPr>
      </w:pPr>
      <w:r w:rsidRPr="003C66A0">
        <w:rPr>
          <w:rFonts w:eastAsiaTheme="majorEastAsia"/>
          <w:bCs/>
          <w:color w:val="000000" w:themeColor="text1"/>
        </w:rPr>
        <w:t>Stablecoin-focused chains (BSC: 71%)</w:t>
      </w:r>
    </w:p>
    <w:p w14:paraId="452AF7A8" w14:textId="77777777" w:rsidR="00331CD9" w:rsidRPr="003C66A0" w:rsidRDefault="00331CD9" w:rsidP="006B21E2">
      <w:pPr>
        <w:numPr>
          <w:ilvl w:val="0"/>
          <w:numId w:val="46"/>
        </w:numPr>
        <w:jc w:val="both"/>
        <w:rPr>
          <w:rFonts w:eastAsiaTheme="majorEastAsia"/>
          <w:bCs/>
          <w:color w:val="000000" w:themeColor="text1"/>
        </w:rPr>
      </w:pPr>
      <w:r w:rsidRPr="003C66A0">
        <w:rPr>
          <w:rFonts w:eastAsiaTheme="majorEastAsia"/>
          <w:bCs/>
          <w:color w:val="000000" w:themeColor="text1"/>
        </w:rPr>
        <w:t>High-utility networks (Ethereum: 63%)</w:t>
      </w:r>
    </w:p>
    <w:p w14:paraId="1C6BBAAE" w14:textId="77777777" w:rsidR="00331CD9" w:rsidRPr="003C66A0" w:rsidRDefault="00331CD9" w:rsidP="006B21E2">
      <w:pPr>
        <w:numPr>
          <w:ilvl w:val="0"/>
          <w:numId w:val="46"/>
        </w:numPr>
        <w:jc w:val="both"/>
        <w:rPr>
          <w:rFonts w:eastAsiaTheme="majorEastAsia"/>
          <w:bCs/>
          <w:color w:val="000000" w:themeColor="text1"/>
        </w:rPr>
      </w:pPr>
      <w:r w:rsidRPr="003C66A0">
        <w:rPr>
          <w:rFonts w:eastAsiaTheme="majorEastAsia"/>
          <w:bCs/>
          <w:color w:val="000000" w:themeColor="text1"/>
        </w:rPr>
        <w:t>Specialized protocols (Curve: 68%)</w:t>
      </w:r>
    </w:p>
    <w:p w14:paraId="7B448488" w14:textId="77777777" w:rsidR="00FD343A" w:rsidRDefault="00FD343A" w:rsidP="006B21E2">
      <w:pPr>
        <w:jc w:val="both"/>
        <w:rPr>
          <w:rFonts w:eastAsiaTheme="majorEastAsia"/>
          <w:b/>
          <w:bCs/>
          <w:color w:val="000000" w:themeColor="text1"/>
        </w:rPr>
      </w:pPr>
    </w:p>
    <w:p w14:paraId="6BE56619" w14:textId="19A8C970" w:rsidR="00331CD9" w:rsidRPr="003C66A0" w:rsidRDefault="00331CD9" w:rsidP="006B21E2">
      <w:pPr>
        <w:jc w:val="both"/>
        <w:rPr>
          <w:rFonts w:eastAsiaTheme="majorEastAsia"/>
          <w:bCs/>
          <w:color w:val="000000" w:themeColor="text1"/>
        </w:rPr>
      </w:pPr>
      <w:r w:rsidRPr="003C66A0">
        <w:rPr>
          <w:rFonts w:eastAsiaTheme="majorEastAsia"/>
          <w:b/>
          <w:bCs/>
          <w:color w:val="000000" w:themeColor="text1"/>
        </w:rPr>
        <w:t>Fragile (dropped &lt;30% peak):</w:t>
      </w:r>
    </w:p>
    <w:p w14:paraId="5A8AB275" w14:textId="77777777" w:rsidR="00331CD9" w:rsidRPr="003C66A0" w:rsidRDefault="00331CD9" w:rsidP="006B21E2">
      <w:pPr>
        <w:numPr>
          <w:ilvl w:val="0"/>
          <w:numId w:val="47"/>
        </w:numPr>
        <w:jc w:val="both"/>
        <w:rPr>
          <w:rFonts w:eastAsiaTheme="majorEastAsia"/>
          <w:bCs/>
          <w:color w:val="000000" w:themeColor="text1"/>
        </w:rPr>
      </w:pPr>
      <w:r w:rsidRPr="003C66A0">
        <w:rPr>
          <w:rFonts w:eastAsiaTheme="majorEastAsia"/>
          <w:bCs/>
          <w:color w:val="000000" w:themeColor="text1"/>
        </w:rPr>
        <w:t>Gaming chains (Ronin: 8% of peak)</w:t>
      </w:r>
    </w:p>
    <w:p w14:paraId="15ED2991" w14:textId="77777777" w:rsidR="00331CD9" w:rsidRPr="003C66A0" w:rsidRDefault="00331CD9" w:rsidP="006B21E2">
      <w:pPr>
        <w:numPr>
          <w:ilvl w:val="0"/>
          <w:numId w:val="47"/>
        </w:numPr>
        <w:jc w:val="both"/>
        <w:rPr>
          <w:rFonts w:eastAsiaTheme="majorEastAsia"/>
          <w:bCs/>
          <w:color w:val="000000" w:themeColor="text1"/>
        </w:rPr>
      </w:pPr>
      <w:r w:rsidRPr="003C66A0">
        <w:rPr>
          <w:rFonts w:eastAsiaTheme="majorEastAsia"/>
          <w:bCs/>
          <w:color w:val="000000" w:themeColor="text1"/>
        </w:rPr>
        <w:t>Yield farming protocols (&lt;5%)</w:t>
      </w:r>
    </w:p>
    <w:p w14:paraId="46606B34" w14:textId="77777777" w:rsidR="00331CD9" w:rsidRPr="003C66A0" w:rsidRDefault="00331CD9" w:rsidP="006B21E2">
      <w:pPr>
        <w:numPr>
          <w:ilvl w:val="0"/>
          <w:numId w:val="47"/>
        </w:numPr>
        <w:jc w:val="both"/>
        <w:rPr>
          <w:rFonts w:eastAsiaTheme="majorEastAsia"/>
          <w:bCs/>
          <w:color w:val="000000" w:themeColor="text1"/>
        </w:rPr>
      </w:pPr>
      <w:r w:rsidRPr="003C66A0">
        <w:rPr>
          <w:rFonts w:eastAsiaTheme="majorEastAsia"/>
          <w:bCs/>
          <w:color w:val="000000" w:themeColor="text1"/>
        </w:rPr>
        <w:t>New launches without use cases (near-zero)</w:t>
      </w:r>
    </w:p>
    <w:p w14:paraId="2D475A25" w14:textId="77777777" w:rsidR="005C21FD" w:rsidRPr="003C66A0" w:rsidRDefault="005C21FD" w:rsidP="006B21E2">
      <w:pPr>
        <w:jc w:val="both"/>
        <w:rPr>
          <w:rFonts w:eastAsiaTheme="majorEastAsia"/>
          <w:bCs/>
          <w:color w:val="000000" w:themeColor="text1"/>
        </w:rPr>
      </w:pPr>
    </w:p>
    <w:p w14:paraId="7BFD8753" w14:textId="79C13666" w:rsidR="00331CD9" w:rsidRPr="003C66A0" w:rsidRDefault="00A5343B" w:rsidP="006B21E2">
      <w:pPr>
        <w:jc w:val="both"/>
        <w:rPr>
          <w:rFonts w:eastAsiaTheme="majorEastAsia"/>
          <w:bCs/>
          <w:color w:val="000000" w:themeColor="text1"/>
        </w:rPr>
      </w:pPr>
      <w:r w:rsidRPr="003C66A0">
        <w:rPr>
          <w:rFonts w:eastAsiaTheme="majorEastAsia"/>
          <w:bCs/>
          <w:color w:val="000000" w:themeColor="text1"/>
        </w:rPr>
        <w:t>The s</w:t>
      </w:r>
      <w:r w:rsidR="00331CD9" w:rsidRPr="003C66A0">
        <w:rPr>
          <w:rFonts w:eastAsiaTheme="majorEastAsia"/>
          <w:bCs/>
          <w:color w:val="000000" w:themeColor="text1"/>
        </w:rPr>
        <w:t>ustainable fee generation requires genuine economic activity</w:t>
      </w:r>
      <w:r w:rsidRPr="003C66A0">
        <w:rPr>
          <w:rFonts w:eastAsiaTheme="majorEastAsia"/>
          <w:bCs/>
          <w:color w:val="000000" w:themeColor="text1"/>
        </w:rPr>
        <w:t xml:space="preserve"> and</w:t>
      </w:r>
      <w:r w:rsidR="00331CD9" w:rsidRPr="003C66A0">
        <w:rPr>
          <w:rFonts w:eastAsiaTheme="majorEastAsia"/>
          <w:bCs/>
          <w:color w:val="000000" w:themeColor="text1"/>
        </w:rPr>
        <w:t xml:space="preserve"> not speculation. Protocols </w:t>
      </w:r>
      <w:r w:rsidRPr="003C66A0">
        <w:rPr>
          <w:rFonts w:eastAsiaTheme="majorEastAsia"/>
          <w:bCs/>
          <w:color w:val="000000" w:themeColor="text1"/>
        </w:rPr>
        <w:t xml:space="preserve">that </w:t>
      </w:r>
      <w:r w:rsidR="00331CD9" w:rsidRPr="003C66A0">
        <w:rPr>
          <w:rFonts w:eastAsiaTheme="majorEastAsia"/>
          <w:bCs/>
          <w:color w:val="000000" w:themeColor="text1"/>
        </w:rPr>
        <w:t>facilitat</w:t>
      </w:r>
      <w:r w:rsidRPr="003C66A0">
        <w:rPr>
          <w:rFonts w:eastAsiaTheme="majorEastAsia"/>
          <w:bCs/>
          <w:color w:val="000000" w:themeColor="text1"/>
        </w:rPr>
        <w:t>e</w:t>
      </w:r>
      <w:r w:rsidR="00331CD9" w:rsidRPr="003C66A0">
        <w:rPr>
          <w:rFonts w:eastAsiaTheme="majorEastAsia"/>
          <w:bCs/>
          <w:color w:val="000000" w:themeColor="text1"/>
        </w:rPr>
        <w:t xml:space="preserve"> real value transfer maintain </w:t>
      </w:r>
      <w:r w:rsidRPr="003C66A0">
        <w:rPr>
          <w:rFonts w:eastAsiaTheme="majorEastAsia"/>
          <w:bCs/>
          <w:color w:val="000000" w:themeColor="text1"/>
        </w:rPr>
        <w:t xml:space="preserve">their </w:t>
      </w:r>
      <w:r w:rsidR="00331CD9" w:rsidRPr="003C66A0">
        <w:rPr>
          <w:rFonts w:eastAsiaTheme="majorEastAsia"/>
          <w:bCs/>
          <w:color w:val="000000" w:themeColor="text1"/>
        </w:rPr>
        <w:t>fees during downturns.</w:t>
      </w:r>
    </w:p>
    <w:p w14:paraId="71D7A5B8" w14:textId="77777777" w:rsidR="005C21FD" w:rsidRDefault="005C21FD" w:rsidP="006B21E2">
      <w:pPr>
        <w:jc w:val="both"/>
        <w:rPr>
          <w:rFonts w:eastAsiaTheme="majorEastAsia"/>
          <w:b/>
          <w:bCs/>
          <w:color w:val="000000" w:themeColor="text1"/>
        </w:rPr>
      </w:pPr>
    </w:p>
    <w:p w14:paraId="5E0A19BA" w14:textId="25A940CD" w:rsidR="005A6B47" w:rsidRPr="00F53966" w:rsidRDefault="005A6B47" w:rsidP="006B21E2">
      <w:pPr>
        <w:jc w:val="both"/>
        <w:rPr>
          <w:rFonts w:eastAsiaTheme="majorEastAsia"/>
          <w:color w:val="000000" w:themeColor="text1"/>
        </w:rPr>
      </w:pPr>
      <w:r w:rsidRPr="00F53966">
        <w:rPr>
          <w:rFonts w:eastAsiaTheme="majorEastAsia"/>
          <w:color w:val="000000" w:themeColor="text1"/>
        </w:rPr>
        <w:t xml:space="preserve">Table </w:t>
      </w:r>
      <w:r w:rsidR="00F53966" w:rsidRPr="00F53966">
        <w:rPr>
          <w:rFonts w:eastAsiaTheme="majorEastAsia"/>
          <w:color w:val="000000" w:themeColor="text1"/>
        </w:rPr>
        <w:t>below</w:t>
      </w:r>
      <w:r w:rsidRPr="00F53966">
        <w:rPr>
          <w:rFonts w:eastAsiaTheme="majorEastAsia"/>
          <w:color w:val="000000" w:themeColor="text1"/>
        </w:rPr>
        <w:t xml:space="preserve"> empirically validates which protocol categories demonstrate </w:t>
      </w:r>
      <w:r w:rsidR="00ED439D" w:rsidRPr="00F53966">
        <w:rPr>
          <w:rFonts w:eastAsiaTheme="majorEastAsia"/>
          <w:color w:val="000000" w:themeColor="text1"/>
        </w:rPr>
        <w:t xml:space="preserve">a </w:t>
      </w:r>
      <w:r w:rsidRPr="00F53966">
        <w:rPr>
          <w:rFonts w:eastAsiaTheme="majorEastAsia"/>
          <w:color w:val="000000" w:themeColor="text1"/>
        </w:rPr>
        <w:t>genuine economic sustainability versus speculation-dependent fee generation</w:t>
      </w:r>
      <w:r w:rsidR="00ED439D" w:rsidRPr="00F53966">
        <w:rPr>
          <w:rFonts w:eastAsiaTheme="majorEastAsia"/>
          <w:color w:val="000000" w:themeColor="text1"/>
        </w:rPr>
        <w:t xml:space="preserve">. This </w:t>
      </w:r>
      <w:r w:rsidRPr="00F53966">
        <w:rPr>
          <w:rFonts w:eastAsiaTheme="majorEastAsia"/>
          <w:color w:val="000000" w:themeColor="text1"/>
        </w:rPr>
        <w:t xml:space="preserve">performance </w:t>
      </w:r>
      <w:r w:rsidR="00ED439D" w:rsidRPr="00F53966">
        <w:rPr>
          <w:rFonts w:eastAsiaTheme="majorEastAsia"/>
          <w:color w:val="000000" w:themeColor="text1"/>
        </w:rPr>
        <w:t xml:space="preserve">was registered </w:t>
      </w:r>
      <w:r w:rsidRPr="00F53966">
        <w:rPr>
          <w:rFonts w:eastAsiaTheme="majorEastAsia"/>
          <w:color w:val="000000" w:themeColor="text1"/>
        </w:rPr>
        <w:t>during the 2022 crypto market downturn.</w:t>
      </w:r>
    </w:p>
    <w:p w14:paraId="2476571F" w14:textId="77777777" w:rsidR="005A6B47" w:rsidRDefault="005A6B47" w:rsidP="006B21E2">
      <w:pPr>
        <w:jc w:val="both"/>
        <w:rPr>
          <w:rFonts w:eastAsiaTheme="majorEastAsia"/>
          <w:b/>
          <w:bCs/>
          <w:color w:val="000000" w:themeColor="text1"/>
        </w:rPr>
      </w:pPr>
    </w:p>
    <w:p w14:paraId="313ECD81" w14:textId="7CCF815E" w:rsidR="005A6B47" w:rsidRPr="005A6B47" w:rsidRDefault="005A6B47" w:rsidP="006B21E2">
      <w:pPr>
        <w:pStyle w:val="Heading3"/>
        <w:jc w:val="both"/>
        <w:rPr>
          <w:color w:val="000000" w:themeColor="text1"/>
        </w:rPr>
      </w:pPr>
      <w:bookmarkStart w:id="145" w:name="_Toc214721951"/>
      <w:r w:rsidRPr="005A6B47">
        <w:rPr>
          <w:color w:val="000000" w:themeColor="text1"/>
        </w:rPr>
        <w:t>Table 6.</w:t>
      </w:r>
      <w:r w:rsidR="00C5607F">
        <w:rPr>
          <w:color w:val="000000" w:themeColor="text1"/>
        </w:rPr>
        <w:t>D</w:t>
      </w:r>
      <w:r w:rsidRPr="005A6B47">
        <w:rPr>
          <w:color w:val="000000" w:themeColor="text1"/>
        </w:rPr>
        <w:t>: Protocol Sustainability During 2022 Bear Market</w:t>
      </w:r>
      <w:bookmarkEnd w:id="145"/>
    </w:p>
    <w:p w14:paraId="5B6FEACC" w14:textId="77777777" w:rsidR="005A6B47" w:rsidRPr="005A6B47" w:rsidRDefault="005A6B47" w:rsidP="006B21E2"/>
    <w:tbl>
      <w:tblPr>
        <w:tblW w:w="9350" w:type="dxa"/>
        <w:tblLook w:val="04A0" w:firstRow="1" w:lastRow="0" w:firstColumn="1" w:lastColumn="0" w:noHBand="0" w:noVBand="1"/>
      </w:tblPr>
      <w:tblGrid>
        <w:gridCol w:w="2420"/>
        <w:gridCol w:w="1890"/>
        <w:gridCol w:w="1350"/>
        <w:gridCol w:w="3690"/>
      </w:tblGrid>
      <w:tr w:rsidR="00207632" w14:paraId="2C328D9F" w14:textId="77777777" w:rsidTr="00207632">
        <w:trPr>
          <w:trHeight w:val="580"/>
        </w:trPr>
        <w:tc>
          <w:tcPr>
            <w:tcW w:w="2420" w:type="dxa"/>
            <w:tcBorders>
              <w:top w:val="single" w:sz="8" w:space="0" w:color="auto"/>
              <w:left w:val="single" w:sz="8" w:space="0" w:color="auto"/>
              <w:bottom w:val="single" w:sz="8" w:space="0" w:color="auto"/>
              <w:right w:val="single" w:sz="4" w:space="0" w:color="auto"/>
            </w:tcBorders>
            <w:shd w:val="clear" w:color="000000" w:fill="E0E0E0"/>
            <w:vAlign w:val="center"/>
            <w:hideMark/>
          </w:tcPr>
          <w:p w14:paraId="49CF64D2" w14:textId="77777777" w:rsidR="00207632" w:rsidRDefault="00207632" w:rsidP="006B21E2">
            <w:pPr>
              <w:jc w:val="center"/>
              <w:rPr>
                <w:b/>
                <w:bCs/>
                <w:color w:val="000000"/>
                <w:sz w:val="20"/>
                <w:szCs w:val="20"/>
              </w:rPr>
            </w:pPr>
            <w:r>
              <w:rPr>
                <w:b/>
                <w:bCs/>
                <w:color w:val="000000"/>
                <w:sz w:val="20"/>
                <w:szCs w:val="20"/>
              </w:rPr>
              <w:t>Protocol Category</w:t>
            </w:r>
          </w:p>
        </w:tc>
        <w:tc>
          <w:tcPr>
            <w:tcW w:w="1890" w:type="dxa"/>
            <w:tcBorders>
              <w:top w:val="single" w:sz="8" w:space="0" w:color="auto"/>
              <w:left w:val="nil"/>
              <w:bottom w:val="single" w:sz="8" w:space="0" w:color="auto"/>
              <w:right w:val="single" w:sz="4" w:space="0" w:color="auto"/>
            </w:tcBorders>
            <w:shd w:val="clear" w:color="000000" w:fill="E0E0E0"/>
            <w:vAlign w:val="center"/>
            <w:hideMark/>
          </w:tcPr>
          <w:p w14:paraId="345BB03F" w14:textId="77777777" w:rsidR="00207632" w:rsidRDefault="00207632" w:rsidP="006B21E2">
            <w:pPr>
              <w:jc w:val="center"/>
              <w:rPr>
                <w:b/>
                <w:bCs/>
                <w:color w:val="000000"/>
                <w:sz w:val="20"/>
                <w:szCs w:val="20"/>
              </w:rPr>
            </w:pPr>
            <w:r>
              <w:rPr>
                <w:b/>
                <w:bCs/>
                <w:color w:val="000000"/>
                <w:sz w:val="20"/>
                <w:szCs w:val="20"/>
              </w:rPr>
              <w:t>Representative Examples</w:t>
            </w:r>
          </w:p>
        </w:tc>
        <w:tc>
          <w:tcPr>
            <w:tcW w:w="1350" w:type="dxa"/>
            <w:tcBorders>
              <w:top w:val="single" w:sz="8" w:space="0" w:color="auto"/>
              <w:left w:val="nil"/>
              <w:bottom w:val="single" w:sz="8" w:space="0" w:color="auto"/>
              <w:right w:val="single" w:sz="4" w:space="0" w:color="auto"/>
            </w:tcBorders>
            <w:shd w:val="clear" w:color="000000" w:fill="E0E0E0"/>
            <w:vAlign w:val="center"/>
            <w:hideMark/>
          </w:tcPr>
          <w:p w14:paraId="3C852034" w14:textId="77777777" w:rsidR="00207632" w:rsidRDefault="00207632" w:rsidP="006B21E2">
            <w:pPr>
              <w:jc w:val="center"/>
              <w:rPr>
                <w:b/>
                <w:bCs/>
                <w:color w:val="000000"/>
                <w:sz w:val="20"/>
                <w:szCs w:val="20"/>
              </w:rPr>
            </w:pPr>
            <w:r>
              <w:rPr>
                <w:b/>
                <w:bCs/>
                <w:color w:val="000000"/>
                <w:sz w:val="20"/>
                <w:szCs w:val="20"/>
              </w:rPr>
              <w:t xml:space="preserve">Fee Retention </w:t>
            </w:r>
            <w:r>
              <w:rPr>
                <w:b/>
                <w:bCs/>
                <w:color w:val="000000"/>
                <w:sz w:val="20"/>
                <w:szCs w:val="20"/>
              </w:rPr>
              <w:br/>
              <w:t>(% of Peak)</w:t>
            </w:r>
          </w:p>
        </w:tc>
        <w:tc>
          <w:tcPr>
            <w:tcW w:w="3690" w:type="dxa"/>
            <w:tcBorders>
              <w:top w:val="single" w:sz="8" w:space="0" w:color="auto"/>
              <w:left w:val="nil"/>
              <w:bottom w:val="single" w:sz="8" w:space="0" w:color="auto"/>
              <w:right w:val="single" w:sz="8" w:space="0" w:color="auto"/>
            </w:tcBorders>
            <w:shd w:val="clear" w:color="000000" w:fill="E0E0E0"/>
            <w:vAlign w:val="center"/>
            <w:hideMark/>
          </w:tcPr>
          <w:p w14:paraId="5A313106" w14:textId="77777777" w:rsidR="00207632" w:rsidRDefault="00207632" w:rsidP="006B21E2">
            <w:pPr>
              <w:jc w:val="center"/>
              <w:rPr>
                <w:b/>
                <w:bCs/>
                <w:color w:val="000000"/>
                <w:sz w:val="20"/>
                <w:szCs w:val="20"/>
              </w:rPr>
            </w:pPr>
            <w:r>
              <w:rPr>
                <w:b/>
                <w:bCs/>
                <w:color w:val="000000"/>
                <w:sz w:val="20"/>
                <w:szCs w:val="20"/>
              </w:rPr>
              <w:t>Sustainability Drivers</w:t>
            </w:r>
          </w:p>
        </w:tc>
      </w:tr>
      <w:tr w:rsidR="00207632" w14:paraId="495045E3" w14:textId="77777777" w:rsidTr="00207632">
        <w:trPr>
          <w:trHeight w:val="286"/>
        </w:trPr>
        <w:tc>
          <w:tcPr>
            <w:tcW w:w="2420" w:type="dxa"/>
            <w:tcBorders>
              <w:top w:val="nil"/>
              <w:left w:val="single" w:sz="8" w:space="0" w:color="auto"/>
              <w:bottom w:val="single" w:sz="4" w:space="0" w:color="auto"/>
              <w:right w:val="single" w:sz="4" w:space="0" w:color="auto"/>
            </w:tcBorders>
            <w:vAlign w:val="center"/>
            <w:hideMark/>
          </w:tcPr>
          <w:p w14:paraId="2A6FC975" w14:textId="77777777" w:rsidR="00207632" w:rsidRDefault="00207632" w:rsidP="006B21E2">
            <w:pPr>
              <w:rPr>
                <w:color w:val="000000"/>
                <w:sz w:val="20"/>
                <w:szCs w:val="20"/>
              </w:rPr>
            </w:pPr>
            <w:r>
              <w:rPr>
                <w:color w:val="000000"/>
                <w:sz w:val="20"/>
                <w:szCs w:val="20"/>
              </w:rPr>
              <w:t>Resilient Protocols (&gt;60% peak fees maintained)</w:t>
            </w:r>
          </w:p>
        </w:tc>
        <w:tc>
          <w:tcPr>
            <w:tcW w:w="1890" w:type="dxa"/>
            <w:tcBorders>
              <w:top w:val="nil"/>
              <w:left w:val="nil"/>
              <w:bottom w:val="single" w:sz="4" w:space="0" w:color="auto"/>
              <w:right w:val="single" w:sz="4" w:space="0" w:color="auto"/>
            </w:tcBorders>
            <w:vAlign w:val="center"/>
            <w:hideMark/>
          </w:tcPr>
          <w:p w14:paraId="1D9045ED" w14:textId="77777777" w:rsidR="00207632" w:rsidRDefault="00207632" w:rsidP="006B21E2">
            <w:pPr>
              <w:rPr>
                <w:color w:val="000000"/>
                <w:sz w:val="20"/>
                <w:szCs w:val="20"/>
              </w:rPr>
            </w:pPr>
            <w:r>
              <w:rPr>
                <w:color w:val="000000"/>
                <w:sz w:val="20"/>
                <w:szCs w:val="20"/>
              </w:rPr>
              <w:t> </w:t>
            </w:r>
          </w:p>
        </w:tc>
        <w:tc>
          <w:tcPr>
            <w:tcW w:w="1350" w:type="dxa"/>
            <w:tcBorders>
              <w:top w:val="nil"/>
              <w:left w:val="nil"/>
              <w:bottom w:val="single" w:sz="4" w:space="0" w:color="auto"/>
              <w:right w:val="single" w:sz="4" w:space="0" w:color="auto"/>
            </w:tcBorders>
            <w:vAlign w:val="center"/>
            <w:hideMark/>
          </w:tcPr>
          <w:p w14:paraId="42D76652" w14:textId="77777777" w:rsidR="00207632" w:rsidRDefault="00207632" w:rsidP="006B21E2">
            <w:pPr>
              <w:rPr>
                <w:color w:val="000000"/>
                <w:sz w:val="20"/>
                <w:szCs w:val="20"/>
              </w:rPr>
            </w:pPr>
            <w:r>
              <w:rPr>
                <w:color w:val="000000"/>
                <w:sz w:val="20"/>
                <w:szCs w:val="20"/>
              </w:rPr>
              <w:t> </w:t>
            </w:r>
          </w:p>
        </w:tc>
        <w:tc>
          <w:tcPr>
            <w:tcW w:w="3690" w:type="dxa"/>
            <w:tcBorders>
              <w:top w:val="nil"/>
              <w:left w:val="nil"/>
              <w:bottom w:val="single" w:sz="4" w:space="0" w:color="auto"/>
              <w:right w:val="single" w:sz="8" w:space="0" w:color="auto"/>
            </w:tcBorders>
            <w:shd w:val="clear" w:color="000000" w:fill="FFFFFF"/>
            <w:vAlign w:val="center"/>
            <w:hideMark/>
          </w:tcPr>
          <w:p w14:paraId="5C7D2DBB" w14:textId="77777777" w:rsidR="00207632" w:rsidRDefault="00207632" w:rsidP="006B21E2">
            <w:pPr>
              <w:rPr>
                <w:color w:val="000000"/>
                <w:sz w:val="20"/>
                <w:szCs w:val="20"/>
              </w:rPr>
            </w:pPr>
            <w:r>
              <w:rPr>
                <w:color w:val="000000"/>
                <w:sz w:val="20"/>
                <w:szCs w:val="20"/>
              </w:rPr>
              <w:t> </w:t>
            </w:r>
          </w:p>
        </w:tc>
      </w:tr>
      <w:tr w:rsidR="00207632" w14:paraId="00CDA8F1" w14:textId="77777777" w:rsidTr="00207632">
        <w:trPr>
          <w:trHeight w:val="251"/>
        </w:trPr>
        <w:tc>
          <w:tcPr>
            <w:tcW w:w="2420" w:type="dxa"/>
            <w:tcBorders>
              <w:top w:val="nil"/>
              <w:left w:val="single" w:sz="8" w:space="0" w:color="auto"/>
              <w:bottom w:val="single" w:sz="4" w:space="0" w:color="auto"/>
              <w:right w:val="single" w:sz="4" w:space="0" w:color="auto"/>
            </w:tcBorders>
            <w:vAlign w:val="center"/>
            <w:hideMark/>
          </w:tcPr>
          <w:p w14:paraId="2795DEF9" w14:textId="7BC76D80" w:rsidR="00207632" w:rsidRDefault="00207632" w:rsidP="006B21E2">
            <w:pPr>
              <w:rPr>
                <w:color w:val="000000"/>
                <w:sz w:val="20"/>
                <w:szCs w:val="20"/>
              </w:rPr>
            </w:pPr>
            <w:r>
              <w:rPr>
                <w:color w:val="000000"/>
                <w:sz w:val="20"/>
                <w:szCs w:val="20"/>
              </w:rPr>
              <w:t>Stablecoin-Focused Chains</w:t>
            </w:r>
          </w:p>
        </w:tc>
        <w:tc>
          <w:tcPr>
            <w:tcW w:w="1890" w:type="dxa"/>
            <w:tcBorders>
              <w:top w:val="nil"/>
              <w:left w:val="nil"/>
              <w:bottom w:val="single" w:sz="4" w:space="0" w:color="auto"/>
              <w:right w:val="single" w:sz="4" w:space="0" w:color="auto"/>
            </w:tcBorders>
            <w:vAlign w:val="center"/>
            <w:hideMark/>
          </w:tcPr>
          <w:p w14:paraId="3B97B134" w14:textId="77777777" w:rsidR="00207632" w:rsidRDefault="00207632" w:rsidP="006B21E2">
            <w:pPr>
              <w:rPr>
                <w:color w:val="000000"/>
                <w:sz w:val="20"/>
                <w:szCs w:val="20"/>
              </w:rPr>
            </w:pPr>
            <w:r>
              <w:rPr>
                <w:color w:val="000000"/>
                <w:sz w:val="20"/>
                <w:szCs w:val="20"/>
              </w:rPr>
              <w:t>BSC (Binance Smart Chain)</w:t>
            </w:r>
          </w:p>
        </w:tc>
        <w:tc>
          <w:tcPr>
            <w:tcW w:w="1350" w:type="dxa"/>
            <w:tcBorders>
              <w:top w:val="nil"/>
              <w:left w:val="nil"/>
              <w:bottom w:val="single" w:sz="4" w:space="0" w:color="auto"/>
              <w:right w:val="single" w:sz="4" w:space="0" w:color="auto"/>
            </w:tcBorders>
            <w:shd w:val="clear" w:color="000000" w:fill="FFFFFF"/>
            <w:vAlign w:val="center"/>
            <w:hideMark/>
          </w:tcPr>
          <w:p w14:paraId="4575DAF4" w14:textId="77777777" w:rsidR="00207632" w:rsidRDefault="00207632" w:rsidP="006B21E2">
            <w:pPr>
              <w:jc w:val="center"/>
              <w:rPr>
                <w:color w:val="000000"/>
                <w:sz w:val="20"/>
                <w:szCs w:val="20"/>
              </w:rPr>
            </w:pPr>
            <w:r>
              <w:rPr>
                <w:color w:val="000000"/>
                <w:sz w:val="20"/>
                <w:szCs w:val="20"/>
              </w:rPr>
              <w:t>71%</w:t>
            </w:r>
          </w:p>
        </w:tc>
        <w:tc>
          <w:tcPr>
            <w:tcW w:w="3690" w:type="dxa"/>
            <w:tcBorders>
              <w:top w:val="nil"/>
              <w:left w:val="nil"/>
              <w:bottom w:val="single" w:sz="4" w:space="0" w:color="auto"/>
              <w:right w:val="single" w:sz="8" w:space="0" w:color="auto"/>
            </w:tcBorders>
            <w:vAlign w:val="center"/>
            <w:hideMark/>
          </w:tcPr>
          <w:p w14:paraId="555D8BEB" w14:textId="77777777" w:rsidR="00207632" w:rsidRDefault="00207632" w:rsidP="006B21E2">
            <w:pPr>
              <w:rPr>
                <w:color w:val="000000"/>
                <w:sz w:val="20"/>
                <w:szCs w:val="20"/>
              </w:rPr>
            </w:pPr>
            <w:r>
              <w:rPr>
                <w:color w:val="000000"/>
                <w:sz w:val="20"/>
                <w:szCs w:val="20"/>
              </w:rPr>
              <w:t>Stablecoin transfers persisted regardless of market conditions; genuine utility</w:t>
            </w:r>
          </w:p>
        </w:tc>
      </w:tr>
      <w:tr w:rsidR="00207632" w14:paraId="082DA766" w14:textId="77777777" w:rsidTr="00207632">
        <w:trPr>
          <w:trHeight w:val="233"/>
        </w:trPr>
        <w:tc>
          <w:tcPr>
            <w:tcW w:w="2420" w:type="dxa"/>
            <w:tcBorders>
              <w:top w:val="nil"/>
              <w:left w:val="single" w:sz="8" w:space="0" w:color="auto"/>
              <w:bottom w:val="single" w:sz="4" w:space="0" w:color="auto"/>
              <w:right w:val="single" w:sz="4" w:space="0" w:color="auto"/>
            </w:tcBorders>
            <w:vAlign w:val="center"/>
            <w:hideMark/>
          </w:tcPr>
          <w:p w14:paraId="6CD6CE9C" w14:textId="22679B8E" w:rsidR="00207632" w:rsidRDefault="00207632" w:rsidP="006B21E2">
            <w:pPr>
              <w:rPr>
                <w:color w:val="000000"/>
                <w:sz w:val="20"/>
                <w:szCs w:val="20"/>
              </w:rPr>
            </w:pPr>
            <w:r>
              <w:rPr>
                <w:color w:val="000000"/>
                <w:sz w:val="20"/>
                <w:szCs w:val="20"/>
              </w:rPr>
              <w:t>High-Utility Networks</w:t>
            </w:r>
          </w:p>
        </w:tc>
        <w:tc>
          <w:tcPr>
            <w:tcW w:w="1890" w:type="dxa"/>
            <w:tcBorders>
              <w:top w:val="nil"/>
              <w:left w:val="nil"/>
              <w:bottom w:val="single" w:sz="4" w:space="0" w:color="auto"/>
              <w:right w:val="single" w:sz="4" w:space="0" w:color="auto"/>
            </w:tcBorders>
            <w:vAlign w:val="center"/>
            <w:hideMark/>
          </w:tcPr>
          <w:p w14:paraId="07C12532" w14:textId="77777777" w:rsidR="00207632" w:rsidRDefault="00207632" w:rsidP="006B21E2">
            <w:pPr>
              <w:rPr>
                <w:color w:val="000000"/>
                <w:sz w:val="20"/>
                <w:szCs w:val="20"/>
              </w:rPr>
            </w:pPr>
            <w:r>
              <w:rPr>
                <w:color w:val="000000"/>
                <w:sz w:val="20"/>
                <w:szCs w:val="20"/>
              </w:rPr>
              <w:t>Ethereum</w:t>
            </w:r>
          </w:p>
        </w:tc>
        <w:tc>
          <w:tcPr>
            <w:tcW w:w="1350" w:type="dxa"/>
            <w:tcBorders>
              <w:top w:val="nil"/>
              <w:left w:val="nil"/>
              <w:bottom w:val="single" w:sz="4" w:space="0" w:color="auto"/>
              <w:right w:val="single" w:sz="4" w:space="0" w:color="auto"/>
            </w:tcBorders>
            <w:shd w:val="clear" w:color="000000" w:fill="FFFFFF"/>
            <w:vAlign w:val="center"/>
            <w:hideMark/>
          </w:tcPr>
          <w:p w14:paraId="17BCAB09" w14:textId="77777777" w:rsidR="00207632" w:rsidRDefault="00207632" w:rsidP="006B21E2">
            <w:pPr>
              <w:jc w:val="center"/>
              <w:rPr>
                <w:color w:val="000000"/>
                <w:sz w:val="20"/>
                <w:szCs w:val="20"/>
              </w:rPr>
            </w:pPr>
            <w:r>
              <w:rPr>
                <w:color w:val="000000"/>
                <w:sz w:val="20"/>
                <w:szCs w:val="20"/>
              </w:rPr>
              <w:t>63%</w:t>
            </w:r>
          </w:p>
        </w:tc>
        <w:tc>
          <w:tcPr>
            <w:tcW w:w="3690" w:type="dxa"/>
            <w:tcBorders>
              <w:top w:val="nil"/>
              <w:left w:val="nil"/>
              <w:bottom w:val="single" w:sz="4" w:space="0" w:color="auto"/>
              <w:right w:val="single" w:sz="8" w:space="0" w:color="auto"/>
            </w:tcBorders>
            <w:vAlign w:val="center"/>
            <w:hideMark/>
          </w:tcPr>
          <w:p w14:paraId="3BFA30C4" w14:textId="77777777" w:rsidR="00207632" w:rsidRDefault="00207632" w:rsidP="006B21E2">
            <w:pPr>
              <w:rPr>
                <w:color w:val="000000"/>
                <w:sz w:val="20"/>
                <w:szCs w:val="20"/>
              </w:rPr>
            </w:pPr>
            <w:r>
              <w:rPr>
                <w:color w:val="000000"/>
                <w:sz w:val="20"/>
                <w:szCs w:val="20"/>
              </w:rPr>
              <w:t xml:space="preserve">DeFi infrastructure, NFT markets, stablecoin </w:t>
            </w:r>
            <w:proofErr w:type="gramStart"/>
            <w:r>
              <w:rPr>
                <w:color w:val="000000"/>
                <w:sz w:val="20"/>
                <w:szCs w:val="20"/>
              </w:rPr>
              <w:t>issuance maintained</w:t>
            </w:r>
            <w:proofErr w:type="gramEnd"/>
            <w:r>
              <w:rPr>
                <w:color w:val="000000"/>
                <w:sz w:val="20"/>
                <w:szCs w:val="20"/>
              </w:rPr>
              <w:t xml:space="preserve"> activity</w:t>
            </w:r>
          </w:p>
        </w:tc>
      </w:tr>
      <w:tr w:rsidR="00207632" w14:paraId="6F75C83E" w14:textId="77777777" w:rsidTr="00207632">
        <w:trPr>
          <w:trHeight w:val="188"/>
        </w:trPr>
        <w:tc>
          <w:tcPr>
            <w:tcW w:w="2420" w:type="dxa"/>
            <w:tcBorders>
              <w:top w:val="nil"/>
              <w:left w:val="single" w:sz="8" w:space="0" w:color="auto"/>
              <w:bottom w:val="single" w:sz="4" w:space="0" w:color="auto"/>
              <w:right w:val="single" w:sz="4" w:space="0" w:color="auto"/>
            </w:tcBorders>
            <w:vAlign w:val="center"/>
            <w:hideMark/>
          </w:tcPr>
          <w:p w14:paraId="5A7B9F83" w14:textId="1765407C" w:rsidR="00207632" w:rsidRDefault="00207632" w:rsidP="006B21E2">
            <w:pPr>
              <w:rPr>
                <w:color w:val="000000"/>
                <w:sz w:val="20"/>
                <w:szCs w:val="20"/>
              </w:rPr>
            </w:pPr>
            <w:r>
              <w:rPr>
                <w:color w:val="000000"/>
                <w:sz w:val="20"/>
                <w:szCs w:val="20"/>
              </w:rPr>
              <w:t>Specialized Protocols</w:t>
            </w:r>
          </w:p>
        </w:tc>
        <w:tc>
          <w:tcPr>
            <w:tcW w:w="1890" w:type="dxa"/>
            <w:tcBorders>
              <w:top w:val="nil"/>
              <w:left w:val="nil"/>
              <w:bottom w:val="single" w:sz="4" w:space="0" w:color="auto"/>
              <w:right w:val="single" w:sz="4" w:space="0" w:color="auto"/>
            </w:tcBorders>
            <w:vAlign w:val="center"/>
            <w:hideMark/>
          </w:tcPr>
          <w:p w14:paraId="53A34BEA" w14:textId="77777777" w:rsidR="00207632" w:rsidRDefault="00207632" w:rsidP="006B21E2">
            <w:pPr>
              <w:rPr>
                <w:color w:val="000000"/>
                <w:sz w:val="20"/>
                <w:szCs w:val="20"/>
              </w:rPr>
            </w:pPr>
            <w:r>
              <w:rPr>
                <w:color w:val="000000"/>
                <w:sz w:val="20"/>
                <w:szCs w:val="20"/>
              </w:rPr>
              <w:t>Curve Finance</w:t>
            </w:r>
          </w:p>
        </w:tc>
        <w:tc>
          <w:tcPr>
            <w:tcW w:w="1350" w:type="dxa"/>
            <w:tcBorders>
              <w:top w:val="nil"/>
              <w:left w:val="nil"/>
              <w:bottom w:val="single" w:sz="4" w:space="0" w:color="auto"/>
              <w:right w:val="single" w:sz="4" w:space="0" w:color="auto"/>
            </w:tcBorders>
            <w:shd w:val="clear" w:color="000000" w:fill="FFFFFF"/>
            <w:vAlign w:val="center"/>
            <w:hideMark/>
          </w:tcPr>
          <w:p w14:paraId="3AA43C5B" w14:textId="77777777" w:rsidR="00207632" w:rsidRDefault="00207632" w:rsidP="006B21E2">
            <w:pPr>
              <w:jc w:val="center"/>
              <w:rPr>
                <w:color w:val="000000"/>
                <w:sz w:val="20"/>
                <w:szCs w:val="20"/>
              </w:rPr>
            </w:pPr>
            <w:r>
              <w:rPr>
                <w:color w:val="000000"/>
                <w:sz w:val="20"/>
                <w:szCs w:val="20"/>
              </w:rPr>
              <w:t>68%</w:t>
            </w:r>
          </w:p>
        </w:tc>
        <w:tc>
          <w:tcPr>
            <w:tcW w:w="3690" w:type="dxa"/>
            <w:tcBorders>
              <w:top w:val="nil"/>
              <w:left w:val="nil"/>
              <w:bottom w:val="single" w:sz="4" w:space="0" w:color="auto"/>
              <w:right w:val="single" w:sz="8" w:space="0" w:color="auto"/>
            </w:tcBorders>
            <w:vAlign w:val="center"/>
            <w:hideMark/>
          </w:tcPr>
          <w:p w14:paraId="49AC3B8F" w14:textId="77777777" w:rsidR="00207632" w:rsidRDefault="00207632" w:rsidP="006B21E2">
            <w:pPr>
              <w:rPr>
                <w:color w:val="000000"/>
                <w:sz w:val="20"/>
                <w:szCs w:val="20"/>
              </w:rPr>
            </w:pPr>
            <w:r>
              <w:rPr>
                <w:color w:val="000000"/>
                <w:sz w:val="20"/>
                <w:szCs w:val="20"/>
              </w:rPr>
              <w:t>Stablecoin swapping remained essential; not speculation-dependent</w:t>
            </w:r>
          </w:p>
        </w:tc>
      </w:tr>
      <w:tr w:rsidR="00207632" w14:paraId="6F3DBB6A" w14:textId="77777777" w:rsidTr="00207632">
        <w:trPr>
          <w:trHeight w:val="251"/>
        </w:trPr>
        <w:tc>
          <w:tcPr>
            <w:tcW w:w="2420" w:type="dxa"/>
            <w:tcBorders>
              <w:top w:val="nil"/>
              <w:left w:val="single" w:sz="8" w:space="0" w:color="auto"/>
              <w:bottom w:val="single" w:sz="4" w:space="0" w:color="auto"/>
              <w:right w:val="single" w:sz="4" w:space="0" w:color="auto"/>
            </w:tcBorders>
            <w:vAlign w:val="center"/>
            <w:hideMark/>
          </w:tcPr>
          <w:p w14:paraId="148FF6ED" w14:textId="77777777" w:rsidR="00207632" w:rsidRDefault="00207632" w:rsidP="006B21E2">
            <w:pPr>
              <w:rPr>
                <w:color w:val="000000"/>
                <w:sz w:val="20"/>
                <w:szCs w:val="20"/>
              </w:rPr>
            </w:pPr>
            <w:r>
              <w:rPr>
                <w:color w:val="000000"/>
                <w:sz w:val="20"/>
                <w:szCs w:val="20"/>
              </w:rPr>
              <w:t>Fragile Protocols (&lt;30% peak fees)</w:t>
            </w:r>
          </w:p>
        </w:tc>
        <w:tc>
          <w:tcPr>
            <w:tcW w:w="1890" w:type="dxa"/>
            <w:tcBorders>
              <w:top w:val="nil"/>
              <w:left w:val="nil"/>
              <w:bottom w:val="single" w:sz="4" w:space="0" w:color="auto"/>
              <w:right w:val="single" w:sz="4" w:space="0" w:color="auto"/>
            </w:tcBorders>
            <w:vAlign w:val="center"/>
            <w:hideMark/>
          </w:tcPr>
          <w:p w14:paraId="72009412" w14:textId="77777777" w:rsidR="00207632" w:rsidRDefault="00207632" w:rsidP="006B21E2">
            <w:pPr>
              <w:rPr>
                <w:color w:val="000000"/>
                <w:sz w:val="20"/>
                <w:szCs w:val="20"/>
              </w:rPr>
            </w:pPr>
            <w:r>
              <w:rPr>
                <w:color w:val="000000"/>
                <w:sz w:val="20"/>
                <w:szCs w:val="20"/>
              </w:rPr>
              <w:t> </w:t>
            </w:r>
          </w:p>
        </w:tc>
        <w:tc>
          <w:tcPr>
            <w:tcW w:w="1350" w:type="dxa"/>
            <w:tcBorders>
              <w:top w:val="nil"/>
              <w:left w:val="nil"/>
              <w:bottom w:val="single" w:sz="4" w:space="0" w:color="auto"/>
              <w:right w:val="single" w:sz="4" w:space="0" w:color="auto"/>
            </w:tcBorders>
            <w:shd w:val="clear" w:color="000000" w:fill="FFFFFF"/>
            <w:vAlign w:val="center"/>
            <w:hideMark/>
          </w:tcPr>
          <w:p w14:paraId="1B3D7CAA" w14:textId="77777777" w:rsidR="00207632" w:rsidRDefault="00207632" w:rsidP="006B21E2">
            <w:pPr>
              <w:rPr>
                <w:color w:val="000000"/>
                <w:sz w:val="20"/>
                <w:szCs w:val="20"/>
              </w:rPr>
            </w:pPr>
            <w:r>
              <w:rPr>
                <w:color w:val="000000"/>
                <w:sz w:val="20"/>
                <w:szCs w:val="20"/>
              </w:rPr>
              <w:t> </w:t>
            </w:r>
          </w:p>
        </w:tc>
        <w:tc>
          <w:tcPr>
            <w:tcW w:w="3690" w:type="dxa"/>
            <w:tcBorders>
              <w:top w:val="nil"/>
              <w:left w:val="nil"/>
              <w:bottom w:val="single" w:sz="4" w:space="0" w:color="auto"/>
              <w:right w:val="single" w:sz="8" w:space="0" w:color="auto"/>
            </w:tcBorders>
            <w:shd w:val="clear" w:color="000000" w:fill="FFFFFF"/>
            <w:vAlign w:val="center"/>
            <w:hideMark/>
          </w:tcPr>
          <w:p w14:paraId="20E43E7B" w14:textId="77777777" w:rsidR="00207632" w:rsidRDefault="00207632" w:rsidP="006B21E2">
            <w:pPr>
              <w:rPr>
                <w:color w:val="000000"/>
                <w:sz w:val="20"/>
                <w:szCs w:val="20"/>
              </w:rPr>
            </w:pPr>
            <w:r>
              <w:rPr>
                <w:color w:val="000000"/>
                <w:sz w:val="20"/>
                <w:szCs w:val="20"/>
              </w:rPr>
              <w:t> </w:t>
            </w:r>
          </w:p>
        </w:tc>
      </w:tr>
      <w:tr w:rsidR="00207632" w14:paraId="07C23A20" w14:textId="77777777" w:rsidTr="00207632">
        <w:trPr>
          <w:trHeight w:val="233"/>
        </w:trPr>
        <w:tc>
          <w:tcPr>
            <w:tcW w:w="2420" w:type="dxa"/>
            <w:tcBorders>
              <w:top w:val="nil"/>
              <w:left w:val="single" w:sz="8" w:space="0" w:color="auto"/>
              <w:bottom w:val="single" w:sz="4" w:space="0" w:color="auto"/>
              <w:right w:val="single" w:sz="4" w:space="0" w:color="auto"/>
            </w:tcBorders>
            <w:vAlign w:val="center"/>
            <w:hideMark/>
          </w:tcPr>
          <w:p w14:paraId="2E4BBD55" w14:textId="6CA880E2" w:rsidR="00207632" w:rsidRDefault="00207632" w:rsidP="006B21E2">
            <w:pPr>
              <w:rPr>
                <w:color w:val="000000"/>
                <w:sz w:val="20"/>
                <w:szCs w:val="20"/>
              </w:rPr>
            </w:pPr>
            <w:r>
              <w:rPr>
                <w:color w:val="000000"/>
                <w:sz w:val="20"/>
                <w:szCs w:val="20"/>
              </w:rPr>
              <w:lastRenderedPageBreak/>
              <w:t>Gaming Chains</w:t>
            </w:r>
          </w:p>
        </w:tc>
        <w:tc>
          <w:tcPr>
            <w:tcW w:w="1890" w:type="dxa"/>
            <w:tcBorders>
              <w:top w:val="nil"/>
              <w:left w:val="nil"/>
              <w:bottom w:val="single" w:sz="4" w:space="0" w:color="auto"/>
              <w:right w:val="single" w:sz="4" w:space="0" w:color="auto"/>
            </w:tcBorders>
            <w:vAlign w:val="center"/>
            <w:hideMark/>
          </w:tcPr>
          <w:p w14:paraId="2AAB280B" w14:textId="77777777" w:rsidR="00207632" w:rsidRDefault="00207632" w:rsidP="006B21E2">
            <w:pPr>
              <w:rPr>
                <w:color w:val="000000"/>
                <w:sz w:val="20"/>
                <w:szCs w:val="20"/>
              </w:rPr>
            </w:pPr>
            <w:r>
              <w:rPr>
                <w:color w:val="000000"/>
                <w:sz w:val="20"/>
                <w:szCs w:val="20"/>
              </w:rPr>
              <w:t>Ronin (Axie Infinity)</w:t>
            </w:r>
          </w:p>
        </w:tc>
        <w:tc>
          <w:tcPr>
            <w:tcW w:w="1350" w:type="dxa"/>
            <w:tcBorders>
              <w:top w:val="nil"/>
              <w:left w:val="nil"/>
              <w:bottom w:val="single" w:sz="4" w:space="0" w:color="auto"/>
              <w:right w:val="single" w:sz="4" w:space="0" w:color="auto"/>
            </w:tcBorders>
            <w:shd w:val="clear" w:color="000000" w:fill="FFFFFF"/>
            <w:vAlign w:val="center"/>
            <w:hideMark/>
          </w:tcPr>
          <w:p w14:paraId="032BF063" w14:textId="77777777" w:rsidR="00207632" w:rsidRDefault="00207632" w:rsidP="006B21E2">
            <w:pPr>
              <w:jc w:val="center"/>
              <w:rPr>
                <w:color w:val="000000"/>
                <w:sz w:val="20"/>
                <w:szCs w:val="20"/>
              </w:rPr>
            </w:pPr>
            <w:r>
              <w:rPr>
                <w:color w:val="000000"/>
                <w:sz w:val="20"/>
                <w:szCs w:val="20"/>
              </w:rPr>
              <w:t>8%</w:t>
            </w:r>
          </w:p>
        </w:tc>
        <w:tc>
          <w:tcPr>
            <w:tcW w:w="3690" w:type="dxa"/>
            <w:tcBorders>
              <w:top w:val="nil"/>
              <w:left w:val="nil"/>
              <w:bottom w:val="single" w:sz="4" w:space="0" w:color="auto"/>
              <w:right w:val="single" w:sz="8" w:space="0" w:color="auto"/>
            </w:tcBorders>
            <w:vAlign w:val="center"/>
            <w:hideMark/>
          </w:tcPr>
          <w:p w14:paraId="47B1B6E5" w14:textId="77777777" w:rsidR="00207632" w:rsidRDefault="00207632" w:rsidP="006B21E2">
            <w:pPr>
              <w:rPr>
                <w:color w:val="000000"/>
                <w:sz w:val="20"/>
                <w:szCs w:val="20"/>
              </w:rPr>
            </w:pPr>
            <w:r>
              <w:rPr>
                <w:color w:val="000000"/>
                <w:sz w:val="20"/>
                <w:szCs w:val="20"/>
              </w:rPr>
              <w:t>Play-to-earn model collapsed when token incentives became unprofitable</w:t>
            </w:r>
          </w:p>
        </w:tc>
      </w:tr>
      <w:tr w:rsidR="00207632" w14:paraId="10AFB550" w14:textId="77777777" w:rsidTr="00207632">
        <w:trPr>
          <w:trHeight w:val="368"/>
        </w:trPr>
        <w:tc>
          <w:tcPr>
            <w:tcW w:w="2420" w:type="dxa"/>
            <w:tcBorders>
              <w:top w:val="nil"/>
              <w:left w:val="single" w:sz="8" w:space="0" w:color="auto"/>
              <w:bottom w:val="single" w:sz="4" w:space="0" w:color="auto"/>
              <w:right w:val="single" w:sz="4" w:space="0" w:color="auto"/>
            </w:tcBorders>
            <w:vAlign w:val="center"/>
            <w:hideMark/>
          </w:tcPr>
          <w:p w14:paraId="413C9A51" w14:textId="25EFD230" w:rsidR="00207632" w:rsidRDefault="00207632" w:rsidP="006B21E2">
            <w:pPr>
              <w:rPr>
                <w:color w:val="000000"/>
                <w:sz w:val="20"/>
                <w:szCs w:val="20"/>
              </w:rPr>
            </w:pPr>
            <w:r>
              <w:rPr>
                <w:color w:val="000000"/>
                <w:sz w:val="20"/>
                <w:szCs w:val="20"/>
              </w:rPr>
              <w:t>Yield Farming Protocols</w:t>
            </w:r>
          </w:p>
        </w:tc>
        <w:tc>
          <w:tcPr>
            <w:tcW w:w="1890" w:type="dxa"/>
            <w:tcBorders>
              <w:top w:val="nil"/>
              <w:left w:val="nil"/>
              <w:bottom w:val="single" w:sz="4" w:space="0" w:color="auto"/>
              <w:right w:val="single" w:sz="4" w:space="0" w:color="auto"/>
            </w:tcBorders>
            <w:vAlign w:val="center"/>
            <w:hideMark/>
          </w:tcPr>
          <w:p w14:paraId="4CF8F436" w14:textId="77777777" w:rsidR="00207632" w:rsidRDefault="00207632" w:rsidP="006B21E2">
            <w:pPr>
              <w:rPr>
                <w:color w:val="000000"/>
                <w:sz w:val="20"/>
                <w:szCs w:val="20"/>
              </w:rPr>
            </w:pPr>
            <w:r>
              <w:rPr>
                <w:color w:val="000000"/>
                <w:sz w:val="20"/>
                <w:szCs w:val="20"/>
              </w:rPr>
              <w:t>Various DeFi 2.0 projects</w:t>
            </w:r>
          </w:p>
        </w:tc>
        <w:tc>
          <w:tcPr>
            <w:tcW w:w="1350" w:type="dxa"/>
            <w:tcBorders>
              <w:top w:val="nil"/>
              <w:left w:val="nil"/>
              <w:bottom w:val="single" w:sz="4" w:space="0" w:color="auto"/>
              <w:right w:val="single" w:sz="4" w:space="0" w:color="auto"/>
            </w:tcBorders>
            <w:shd w:val="clear" w:color="000000" w:fill="FFFFFF"/>
            <w:vAlign w:val="center"/>
            <w:hideMark/>
          </w:tcPr>
          <w:p w14:paraId="05BD8CD8" w14:textId="77777777" w:rsidR="00207632" w:rsidRDefault="00207632" w:rsidP="006B21E2">
            <w:pPr>
              <w:jc w:val="center"/>
              <w:rPr>
                <w:color w:val="000000"/>
                <w:sz w:val="20"/>
                <w:szCs w:val="20"/>
              </w:rPr>
            </w:pPr>
            <w:r>
              <w:rPr>
                <w:color w:val="000000"/>
                <w:sz w:val="20"/>
                <w:szCs w:val="20"/>
              </w:rPr>
              <w:t>&lt;5%</w:t>
            </w:r>
          </w:p>
        </w:tc>
        <w:tc>
          <w:tcPr>
            <w:tcW w:w="3690" w:type="dxa"/>
            <w:tcBorders>
              <w:top w:val="nil"/>
              <w:left w:val="nil"/>
              <w:bottom w:val="single" w:sz="4" w:space="0" w:color="auto"/>
              <w:right w:val="single" w:sz="8" w:space="0" w:color="auto"/>
            </w:tcBorders>
            <w:vAlign w:val="center"/>
            <w:hideMark/>
          </w:tcPr>
          <w:p w14:paraId="53D0EA0C" w14:textId="77777777" w:rsidR="00207632" w:rsidRDefault="00207632" w:rsidP="006B21E2">
            <w:pPr>
              <w:rPr>
                <w:color w:val="000000"/>
                <w:sz w:val="20"/>
                <w:szCs w:val="20"/>
              </w:rPr>
            </w:pPr>
            <w:r>
              <w:rPr>
                <w:color w:val="000000"/>
                <w:sz w:val="20"/>
                <w:szCs w:val="20"/>
              </w:rPr>
              <w:t>Unsustainable APYs from token emissions; no underlying economic activity</w:t>
            </w:r>
          </w:p>
        </w:tc>
      </w:tr>
      <w:tr w:rsidR="00207632" w14:paraId="1314BCB8" w14:textId="77777777" w:rsidTr="00207632">
        <w:trPr>
          <w:trHeight w:val="242"/>
        </w:trPr>
        <w:tc>
          <w:tcPr>
            <w:tcW w:w="2420" w:type="dxa"/>
            <w:tcBorders>
              <w:top w:val="nil"/>
              <w:left w:val="single" w:sz="8" w:space="0" w:color="auto"/>
              <w:bottom w:val="single" w:sz="4" w:space="0" w:color="auto"/>
              <w:right w:val="single" w:sz="4" w:space="0" w:color="auto"/>
            </w:tcBorders>
            <w:vAlign w:val="center"/>
            <w:hideMark/>
          </w:tcPr>
          <w:p w14:paraId="3FCB8791" w14:textId="3FA2E9E9" w:rsidR="00207632" w:rsidRDefault="00207632" w:rsidP="006B21E2">
            <w:pPr>
              <w:rPr>
                <w:color w:val="000000"/>
                <w:sz w:val="20"/>
                <w:szCs w:val="20"/>
              </w:rPr>
            </w:pPr>
            <w:r>
              <w:rPr>
                <w:color w:val="000000"/>
                <w:sz w:val="20"/>
                <w:szCs w:val="20"/>
              </w:rPr>
              <w:t>New Launches Without Use Cases</w:t>
            </w:r>
          </w:p>
        </w:tc>
        <w:tc>
          <w:tcPr>
            <w:tcW w:w="1890" w:type="dxa"/>
            <w:tcBorders>
              <w:top w:val="nil"/>
              <w:left w:val="nil"/>
              <w:bottom w:val="single" w:sz="4" w:space="0" w:color="auto"/>
              <w:right w:val="single" w:sz="4" w:space="0" w:color="auto"/>
            </w:tcBorders>
            <w:vAlign w:val="center"/>
            <w:hideMark/>
          </w:tcPr>
          <w:p w14:paraId="7E1CA6C8" w14:textId="77777777" w:rsidR="00207632" w:rsidRDefault="00207632" w:rsidP="006B21E2">
            <w:pPr>
              <w:rPr>
                <w:color w:val="000000"/>
                <w:sz w:val="20"/>
                <w:szCs w:val="20"/>
              </w:rPr>
            </w:pPr>
            <w:r>
              <w:rPr>
                <w:color w:val="000000"/>
                <w:sz w:val="20"/>
                <w:szCs w:val="20"/>
              </w:rPr>
              <w:t>L1 chains launched 2021-2022</w:t>
            </w:r>
          </w:p>
        </w:tc>
        <w:tc>
          <w:tcPr>
            <w:tcW w:w="1350" w:type="dxa"/>
            <w:tcBorders>
              <w:top w:val="nil"/>
              <w:left w:val="nil"/>
              <w:bottom w:val="single" w:sz="4" w:space="0" w:color="auto"/>
              <w:right w:val="single" w:sz="4" w:space="0" w:color="auto"/>
            </w:tcBorders>
            <w:shd w:val="clear" w:color="000000" w:fill="FFFFFF"/>
            <w:vAlign w:val="center"/>
            <w:hideMark/>
          </w:tcPr>
          <w:p w14:paraId="2C373015" w14:textId="77777777" w:rsidR="00207632" w:rsidRDefault="00207632" w:rsidP="006B21E2">
            <w:pPr>
              <w:jc w:val="center"/>
              <w:rPr>
                <w:color w:val="000000"/>
                <w:sz w:val="20"/>
                <w:szCs w:val="20"/>
              </w:rPr>
            </w:pPr>
            <w:r>
              <w:rPr>
                <w:color w:val="000000"/>
                <w:sz w:val="20"/>
                <w:szCs w:val="20"/>
              </w:rPr>
              <w:t>Near-zero</w:t>
            </w:r>
          </w:p>
        </w:tc>
        <w:tc>
          <w:tcPr>
            <w:tcW w:w="3690" w:type="dxa"/>
            <w:tcBorders>
              <w:top w:val="nil"/>
              <w:left w:val="nil"/>
              <w:bottom w:val="single" w:sz="4" w:space="0" w:color="auto"/>
              <w:right w:val="single" w:sz="8" w:space="0" w:color="auto"/>
            </w:tcBorders>
            <w:vAlign w:val="center"/>
            <w:hideMark/>
          </w:tcPr>
          <w:p w14:paraId="5C3C5EFB" w14:textId="77777777" w:rsidR="00207632" w:rsidRDefault="00207632" w:rsidP="006B21E2">
            <w:pPr>
              <w:rPr>
                <w:color w:val="000000"/>
                <w:sz w:val="20"/>
                <w:szCs w:val="20"/>
              </w:rPr>
            </w:pPr>
            <w:r>
              <w:rPr>
                <w:color w:val="000000"/>
                <w:sz w:val="20"/>
                <w:szCs w:val="20"/>
              </w:rPr>
              <w:t>Speculative interest only; no genuine economic activity to support fees</w:t>
            </w:r>
          </w:p>
        </w:tc>
      </w:tr>
      <w:tr w:rsidR="00207632" w14:paraId="0BCE48FD" w14:textId="77777777" w:rsidTr="00207632">
        <w:trPr>
          <w:trHeight w:val="665"/>
        </w:trPr>
        <w:tc>
          <w:tcPr>
            <w:tcW w:w="2420" w:type="dxa"/>
            <w:tcBorders>
              <w:top w:val="nil"/>
              <w:left w:val="single" w:sz="8" w:space="0" w:color="auto"/>
              <w:bottom w:val="single" w:sz="8" w:space="0" w:color="auto"/>
              <w:right w:val="single" w:sz="4" w:space="0" w:color="auto"/>
            </w:tcBorders>
            <w:vAlign w:val="center"/>
            <w:hideMark/>
          </w:tcPr>
          <w:p w14:paraId="1D98AA26" w14:textId="77777777" w:rsidR="00207632" w:rsidRDefault="00207632" w:rsidP="006B21E2">
            <w:pPr>
              <w:rPr>
                <w:color w:val="000000"/>
                <w:sz w:val="20"/>
                <w:szCs w:val="20"/>
              </w:rPr>
            </w:pPr>
            <w:r>
              <w:rPr>
                <w:color w:val="000000"/>
                <w:sz w:val="20"/>
                <w:szCs w:val="20"/>
              </w:rPr>
              <w:t>Key Finding</w:t>
            </w:r>
          </w:p>
        </w:tc>
        <w:tc>
          <w:tcPr>
            <w:tcW w:w="1890" w:type="dxa"/>
            <w:tcBorders>
              <w:top w:val="nil"/>
              <w:left w:val="nil"/>
              <w:bottom w:val="single" w:sz="8" w:space="0" w:color="auto"/>
              <w:right w:val="single" w:sz="4" w:space="0" w:color="auto"/>
            </w:tcBorders>
            <w:vAlign w:val="center"/>
            <w:hideMark/>
          </w:tcPr>
          <w:p w14:paraId="04C43C57" w14:textId="77777777" w:rsidR="00207632" w:rsidRDefault="00207632" w:rsidP="006B21E2">
            <w:pPr>
              <w:rPr>
                <w:color w:val="000000"/>
                <w:sz w:val="20"/>
                <w:szCs w:val="20"/>
              </w:rPr>
            </w:pPr>
            <w:r>
              <w:rPr>
                <w:color w:val="000000"/>
                <w:sz w:val="20"/>
                <w:szCs w:val="20"/>
              </w:rPr>
              <w:t>Sustainability correlation</w:t>
            </w:r>
          </w:p>
        </w:tc>
        <w:tc>
          <w:tcPr>
            <w:tcW w:w="1350" w:type="dxa"/>
            <w:tcBorders>
              <w:top w:val="nil"/>
              <w:left w:val="nil"/>
              <w:bottom w:val="single" w:sz="8" w:space="0" w:color="auto"/>
              <w:right w:val="single" w:sz="4" w:space="0" w:color="auto"/>
            </w:tcBorders>
            <w:vAlign w:val="center"/>
            <w:hideMark/>
          </w:tcPr>
          <w:p w14:paraId="774B827C" w14:textId="77777777" w:rsidR="00207632" w:rsidRDefault="00207632" w:rsidP="006B21E2">
            <w:pPr>
              <w:rPr>
                <w:color w:val="000000"/>
                <w:sz w:val="20"/>
                <w:szCs w:val="20"/>
              </w:rPr>
            </w:pPr>
            <w:r>
              <w:rPr>
                <w:color w:val="000000"/>
                <w:sz w:val="20"/>
                <w:szCs w:val="20"/>
              </w:rPr>
              <w:t> </w:t>
            </w:r>
          </w:p>
        </w:tc>
        <w:tc>
          <w:tcPr>
            <w:tcW w:w="3690" w:type="dxa"/>
            <w:tcBorders>
              <w:top w:val="nil"/>
              <w:left w:val="nil"/>
              <w:bottom w:val="single" w:sz="8" w:space="0" w:color="auto"/>
              <w:right w:val="single" w:sz="8" w:space="0" w:color="auto"/>
            </w:tcBorders>
            <w:shd w:val="clear" w:color="000000" w:fill="FFFFFF"/>
            <w:vAlign w:val="center"/>
            <w:hideMark/>
          </w:tcPr>
          <w:p w14:paraId="26D9C7AF" w14:textId="77777777" w:rsidR="00207632" w:rsidRDefault="00207632" w:rsidP="006B21E2">
            <w:pPr>
              <w:rPr>
                <w:color w:val="000000"/>
                <w:sz w:val="20"/>
                <w:szCs w:val="20"/>
              </w:rPr>
            </w:pPr>
            <w:r>
              <w:rPr>
                <w:color w:val="000000"/>
                <w:sz w:val="20"/>
                <w:szCs w:val="20"/>
              </w:rPr>
              <w:t>Protocols facilitating real value transfer (stablecoins, swaps, core DeFi) maintained fees; speculation-dependent protocols collapsed</w:t>
            </w:r>
          </w:p>
        </w:tc>
      </w:tr>
    </w:tbl>
    <w:p w14:paraId="51BA49B2" w14:textId="68D07FBF" w:rsidR="008C42CC" w:rsidRPr="00542848" w:rsidRDefault="008C42CC" w:rsidP="006B21E2">
      <w:pPr>
        <w:jc w:val="both"/>
        <w:rPr>
          <w:i/>
          <w:iCs/>
          <w:color w:val="000000" w:themeColor="text1"/>
          <w:sz w:val="22"/>
          <w:szCs w:val="22"/>
        </w:rPr>
      </w:pPr>
      <w:r w:rsidRPr="00542848">
        <w:rPr>
          <w:i/>
          <w:iCs/>
          <w:color w:val="000000" w:themeColor="text1"/>
          <w:sz w:val="22"/>
          <w:szCs w:val="22"/>
        </w:rPr>
        <w:t>Source: Fee generation analysis during 2022 crypto market downturn, comparing peak (Q4 2021) to trough (Q2-Q3 2022).</w:t>
      </w:r>
    </w:p>
    <w:p w14:paraId="72AA250D" w14:textId="77777777" w:rsidR="008C42CC" w:rsidRPr="008C42CC" w:rsidRDefault="008C42CC" w:rsidP="006B21E2">
      <w:pPr>
        <w:jc w:val="both"/>
        <w:rPr>
          <w:color w:val="FF0000"/>
        </w:rPr>
      </w:pPr>
    </w:p>
    <w:p w14:paraId="045C5970" w14:textId="77D8A690" w:rsidR="008C42CC" w:rsidRPr="00C65547" w:rsidRDefault="008C42CC" w:rsidP="006B21E2">
      <w:pPr>
        <w:jc w:val="both"/>
        <w:rPr>
          <w:b/>
          <w:bCs/>
          <w:color w:val="000000" w:themeColor="text1"/>
        </w:rPr>
      </w:pPr>
      <w:r w:rsidRPr="00C65547">
        <w:rPr>
          <w:b/>
          <w:bCs/>
          <w:color w:val="000000" w:themeColor="text1"/>
        </w:rPr>
        <w:t>Critical Findings:</w:t>
      </w:r>
    </w:p>
    <w:p w14:paraId="65DFDEF3" w14:textId="77777777" w:rsidR="008C42CC" w:rsidRPr="009D6F03" w:rsidRDefault="008C42CC" w:rsidP="006B21E2">
      <w:pPr>
        <w:jc w:val="both"/>
        <w:rPr>
          <w:color w:val="000000" w:themeColor="text1"/>
        </w:rPr>
      </w:pPr>
    </w:p>
    <w:p w14:paraId="5878F222" w14:textId="19AD7206" w:rsidR="008C42CC" w:rsidRPr="009D6F03" w:rsidRDefault="008C42CC" w:rsidP="006B21E2">
      <w:pPr>
        <w:ind w:left="720"/>
        <w:jc w:val="both"/>
        <w:rPr>
          <w:color w:val="000000" w:themeColor="text1"/>
        </w:rPr>
      </w:pPr>
      <w:r w:rsidRPr="009D6F03">
        <w:rPr>
          <w:b/>
          <w:bCs/>
          <w:i/>
          <w:iCs/>
          <w:color w:val="000000" w:themeColor="text1"/>
        </w:rPr>
        <w:t>Utility-Speculation Divide:</w:t>
      </w:r>
      <w:r w:rsidRPr="009D6F03">
        <w:rPr>
          <w:color w:val="000000" w:themeColor="text1"/>
        </w:rPr>
        <w:t xml:space="preserve"> Protocols maintaining &gt;60% of peak fees (resilient category) shared a common attribute: they facilitated genuine economic activity independent of token pric</w:t>
      </w:r>
      <w:r w:rsidR="009D6F03" w:rsidRPr="009D6F03">
        <w:rPr>
          <w:color w:val="000000" w:themeColor="text1"/>
        </w:rPr>
        <w:t>es</w:t>
      </w:r>
      <w:r w:rsidRPr="009D6F03">
        <w:rPr>
          <w:color w:val="000000" w:themeColor="text1"/>
        </w:rPr>
        <w:t>. BSC (71% retention) processed stablecoin transfers that occurred regardless of crypto market conditions. Ethereum (63%) supported DeFi infrastructure, NFT markets, and stablecoin issuance</w:t>
      </w:r>
      <w:r w:rsidR="009D6F03" w:rsidRPr="009D6F03">
        <w:rPr>
          <w:color w:val="000000" w:themeColor="text1"/>
        </w:rPr>
        <w:t xml:space="preserve">, which are all </w:t>
      </w:r>
      <w:r w:rsidRPr="009D6F03">
        <w:rPr>
          <w:color w:val="000000" w:themeColor="text1"/>
        </w:rPr>
        <w:t xml:space="preserve">activities with real-world value anchors. Curve (68%) enabled stablecoin swaps </w:t>
      </w:r>
      <w:r w:rsidR="009D6F03" w:rsidRPr="009D6F03">
        <w:rPr>
          <w:color w:val="000000" w:themeColor="text1"/>
        </w:rPr>
        <w:t xml:space="preserve">that are </w:t>
      </w:r>
      <w:r w:rsidRPr="009D6F03">
        <w:rPr>
          <w:color w:val="000000" w:themeColor="text1"/>
        </w:rPr>
        <w:t xml:space="preserve">essential for trading and portfolio management. These protocols' </w:t>
      </w:r>
      <w:proofErr w:type="gramStart"/>
      <w:r w:rsidRPr="009D6F03">
        <w:rPr>
          <w:color w:val="000000" w:themeColor="text1"/>
        </w:rPr>
        <w:t>fee sustainability</w:t>
      </w:r>
      <w:proofErr w:type="gramEnd"/>
      <w:r w:rsidRPr="009D6F03">
        <w:rPr>
          <w:color w:val="000000" w:themeColor="text1"/>
        </w:rPr>
        <w:t xml:space="preserve"> derived from providing services users needed rather than wanted.</w:t>
      </w:r>
    </w:p>
    <w:p w14:paraId="32EDE4BC" w14:textId="77777777" w:rsidR="008C42CC" w:rsidRPr="008C42CC" w:rsidRDefault="008C42CC" w:rsidP="006B21E2">
      <w:pPr>
        <w:ind w:left="720"/>
        <w:jc w:val="both"/>
        <w:rPr>
          <w:color w:val="FF0000"/>
        </w:rPr>
      </w:pPr>
    </w:p>
    <w:p w14:paraId="6B6CC6BA" w14:textId="4C49A3D4" w:rsidR="008C42CC" w:rsidRPr="009D6F03" w:rsidRDefault="008C42CC" w:rsidP="006B21E2">
      <w:pPr>
        <w:ind w:left="720"/>
        <w:jc w:val="both"/>
        <w:rPr>
          <w:color w:val="000000" w:themeColor="text1"/>
        </w:rPr>
      </w:pPr>
      <w:r w:rsidRPr="009D6F03">
        <w:rPr>
          <w:b/>
          <w:bCs/>
          <w:i/>
          <w:iCs/>
          <w:color w:val="000000" w:themeColor="text1"/>
        </w:rPr>
        <w:t>Speculation-Dependent Collapse:</w:t>
      </w:r>
      <w:r w:rsidRPr="009D6F03">
        <w:rPr>
          <w:color w:val="000000" w:themeColor="text1"/>
        </w:rPr>
        <w:t xml:space="preserve"> Protocols retaining &lt;30% of peak fees demonstrated </w:t>
      </w:r>
      <w:r w:rsidR="009D6F03" w:rsidRPr="009D6F03">
        <w:rPr>
          <w:color w:val="000000" w:themeColor="text1"/>
        </w:rPr>
        <w:t xml:space="preserve">a </w:t>
      </w:r>
      <w:r w:rsidRPr="009D6F03">
        <w:rPr>
          <w:color w:val="000000" w:themeColor="text1"/>
        </w:rPr>
        <w:t>symmetric dependence on favorable market conditions. Ronin (8% retention) collapsed when Axie Infinity's play-to-earn model became unprofitable</w:t>
      </w:r>
      <w:r w:rsidR="009D6F03" w:rsidRPr="009D6F03">
        <w:rPr>
          <w:color w:val="000000" w:themeColor="text1"/>
        </w:rPr>
        <w:t>. T</w:t>
      </w:r>
      <w:r w:rsidRPr="009D6F03">
        <w:rPr>
          <w:color w:val="000000" w:themeColor="text1"/>
        </w:rPr>
        <w:t xml:space="preserve">he </w:t>
      </w:r>
      <w:proofErr w:type="spellStart"/>
      <w:r w:rsidR="009D6F03" w:rsidRPr="009D6F03">
        <w:rPr>
          <w:color w:val="000000" w:themeColor="text1"/>
        </w:rPr>
        <w:t>stragey</w:t>
      </w:r>
      <w:proofErr w:type="spellEnd"/>
      <w:r w:rsidR="009D6F03" w:rsidRPr="009D6F03">
        <w:rPr>
          <w:color w:val="000000" w:themeColor="text1"/>
        </w:rPr>
        <w:t xml:space="preserve"> for that</w:t>
      </w:r>
      <w:r w:rsidRPr="009D6F03">
        <w:rPr>
          <w:color w:val="000000" w:themeColor="text1"/>
        </w:rPr>
        <w:t xml:space="preserve"> worked only when token rewards exceeded </w:t>
      </w:r>
      <w:r w:rsidR="009D6F03" w:rsidRPr="009D6F03">
        <w:rPr>
          <w:color w:val="000000" w:themeColor="text1"/>
        </w:rPr>
        <w:t xml:space="preserve">the </w:t>
      </w:r>
      <w:r w:rsidRPr="009D6F03">
        <w:rPr>
          <w:color w:val="000000" w:themeColor="text1"/>
        </w:rPr>
        <w:t>time costs. Yield farming protocols (&lt;5% retention) relied entirely on unsustainable APYs from token emissions</w:t>
      </w:r>
      <w:r w:rsidR="009D6F03" w:rsidRPr="009D6F03">
        <w:rPr>
          <w:color w:val="000000" w:themeColor="text1"/>
        </w:rPr>
        <w:t xml:space="preserve"> - </w:t>
      </w:r>
      <w:r w:rsidRPr="009D6F03">
        <w:rPr>
          <w:color w:val="000000" w:themeColor="text1"/>
        </w:rPr>
        <w:t xml:space="preserve">when emissions compressed, activity disappeared </w:t>
      </w:r>
      <w:r w:rsidR="009D6F03" w:rsidRPr="009D6F03">
        <w:rPr>
          <w:color w:val="000000" w:themeColor="text1"/>
        </w:rPr>
        <w:t xml:space="preserve">almost </w:t>
      </w:r>
      <w:r w:rsidRPr="009D6F03">
        <w:rPr>
          <w:color w:val="000000" w:themeColor="text1"/>
        </w:rPr>
        <w:t xml:space="preserve">instantly. New L1 launches (near-zero retention) had attracted users through speculative interest in native tokens rather than </w:t>
      </w:r>
      <w:r w:rsidR="009D6F03" w:rsidRPr="009D6F03">
        <w:rPr>
          <w:color w:val="000000" w:themeColor="text1"/>
        </w:rPr>
        <w:t xml:space="preserve">the </w:t>
      </w:r>
      <w:r w:rsidRPr="009D6F03">
        <w:rPr>
          <w:color w:val="000000" w:themeColor="text1"/>
        </w:rPr>
        <w:t>protocol utility.</w:t>
      </w:r>
    </w:p>
    <w:p w14:paraId="4710C3E2" w14:textId="77777777" w:rsidR="008C42CC" w:rsidRPr="008C42CC" w:rsidRDefault="008C42CC" w:rsidP="006B21E2">
      <w:pPr>
        <w:ind w:left="720"/>
        <w:jc w:val="both"/>
        <w:rPr>
          <w:color w:val="FF0000"/>
        </w:rPr>
      </w:pPr>
    </w:p>
    <w:p w14:paraId="693787BF" w14:textId="18C771CD" w:rsidR="008C42CC" w:rsidRPr="009D6F03" w:rsidRDefault="008C42CC" w:rsidP="006B21E2">
      <w:pPr>
        <w:ind w:left="720"/>
        <w:jc w:val="both"/>
        <w:rPr>
          <w:color w:val="000000" w:themeColor="text1"/>
        </w:rPr>
      </w:pPr>
      <w:r w:rsidRPr="009D6F03">
        <w:rPr>
          <w:b/>
          <w:bCs/>
          <w:i/>
          <w:iCs/>
          <w:color w:val="000000" w:themeColor="text1"/>
        </w:rPr>
        <w:t>Resilience Threshold:</w:t>
      </w:r>
      <w:r w:rsidRPr="009D6F03">
        <w:rPr>
          <w:color w:val="000000" w:themeColor="text1"/>
        </w:rPr>
        <w:t xml:space="preserve"> The &gt;60% versus &lt;30% retention pattern reveals a stark bifurcation rather than gradual degradation. No protocols in the tracked sample retained 30-60% of peak fees</w:t>
      </w:r>
      <w:r w:rsidR="009D6F03" w:rsidRPr="009D6F03">
        <w:rPr>
          <w:color w:val="000000" w:themeColor="text1"/>
        </w:rPr>
        <w:t xml:space="preserve">. What was identified was that </w:t>
      </w:r>
      <w:r w:rsidRPr="009D6F03">
        <w:rPr>
          <w:color w:val="000000" w:themeColor="text1"/>
        </w:rPr>
        <w:t xml:space="preserve">they either maintained </w:t>
      </w:r>
      <w:r w:rsidR="009D6F03" w:rsidRPr="009D6F03">
        <w:rPr>
          <w:color w:val="000000" w:themeColor="text1"/>
        </w:rPr>
        <w:t xml:space="preserve">a </w:t>
      </w:r>
      <w:r w:rsidRPr="009D6F03">
        <w:rPr>
          <w:color w:val="000000" w:themeColor="text1"/>
        </w:rPr>
        <w:t>robust activity (&gt;60%) or collapsed nearly entirely (&lt;30%). This bimodal distribution suggests that marginal utility</w:t>
      </w:r>
      <w:r w:rsidR="009D6F03" w:rsidRPr="009D6F03">
        <w:rPr>
          <w:color w:val="000000" w:themeColor="text1"/>
        </w:rPr>
        <w:t xml:space="preserve">, one that is </w:t>
      </w:r>
      <w:r w:rsidRPr="009D6F03">
        <w:rPr>
          <w:color w:val="000000" w:themeColor="text1"/>
        </w:rPr>
        <w:t>barely sufficient to justify usage during bull markets</w:t>
      </w:r>
      <w:r w:rsidR="009D6F03" w:rsidRPr="009D6F03">
        <w:rPr>
          <w:color w:val="000000" w:themeColor="text1"/>
        </w:rPr>
        <w:t xml:space="preserve">, </w:t>
      </w:r>
      <w:r w:rsidRPr="009D6F03">
        <w:rPr>
          <w:color w:val="000000" w:themeColor="text1"/>
        </w:rPr>
        <w:t xml:space="preserve">provides no protection during downturns. </w:t>
      </w:r>
    </w:p>
    <w:p w14:paraId="125F91A4" w14:textId="77777777" w:rsidR="008C42CC" w:rsidRPr="008C42CC" w:rsidRDefault="008C42CC" w:rsidP="006B21E2">
      <w:pPr>
        <w:ind w:left="720"/>
        <w:jc w:val="both"/>
        <w:rPr>
          <w:color w:val="FF0000"/>
        </w:rPr>
      </w:pPr>
    </w:p>
    <w:p w14:paraId="7762FF97" w14:textId="762A6C7E" w:rsidR="008C42CC" w:rsidRPr="00893A77" w:rsidRDefault="008C42CC" w:rsidP="006B21E2">
      <w:pPr>
        <w:ind w:left="720"/>
        <w:jc w:val="both"/>
        <w:rPr>
          <w:color w:val="000000" w:themeColor="text1"/>
        </w:rPr>
      </w:pPr>
      <w:r w:rsidRPr="00893A77">
        <w:rPr>
          <w:b/>
          <w:bCs/>
          <w:i/>
          <w:iCs/>
          <w:color w:val="000000" w:themeColor="text1"/>
        </w:rPr>
        <w:t>Stablecoin Correlation:</w:t>
      </w:r>
      <w:r w:rsidRPr="00893A77">
        <w:rPr>
          <w:color w:val="000000" w:themeColor="text1"/>
        </w:rPr>
        <w:t xml:space="preserve"> The three most resilient categories (stablecoin chains 71%, high-utility networks 63%, specialized protocols 68%) all involved significant stablecoin activity. Stablecoins represented counter-cyclical usage: traders fleeing to USD-pegged assets during volatility, DeFi users managing positions regardless of market direction, and real-world payments continuing independent of crypto prices. Stablecoin-related fees </w:t>
      </w:r>
      <w:proofErr w:type="gramStart"/>
      <w:r w:rsidRPr="00893A77">
        <w:rPr>
          <w:color w:val="000000" w:themeColor="text1"/>
        </w:rPr>
        <w:t>demonstrated</w:t>
      </w:r>
      <w:proofErr w:type="gramEnd"/>
      <w:r w:rsidRPr="00893A77">
        <w:rPr>
          <w:color w:val="000000" w:themeColor="text1"/>
        </w:rPr>
        <w:t xml:space="preserve"> sustainability through economic purpose </w:t>
      </w:r>
      <w:r w:rsidR="00893A77" w:rsidRPr="00893A77">
        <w:rPr>
          <w:color w:val="000000" w:themeColor="text1"/>
        </w:rPr>
        <w:t>and not speculation</w:t>
      </w:r>
      <w:r w:rsidRPr="00893A77">
        <w:rPr>
          <w:color w:val="000000" w:themeColor="text1"/>
        </w:rPr>
        <w:t>.</w:t>
      </w:r>
    </w:p>
    <w:p w14:paraId="2BF43AD8" w14:textId="77777777" w:rsidR="008C42CC" w:rsidRPr="008C42CC" w:rsidRDefault="008C42CC" w:rsidP="006B21E2">
      <w:pPr>
        <w:ind w:left="720"/>
        <w:jc w:val="both"/>
        <w:rPr>
          <w:color w:val="FF0000"/>
        </w:rPr>
      </w:pPr>
    </w:p>
    <w:p w14:paraId="53823507" w14:textId="38B4740E" w:rsidR="008C42CC" w:rsidRPr="00893A77" w:rsidRDefault="008C42CC" w:rsidP="006B21E2">
      <w:pPr>
        <w:ind w:left="720"/>
        <w:jc w:val="both"/>
        <w:rPr>
          <w:color w:val="000000" w:themeColor="text1"/>
        </w:rPr>
      </w:pPr>
      <w:r w:rsidRPr="00893A77">
        <w:rPr>
          <w:b/>
          <w:bCs/>
          <w:i/>
          <w:iCs/>
          <w:color w:val="000000" w:themeColor="text1"/>
        </w:rPr>
        <w:t>Leading Indicator Value:</w:t>
      </w:r>
      <w:r w:rsidRPr="00893A77">
        <w:rPr>
          <w:color w:val="000000" w:themeColor="text1"/>
        </w:rPr>
        <w:t xml:space="preserve"> Bear market fee retention appears to function as </w:t>
      </w:r>
      <w:r w:rsidR="00893A77" w:rsidRPr="00893A77">
        <w:rPr>
          <w:color w:val="000000" w:themeColor="text1"/>
        </w:rPr>
        <w:t xml:space="preserve">a </w:t>
      </w:r>
      <w:r w:rsidRPr="00893A77">
        <w:rPr>
          <w:color w:val="000000" w:themeColor="text1"/>
        </w:rPr>
        <w:t xml:space="preserve">leading indicator </w:t>
      </w:r>
      <w:r w:rsidR="00893A77" w:rsidRPr="00893A77">
        <w:rPr>
          <w:color w:val="000000" w:themeColor="text1"/>
        </w:rPr>
        <w:t xml:space="preserve">for </w:t>
      </w:r>
      <w:r w:rsidRPr="00893A77">
        <w:rPr>
          <w:color w:val="000000" w:themeColor="text1"/>
        </w:rPr>
        <w:t xml:space="preserve">long-term viability. Protocols surviving </w:t>
      </w:r>
      <w:r w:rsidR="00893A77" w:rsidRPr="00893A77">
        <w:rPr>
          <w:color w:val="000000" w:themeColor="text1"/>
        </w:rPr>
        <w:t xml:space="preserve">the </w:t>
      </w:r>
      <w:r w:rsidRPr="00893A77">
        <w:rPr>
          <w:color w:val="000000" w:themeColor="text1"/>
        </w:rPr>
        <w:t xml:space="preserve">2022 downturn with &gt;60% retention subsequently grew to dominate their categories in 2023-2024. Conversely, </w:t>
      </w:r>
      <w:r w:rsidRPr="00893A77">
        <w:rPr>
          <w:color w:val="000000" w:themeColor="text1"/>
        </w:rPr>
        <w:lastRenderedPageBreak/>
        <w:t>protocols showing &lt;30% retention either shut down entirely (yield farming protocols) or became economically marginal (&lt;2% of peak activity). The stress test revealed which protocols served temporary speculation versus permanent needs.</w:t>
      </w:r>
    </w:p>
    <w:p w14:paraId="45392F1A" w14:textId="77777777" w:rsidR="008C42CC" w:rsidRPr="008C42CC" w:rsidRDefault="008C42CC" w:rsidP="006B21E2">
      <w:pPr>
        <w:jc w:val="both"/>
        <w:rPr>
          <w:color w:val="FF0000"/>
        </w:rPr>
      </w:pPr>
    </w:p>
    <w:p w14:paraId="7110BDF0" w14:textId="77777777" w:rsidR="000E5324" w:rsidRPr="00A55856" w:rsidRDefault="008C42CC" w:rsidP="006B21E2">
      <w:pPr>
        <w:jc w:val="both"/>
        <w:rPr>
          <w:b/>
          <w:bCs/>
          <w:color w:val="000000" w:themeColor="text1"/>
        </w:rPr>
      </w:pPr>
      <w:r w:rsidRPr="00A55856">
        <w:rPr>
          <w:b/>
          <w:bCs/>
          <w:color w:val="000000" w:themeColor="text1"/>
        </w:rPr>
        <w:t>Theoretical Implication</w:t>
      </w:r>
    </w:p>
    <w:p w14:paraId="3DD0BEF4" w14:textId="5EA6DE0D" w:rsidR="008C42CC" w:rsidRPr="00A55856" w:rsidRDefault="00A55856" w:rsidP="006B21E2">
      <w:pPr>
        <w:jc w:val="both"/>
        <w:rPr>
          <w:color w:val="000000" w:themeColor="text1"/>
        </w:rPr>
      </w:pPr>
      <w:r w:rsidRPr="00A55856">
        <w:rPr>
          <w:color w:val="000000" w:themeColor="text1"/>
        </w:rPr>
        <w:t>The p</w:t>
      </w:r>
      <w:r w:rsidR="008C42CC" w:rsidRPr="00A55856">
        <w:rPr>
          <w:color w:val="000000" w:themeColor="text1"/>
        </w:rPr>
        <w:t xml:space="preserve">rotocol sustainability correlates with real economic activity generation rather than technical sophistication or marketing effectiveness. DeFi democratization claims based on technical accessibility (anyone can access gaming chains, yield farms) prove hollow when protocols lack </w:t>
      </w:r>
      <w:r w:rsidRPr="00A55856">
        <w:rPr>
          <w:color w:val="000000" w:themeColor="text1"/>
        </w:rPr>
        <w:t xml:space="preserve">the </w:t>
      </w:r>
      <w:r w:rsidR="008C42CC" w:rsidRPr="00A55856">
        <w:rPr>
          <w:color w:val="000000" w:themeColor="text1"/>
        </w:rPr>
        <w:t xml:space="preserve">genuine utility to survive adverse conditions. Sustainable participation requires selecting protocols </w:t>
      </w:r>
      <w:r w:rsidRPr="00A55856">
        <w:rPr>
          <w:color w:val="000000" w:themeColor="text1"/>
        </w:rPr>
        <w:t xml:space="preserve">that are </w:t>
      </w:r>
      <w:r w:rsidR="008C42CC" w:rsidRPr="00A55856">
        <w:rPr>
          <w:color w:val="000000" w:themeColor="text1"/>
        </w:rPr>
        <w:t>demonstrating &gt;60% bear market fee retention</w:t>
      </w:r>
      <w:r w:rsidRPr="00A55856">
        <w:rPr>
          <w:color w:val="000000" w:themeColor="text1"/>
        </w:rPr>
        <w:t xml:space="preserve">. This can </w:t>
      </w:r>
      <w:proofErr w:type="gramStart"/>
      <w:r w:rsidRPr="00A55856">
        <w:rPr>
          <w:color w:val="000000" w:themeColor="text1"/>
        </w:rPr>
        <w:t>be considered to be</w:t>
      </w:r>
      <w:proofErr w:type="gramEnd"/>
      <w:r w:rsidRPr="00A55856">
        <w:rPr>
          <w:color w:val="000000" w:themeColor="text1"/>
        </w:rPr>
        <w:t xml:space="preserve"> </w:t>
      </w:r>
      <w:r w:rsidR="008C42CC" w:rsidRPr="00A55856">
        <w:rPr>
          <w:color w:val="000000" w:themeColor="text1"/>
        </w:rPr>
        <w:t xml:space="preserve">a filter </w:t>
      </w:r>
      <w:r w:rsidRPr="00A55856">
        <w:rPr>
          <w:color w:val="000000" w:themeColor="text1"/>
        </w:rPr>
        <w:t xml:space="preserve">that </w:t>
      </w:r>
      <w:r w:rsidR="008C42CC" w:rsidRPr="00A55856">
        <w:rPr>
          <w:color w:val="000000" w:themeColor="text1"/>
        </w:rPr>
        <w:t>eliminat</w:t>
      </w:r>
      <w:r w:rsidRPr="00A55856">
        <w:rPr>
          <w:color w:val="000000" w:themeColor="text1"/>
        </w:rPr>
        <w:t>es</w:t>
      </w:r>
      <w:r w:rsidR="008C42CC" w:rsidRPr="00A55856">
        <w:rPr>
          <w:color w:val="000000" w:themeColor="text1"/>
        </w:rPr>
        <w:t xml:space="preserve"> most "innovative" or "accessible" new launches in favor of established utility-focused protocols.</w:t>
      </w:r>
    </w:p>
    <w:p w14:paraId="0C3A6D90" w14:textId="77777777" w:rsidR="008C42CC" w:rsidRPr="008C42CC" w:rsidRDefault="008C42CC" w:rsidP="006B21E2">
      <w:pPr>
        <w:jc w:val="both"/>
        <w:rPr>
          <w:color w:val="FF0000"/>
        </w:rPr>
      </w:pPr>
    </w:p>
    <w:p w14:paraId="6667136E" w14:textId="77777777" w:rsidR="000E5324" w:rsidRPr="00BC1671" w:rsidRDefault="008C42CC" w:rsidP="006B21E2">
      <w:pPr>
        <w:jc w:val="both"/>
        <w:rPr>
          <w:b/>
          <w:bCs/>
          <w:color w:val="000000" w:themeColor="text1"/>
        </w:rPr>
      </w:pPr>
      <w:r w:rsidRPr="00BC1671">
        <w:rPr>
          <w:b/>
          <w:bCs/>
          <w:color w:val="000000" w:themeColor="text1"/>
        </w:rPr>
        <w:t>Practical Implication for Participants</w:t>
      </w:r>
    </w:p>
    <w:p w14:paraId="200AE0E1" w14:textId="3708803C" w:rsidR="005A6B47" w:rsidRPr="00BC1671" w:rsidRDefault="008C42CC" w:rsidP="006B21E2">
      <w:pPr>
        <w:jc w:val="both"/>
        <w:rPr>
          <w:rFonts w:eastAsiaTheme="majorEastAsia"/>
          <w:b/>
          <w:bCs/>
          <w:color w:val="000000" w:themeColor="text1"/>
        </w:rPr>
      </w:pPr>
      <w:r w:rsidRPr="00BC1671">
        <w:rPr>
          <w:color w:val="000000" w:themeColor="text1"/>
        </w:rPr>
        <w:t xml:space="preserve">When evaluating protocol-level income opportunities, </w:t>
      </w:r>
      <w:r w:rsidR="00BC1671" w:rsidRPr="00BC1671">
        <w:rPr>
          <w:color w:val="000000" w:themeColor="text1"/>
        </w:rPr>
        <w:t xml:space="preserve">the </w:t>
      </w:r>
      <w:r w:rsidRPr="00BC1671">
        <w:rPr>
          <w:color w:val="000000" w:themeColor="text1"/>
        </w:rPr>
        <w:t xml:space="preserve">current fee generation matters less than sustainability evidence. A protocol offering 15% APY but retaining only 20% of fees during downturns presents worse risk-adjusted opportunity than a protocol offering 6% APY with 65% fee retention. The stability differential outweighs the return differential when accounting for loss probability. Limited-capital participants cannot afford </w:t>
      </w:r>
      <w:r w:rsidR="00BC1671" w:rsidRPr="00BC1671">
        <w:rPr>
          <w:color w:val="000000" w:themeColor="text1"/>
        </w:rPr>
        <w:t xml:space="preserve">the </w:t>
      </w:r>
      <w:r w:rsidRPr="00BC1671">
        <w:rPr>
          <w:color w:val="000000" w:themeColor="text1"/>
        </w:rPr>
        <w:t>exposure to fragile protocols</w:t>
      </w:r>
      <w:r w:rsidR="00BC1671" w:rsidRPr="00BC1671">
        <w:rPr>
          <w:color w:val="000000" w:themeColor="text1"/>
        </w:rPr>
        <w:t xml:space="preserve"> where a</w:t>
      </w:r>
      <w:r w:rsidRPr="00BC1671">
        <w:rPr>
          <w:color w:val="000000" w:themeColor="text1"/>
        </w:rPr>
        <w:t xml:space="preserve"> single market cycle wipeout </w:t>
      </w:r>
      <w:r w:rsidR="00BC1671" w:rsidRPr="00BC1671">
        <w:rPr>
          <w:color w:val="000000" w:themeColor="text1"/>
        </w:rPr>
        <w:t xml:space="preserve">can </w:t>
      </w:r>
      <w:r w:rsidRPr="00BC1671">
        <w:rPr>
          <w:color w:val="000000" w:themeColor="text1"/>
        </w:rPr>
        <w:t>eliminate years of modest gains.</w:t>
      </w:r>
    </w:p>
    <w:p w14:paraId="2FB223A9" w14:textId="77777777" w:rsidR="005A6B47" w:rsidRPr="003C66A0" w:rsidRDefault="005A6B47" w:rsidP="006B21E2">
      <w:pPr>
        <w:jc w:val="both"/>
        <w:rPr>
          <w:rFonts w:eastAsiaTheme="majorEastAsia"/>
          <w:b/>
          <w:bCs/>
          <w:color w:val="000000" w:themeColor="text1"/>
        </w:rPr>
      </w:pPr>
    </w:p>
    <w:p w14:paraId="6071FC3B" w14:textId="7D08E5BF" w:rsidR="00331CD9" w:rsidRPr="003C66A0" w:rsidRDefault="008D6F57" w:rsidP="006B21E2">
      <w:pPr>
        <w:pStyle w:val="Heading2"/>
        <w:jc w:val="both"/>
        <w:rPr>
          <w:rFonts w:eastAsiaTheme="majorEastAsia"/>
        </w:rPr>
      </w:pPr>
      <w:bookmarkStart w:id="146" w:name="_Toc214721952"/>
      <w:r w:rsidRPr="001970FA">
        <w:rPr>
          <w:rFonts w:eastAsiaTheme="majorEastAsia"/>
        </w:rPr>
        <w:t>6</w:t>
      </w:r>
      <w:r w:rsidR="00331CD9" w:rsidRPr="001970FA">
        <w:rPr>
          <w:rFonts w:eastAsiaTheme="majorEastAsia"/>
        </w:rPr>
        <w:t>.4 Fee Abstraction Services: The Convenience Premium</w:t>
      </w:r>
      <w:bookmarkEnd w:id="146"/>
    </w:p>
    <w:p w14:paraId="0FE64D3C" w14:textId="77777777" w:rsidR="00331CD9" w:rsidRPr="003C66A0" w:rsidRDefault="00331CD9" w:rsidP="006B21E2">
      <w:pPr>
        <w:jc w:val="both"/>
        <w:rPr>
          <w:rFonts w:eastAsiaTheme="majorEastAsia"/>
          <w:bCs/>
          <w:color w:val="000000" w:themeColor="text1"/>
        </w:rPr>
      </w:pPr>
      <w:r w:rsidRPr="003C66A0">
        <w:rPr>
          <w:rFonts w:eastAsiaTheme="majorEastAsia"/>
          <w:bCs/>
          <w:color w:val="000000" w:themeColor="text1"/>
        </w:rPr>
        <w:t>Analysis of 23 fee abstraction services reveals their economics for different user segments.</w:t>
      </w:r>
    </w:p>
    <w:p w14:paraId="7E5BC081" w14:textId="77777777" w:rsidR="005C21FD" w:rsidRPr="003C66A0" w:rsidRDefault="005C21FD" w:rsidP="006B21E2">
      <w:pPr>
        <w:jc w:val="both"/>
        <w:rPr>
          <w:rFonts w:eastAsiaTheme="majorEastAsia"/>
          <w:b/>
          <w:bCs/>
          <w:color w:val="000000" w:themeColor="text1"/>
        </w:rPr>
      </w:pPr>
    </w:p>
    <w:p w14:paraId="112DBC8F" w14:textId="6C75C9D6" w:rsidR="00331CD9" w:rsidRPr="003C66A0" w:rsidRDefault="00C4575C" w:rsidP="006B21E2">
      <w:pPr>
        <w:pStyle w:val="Heading3"/>
        <w:jc w:val="both"/>
        <w:rPr>
          <w:rFonts w:eastAsiaTheme="majorEastAsia"/>
        </w:rPr>
      </w:pPr>
      <w:bookmarkStart w:id="147" w:name="_Toc214721953"/>
      <w:r>
        <w:rPr>
          <w:rFonts w:eastAsiaTheme="majorEastAsia"/>
        </w:rPr>
        <w:t>6</w:t>
      </w:r>
      <w:r w:rsidR="00331CD9" w:rsidRPr="003C66A0">
        <w:rPr>
          <w:rFonts w:eastAsiaTheme="majorEastAsia"/>
        </w:rPr>
        <w:t>.4.1 Meta-Transaction Services</w:t>
      </w:r>
      <w:bookmarkEnd w:id="147"/>
    </w:p>
    <w:p w14:paraId="22A7718C" w14:textId="77777777" w:rsidR="00331CD9" w:rsidRPr="003C66A0" w:rsidRDefault="00331CD9" w:rsidP="006B21E2">
      <w:pPr>
        <w:jc w:val="both"/>
        <w:rPr>
          <w:rFonts w:eastAsiaTheme="majorEastAsia"/>
          <w:bCs/>
          <w:color w:val="000000" w:themeColor="text1"/>
        </w:rPr>
      </w:pPr>
      <w:r w:rsidRPr="003C66A0">
        <w:rPr>
          <w:rFonts w:eastAsiaTheme="majorEastAsia"/>
          <w:bCs/>
          <w:color w:val="000000" w:themeColor="text1"/>
        </w:rPr>
        <w:t xml:space="preserve">Services like </w:t>
      </w:r>
      <w:proofErr w:type="spellStart"/>
      <w:r w:rsidRPr="003C66A0">
        <w:rPr>
          <w:rFonts w:eastAsiaTheme="majorEastAsia"/>
          <w:bCs/>
          <w:color w:val="000000" w:themeColor="text1"/>
        </w:rPr>
        <w:t>Biconomy</w:t>
      </w:r>
      <w:proofErr w:type="spellEnd"/>
      <w:r w:rsidRPr="003C66A0">
        <w:rPr>
          <w:rFonts w:eastAsiaTheme="majorEastAsia"/>
          <w:bCs/>
          <w:color w:val="000000" w:themeColor="text1"/>
        </w:rPr>
        <w:t xml:space="preserve"> enable "gasless" transactions by paying gas for users, recouping costs through premiums:</w:t>
      </w:r>
    </w:p>
    <w:p w14:paraId="0CBBD929" w14:textId="77777777" w:rsidR="00331CD9" w:rsidRPr="003C66A0" w:rsidRDefault="00331CD9" w:rsidP="006B21E2">
      <w:pPr>
        <w:numPr>
          <w:ilvl w:val="0"/>
          <w:numId w:val="48"/>
        </w:numPr>
        <w:jc w:val="both"/>
        <w:rPr>
          <w:rFonts w:eastAsiaTheme="majorEastAsia"/>
          <w:bCs/>
          <w:color w:val="000000" w:themeColor="text1"/>
        </w:rPr>
      </w:pPr>
      <w:r w:rsidRPr="003C66A0">
        <w:rPr>
          <w:rFonts w:eastAsiaTheme="majorEastAsia"/>
          <w:bCs/>
          <w:color w:val="000000" w:themeColor="text1"/>
        </w:rPr>
        <w:t>Base gas cost: 100%</w:t>
      </w:r>
    </w:p>
    <w:p w14:paraId="1D86B072" w14:textId="77777777" w:rsidR="00331CD9" w:rsidRPr="003C66A0" w:rsidRDefault="00331CD9" w:rsidP="006B21E2">
      <w:pPr>
        <w:numPr>
          <w:ilvl w:val="0"/>
          <w:numId w:val="48"/>
        </w:numPr>
        <w:jc w:val="both"/>
        <w:rPr>
          <w:rFonts w:eastAsiaTheme="majorEastAsia"/>
          <w:bCs/>
          <w:color w:val="000000" w:themeColor="text1"/>
        </w:rPr>
      </w:pPr>
      <w:r w:rsidRPr="003C66A0">
        <w:rPr>
          <w:rFonts w:eastAsiaTheme="majorEastAsia"/>
          <w:bCs/>
          <w:color w:val="000000" w:themeColor="text1"/>
        </w:rPr>
        <w:t>Service overhead: 15-25%</w:t>
      </w:r>
    </w:p>
    <w:p w14:paraId="532BC1E1" w14:textId="77777777" w:rsidR="00331CD9" w:rsidRPr="003C66A0" w:rsidRDefault="00331CD9" w:rsidP="006B21E2">
      <w:pPr>
        <w:numPr>
          <w:ilvl w:val="0"/>
          <w:numId w:val="48"/>
        </w:numPr>
        <w:jc w:val="both"/>
        <w:rPr>
          <w:rFonts w:eastAsiaTheme="majorEastAsia"/>
          <w:bCs/>
          <w:color w:val="000000" w:themeColor="text1"/>
        </w:rPr>
      </w:pPr>
      <w:r w:rsidRPr="003C66A0">
        <w:rPr>
          <w:rFonts w:eastAsiaTheme="majorEastAsia"/>
          <w:bCs/>
          <w:color w:val="000000" w:themeColor="text1"/>
        </w:rPr>
        <w:t>Margin requirement: 10-20%</w:t>
      </w:r>
    </w:p>
    <w:p w14:paraId="50B9C4FB" w14:textId="77777777" w:rsidR="00331CD9" w:rsidRPr="003C66A0" w:rsidRDefault="00331CD9" w:rsidP="006B21E2">
      <w:pPr>
        <w:numPr>
          <w:ilvl w:val="0"/>
          <w:numId w:val="48"/>
        </w:numPr>
        <w:jc w:val="both"/>
        <w:rPr>
          <w:rFonts w:eastAsiaTheme="majorEastAsia"/>
          <w:bCs/>
          <w:color w:val="000000" w:themeColor="text1"/>
        </w:rPr>
      </w:pPr>
      <w:r w:rsidRPr="003C66A0">
        <w:rPr>
          <w:rFonts w:eastAsiaTheme="majorEastAsia"/>
          <w:bCs/>
          <w:color w:val="000000" w:themeColor="text1"/>
        </w:rPr>
        <w:t xml:space="preserve">Total cost </w:t>
      </w:r>
      <w:proofErr w:type="gramStart"/>
      <w:r w:rsidRPr="003C66A0">
        <w:rPr>
          <w:rFonts w:eastAsiaTheme="majorEastAsia"/>
          <w:bCs/>
          <w:color w:val="000000" w:themeColor="text1"/>
        </w:rPr>
        <w:t>to</w:t>
      </w:r>
      <w:proofErr w:type="gramEnd"/>
      <w:r w:rsidRPr="003C66A0">
        <w:rPr>
          <w:rFonts w:eastAsiaTheme="majorEastAsia"/>
          <w:bCs/>
          <w:color w:val="000000" w:themeColor="text1"/>
        </w:rPr>
        <w:t xml:space="preserve"> user: 125-145% of direct transaction</w:t>
      </w:r>
    </w:p>
    <w:p w14:paraId="064F40F8" w14:textId="77777777" w:rsidR="005C21FD" w:rsidRPr="003C66A0" w:rsidRDefault="005C21FD" w:rsidP="006B21E2">
      <w:pPr>
        <w:jc w:val="both"/>
        <w:rPr>
          <w:rFonts w:eastAsiaTheme="majorEastAsia"/>
          <w:bCs/>
          <w:color w:val="000000" w:themeColor="text1"/>
        </w:rPr>
      </w:pPr>
    </w:p>
    <w:p w14:paraId="01C6AEC6" w14:textId="4CBC0B62" w:rsidR="00331CD9" w:rsidRPr="003C66A0" w:rsidRDefault="00331CD9" w:rsidP="006B21E2">
      <w:pPr>
        <w:jc w:val="both"/>
        <w:rPr>
          <w:rFonts w:eastAsiaTheme="majorEastAsia"/>
          <w:bCs/>
          <w:color w:val="000000" w:themeColor="text1"/>
        </w:rPr>
      </w:pPr>
      <w:r w:rsidRPr="003C66A0">
        <w:rPr>
          <w:rFonts w:eastAsiaTheme="majorEastAsia"/>
          <w:bCs/>
          <w:color w:val="000000" w:themeColor="text1"/>
        </w:rPr>
        <w:t xml:space="preserve">Users pay </w:t>
      </w:r>
      <w:r w:rsidR="006E792D" w:rsidRPr="003C66A0">
        <w:rPr>
          <w:rFonts w:eastAsiaTheme="majorEastAsia"/>
          <w:bCs/>
          <w:color w:val="000000" w:themeColor="text1"/>
        </w:rPr>
        <w:t xml:space="preserve">between </w:t>
      </w:r>
      <w:r w:rsidRPr="003C66A0">
        <w:rPr>
          <w:rFonts w:eastAsiaTheme="majorEastAsia"/>
          <w:bCs/>
          <w:color w:val="000000" w:themeColor="text1"/>
        </w:rPr>
        <w:t xml:space="preserve">25-45% premium for convenience. </w:t>
      </w:r>
      <w:r w:rsidR="006E792D" w:rsidRPr="003C66A0">
        <w:rPr>
          <w:rFonts w:eastAsiaTheme="majorEastAsia"/>
          <w:bCs/>
          <w:color w:val="000000" w:themeColor="text1"/>
        </w:rPr>
        <w:t>The s</w:t>
      </w:r>
      <w:r w:rsidRPr="003C66A0">
        <w:rPr>
          <w:rFonts w:eastAsiaTheme="majorEastAsia"/>
          <w:bCs/>
          <w:color w:val="000000" w:themeColor="text1"/>
        </w:rPr>
        <w:t>weet spot</w:t>
      </w:r>
      <w:r w:rsidR="006E792D" w:rsidRPr="003C66A0">
        <w:rPr>
          <w:rFonts w:eastAsiaTheme="majorEastAsia"/>
          <w:bCs/>
          <w:color w:val="000000" w:themeColor="text1"/>
        </w:rPr>
        <w:t xml:space="preserve"> is</w:t>
      </w:r>
      <w:r w:rsidRPr="003C66A0">
        <w:rPr>
          <w:rFonts w:eastAsiaTheme="majorEastAsia"/>
          <w:bCs/>
          <w:color w:val="000000" w:themeColor="text1"/>
        </w:rPr>
        <w:t xml:space="preserve"> $50-500 transactions where </w:t>
      </w:r>
      <w:r w:rsidR="006E792D" w:rsidRPr="003C66A0">
        <w:rPr>
          <w:rFonts w:eastAsiaTheme="majorEastAsia"/>
          <w:bCs/>
          <w:color w:val="000000" w:themeColor="text1"/>
        </w:rPr>
        <w:t xml:space="preserve">the </w:t>
      </w:r>
      <w:r w:rsidRPr="003C66A0">
        <w:rPr>
          <w:rFonts w:eastAsiaTheme="majorEastAsia"/>
          <w:bCs/>
          <w:color w:val="000000" w:themeColor="text1"/>
        </w:rPr>
        <w:t xml:space="preserve">premium justifies </w:t>
      </w:r>
      <w:proofErr w:type="gramStart"/>
      <w:r w:rsidR="006E792D" w:rsidRPr="003C66A0">
        <w:rPr>
          <w:rFonts w:eastAsiaTheme="majorEastAsia"/>
          <w:bCs/>
          <w:color w:val="000000" w:themeColor="text1"/>
        </w:rPr>
        <w:t xml:space="preserve">the </w:t>
      </w:r>
      <w:r w:rsidRPr="003C66A0">
        <w:rPr>
          <w:rFonts w:eastAsiaTheme="majorEastAsia"/>
          <w:bCs/>
          <w:color w:val="000000" w:themeColor="text1"/>
        </w:rPr>
        <w:t>simplicity</w:t>
      </w:r>
      <w:proofErr w:type="gramEnd"/>
      <w:r w:rsidRPr="003C66A0">
        <w:rPr>
          <w:rFonts w:eastAsiaTheme="majorEastAsia"/>
          <w:bCs/>
          <w:color w:val="000000" w:themeColor="text1"/>
        </w:rPr>
        <w:t xml:space="preserve"> but remains acceptable relative to value.</w:t>
      </w:r>
    </w:p>
    <w:p w14:paraId="44F0CDF3" w14:textId="77777777" w:rsidR="005C21FD" w:rsidRPr="003C66A0" w:rsidRDefault="005C21FD" w:rsidP="006B21E2">
      <w:pPr>
        <w:jc w:val="both"/>
        <w:rPr>
          <w:rFonts w:eastAsiaTheme="majorEastAsia"/>
          <w:b/>
          <w:bCs/>
          <w:color w:val="000000" w:themeColor="text1"/>
        </w:rPr>
      </w:pPr>
    </w:p>
    <w:p w14:paraId="3E2B9063" w14:textId="3DA15159" w:rsidR="00331CD9" w:rsidRPr="003C66A0" w:rsidRDefault="008D6F57" w:rsidP="006B21E2">
      <w:pPr>
        <w:pStyle w:val="Heading3"/>
        <w:jc w:val="both"/>
        <w:rPr>
          <w:rFonts w:eastAsiaTheme="majorEastAsia"/>
        </w:rPr>
      </w:pPr>
      <w:bookmarkStart w:id="148" w:name="_Toc214721954"/>
      <w:r w:rsidRPr="003C66A0">
        <w:rPr>
          <w:rFonts w:eastAsiaTheme="majorEastAsia"/>
        </w:rPr>
        <w:t>6</w:t>
      </w:r>
      <w:r w:rsidR="00331CD9" w:rsidRPr="003C66A0">
        <w:rPr>
          <w:rFonts w:eastAsiaTheme="majorEastAsia"/>
        </w:rPr>
        <w:t>.4.2 Fee Prediction Services</w:t>
      </w:r>
      <w:bookmarkEnd w:id="148"/>
    </w:p>
    <w:p w14:paraId="284EF11F" w14:textId="77777777" w:rsidR="00331CD9" w:rsidRPr="003C66A0" w:rsidRDefault="00331CD9" w:rsidP="006B21E2">
      <w:pPr>
        <w:jc w:val="both"/>
        <w:rPr>
          <w:rFonts w:eastAsiaTheme="majorEastAsia"/>
          <w:bCs/>
          <w:color w:val="000000" w:themeColor="text1"/>
        </w:rPr>
      </w:pPr>
      <w:r w:rsidRPr="003C66A0">
        <w:rPr>
          <w:rFonts w:eastAsiaTheme="majorEastAsia"/>
          <w:bCs/>
          <w:color w:val="000000" w:themeColor="text1"/>
        </w:rPr>
        <w:t>Testing 15 prediction services against optimal timing:</w:t>
      </w:r>
    </w:p>
    <w:p w14:paraId="778503DB" w14:textId="77777777" w:rsidR="00331CD9" w:rsidRPr="003C66A0" w:rsidRDefault="00331CD9" w:rsidP="006B21E2">
      <w:pPr>
        <w:numPr>
          <w:ilvl w:val="0"/>
          <w:numId w:val="49"/>
        </w:numPr>
        <w:jc w:val="both"/>
        <w:rPr>
          <w:rFonts w:eastAsiaTheme="majorEastAsia"/>
          <w:bCs/>
          <w:color w:val="000000" w:themeColor="text1"/>
        </w:rPr>
      </w:pPr>
      <w:r w:rsidRPr="003C66A0">
        <w:rPr>
          <w:rFonts w:eastAsiaTheme="majorEastAsia"/>
          <w:bCs/>
          <w:color w:val="000000" w:themeColor="text1"/>
        </w:rPr>
        <w:t>Best service (</w:t>
      </w:r>
      <w:proofErr w:type="spellStart"/>
      <w:r w:rsidRPr="003C66A0">
        <w:rPr>
          <w:rFonts w:eastAsiaTheme="majorEastAsia"/>
          <w:bCs/>
          <w:color w:val="000000" w:themeColor="text1"/>
        </w:rPr>
        <w:t>Blocknative</w:t>
      </w:r>
      <w:proofErr w:type="spellEnd"/>
      <w:r w:rsidRPr="003C66A0">
        <w:rPr>
          <w:rFonts w:eastAsiaTheme="majorEastAsia"/>
          <w:bCs/>
          <w:color w:val="000000" w:themeColor="text1"/>
        </w:rPr>
        <w:t>): 71% accuracy</w:t>
      </w:r>
    </w:p>
    <w:p w14:paraId="44F1E158" w14:textId="77777777" w:rsidR="00331CD9" w:rsidRPr="003C66A0" w:rsidRDefault="00331CD9" w:rsidP="006B21E2">
      <w:pPr>
        <w:numPr>
          <w:ilvl w:val="0"/>
          <w:numId w:val="49"/>
        </w:numPr>
        <w:jc w:val="both"/>
        <w:rPr>
          <w:rFonts w:eastAsiaTheme="majorEastAsia"/>
          <w:bCs/>
          <w:color w:val="000000" w:themeColor="text1"/>
        </w:rPr>
      </w:pPr>
      <w:r w:rsidRPr="003C66A0">
        <w:rPr>
          <w:rFonts w:eastAsiaTheme="majorEastAsia"/>
          <w:bCs/>
          <w:color w:val="000000" w:themeColor="text1"/>
        </w:rPr>
        <w:t>Simple heuristic (4am UTC): 58% accuracy</w:t>
      </w:r>
    </w:p>
    <w:p w14:paraId="191FC05F" w14:textId="77777777" w:rsidR="005C21FD" w:rsidRPr="003C66A0" w:rsidRDefault="005C21FD" w:rsidP="006B21E2">
      <w:pPr>
        <w:jc w:val="both"/>
        <w:rPr>
          <w:rFonts w:eastAsiaTheme="majorEastAsia"/>
          <w:bCs/>
          <w:color w:val="000000" w:themeColor="text1"/>
        </w:rPr>
      </w:pPr>
    </w:p>
    <w:p w14:paraId="0E5EBF51" w14:textId="26B0109B" w:rsidR="00331CD9" w:rsidRPr="003C66A0" w:rsidRDefault="00331CD9" w:rsidP="006B21E2">
      <w:pPr>
        <w:jc w:val="both"/>
        <w:rPr>
          <w:rFonts w:eastAsiaTheme="majorEastAsia"/>
          <w:bCs/>
          <w:color w:val="000000" w:themeColor="text1"/>
        </w:rPr>
      </w:pPr>
      <w:r w:rsidRPr="003C66A0">
        <w:rPr>
          <w:rFonts w:eastAsiaTheme="majorEastAsia"/>
          <w:bCs/>
          <w:color w:val="000000" w:themeColor="text1"/>
        </w:rPr>
        <w:t xml:space="preserve">The best service outperforms </w:t>
      </w:r>
      <w:proofErr w:type="gramStart"/>
      <w:r w:rsidRPr="003C66A0">
        <w:rPr>
          <w:rFonts w:eastAsiaTheme="majorEastAsia"/>
          <w:bCs/>
          <w:color w:val="000000" w:themeColor="text1"/>
        </w:rPr>
        <w:t>random</w:t>
      </w:r>
      <w:proofErr w:type="gramEnd"/>
      <w:r w:rsidRPr="003C66A0">
        <w:rPr>
          <w:rFonts w:eastAsiaTheme="majorEastAsia"/>
          <w:bCs/>
          <w:color w:val="000000" w:themeColor="text1"/>
        </w:rPr>
        <w:t xml:space="preserve"> by 13 percentage points. For $1,000 annual gas spending, optimal timing saves </w:t>
      </w:r>
      <w:r w:rsidR="00A61CFB" w:rsidRPr="003C66A0">
        <w:rPr>
          <w:rFonts w:eastAsiaTheme="majorEastAsia"/>
          <w:bCs/>
          <w:color w:val="000000" w:themeColor="text1"/>
        </w:rPr>
        <w:t xml:space="preserve">about </w:t>
      </w:r>
      <w:r w:rsidRPr="003C66A0">
        <w:rPr>
          <w:rFonts w:eastAsiaTheme="majorEastAsia"/>
          <w:bCs/>
          <w:color w:val="000000" w:themeColor="text1"/>
        </w:rPr>
        <w:t xml:space="preserve">$270. Premium services cost </w:t>
      </w:r>
      <w:r w:rsidR="00A61CFB" w:rsidRPr="003C66A0">
        <w:rPr>
          <w:rFonts w:eastAsiaTheme="majorEastAsia"/>
          <w:bCs/>
          <w:color w:val="000000" w:themeColor="text1"/>
        </w:rPr>
        <w:t xml:space="preserve">between </w:t>
      </w:r>
      <w:r w:rsidRPr="003C66A0">
        <w:rPr>
          <w:rFonts w:eastAsiaTheme="majorEastAsia"/>
          <w:bCs/>
          <w:color w:val="000000" w:themeColor="text1"/>
        </w:rPr>
        <w:t>$50</w:t>
      </w:r>
      <w:r w:rsidR="00A61CFB" w:rsidRPr="003C66A0">
        <w:rPr>
          <w:rFonts w:eastAsiaTheme="majorEastAsia"/>
          <w:bCs/>
          <w:color w:val="000000" w:themeColor="text1"/>
        </w:rPr>
        <w:t xml:space="preserve"> and </w:t>
      </w:r>
      <w:r w:rsidRPr="003C66A0">
        <w:rPr>
          <w:rFonts w:eastAsiaTheme="majorEastAsia"/>
          <w:bCs/>
          <w:color w:val="000000" w:themeColor="text1"/>
        </w:rPr>
        <w:t>100.</w:t>
      </w:r>
      <w:r w:rsidR="00A61CFB" w:rsidRPr="003C66A0">
        <w:rPr>
          <w:rFonts w:eastAsiaTheme="majorEastAsia"/>
          <w:bCs/>
          <w:color w:val="000000" w:themeColor="text1"/>
        </w:rPr>
        <w:t xml:space="preserve"> The net</w:t>
      </w:r>
      <w:r w:rsidRPr="003C66A0">
        <w:rPr>
          <w:rFonts w:eastAsiaTheme="majorEastAsia"/>
          <w:bCs/>
          <w:color w:val="000000" w:themeColor="text1"/>
        </w:rPr>
        <w:t xml:space="preserve"> benefit</w:t>
      </w:r>
      <w:r w:rsidR="00A61CFB" w:rsidRPr="003C66A0">
        <w:rPr>
          <w:rFonts w:eastAsiaTheme="majorEastAsia"/>
          <w:bCs/>
          <w:color w:val="000000" w:themeColor="text1"/>
        </w:rPr>
        <w:t xml:space="preserve"> between </w:t>
      </w:r>
      <w:r w:rsidRPr="003C66A0">
        <w:rPr>
          <w:rFonts w:eastAsiaTheme="majorEastAsia"/>
          <w:bCs/>
          <w:color w:val="000000" w:themeColor="text1"/>
        </w:rPr>
        <w:t>$170-220, only materializ</w:t>
      </w:r>
      <w:r w:rsidR="00A61CFB" w:rsidRPr="003C66A0">
        <w:rPr>
          <w:rFonts w:eastAsiaTheme="majorEastAsia"/>
          <w:bCs/>
          <w:color w:val="000000" w:themeColor="text1"/>
        </w:rPr>
        <w:t>es</w:t>
      </w:r>
      <w:r w:rsidRPr="003C66A0">
        <w:rPr>
          <w:rFonts w:eastAsiaTheme="majorEastAsia"/>
          <w:bCs/>
          <w:color w:val="000000" w:themeColor="text1"/>
        </w:rPr>
        <w:t xml:space="preserve"> with sufficient volume.</w:t>
      </w:r>
    </w:p>
    <w:p w14:paraId="25EC4B6B" w14:textId="77777777" w:rsidR="005C21FD" w:rsidRPr="003C66A0" w:rsidRDefault="005C21FD" w:rsidP="006B21E2">
      <w:pPr>
        <w:jc w:val="both"/>
        <w:rPr>
          <w:rFonts w:eastAsiaTheme="majorEastAsia"/>
          <w:b/>
          <w:bCs/>
          <w:color w:val="000000" w:themeColor="text1"/>
        </w:rPr>
      </w:pPr>
    </w:p>
    <w:p w14:paraId="63DE51CD" w14:textId="3ED0F953" w:rsidR="00331CD9" w:rsidRPr="003C66A0" w:rsidRDefault="008D6F57" w:rsidP="006B21E2">
      <w:pPr>
        <w:pStyle w:val="Heading2"/>
        <w:jc w:val="both"/>
        <w:rPr>
          <w:rFonts w:eastAsiaTheme="majorEastAsia"/>
        </w:rPr>
      </w:pPr>
      <w:bookmarkStart w:id="149" w:name="_Toc214721955"/>
      <w:r w:rsidRPr="003C66A0">
        <w:rPr>
          <w:rFonts w:eastAsiaTheme="majorEastAsia"/>
        </w:rPr>
        <w:t>6</w:t>
      </w:r>
      <w:r w:rsidR="00331CD9" w:rsidRPr="003C66A0">
        <w:rPr>
          <w:rFonts w:eastAsiaTheme="majorEastAsia"/>
        </w:rPr>
        <w:t>.5 Emerging Opportunities: Empirical Validation</w:t>
      </w:r>
      <w:bookmarkEnd w:id="149"/>
    </w:p>
    <w:p w14:paraId="62F51B55" w14:textId="77777777" w:rsidR="00331CD9" w:rsidRPr="003C66A0" w:rsidRDefault="00331CD9" w:rsidP="006B21E2">
      <w:pPr>
        <w:jc w:val="both"/>
        <w:rPr>
          <w:rFonts w:eastAsiaTheme="majorEastAsia"/>
          <w:bCs/>
          <w:color w:val="000000" w:themeColor="text1"/>
        </w:rPr>
      </w:pPr>
      <w:r w:rsidRPr="003C66A0">
        <w:rPr>
          <w:rFonts w:eastAsiaTheme="majorEastAsia"/>
          <w:bCs/>
          <w:color w:val="000000" w:themeColor="text1"/>
        </w:rPr>
        <w:t>Rather than speculating, this section analyzes emerging models showing early traction.</w:t>
      </w:r>
    </w:p>
    <w:p w14:paraId="6C042134" w14:textId="77777777" w:rsidR="005C21FD" w:rsidRPr="003C66A0" w:rsidRDefault="005C21FD" w:rsidP="006B21E2">
      <w:pPr>
        <w:jc w:val="both"/>
        <w:rPr>
          <w:rFonts w:eastAsiaTheme="majorEastAsia"/>
          <w:b/>
          <w:bCs/>
          <w:color w:val="000000" w:themeColor="text1"/>
        </w:rPr>
      </w:pPr>
    </w:p>
    <w:p w14:paraId="7026815D" w14:textId="15C1E0B5" w:rsidR="00331CD9" w:rsidRPr="003C66A0" w:rsidRDefault="008D6F57" w:rsidP="006B21E2">
      <w:pPr>
        <w:pStyle w:val="Heading3"/>
        <w:jc w:val="both"/>
        <w:rPr>
          <w:rFonts w:eastAsiaTheme="majorEastAsia"/>
        </w:rPr>
      </w:pPr>
      <w:bookmarkStart w:id="150" w:name="_Toc214721956"/>
      <w:r w:rsidRPr="003C66A0">
        <w:rPr>
          <w:rFonts w:eastAsiaTheme="majorEastAsia"/>
        </w:rPr>
        <w:t>6</w:t>
      </w:r>
      <w:r w:rsidR="00331CD9" w:rsidRPr="003C66A0">
        <w:rPr>
          <w:rFonts w:eastAsiaTheme="majorEastAsia"/>
        </w:rPr>
        <w:t>.5.1 Cross-Chain Fee Arbitrage</w:t>
      </w:r>
      <w:bookmarkEnd w:id="150"/>
    </w:p>
    <w:p w14:paraId="103DC5CC" w14:textId="77777777" w:rsidR="00331CD9" w:rsidRPr="003C66A0" w:rsidRDefault="00331CD9" w:rsidP="006B21E2">
      <w:pPr>
        <w:jc w:val="both"/>
        <w:rPr>
          <w:rFonts w:eastAsiaTheme="majorEastAsia"/>
          <w:bCs/>
          <w:color w:val="000000" w:themeColor="text1"/>
        </w:rPr>
      </w:pPr>
      <w:r w:rsidRPr="003C66A0">
        <w:rPr>
          <w:rFonts w:eastAsiaTheme="majorEastAsia"/>
          <w:bCs/>
          <w:color w:val="000000" w:themeColor="text1"/>
        </w:rPr>
        <w:lastRenderedPageBreak/>
        <w:t>Analysis of 10,000 cross-chain transactions reveals actual economics:</w:t>
      </w:r>
    </w:p>
    <w:p w14:paraId="2CD9E413" w14:textId="77777777" w:rsidR="00331CD9" w:rsidRPr="003C66A0" w:rsidRDefault="00331CD9" w:rsidP="006B21E2">
      <w:pPr>
        <w:numPr>
          <w:ilvl w:val="0"/>
          <w:numId w:val="50"/>
        </w:numPr>
        <w:jc w:val="both"/>
        <w:rPr>
          <w:rFonts w:eastAsiaTheme="majorEastAsia"/>
          <w:bCs/>
          <w:color w:val="000000" w:themeColor="text1"/>
        </w:rPr>
      </w:pPr>
      <w:r w:rsidRPr="003C66A0">
        <w:rPr>
          <w:rFonts w:eastAsiaTheme="majorEastAsia"/>
          <w:bCs/>
          <w:color w:val="000000" w:themeColor="text1"/>
        </w:rPr>
        <w:t>Gross opportunity: 0.3-0.8% average spread</w:t>
      </w:r>
    </w:p>
    <w:p w14:paraId="3E0F72E3" w14:textId="77777777" w:rsidR="00331CD9" w:rsidRPr="003C66A0" w:rsidRDefault="00331CD9" w:rsidP="006B21E2">
      <w:pPr>
        <w:numPr>
          <w:ilvl w:val="0"/>
          <w:numId w:val="50"/>
        </w:numPr>
        <w:jc w:val="both"/>
        <w:rPr>
          <w:rFonts w:eastAsiaTheme="majorEastAsia"/>
          <w:bCs/>
          <w:color w:val="000000" w:themeColor="text1"/>
        </w:rPr>
      </w:pPr>
      <w:r w:rsidRPr="003C66A0">
        <w:rPr>
          <w:rFonts w:eastAsiaTheme="majorEastAsia"/>
          <w:bCs/>
          <w:color w:val="000000" w:themeColor="text1"/>
        </w:rPr>
        <w:t>Transaction costs: 0.3-0.6% total</w:t>
      </w:r>
    </w:p>
    <w:p w14:paraId="71B73AF7" w14:textId="77777777" w:rsidR="00331CD9" w:rsidRPr="003C66A0" w:rsidRDefault="00331CD9" w:rsidP="006B21E2">
      <w:pPr>
        <w:numPr>
          <w:ilvl w:val="0"/>
          <w:numId w:val="50"/>
        </w:numPr>
        <w:jc w:val="both"/>
        <w:rPr>
          <w:rFonts w:eastAsiaTheme="majorEastAsia"/>
          <w:bCs/>
          <w:color w:val="000000" w:themeColor="text1"/>
        </w:rPr>
      </w:pPr>
      <w:r w:rsidRPr="003C66A0">
        <w:rPr>
          <w:rFonts w:eastAsiaTheme="majorEastAsia"/>
          <w:bCs/>
          <w:color w:val="000000" w:themeColor="text1"/>
        </w:rPr>
        <w:t>Net opportunity: -0.1% to +0.2% for &lt;$10,000 transactions</w:t>
      </w:r>
    </w:p>
    <w:p w14:paraId="5D4E9827" w14:textId="77777777" w:rsidR="005C21FD" w:rsidRPr="003C66A0" w:rsidRDefault="005C21FD" w:rsidP="006B21E2">
      <w:pPr>
        <w:jc w:val="both"/>
        <w:rPr>
          <w:rFonts w:eastAsiaTheme="majorEastAsia"/>
          <w:bCs/>
          <w:color w:val="000000" w:themeColor="text1"/>
        </w:rPr>
      </w:pPr>
    </w:p>
    <w:p w14:paraId="1D5E0108" w14:textId="2057A015" w:rsidR="00331CD9" w:rsidRPr="003C66A0" w:rsidRDefault="00331CD9" w:rsidP="006B21E2">
      <w:pPr>
        <w:jc w:val="both"/>
        <w:rPr>
          <w:rFonts w:eastAsiaTheme="majorEastAsia"/>
          <w:bCs/>
          <w:color w:val="000000" w:themeColor="text1"/>
        </w:rPr>
      </w:pPr>
      <w:r w:rsidRPr="003C66A0">
        <w:rPr>
          <w:rFonts w:eastAsiaTheme="majorEastAsia"/>
          <w:bCs/>
          <w:color w:val="000000" w:themeColor="text1"/>
        </w:rPr>
        <w:t xml:space="preserve">Profitable cross-chain arbitrage requires $50,000+ transaction sizes where </w:t>
      </w:r>
      <w:r w:rsidR="00A61CFB" w:rsidRPr="003C66A0">
        <w:rPr>
          <w:rFonts w:eastAsiaTheme="majorEastAsia"/>
          <w:bCs/>
          <w:color w:val="000000" w:themeColor="text1"/>
        </w:rPr>
        <w:t xml:space="preserve">the </w:t>
      </w:r>
      <w:r w:rsidRPr="003C66A0">
        <w:rPr>
          <w:rFonts w:eastAsiaTheme="majorEastAsia"/>
          <w:bCs/>
          <w:color w:val="000000" w:themeColor="text1"/>
        </w:rPr>
        <w:t>fixed costs become negligible.</w:t>
      </w:r>
    </w:p>
    <w:p w14:paraId="0FE2AAD6" w14:textId="77777777" w:rsidR="005C21FD" w:rsidRPr="003C66A0" w:rsidRDefault="005C21FD" w:rsidP="006B21E2">
      <w:pPr>
        <w:rPr>
          <w:rFonts w:eastAsiaTheme="majorEastAsia"/>
          <w:bCs/>
          <w:color w:val="000000" w:themeColor="text1"/>
        </w:rPr>
      </w:pPr>
    </w:p>
    <w:p w14:paraId="16AE6643" w14:textId="3955B1A8" w:rsidR="00331CD9" w:rsidRPr="003C66A0" w:rsidRDefault="008D6F57" w:rsidP="006B21E2">
      <w:pPr>
        <w:pStyle w:val="Heading3"/>
        <w:jc w:val="both"/>
        <w:rPr>
          <w:rFonts w:eastAsiaTheme="majorEastAsia"/>
        </w:rPr>
      </w:pPr>
      <w:bookmarkStart w:id="151" w:name="_Toc214721957"/>
      <w:r w:rsidRPr="003C66A0">
        <w:rPr>
          <w:rFonts w:eastAsiaTheme="majorEastAsia"/>
        </w:rPr>
        <w:t>6</w:t>
      </w:r>
      <w:r w:rsidR="00331CD9" w:rsidRPr="003C66A0">
        <w:rPr>
          <w:rFonts w:eastAsiaTheme="majorEastAsia"/>
        </w:rPr>
        <w:t>.5.2 Behavioral Fee Optimization</w:t>
      </w:r>
      <w:bookmarkEnd w:id="151"/>
    </w:p>
    <w:p w14:paraId="3B95DA21" w14:textId="77777777" w:rsidR="00331CD9" w:rsidRPr="003C66A0" w:rsidRDefault="00331CD9" w:rsidP="006B21E2">
      <w:pPr>
        <w:jc w:val="both"/>
        <w:rPr>
          <w:rFonts w:eastAsiaTheme="majorEastAsia"/>
          <w:bCs/>
          <w:color w:val="000000" w:themeColor="text1"/>
        </w:rPr>
      </w:pPr>
      <w:r w:rsidRPr="003C66A0">
        <w:rPr>
          <w:rFonts w:eastAsiaTheme="majorEastAsia"/>
          <w:bCs/>
          <w:color w:val="000000" w:themeColor="text1"/>
        </w:rPr>
        <w:t>A/B testing with 1,200 users shows:</w:t>
      </w:r>
    </w:p>
    <w:p w14:paraId="7EDDE9E5" w14:textId="77777777" w:rsidR="00331CD9" w:rsidRPr="003C66A0" w:rsidRDefault="00331CD9" w:rsidP="006B21E2">
      <w:pPr>
        <w:numPr>
          <w:ilvl w:val="0"/>
          <w:numId w:val="51"/>
        </w:numPr>
        <w:jc w:val="both"/>
        <w:rPr>
          <w:rFonts w:eastAsiaTheme="majorEastAsia"/>
          <w:bCs/>
          <w:color w:val="000000" w:themeColor="text1"/>
        </w:rPr>
      </w:pPr>
      <w:r w:rsidRPr="003C66A0">
        <w:rPr>
          <w:rFonts w:eastAsiaTheme="majorEastAsia"/>
          <w:bCs/>
          <w:color w:val="000000" w:themeColor="text1"/>
        </w:rPr>
        <w:t>Framing fees as "priority processing": 7% higher acceptance</w:t>
      </w:r>
    </w:p>
    <w:p w14:paraId="2262E217" w14:textId="77777777" w:rsidR="00331CD9" w:rsidRPr="003C66A0" w:rsidRDefault="00331CD9" w:rsidP="006B21E2">
      <w:pPr>
        <w:numPr>
          <w:ilvl w:val="0"/>
          <w:numId w:val="51"/>
        </w:numPr>
        <w:jc w:val="both"/>
        <w:rPr>
          <w:rFonts w:eastAsiaTheme="majorEastAsia"/>
          <w:bCs/>
          <w:color w:val="000000" w:themeColor="text1"/>
        </w:rPr>
      </w:pPr>
      <w:r w:rsidRPr="003C66A0">
        <w:rPr>
          <w:rFonts w:eastAsiaTheme="majorEastAsia"/>
          <w:bCs/>
          <w:color w:val="000000" w:themeColor="text1"/>
        </w:rPr>
        <w:t>Showing percentage vs absolute: 11% lower completion</w:t>
      </w:r>
    </w:p>
    <w:p w14:paraId="46885569" w14:textId="77777777" w:rsidR="00331CD9" w:rsidRPr="003C66A0" w:rsidRDefault="00331CD9" w:rsidP="006B21E2">
      <w:pPr>
        <w:numPr>
          <w:ilvl w:val="0"/>
          <w:numId w:val="51"/>
        </w:numPr>
        <w:jc w:val="both"/>
        <w:rPr>
          <w:rFonts w:eastAsiaTheme="majorEastAsia"/>
          <w:bCs/>
          <w:color w:val="000000" w:themeColor="text1"/>
        </w:rPr>
      </w:pPr>
      <w:r w:rsidRPr="003C66A0">
        <w:rPr>
          <w:rFonts w:eastAsiaTheme="majorEastAsia"/>
          <w:bCs/>
          <w:color w:val="000000" w:themeColor="text1"/>
        </w:rPr>
        <w:t>Default medium vs low gas: 34% higher success, 8% higher cost</w:t>
      </w:r>
    </w:p>
    <w:p w14:paraId="67D52489" w14:textId="77777777" w:rsidR="005C21FD" w:rsidRPr="003C66A0" w:rsidRDefault="005C21FD" w:rsidP="006B21E2">
      <w:pPr>
        <w:jc w:val="both"/>
        <w:rPr>
          <w:rFonts w:eastAsiaTheme="majorEastAsia"/>
          <w:bCs/>
          <w:color w:val="000000" w:themeColor="text1"/>
        </w:rPr>
      </w:pPr>
    </w:p>
    <w:p w14:paraId="77417ACD" w14:textId="59409415" w:rsidR="00331CD9" w:rsidRPr="003C66A0" w:rsidRDefault="00331CD9" w:rsidP="006B21E2">
      <w:pPr>
        <w:jc w:val="both"/>
        <w:rPr>
          <w:rFonts w:eastAsiaTheme="majorEastAsia"/>
          <w:bCs/>
          <w:color w:val="000000" w:themeColor="text1"/>
        </w:rPr>
      </w:pPr>
      <w:r w:rsidRPr="003C66A0">
        <w:rPr>
          <w:rFonts w:eastAsiaTheme="majorEastAsia"/>
          <w:bCs/>
          <w:color w:val="000000" w:themeColor="text1"/>
        </w:rPr>
        <w:t xml:space="preserve">Behavioral optimization </w:t>
      </w:r>
      <w:r w:rsidR="00A61CFB" w:rsidRPr="003C66A0">
        <w:rPr>
          <w:rFonts w:eastAsiaTheme="majorEastAsia"/>
          <w:bCs/>
          <w:color w:val="000000" w:themeColor="text1"/>
        </w:rPr>
        <w:t xml:space="preserve">does </w:t>
      </w:r>
      <w:r w:rsidRPr="003C66A0">
        <w:rPr>
          <w:rFonts w:eastAsiaTheme="majorEastAsia"/>
          <w:bCs/>
          <w:color w:val="000000" w:themeColor="text1"/>
        </w:rPr>
        <w:t xml:space="preserve">work but raises ethical questions about manipulating users into paying more while thinking </w:t>
      </w:r>
      <w:r w:rsidR="00A61CFB" w:rsidRPr="003C66A0">
        <w:rPr>
          <w:rFonts w:eastAsiaTheme="majorEastAsia"/>
          <w:bCs/>
          <w:color w:val="000000" w:themeColor="text1"/>
        </w:rPr>
        <w:t>t</w:t>
      </w:r>
      <w:r w:rsidR="003527F8" w:rsidRPr="003C66A0">
        <w:rPr>
          <w:rFonts w:eastAsiaTheme="majorEastAsia"/>
          <w:bCs/>
          <w:color w:val="000000" w:themeColor="text1"/>
        </w:rPr>
        <w:t xml:space="preserve">hey are </w:t>
      </w:r>
      <w:r w:rsidRPr="003C66A0">
        <w:rPr>
          <w:rFonts w:eastAsiaTheme="majorEastAsia"/>
          <w:bCs/>
          <w:color w:val="000000" w:themeColor="text1"/>
        </w:rPr>
        <w:t>optimizing.</w:t>
      </w:r>
    </w:p>
    <w:p w14:paraId="2F8F6934" w14:textId="77777777" w:rsidR="005C21FD" w:rsidRPr="003C66A0" w:rsidRDefault="005C21FD" w:rsidP="006B21E2">
      <w:pPr>
        <w:jc w:val="both"/>
        <w:rPr>
          <w:rFonts w:eastAsiaTheme="majorEastAsia"/>
          <w:b/>
          <w:bCs/>
          <w:color w:val="000000" w:themeColor="text1"/>
        </w:rPr>
      </w:pPr>
    </w:p>
    <w:p w14:paraId="4B64F9BC" w14:textId="2BF33856" w:rsidR="00E3704B" w:rsidRPr="003C66A0" w:rsidRDefault="008D6F57" w:rsidP="006B21E2">
      <w:pPr>
        <w:pStyle w:val="Heading2"/>
        <w:jc w:val="both"/>
        <w:rPr>
          <w:rFonts w:eastAsiaTheme="majorEastAsia"/>
        </w:rPr>
      </w:pPr>
      <w:bookmarkStart w:id="152" w:name="_Toc214721958"/>
      <w:r w:rsidRPr="003C66A0">
        <w:rPr>
          <w:rFonts w:eastAsiaTheme="majorEastAsia"/>
        </w:rPr>
        <w:t>6</w:t>
      </w:r>
      <w:r w:rsidR="00331CD9" w:rsidRPr="003C66A0">
        <w:rPr>
          <w:rFonts w:eastAsiaTheme="majorEastAsia"/>
        </w:rPr>
        <w:t>.6 Synthesis: Protocol-Level Realities</w:t>
      </w:r>
      <w:bookmarkEnd w:id="152"/>
    </w:p>
    <w:p w14:paraId="5F3BFBE9" w14:textId="77777777" w:rsidR="006A75F1" w:rsidRDefault="00E3704B" w:rsidP="006B21E2">
      <w:pPr>
        <w:jc w:val="both"/>
        <w:rPr>
          <w:rFonts w:eastAsiaTheme="majorEastAsia"/>
          <w:bCs/>
          <w:color w:val="000000" w:themeColor="text1"/>
        </w:rPr>
      </w:pPr>
      <w:r w:rsidRPr="003C66A0">
        <w:rPr>
          <w:rFonts w:eastAsiaTheme="majorEastAsia"/>
          <w:bCs/>
          <w:color w:val="000000" w:themeColor="text1"/>
        </w:rPr>
        <w:t xml:space="preserve">The fact that high-fee networks are still around even when there are cheaper options shows that </w:t>
      </w:r>
      <w:proofErr w:type="gramStart"/>
      <w:r w:rsidRPr="003C66A0">
        <w:rPr>
          <w:rFonts w:eastAsiaTheme="majorEastAsia"/>
          <w:bCs/>
          <w:color w:val="000000" w:themeColor="text1"/>
        </w:rPr>
        <w:t>concentrating</w:t>
      </w:r>
      <w:proofErr w:type="gramEnd"/>
      <w:r w:rsidRPr="003C66A0">
        <w:rPr>
          <w:rFonts w:eastAsiaTheme="majorEastAsia"/>
          <w:bCs/>
          <w:color w:val="000000" w:themeColor="text1"/>
        </w:rPr>
        <w:t xml:space="preserve"> liquidity produces self-reinforcing advantages that make up for the higher costs. This pattern may explain why technical superiority alone seldom disrupts existing financial networks.</w:t>
      </w:r>
    </w:p>
    <w:p w14:paraId="6B11B301" w14:textId="77777777" w:rsidR="006A75F1" w:rsidRDefault="006A75F1" w:rsidP="006B21E2">
      <w:pPr>
        <w:jc w:val="both"/>
        <w:rPr>
          <w:rFonts w:eastAsiaTheme="majorEastAsia"/>
          <w:bCs/>
          <w:color w:val="000000" w:themeColor="text1"/>
        </w:rPr>
      </w:pPr>
    </w:p>
    <w:p w14:paraId="703E1CFA" w14:textId="5567EE83" w:rsidR="006A75F1" w:rsidRPr="00362922" w:rsidRDefault="006A75F1" w:rsidP="006B21E2">
      <w:pPr>
        <w:pStyle w:val="Heading2"/>
        <w:jc w:val="both"/>
        <w:rPr>
          <w:color w:val="000000" w:themeColor="text1"/>
        </w:rPr>
      </w:pPr>
      <w:bookmarkStart w:id="153" w:name="_Toc214721959"/>
      <w:r w:rsidRPr="00362922">
        <w:rPr>
          <w:color w:val="000000" w:themeColor="text1"/>
        </w:rPr>
        <w:t>6.7 Plain Language Summary: How Blockchain Design Affect</w:t>
      </w:r>
      <w:r w:rsidR="00CC5C0D" w:rsidRPr="00362922">
        <w:rPr>
          <w:color w:val="000000" w:themeColor="text1"/>
        </w:rPr>
        <w:t xml:space="preserve"> </w:t>
      </w:r>
      <w:r w:rsidRPr="00362922">
        <w:rPr>
          <w:color w:val="000000" w:themeColor="text1"/>
        </w:rPr>
        <w:t>Income</w:t>
      </w:r>
      <w:bookmarkEnd w:id="153"/>
    </w:p>
    <w:p w14:paraId="19EA9371" w14:textId="15FD1C6E" w:rsidR="006A75F1" w:rsidRPr="00362922" w:rsidRDefault="006A75F1" w:rsidP="006B21E2">
      <w:pPr>
        <w:jc w:val="both"/>
        <w:rPr>
          <w:color w:val="000000" w:themeColor="text1"/>
        </w:rPr>
      </w:pPr>
      <w:r w:rsidRPr="00362922">
        <w:rPr>
          <w:color w:val="000000" w:themeColor="text1"/>
        </w:rPr>
        <w:t>Chapter 5 examined fees at the exchange/application level</w:t>
      </w:r>
      <w:r w:rsidR="003D7772" w:rsidRPr="00362922">
        <w:rPr>
          <w:color w:val="000000" w:themeColor="text1"/>
        </w:rPr>
        <w:t xml:space="preserve">, which are </w:t>
      </w:r>
      <w:r w:rsidRPr="00362922">
        <w:rPr>
          <w:color w:val="000000" w:themeColor="text1"/>
        </w:rPr>
        <w:t xml:space="preserve">the costs </w:t>
      </w:r>
      <w:r w:rsidR="003D7772" w:rsidRPr="00362922">
        <w:rPr>
          <w:color w:val="000000" w:themeColor="text1"/>
        </w:rPr>
        <w:t>participants</w:t>
      </w:r>
      <w:r w:rsidRPr="00362922">
        <w:rPr>
          <w:color w:val="000000" w:themeColor="text1"/>
        </w:rPr>
        <w:t xml:space="preserve"> see when trading or providing liquidity. This chapter examine</w:t>
      </w:r>
      <w:r w:rsidR="003D7772" w:rsidRPr="00362922">
        <w:rPr>
          <w:color w:val="000000" w:themeColor="text1"/>
        </w:rPr>
        <w:t>s</w:t>
      </w:r>
      <w:r w:rsidRPr="00362922">
        <w:rPr>
          <w:color w:val="000000" w:themeColor="text1"/>
        </w:rPr>
        <w:t xml:space="preserve"> fees at a deeper level</w:t>
      </w:r>
      <w:r w:rsidR="003D7772" w:rsidRPr="00362922">
        <w:rPr>
          <w:color w:val="000000" w:themeColor="text1"/>
        </w:rPr>
        <w:t>, showing</w:t>
      </w:r>
      <w:r w:rsidRPr="00362922">
        <w:rPr>
          <w:color w:val="000000" w:themeColor="text1"/>
        </w:rPr>
        <w:t xml:space="preserve"> how the blockchain itself generates and distributes fees through its core protocol. For non-technical readers, this section explains what protocol-level fees mean for income generation opportunities</w:t>
      </w:r>
      <w:r w:rsidR="003D7772" w:rsidRPr="00362922">
        <w:rPr>
          <w:color w:val="000000" w:themeColor="text1"/>
        </w:rPr>
        <w:t xml:space="preserve"> and how that impacts the outcomes.</w:t>
      </w:r>
    </w:p>
    <w:p w14:paraId="245A9960" w14:textId="77777777" w:rsidR="005804FC" w:rsidRPr="00362922" w:rsidRDefault="005804FC" w:rsidP="006B21E2">
      <w:pPr>
        <w:jc w:val="both"/>
        <w:rPr>
          <w:color w:val="000000" w:themeColor="text1"/>
        </w:rPr>
      </w:pPr>
    </w:p>
    <w:p w14:paraId="5CE3DCDE" w14:textId="3FE338BF" w:rsidR="005804FC" w:rsidRPr="00362922" w:rsidRDefault="003D7772" w:rsidP="006B21E2">
      <w:pPr>
        <w:pStyle w:val="Heading3"/>
        <w:jc w:val="both"/>
        <w:rPr>
          <w:color w:val="000000" w:themeColor="text1"/>
        </w:rPr>
      </w:pPr>
      <w:bookmarkStart w:id="154" w:name="_Toc214721960"/>
      <w:r w:rsidRPr="00362922">
        <w:rPr>
          <w:color w:val="000000" w:themeColor="text1"/>
        </w:rPr>
        <w:t xml:space="preserve">6.7.1 </w:t>
      </w:r>
      <w:r w:rsidR="006A75F1" w:rsidRPr="00362922">
        <w:rPr>
          <w:color w:val="000000" w:themeColor="text1"/>
        </w:rPr>
        <w:t>Understanding Protocol-Level vs. Application-Level Fees</w:t>
      </w:r>
      <w:bookmarkEnd w:id="154"/>
    </w:p>
    <w:p w14:paraId="0FB0D133" w14:textId="11E71537" w:rsidR="006A75F1" w:rsidRPr="00362922" w:rsidRDefault="00E9781A" w:rsidP="006B21E2">
      <w:pPr>
        <w:jc w:val="both"/>
        <w:rPr>
          <w:color w:val="000000" w:themeColor="text1"/>
        </w:rPr>
      </w:pPr>
      <w:r w:rsidRPr="00362922">
        <w:rPr>
          <w:color w:val="000000" w:themeColor="text1"/>
        </w:rPr>
        <w:t>B</w:t>
      </w:r>
      <w:r w:rsidR="006A75F1" w:rsidRPr="00362922">
        <w:rPr>
          <w:color w:val="000000" w:themeColor="text1"/>
        </w:rPr>
        <w:t xml:space="preserve">lockchain infrastructure </w:t>
      </w:r>
      <w:r w:rsidRPr="00362922">
        <w:rPr>
          <w:color w:val="000000" w:themeColor="text1"/>
        </w:rPr>
        <w:t xml:space="preserve">can be seen </w:t>
      </w:r>
      <w:r w:rsidR="006A75F1" w:rsidRPr="00362922">
        <w:rPr>
          <w:color w:val="000000" w:themeColor="text1"/>
        </w:rPr>
        <w:t>in layers</w:t>
      </w:r>
      <w:r w:rsidRPr="00362922">
        <w:rPr>
          <w:color w:val="000000" w:themeColor="text1"/>
        </w:rPr>
        <w:t xml:space="preserve"> – </w:t>
      </w:r>
      <w:proofErr w:type="gramStart"/>
      <w:r w:rsidRPr="00362922">
        <w:rPr>
          <w:color w:val="000000" w:themeColor="text1"/>
        </w:rPr>
        <w:t>similar to</w:t>
      </w:r>
      <w:proofErr w:type="gramEnd"/>
      <w:r w:rsidRPr="00362922">
        <w:rPr>
          <w:color w:val="000000" w:themeColor="text1"/>
        </w:rPr>
        <w:t xml:space="preserve"> a</w:t>
      </w:r>
      <w:r w:rsidR="006A75F1" w:rsidRPr="00362922">
        <w:rPr>
          <w:color w:val="000000" w:themeColor="text1"/>
        </w:rPr>
        <w:t xml:space="preserve"> building:</w:t>
      </w:r>
    </w:p>
    <w:p w14:paraId="20C7A227" w14:textId="77777777" w:rsidR="005804FC" w:rsidRPr="00362922" w:rsidRDefault="005804FC" w:rsidP="006B21E2">
      <w:pPr>
        <w:jc w:val="both"/>
        <w:rPr>
          <w:color w:val="000000" w:themeColor="text1"/>
        </w:rPr>
      </w:pPr>
    </w:p>
    <w:p w14:paraId="0D565A70" w14:textId="77777777" w:rsidR="006A75F1" w:rsidRPr="00362922" w:rsidRDefault="006A75F1" w:rsidP="006B21E2">
      <w:pPr>
        <w:pStyle w:val="ListParagraph"/>
        <w:numPr>
          <w:ilvl w:val="0"/>
          <w:numId w:val="236"/>
        </w:numPr>
        <w:jc w:val="both"/>
        <w:rPr>
          <w:color w:val="000000" w:themeColor="text1"/>
        </w:rPr>
      </w:pPr>
      <w:r w:rsidRPr="00362922">
        <w:rPr>
          <w:rStyle w:val="Strong"/>
          <w:color w:val="000000" w:themeColor="text1"/>
        </w:rPr>
        <w:t>Ground floor (Protocol layer):</w:t>
      </w:r>
      <w:r w:rsidRPr="00362922">
        <w:rPr>
          <w:color w:val="000000" w:themeColor="text1"/>
        </w:rPr>
        <w:t xml:space="preserve"> The blockchain itself—Ethereum, Solana, Polygon. This layer charges fees for processing any transaction, regardless of what that transaction does. These are "protocol-level fees."</w:t>
      </w:r>
    </w:p>
    <w:p w14:paraId="6261D950" w14:textId="77777777" w:rsidR="00E9781A" w:rsidRPr="00362922" w:rsidRDefault="00E9781A" w:rsidP="006B21E2">
      <w:pPr>
        <w:jc w:val="both"/>
        <w:rPr>
          <w:rStyle w:val="Strong"/>
          <w:color w:val="000000" w:themeColor="text1"/>
        </w:rPr>
      </w:pPr>
    </w:p>
    <w:p w14:paraId="44D8240C" w14:textId="692598BF" w:rsidR="006A75F1" w:rsidRPr="00362922" w:rsidRDefault="006A75F1" w:rsidP="006B21E2">
      <w:pPr>
        <w:pStyle w:val="ListParagraph"/>
        <w:numPr>
          <w:ilvl w:val="0"/>
          <w:numId w:val="236"/>
        </w:numPr>
        <w:jc w:val="both"/>
        <w:rPr>
          <w:color w:val="000000" w:themeColor="text1"/>
        </w:rPr>
      </w:pPr>
      <w:r w:rsidRPr="00362922">
        <w:rPr>
          <w:rStyle w:val="Strong"/>
          <w:color w:val="000000" w:themeColor="text1"/>
        </w:rPr>
        <w:t>Upper floors (Application layer):</w:t>
      </w:r>
      <w:r w:rsidRPr="00362922">
        <w:rPr>
          <w:color w:val="000000" w:themeColor="text1"/>
        </w:rPr>
        <w:t xml:space="preserve"> DeFi platforms built on the blockchain—Uniswap, </w:t>
      </w:r>
      <w:proofErr w:type="spellStart"/>
      <w:r w:rsidRPr="00362922">
        <w:rPr>
          <w:color w:val="000000" w:themeColor="text1"/>
        </w:rPr>
        <w:t>Aave</w:t>
      </w:r>
      <w:proofErr w:type="spellEnd"/>
      <w:r w:rsidRPr="00362922">
        <w:rPr>
          <w:color w:val="000000" w:themeColor="text1"/>
        </w:rPr>
        <w:t>, Curve. These charge additional fees for using their specific services. These are "application-level fees."</w:t>
      </w:r>
    </w:p>
    <w:p w14:paraId="71B1C626" w14:textId="77777777" w:rsidR="00894E2F" w:rsidRPr="00362922" w:rsidRDefault="00894E2F" w:rsidP="006B21E2">
      <w:pPr>
        <w:jc w:val="both"/>
        <w:rPr>
          <w:color w:val="000000" w:themeColor="text1"/>
        </w:rPr>
      </w:pPr>
    </w:p>
    <w:p w14:paraId="59D6A70C" w14:textId="4882A55C" w:rsidR="006A75F1" w:rsidRPr="00362922" w:rsidRDefault="006A75F1" w:rsidP="006B21E2">
      <w:pPr>
        <w:jc w:val="both"/>
        <w:rPr>
          <w:color w:val="000000" w:themeColor="text1"/>
        </w:rPr>
      </w:pPr>
      <w:r w:rsidRPr="00362922">
        <w:rPr>
          <w:rStyle w:val="Strong"/>
          <w:color w:val="000000" w:themeColor="text1"/>
        </w:rPr>
        <w:t>Why this matters:</w:t>
      </w:r>
      <w:r w:rsidRPr="00362922">
        <w:rPr>
          <w:color w:val="000000" w:themeColor="text1"/>
        </w:rPr>
        <w:t xml:space="preserve"> </w:t>
      </w:r>
      <w:r w:rsidR="00E9781A" w:rsidRPr="00362922">
        <w:rPr>
          <w:color w:val="000000" w:themeColor="text1"/>
        </w:rPr>
        <w:t xml:space="preserve">participants always </w:t>
      </w:r>
      <w:r w:rsidRPr="00362922">
        <w:rPr>
          <w:color w:val="000000" w:themeColor="text1"/>
        </w:rPr>
        <w:t xml:space="preserve">pay both types of fees. Chapter 5 examined application fees; this chapter examines protocol fees. Together, they determine </w:t>
      </w:r>
      <w:r w:rsidR="009959B5" w:rsidRPr="00362922">
        <w:rPr>
          <w:color w:val="000000" w:themeColor="text1"/>
        </w:rPr>
        <w:t xml:space="preserve">the </w:t>
      </w:r>
      <w:r w:rsidRPr="00362922">
        <w:rPr>
          <w:color w:val="000000" w:themeColor="text1"/>
        </w:rPr>
        <w:t>total costs and available income opportunities.</w:t>
      </w:r>
      <w:r w:rsidR="009959B5" w:rsidRPr="00362922">
        <w:rPr>
          <w:color w:val="000000" w:themeColor="text1"/>
        </w:rPr>
        <w:t xml:space="preserve"> To demonstrate this</w:t>
      </w:r>
      <w:r w:rsidR="006365DB" w:rsidRPr="00362922">
        <w:rPr>
          <w:color w:val="000000" w:themeColor="text1"/>
        </w:rPr>
        <w:t xml:space="preserve">, a good approach is to review EIP-1559 - </w:t>
      </w:r>
      <w:r w:rsidRPr="00362922">
        <w:rPr>
          <w:color w:val="000000" w:themeColor="text1"/>
        </w:rPr>
        <w:t>The Fee Burning Experiment</w:t>
      </w:r>
      <w:r w:rsidR="006365DB" w:rsidRPr="00362922">
        <w:rPr>
          <w:color w:val="000000" w:themeColor="text1"/>
        </w:rPr>
        <w:t xml:space="preserve">. </w:t>
      </w:r>
      <w:r w:rsidRPr="00362922">
        <w:rPr>
          <w:color w:val="000000" w:themeColor="text1"/>
        </w:rPr>
        <w:t xml:space="preserve">In August 2021, Ethereum implemented EIP-1559, fundamentally changing how the network handles fees. Understanding this </w:t>
      </w:r>
      <w:r w:rsidR="006365DB" w:rsidRPr="00362922">
        <w:rPr>
          <w:color w:val="000000" w:themeColor="text1"/>
        </w:rPr>
        <w:t xml:space="preserve">certainly </w:t>
      </w:r>
      <w:r w:rsidRPr="00362922">
        <w:rPr>
          <w:color w:val="000000" w:themeColor="text1"/>
        </w:rPr>
        <w:t xml:space="preserve">helps explain why Ethereum costs what it </w:t>
      </w:r>
      <w:r w:rsidR="006365DB" w:rsidRPr="00362922">
        <w:rPr>
          <w:color w:val="000000" w:themeColor="text1"/>
        </w:rPr>
        <w:t xml:space="preserve">does </w:t>
      </w:r>
      <w:proofErr w:type="gramStart"/>
      <w:r w:rsidR="006365DB" w:rsidRPr="00362922">
        <w:rPr>
          <w:color w:val="000000" w:themeColor="text1"/>
        </w:rPr>
        <w:t>and</w:t>
      </w:r>
      <w:r w:rsidR="002B7A44" w:rsidRPr="00362922">
        <w:rPr>
          <w:color w:val="000000" w:themeColor="text1"/>
        </w:rPr>
        <w:t xml:space="preserve"> </w:t>
      </w:r>
      <w:r w:rsidR="006365DB" w:rsidRPr="00362922">
        <w:rPr>
          <w:color w:val="000000" w:themeColor="text1"/>
        </w:rPr>
        <w:t xml:space="preserve"> is</w:t>
      </w:r>
      <w:proofErr w:type="gramEnd"/>
      <w:r w:rsidR="006365DB" w:rsidRPr="00362922">
        <w:rPr>
          <w:color w:val="000000" w:themeColor="text1"/>
        </w:rPr>
        <w:t xml:space="preserve"> key to cost management.</w:t>
      </w:r>
    </w:p>
    <w:p w14:paraId="0EAE28F9" w14:textId="77777777" w:rsidR="005804FC" w:rsidRPr="00362922" w:rsidRDefault="005804FC" w:rsidP="006B21E2">
      <w:pPr>
        <w:jc w:val="both"/>
        <w:rPr>
          <w:rStyle w:val="Strong"/>
          <w:color w:val="000000" w:themeColor="text1"/>
        </w:rPr>
      </w:pPr>
    </w:p>
    <w:p w14:paraId="1AD3522D" w14:textId="42BAADE6" w:rsidR="006A75F1" w:rsidRPr="00362922" w:rsidRDefault="006A75F1" w:rsidP="006B21E2">
      <w:pPr>
        <w:jc w:val="both"/>
        <w:rPr>
          <w:color w:val="000000" w:themeColor="text1"/>
        </w:rPr>
      </w:pPr>
      <w:r w:rsidRPr="00362922">
        <w:rPr>
          <w:rStyle w:val="Strong"/>
          <w:color w:val="000000" w:themeColor="text1"/>
        </w:rPr>
        <w:lastRenderedPageBreak/>
        <w:t>Before EIP-1559:</w:t>
      </w:r>
    </w:p>
    <w:p w14:paraId="38044185" w14:textId="77777777" w:rsidR="006A75F1" w:rsidRPr="00362922" w:rsidRDefault="006A75F1" w:rsidP="006B21E2">
      <w:pPr>
        <w:pStyle w:val="ListParagraph"/>
        <w:numPr>
          <w:ilvl w:val="0"/>
          <w:numId w:val="218"/>
        </w:numPr>
        <w:jc w:val="both"/>
        <w:rPr>
          <w:color w:val="000000" w:themeColor="text1"/>
        </w:rPr>
      </w:pPr>
      <w:r w:rsidRPr="00362922">
        <w:rPr>
          <w:color w:val="000000" w:themeColor="text1"/>
        </w:rPr>
        <w:t>All fees went to miners/validators</w:t>
      </w:r>
    </w:p>
    <w:p w14:paraId="00DBEB7C" w14:textId="77777777" w:rsidR="006A75F1" w:rsidRPr="00362922" w:rsidRDefault="006A75F1" w:rsidP="006B21E2">
      <w:pPr>
        <w:pStyle w:val="ListParagraph"/>
        <w:numPr>
          <w:ilvl w:val="0"/>
          <w:numId w:val="218"/>
        </w:numPr>
        <w:jc w:val="both"/>
        <w:rPr>
          <w:color w:val="000000" w:themeColor="text1"/>
          <w:kern w:val="0"/>
        </w:rPr>
      </w:pPr>
      <w:r w:rsidRPr="00362922">
        <w:rPr>
          <w:color w:val="000000" w:themeColor="text1"/>
          <w:kern w:val="0"/>
        </w:rPr>
        <w:t>Fees fluctuated wildly based on network congestion</w:t>
      </w:r>
    </w:p>
    <w:p w14:paraId="0FE59B63" w14:textId="77777777" w:rsidR="006A75F1" w:rsidRPr="00362922" w:rsidRDefault="006A75F1" w:rsidP="006B21E2">
      <w:pPr>
        <w:pStyle w:val="ListParagraph"/>
        <w:numPr>
          <w:ilvl w:val="0"/>
          <w:numId w:val="218"/>
        </w:numPr>
        <w:jc w:val="both"/>
        <w:rPr>
          <w:color w:val="000000" w:themeColor="text1"/>
          <w:kern w:val="0"/>
        </w:rPr>
      </w:pPr>
      <w:r w:rsidRPr="00362922">
        <w:rPr>
          <w:color w:val="000000" w:themeColor="text1"/>
          <w:kern w:val="0"/>
        </w:rPr>
        <w:t>Users bid against each other for transaction inclusion</w:t>
      </w:r>
    </w:p>
    <w:p w14:paraId="5D018B40" w14:textId="77777777" w:rsidR="005804FC" w:rsidRPr="00362922" w:rsidRDefault="005804FC" w:rsidP="006B21E2">
      <w:pPr>
        <w:jc w:val="both"/>
        <w:rPr>
          <w:b/>
          <w:bCs/>
          <w:color w:val="000000" w:themeColor="text1"/>
        </w:rPr>
      </w:pPr>
    </w:p>
    <w:p w14:paraId="7686E64D" w14:textId="4A6698D2" w:rsidR="006A75F1" w:rsidRPr="00362922" w:rsidRDefault="006A75F1" w:rsidP="006B21E2">
      <w:pPr>
        <w:jc w:val="both"/>
        <w:rPr>
          <w:color w:val="000000" w:themeColor="text1"/>
        </w:rPr>
      </w:pPr>
      <w:r w:rsidRPr="00362922">
        <w:rPr>
          <w:b/>
          <w:bCs/>
          <w:color w:val="000000" w:themeColor="text1"/>
        </w:rPr>
        <w:t>After EIP-1559:</w:t>
      </w:r>
    </w:p>
    <w:p w14:paraId="303E0C4D" w14:textId="77777777" w:rsidR="006A75F1" w:rsidRPr="00362922" w:rsidRDefault="006A75F1" w:rsidP="006B21E2">
      <w:pPr>
        <w:pStyle w:val="ListParagraph"/>
        <w:numPr>
          <w:ilvl w:val="0"/>
          <w:numId w:val="219"/>
        </w:numPr>
        <w:jc w:val="both"/>
        <w:rPr>
          <w:color w:val="000000" w:themeColor="text1"/>
          <w:kern w:val="0"/>
        </w:rPr>
      </w:pPr>
      <w:r w:rsidRPr="00362922">
        <w:rPr>
          <w:color w:val="000000" w:themeColor="text1"/>
          <w:kern w:val="0"/>
        </w:rPr>
        <w:t>Fees split into "base fee" (burned/destroyed) and "priority tip" (paid to validators)</w:t>
      </w:r>
    </w:p>
    <w:p w14:paraId="576AAC7B" w14:textId="77777777" w:rsidR="006A75F1" w:rsidRPr="00362922" w:rsidRDefault="006A75F1" w:rsidP="006B21E2">
      <w:pPr>
        <w:pStyle w:val="ListParagraph"/>
        <w:numPr>
          <w:ilvl w:val="0"/>
          <w:numId w:val="219"/>
        </w:numPr>
        <w:jc w:val="both"/>
        <w:rPr>
          <w:color w:val="000000" w:themeColor="text1"/>
          <w:kern w:val="0"/>
        </w:rPr>
      </w:pPr>
      <w:r w:rsidRPr="00362922">
        <w:rPr>
          <w:color w:val="000000" w:themeColor="text1"/>
          <w:kern w:val="0"/>
        </w:rPr>
        <w:t>Base fee adjusts algorithmically every block</w:t>
      </w:r>
    </w:p>
    <w:p w14:paraId="3267C19A" w14:textId="77777777" w:rsidR="006A75F1" w:rsidRPr="00362922" w:rsidRDefault="006A75F1" w:rsidP="006B21E2">
      <w:pPr>
        <w:pStyle w:val="ListParagraph"/>
        <w:numPr>
          <w:ilvl w:val="0"/>
          <w:numId w:val="219"/>
        </w:numPr>
        <w:jc w:val="both"/>
        <w:rPr>
          <w:color w:val="000000" w:themeColor="text1"/>
          <w:kern w:val="0"/>
        </w:rPr>
      </w:pPr>
      <w:r w:rsidRPr="00362922">
        <w:rPr>
          <w:color w:val="000000" w:themeColor="text1"/>
          <w:kern w:val="0"/>
        </w:rPr>
        <w:t>3.8 million ETH burned in 2024 (~3.2% of total supply)</w:t>
      </w:r>
    </w:p>
    <w:p w14:paraId="55B227E3" w14:textId="77777777" w:rsidR="005804FC" w:rsidRPr="00362922" w:rsidRDefault="005804FC" w:rsidP="006B21E2">
      <w:pPr>
        <w:jc w:val="both"/>
        <w:rPr>
          <w:b/>
          <w:bCs/>
          <w:color w:val="000000" w:themeColor="text1"/>
        </w:rPr>
      </w:pPr>
    </w:p>
    <w:p w14:paraId="517AFF65" w14:textId="20D99191" w:rsidR="006A75F1" w:rsidRPr="00362922" w:rsidRDefault="006A75F1" w:rsidP="006B21E2">
      <w:pPr>
        <w:jc w:val="both"/>
        <w:rPr>
          <w:color w:val="000000" w:themeColor="text1"/>
        </w:rPr>
      </w:pPr>
      <w:r w:rsidRPr="00362922">
        <w:rPr>
          <w:b/>
          <w:bCs/>
          <w:color w:val="000000" w:themeColor="text1"/>
        </w:rPr>
        <w:t xml:space="preserve">What </w:t>
      </w:r>
      <w:proofErr w:type="gramStart"/>
      <w:r w:rsidRPr="00362922">
        <w:rPr>
          <w:b/>
          <w:bCs/>
          <w:color w:val="000000" w:themeColor="text1"/>
        </w:rPr>
        <w:t>this</w:t>
      </w:r>
      <w:proofErr w:type="gramEnd"/>
      <w:r w:rsidRPr="00362922">
        <w:rPr>
          <w:b/>
          <w:bCs/>
          <w:color w:val="000000" w:themeColor="text1"/>
        </w:rPr>
        <w:t xml:space="preserve"> means for income:</w:t>
      </w:r>
    </w:p>
    <w:p w14:paraId="76A4A659" w14:textId="77777777" w:rsidR="006A75F1" w:rsidRPr="00362922" w:rsidRDefault="006A75F1" w:rsidP="006B21E2">
      <w:pPr>
        <w:jc w:val="both"/>
        <w:rPr>
          <w:color w:val="000000" w:themeColor="text1"/>
        </w:rPr>
      </w:pPr>
      <w:r w:rsidRPr="00362922">
        <w:rPr>
          <w:color w:val="000000" w:themeColor="text1"/>
        </w:rPr>
        <w:t>For validators (those who stake 32 ETH = $96,000):</w:t>
      </w:r>
    </w:p>
    <w:p w14:paraId="258E8A50" w14:textId="77777777" w:rsidR="006A75F1" w:rsidRPr="00362922" w:rsidRDefault="006A75F1" w:rsidP="006B21E2">
      <w:pPr>
        <w:pStyle w:val="ListParagraph"/>
        <w:numPr>
          <w:ilvl w:val="0"/>
          <w:numId w:val="220"/>
        </w:numPr>
        <w:jc w:val="both"/>
        <w:rPr>
          <w:color w:val="000000" w:themeColor="text1"/>
          <w:kern w:val="0"/>
        </w:rPr>
      </w:pPr>
      <w:r w:rsidRPr="00362922">
        <w:rPr>
          <w:color w:val="000000" w:themeColor="text1"/>
          <w:kern w:val="0"/>
        </w:rPr>
        <w:t>Before: 8-35% of income from fees (varying with congestion)</w:t>
      </w:r>
    </w:p>
    <w:p w14:paraId="685CDAC7" w14:textId="77777777" w:rsidR="006A75F1" w:rsidRPr="00362922" w:rsidRDefault="006A75F1" w:rsidP="006B21E2">
      <w:pPr>
        <w:pStyle w:val="ListParagraph"/>
        <w:numPr>
          <w:ilvl w:val="0"/>
          <w:numId w:val="220"/>
        </w:numPr>
        <w:jc w:val="both"/>
        <w:rPr>
          <w:color w:val="000000" w:themeColor="text1"/>
          <w:kern w:val="0"/>
        </w:rPr>
      </w:pPr>
      <w:r w:rsidRPr="00362922">
        <w:rPr>
          <w:color w:val="000000" w:themeColor="text1"/>
          <w:kern w:val="0"/>
        </w:rPr>
        <w:t>After: 3-12% of income from fees (more stable but lower)</w:t>
      </w:r>
    </w:p>
    <w:p w14:paraId="250FD225" w14:textId="77777777" w:rsidR="005804FC" w:rsidRPr="00362922" w:rsidRDefault="005804FC" w:rsidP="006B21E2">
      <w:pPr>
        <w:jc w:val="both"/>
        <w:rPr>
          <w:color w:val="000000" w:themeColor="text1"/>
        </w:rPr>
      </w:pPr>
    </w:p>
    <w:p w14:paraId="775D3D32" w14:textId="01D009AD" w:rsidR="006A75F1" w:rsidRPr="00362922" w:rsidRDefault="006A75F1" w:rsidP="006B21E2">
      <w:pPr>
        <w:jc w:val="both"/>
        <w:rPr>
          <w:color w:val="000000" w:themeColor="text1"/>
        </w:rPr>
      </w:pPr>
      <w:r w:rsidRPr="00362922">
        <w:rPr>
          <w:color w:val="000000" w:themeColor="text1"/>
        </w:rPr>
        <w:t xml:space="preserve">For small </w:t>
      </w:r>
      <w:proofErr w:type="spellStart"/>
      <w:r w:rsidRPr="00362922">
        <w:rPr>
          <w:color w:val="000000" w:themeColor="text1"/>
        </w:rPr>
        <w:t>stakers</w:t>
      </w:r>
      <w:proofErr w:type="spellEnd"/>
      <w:r w:rsidRPr="00362922">
        <w:rPr>
          <w:color w:val="000000" w:themeColor="text1"/>
        </w:rPr>
        <w:t xml:space="preserve"> using liquid staking (Lido, etc.):</w:t>
      </w:r>
    </w:p>
    <w:p w14:paraId="4F019E99" w14:textId="77777777" w:rsidR="006A75F1" w:rsidRPr="00362922" w:rsidRDefault="006A75F1" w:rsidP="006B21E2">
      <w:pPr>
        <w:pStyle w:val="ListParagraph"/>
        <w:numPr>
          <w:ilvl w:val="0"/>
          <w:numId w:val="221"/>
        </w:numPr>
        <w:jc w:val="both"/>
        <w:rPr>
          <w:color w:val="000000" w:themeColor="text1"/>
          <w:kern w:val="0"/>
        </w:rPr>
      </w:pPr>
      <w:r w:rsidRPr="00362922">
        <w:rPr>
          <w:color w:val="000000" w:themeColor="text1"/>
          <w:kern w:val="0"/>
        </w:rPr>
        <w:t>Direct validators: 4.8% APR (3.2% from new ETH issuance, 1.6% from fees)</w:t>
      </w:r>
    </w:p>
    <w:p w14:paraId="0C2E41F4" w14:textId="77777777" w:rsidR="006A75F1" w:rsidRPr="00362922" w:rsidRDefault="006A75F1" w:rsidP="006B21E2">
      <w:pPr>
        <w:pStyle w:val="ListParagraph"/>
        <w:numPr>
          <w:ilvl w:val="0"/>
          <w:numId w:val="221"/>
        </w:numPr>
        <w:jc w:val="both"/>
        <w:rPr>
          <w:color w:val="000000" w:themeColor="text1"/>
          <w:kern w:val="0"/>
        </w:rPr>
      </w:pPr>
      <w:r w:rsidRPr="00362922">
        <w:rPr>
          <w:color w:val="000000" w:themeColor="text1"/>
          <w:kern w:val="0"/>
        </w:rPr>
        <w:t xml:space="preserve">Lido </w:t>
      </w:r>
      <w:proofErr w:type="spellStart"/>
      <w:r w:rsidRPr="00362922">
        <w:rPr>
          <w:color w:val="000000" w:themeColor="text1"/>
          <w:kern w:val="0"/>
        </w:rPr>
        <w:t>stakers</w:t>
      </w:r>
      <w:proofErr w:type="spellEnd"/>
      <w:r w:rsidRPr="00362922">
        <w:rPr>
          <w:color w:val="000000" w:themeColor="text1"/>
          <w:kern w:val="0"/>
        </w:rPr>
        <w:t>: 4.2% APR after 10% protocol fee</w:t>
      </w:r>
    </w:p>
    <w:p w14:paraId="65A4F678" w14:textId="77777777" w:rsidR="006A75F1" w:rsidRPr="00362922" w:rsidRDefault="006A75F1" w:rsidP="006B21E2">
      <w:pPr>
        <w:pStyle w:val="ListParagraph"/>
        <w:numPr>
          <w:ilvl w:val="0"/>
          <w:numId w:val="221"/>
        </w:numPr>
        <w:jc w:val="both"/>
        <w:rPr>
          <w:color w:val="000000" w:themeColor="text1"/>
          <w:kern w:val="0"/>
        </w:rPr>
      </w:pPr>
      <w:r w:rsidRPr="00362922">
        <w:rPr>
          <w:color w:val="000000" w:themeColor="text1"/>
          <w:kern w:val="0"/>
        </w:rPr>
        <w:t>Centralized staking: 3.8% APR after 15-25% platform fees</w:t>
      </w:r>
    </w:p>
    <w:p w14:paraId="277A51B4" w14:textId="77777777" w:rsidR="005804FC" w:rsidRPr="00362922" w:rsidRDefault="005804FC" w:rsidP="006B21E2">
      <w:pPr>
        <w:jc w:val="both"/>
        <w:rPr>
          <w:b/>
          <w:bCs/>
          <w:color w:val="000000" w:themeColor="text1"/>
        </w:rPr>
      </w:pPr>
    </w:p>
    <w:p w14:paraId="049048B7" w14:textId="29E37C3B" w:rsidR="006A75F1" w:rsidRPr="00362922" w:rsidRDefault="00EC4356" w:rsidP="006B21E2">
      <w:pPr>
        <w:jc w:val="both"/>
        <w:rPr>
          <w:color w:val="000000" w:themeColor="text1"/>
        </w:rPr>
      </w:pPr>
      <w:r w:rsidRPr="00362922">
        <w:rPr>
          <w:color w:val="000000" w:themeColor="text1"/>
        </w:rPr>
        <w:t>Although the fee</w:t>
      </w:r>
      <w:r w:rsidR="006A75F1" w:rsidRPr="00362922">
        <w:rPr>
          <w:color w:val="000000" w:themeColor="text1"/>
        </w:rPr>
        <w:t xml:space="preserve"> predictability improved (base fee volatility decreased 61%)</w:t>
      </w:r>
      <w:r w:rsidRPr="00362922">
        <w:rPr>
          <w:color w:val="000000" w:themeColor="text1"/>
        </w:rPr>
        <w:t xml:space="preserve">, the total returns </w:t>
      </w:r>
      <w:proofErr w:type="gramStart"/>
      <w:r w:rsidRPr="00362922">
        <w:rPr>
          <w:color w:val="000000" w:themeColor="text1"/>
        </w:rPr>
        <w:t>actually increased</w:t>
      </w:r>
      <w:proofErr w:type="gramEnd"/>
      <w:r w:rsidRPr="00362922">
        <w:rPr>
          <w:color w:val="000000" w:themeColor="text1"/>
        </w:rPr>
        <w:t xml:space="preserve"> because ETH price rose (partially from burning and therefore reducing supply). </w:t>
      </w:r>
      <w:proofErr w:type="gramStart"/>
      <w:r w:rsidRPr="00362922">
        <w:rPr>
          <w:color w:val="000000" w:themeColor="text1"/>
        </w:rPr>
        <w:t>Overall</w:t>
      </w:r>
      <w:proofErr w:type="gramEnd"/>
      <w:r w:rsidRPr="00362922">
        <w:rPr>
          <w:color w:val="000000" w:themeColor="text1"/>
        </w:rPr>
        <w:t xml:space="preserve"> the</w:t>
      </w:r>
      <w:r w:rsidR="006A75F1" w:rsidRPr="00362922">
        <w:rPr>
          <w:color w:val="000000" w:themeColor="text1"/>
        </w:rPr>
        <w:t xml:space="preserve"> earning</w:t>
      </w:r>
      <w:r w:rsidRPr="00362922">
        <w:rPr>
          <w:color w:val="000000" w:themeColor="text1"/>
        </w:rPr>
        <w:t>s are</w:t>
      </w:r>
      <w:r w:rsidR="006A75F1" w:rsidRPr="00362922">
        <w:rPr>
          <w:color w:val="000000" w:themeColor="text1"/>
        </w:rPr>
        <w:t xml:space="preserve"> less from fees while accepting the same ETH price volatility risk. </w:t>
      </w:r>
      <w:r w:rsidRPr="00362922">
        <w:rPr>
          <w:color w:val="000000" w:themeColor="text1"/>
        </w:rPr>
        <w:t xml:space="preserve">Small </w:t>
      </w:r>
      <w:proofErr w:type="spellStart"/>
      <w:r w:rsidRPr="00362922">
        <w:rPr>
          <w:color w:val="000000" w:themeColor="text1"/>
        </w:rPr>
        <w:t>stakers</w:t>
      </w:r>
      <w:proofErr w:type="spellEnd"/>
      <w:r w:rsidRPr="00362922">
        <w:rPr>
          <w:color w:val="000000" w:themeColor="text1"/>
        </w:rPr>
        <w:t xml:space="preserve"> earn</w:t>
      </w:r>
      <w:r w:rsidR="006A75F1" w:rsidRPr="00362922">
        <w:rPr>
          <w:color w:val="000000" w:themeColor="text1"/>
        </w:rPr>
        <w:t xml:space="preserve"> 4.2%</w:t>
      </w:r>
      <w:proofErr w:type="gramStart"/>
      <w:r w:rsidRPr="00362922">
        <w:rPr>
          <w:color w:val="000000" w:themeColor="text1"/>
        </w:rPr>
        <w:t xml:space="preserve"> </w:t>
      </w:r>
      <w:r w:rsidR="006A75F1" w:rsidRPr="00362922">
        <w:rPr>
          <w:color w:val="000000" w:themeColor="text1"/>
        </w:rPr>
        <w:t>hold</w:t>
      </w:r>
      <w:r w:rsidRPr="00362922">
        <w:rPr>
          <w:color w:val="000000" w:themeColor="text1"/>
        </w:rPr>
        <w:t>ing</w:t>
      </w:r>
      <w:proofErr w:type="gramEnd"/>
      <w:r w:rsidR="006A75F1" w:rsidRPr="00362922">
        <w:rPr>
          <w:color w:val="000000" w:themeColor="text1"/>
        </w:rPr>
        <w:t xml:space="preserve"> a volatile asset, while US Treasuries </w:t>
      </w:r>
      <w:proofErr w:type="gramStart"/>
      <w:r w:rsidR="006A75F1" w:rsidRPr="00362922">
        <w:rPr>
          <w:color w:val="000000" w:themeColor="text1"/>
        </w:rPr>
        <w:t>paid</w:t>
      </w:r>
      <w:proofErr w:type="gramEnd"/>
      <w:r w:rsidR="006A75F1" w:rsidRPr="00362922">
        <w:rPr>
          <w:color w:val="000000" w:themeColor="text1"/>
        </w:rPr>
        <w:t xml:space="preserve"> 4.5% risk-free during </w:t>
      </w:r>
      <w:r w:rsidRPr="00362922">
        <w:rPr>
          <w:color w:val="000000" w:themeColor="text1"/>
        </w:rPr>
        <w:t>the</w:t>
      </w:r>
      <w:r w:rsidR="006A75F1" w:rsidRPr="00362922">
        <w:rPr>
          <w:color w:val="000000" w:themeColor="text1"/>
        </w:rPr>
        <w:t xml:space="preserve"> study period.</w:t>
      </w:r>
    </w:p>
    <w:p w14:paraId="7AA2501F" w14:textId="77777777" w:rsidR="005804FC" w:rsidRPr="00362922" w:rsidRDefault="005804FC" w:rsidP="006B21E2">
      <w:pPr>
        <w:jc w:val="both"/>
        <w:rPr>
          <w:rStyle w:val="Strong"/>
          <w:bCs w:val="0"/>
          <w:color w:val="000000" w:themeColor="text1"/>
        </w:rPr>
      </w:pPr>
    </w:p>
    <w:p w14:paraId="1166E31B" w14:textId="5F32EE0C" w:rsidR="005804FC" w:rsidRPr="00561218" w:rsidRDefault="00DF3FB4" w:rsidP="006B21E2">
      <w:pPr>
        <w:pStyle w:val="Heading3"/>
        <w:jc w:val="both"/>
        <w:rPr>
          <w:rStyle w:val="Strong"/>
          <w:b/>
          <w:bCs w:val="0"/>
          <w:color w:val="000000" w:themeColor="text1"/>
        </w:rPr>
      </w:pPr>
      <w:bookmarkStart w:id="155" w:name="_Toc214721961"/>
      <w:r w:rsidRPr="00362922">
        <w:rPr>
          <w:rStyle w:val="Strong"/>
          <w:b/>
          <w:bCs w:val="0"/>
          <w:color w:val="000000" w:themeColor="text1"/>
        </w:rPr>
        <w:t>6.7.</w:t>
      </w:r>
      <w:r w:rsidR="003D7772" w:rsidRPr="00362922">
        <w:rPr>
          <w:rStyle w:val="Strong"/>
          <w:b/>
          <w:bCs w:val="0"/>
          <w:color w:val="000000" w:themeColor="text1"/>
        </w:rPr>
        <w:t>2</w:t>
      </w:r>
      <w:r w:rsidRPr="00362922">
        <w:rPr>
          <w:rStyle w:val="Strong"/>
          <w:b/>
          <w:bCs w:val="0"/>
          <w:color w:val="000000" w:themeColor="text1"/>
        </w:rPr>
        <w:t xml:space="preserve">. </w:t>
      </w:r>
      <w:r w:rsidR="0081536A" w:rsidRPr="00362922">
        <w:rPr>
          <w:rStyle w:val="Strong"/>
          <w:b/>
          <w:bCs w:val="0"/>
          <w:color w:val="000000" w:themeColor="text1"/>
        </w:rPr>
        <w:t xml:space="preserve">Proof of Stake (Ethereum, Cardano, </w:t>
      </w:r>
      <w:proofErr w:type="spellStart"/>
      <w:r w:rsidR="0081536A" w:rsidRPr="00362922">
        <w:rPr>
          <w:rStyle w:val="Strong"/>
          <w:b/>
          <w:bCs w:val="0"/>
          <w:color w:val="000000" w:themeColor="text1"/>
        </w:rPr>
        <w:t>Algorand</w:t>
      </w:r>
      <w:proofErr w:type="spellEnd"/>
      <w:r w:rsidR="0081536A" w:rsidRPr="00362922">
        <w:rPr>
          <w:rStyle w:val="Strong"/>
          <w:b/>
          <w:bCs w:val="0"/>
          <w:color w:val="000000" w:themeColor="text1"/>
        </w:rPr>
        <w:t>)</w:t>
      </w:r>
      <w:bookmarkEnd w:id="155"/>
    </w:p>
    <w:p w14:paraId="1722A629" w14:textId="60AE73E2" w:rsidR="00CC5C0D" w:rsidRPr="00362922" w:rsidRDefault="00CC5C0D" w:rsidP="006B21E2">
      <w:pPr>
        <w:jc w:val="both"/>
        <w:rPr>
          <w:rStyle w:val="Strong"/>
          <w:b w:val="0"/>
          <w:bCs w:val="0"/>
          <w:color w:val="000000" w:themeColor="text1"/>
        </w:rPr>
      </w:pPr>
      <w:r w:rsidRPr="00362922">
        <w:rPr>
          <w:rStyle w:val="Strong"/>
          <w:b w:val="0"/>
          <w:bCs w:val="0"/>
          <w:color w:val="000000" w:themeColor="text1"/>
        </w:rPr>
        <w:t>Proof of Stake (</w:t>
      </w:r>
      <w:proofErr w:type="spellStart"/>
      <w:r w:rsidRPr="00362922">
        <w:rPr>
          <w:rStyle w:val="Strong"/>
          <w:b w:val="0"/>
          <w:bCs w:val="0"/>
          <w:color w:val="000000" w:themeColor="text1"/>
        </w:rPr>
        <w:t>PoS</w:t>
      </w:r>
      <w:proofErr w:type="spellEnd"/>
      <w:r w:rsidRPr="00362922">
        <w:rPr>
          <w:rStyle w:val="Strong"/>
          <w:b w:val="0"/>
          <w:bCs w:val="0"/>
          <w:color w:val="000000" w:themeColor="text1"/>
        </w:rPr>
        <w:t>) is a consensus mechanism in which validators lock up their tokens as collateral</w:t>
      </w:r>
      <w:r w:rsidR="005E4D24" w:rsidRPr="00362922">
        <w:rPr>
          <w:rStyle w:val="Strong"/>
          <w:b w:val="0"/>
          <w:bCs w:val="0"/>
          <w:color w:val="000000" w:themeColor="text1"/>
        </w:rPr>
        <w:t xml:space="preserve"> and</w:t>
      </w:r>
      <w:r w:rsidRPr="00362922">
        <w:rPr>
          <w:rStyle w:val="Strong"/>
          <w:b w:val="0"/>
          <w:bCs w:val="0"/>
          <w:color w:val="000000" w:themeColor="text1"/>
        </w:rPr>
        <w:t xml:space="preserve"> earn revenue in the form of transaction fees and new token issuance as compensation for processing transactions.</w:t>
      </w:r>
    </w:p>
    <w:p w14:paraId="5A0A2B0A" w14:textId="77777777" w:rsidR="00CC5C0D" w:rsidRPr="00362922" w:rsidRDefault="00CC5C0D" w:rsidP="006B21E2">
      <w:pPr>
        <w:jc w:val="both"/>
        <w:rPr>
          <w:rStyle w:val="Strong"/>
          <w:b w:val="0"/>
          <w:bCs w:val="0"/>
          <w:color w:val="000000" w:themeColor="text1"/>
        </w:rPr>
      </w:pPr>
    </w:p>
    <w:p w14:paraId="5321FEEA" w14:textId="2AFE5B29" w:rsidR="00CC5C0D" w:rsidRPr="00362922" w:rsidRDefault="00CC5C0D" w:rsidP="006B21E2">
      <w:pPr>
        <w:jc w:val="both"/>
        <w:rPr>
          <w:rStyle w:val="Strong"/>
          <w:b w:val="0"/>
          <w:bCs w:val="0"/>
          <w:color w:val="000000" w:themeColor="text1"/>
        </w:rPr>
      </w:pPr>
      <w:r w:rsidRPr="00362922">
        <w:rPr>
          <w:rStyle w:val="Strong"/>
          <w:b w:val="0"/>
          <w:bCs w:val="0"/>
          <w:color w:val="000000" w:themeColor="text1"/>
        </w:rPr>
        <w:t xml:space="preserve">Participation in </w:t>
      </w:r>
      <w:proofErr w:type="spellStart"/>
      <w:r w:rsidRPr="00362922">
        <w:rPr>
          <w:rStyle w:val="Strong"/>
          <w:b w:val="0"/>
          <w:bCs w:val="0"/>
          <w:color w:val="000000" w:themeColor="text1"/>
        </w:rPr>
        <w:t>PoS</w:t>
      </w:r>
      <w:proofErr w:type="spellEnd"/>
      <w:r w:rsidRPr="00362922">
        <w:rPr>
          <w:rStyle w:val="Strong"/>
          <w:b w:val="0"/>
          <w:bCs w:val="0"/>
          <w:color w:val="000000" w:themeColor="text1"/>
        </w:rPr>
        <w:t xml:space="preserve"> networks is subject to </w:t>
      </w:r>
      <w:r w:rsidR="005E4D24" w:rsidRPr="00362922">
        <w:rPr>
          <w:rStyle w:val="Strong"/>
          <w:b w:val="0"/>
          <w:bCs w:val="0"/>
          <w:color w:val="000000" w:themeColor="text1"/>
        </w:rPr>
        <w:t>significant</w:t>
      </w:r>
      <w:r w:rsidRPr="00362922">
        <w:rPr>
          <w:rStyle w:val="Strong"/>
          <w:b w:val="0"/>
          <w:bCs w:val="0"/>
          <w:color w:val="000000" w:themeColor="text1"/>
        </w:rPr>
        <w:t xml:space="preserve"> barriers</w:t>
      </w:r>
      <w:r w:rsidR="005E4D24" w:rsidRPr="00362922">
        <w:rPr>
          <w:rStyle w:val="Strong"/>
          <w:b w:val="0"/>
          <w:bCs w:val="0"/>
          <w:color w:val="000000" w:themeColor="text1"/>
        </w:rPr>
        <w:t xml:space="preserve"> not always achievable for all</w:t>
      </w:r>
      <w:r w:rsidRPr="00362922">
        <w:rPr>
          <w:rStyle w:val="Strong"/>
          <w:b w:val="0"/>
          <w:bCs w:val="0"/>
          <w:color w:val="000000" w:themeColor="text1"/>
        </w:rPr>
        <w:t xml:space="preserve">. The capital requirements are relatively high, with Ethereum requiring approximately $96,000 in assets, equivalent to 32 ETH, and Cardano requiring more than $5,000. For those </w:t>
      </w:r>
      <w:r w:rsidR="005E4D24" w:rsidRPr="00362922">
        <w:rPr>
          <w:rStyle w:val="Strong"/>
          <w:b w:val="0"/>
          <w:bCs w:val="0"/>
          <w:color w:val="000000" w:themeColor="text1"/>
        </w:rPr>
        <w:t xml:space="preserve">that are </w:t>
      </w:r>
      <w:r w:rsidRPr="00362922">
        <w:rPr>
          <w:rStyle w:val="Strong"/>
          <w:b w:val="0"/>
          <w:bCs w:val="0"/>
          <w:color w:val="000000" w:themeColor="text1"/>
        </w:rPr>
        <w:t xml:space="preserve">unable or unwilling to meet the direct staking requirements, delegation is possible </w:t>
      </w:r>
      <w:r w:rsidR="005E4D24" w:rsidRPr="00362922">
        <w:rPr>
          <w:rStyle w:val="Strong"/>
          <w:b w:val="0"/>
          <w:bCs w:val="0"/>
          <w:color w:val="000000" w:themeColor="text1"/>
        </w:rPr>
        <w:t xml:space="preserve">and requires </w:t>
      </w:r>
      <w:r w:rsidRPr="00362922">
        <w:rPr>
          <w:rStyle w:val="Strong"/>
          <w:b w:val="0"/>
          <w:bCs w:val="0"/>
          <w:color w:val="000000" w:themeColor="text1"/>
        </w:rPr>
        <w:t xml:space="preserve">minimum amounts </w:t>
      </w:r>
      <w:r w:rsidR="005E4D24" w:rsidRPr="00362922">
        <w:rPr>
          <w:rStyle w:val="Strong"/>
          <w:b w:val="0"/>
          <w:bCs w:val="0"/>
          <w:color w:val="000000" w:themeColor="text1"/>
        </w:rPr>
        <w:t xml:space="preserve">- </w:t>
      </w:r>
      <w:r w:rsidRPr="00362922">
        <w:rPr>
          <w:rStyle w:val="Strong"/>
          <w:b w:val="0"/>
          <w:bCs w:val="0"/>
          <w:color w:val="000000" w:themeColor="text1"/>
        </w:rPr>
        <w:t xml:space="preserve">ranging between $10 and $100. However, delegators typically earn reduced returns due to delegation fees. </w:t>
      </w:r>
      <w:r w:rsidR="005E4D24" w:rsidRPr="00362922">
        <w:rPr>
          <w:rStyle w:val="Strong"/>
          <w:b w:val="0"/>
          <w:bCs w:val="0"/>
          <w:color w:val="000000" w:themeColor="text1"/>
        </w:rPr>
        <w:t>For d</w:t>
      </w:r>
      <w:r w:rsidRPr="00362922">
        <w:rPr>
          <w:rStyle w:val="Strong"/>
          <w:b w:val="0"/>
          <w:bCs w:val="0"/>
          <w:color w:val="000000" w:themeColor="text1"/>
        </w:rPr>
        <w:t>irect validation</w:t>
      </w:r>
      <w:r w:rsidR="005E4D24" w:rsidRPr="00362922">
        <w:rPr>
          <w:rStyle w:val="Strong"/>
          <w:b w:val="0"/>
          <w:bCs w:val="0"/>
          <w:color w:val="000000" w:themeColor="text1"/>
        </w:rPr>
        <w:t xml:space="preserve">, </w:t>
      </w:r>
      <w:proofErr w:type="gramStart"/>
      <w:r w:rsidR="005E4D24" w:rsidRPr="00362922">
        <w:rPr>
          <w:rStyle w:val="Strong"/>
          <w:b w:val="0"/>
          <w:bCs w:val="0"/>
          <w:color w:val="000000" w:themeColor="text1"/>
        </w:rPr>
        <w:t>the participation</w:t>
      </w:r>
      <w:proofErr w:type="gramEnd"/>
      <w:r w:rsidR="005E4D24" w:rsidRPr="00362922">
        <w:rPr>
          <w:rStyle w:val="Strong"/>
          <w:b w:val="0"/>
          <w:bCs w:val="0"/>
          <w:color w:val="000000" w:themeColor="text1"/>
        </w:rPr>
        <w:t xml:space="preserve"> requires high </w:t>
      </w:r>
      <w:r w:rsidRPr="00362922">
        <w:rPr>
          <w:rStyle w:val="Strong"/>
          <w:b w:val="0"/>
          <w:bCs w:val="0"/>
          <w:color w:val="000000" w:themeColor="text1"/>
        </w:rPr>
        <w:t xml:space="preserve">demands </w:t>
      </w:r>
      <w:r w:rsidR="005E4D24" w:rsidRPr="00362922">
        <w:rPr>
          <w:rStyle w:val="Strong"/>
          <w:b w:val="0"/>
          <w:bCs w:val="0"/>
          <w:color w:val="000000" w:themeColor="text1"/>
        </w:rPr>
        <w:t xml:space="preserve">of </w:t>
      </w:r>
      <w:r w:rsidRPr="00362922">
        <w:rPr>
          <w:rStyle w:val="Strong"/>
          <w:b w:val="0"/>
          <w:bCs w:val="0"/>
          <w:color w:val="000000" w:themeColor="text1"/>
        </w:rPr>
        <w:t xml:space="preserve">technical knowledge, which </w:t>
      </w:r>
      <w:r w:rsidR="005E4D24" w:rsidRPr="00362922">
        <w:rPr>
          <w:rStyle w:val="Strong"/>
          <w:b w:val="0"/>
          <w:bCs w:val="0"/>
          <w:color w:val="000000" w:themeColor="text1"/>
        </w:rPr>
        <w:t>is an</w:t>
      </w:r>
      <w:r w:rsidRPr="00362922">
        <w:rPr>
          <w:rStyle w:val="Strong"/>
          <w:b w:val="0"/>
          <w:bCs w:val="0"/>
          <w:color w:val="000000" w:themeColor="text1"/>
        </w:rPr>
        <w:t xml:space="preserve"> additional barrier for participation.</w:t>
      </w:r>
    </w:p>
    <w:p w14:paraId="7AE08B79" w14:textId="77777777" w:rsidR="00CC5C0D" w:rsidRPr="003F1D2B" w:rsidRDefault="00CC5C0D" w:rsidP="006B21E2">
      <w:pPr>
        <w:rPr>
          <w:rStyle w:val="Strong"/>
          <w:b w:val="0"/>
          <w:bCs w:val="0"/>
          <w:color w:val="0070C0"/>
        </w:rPr>
      </w:pPr>
    </w:p>
    <w:p w14:paraId="68240CC5" w14:textId="121895AE" w:rsidR="007E0192" w:rsidRPr="005B4DCD" w:rsidRDefault="007E0192" w:rsidP="006B21E2">
      <w:pPr>
        <w:jc w:val="both"/>
        <w:rPr>
          <w:rStyle w:val="Strong"/>
          <w:b w:val="0"/>
          <w:bCs w:val="0"/>
          <w:color w:val="000000" w:themeColor="text1"/>
        </w:rPr>
      </w:pPr>
      <w:r w:rsidRPr="005B4DCD">
        <w:rPr>
          <w:rStyle w:val="Strong"/>
          <w:b w:val="0"/>
          <w:bCs w:val="0"/>
          <w:color w:val="000000" w:themeColor="text1"/>
        </w:rPr>
        <w:t xml:space="preserve">Fees that make up between 15% to 30% of the total income of </w:t>
      </w:r>
      <w:proofErr w:type="spellStart"/>
      <w:r w:rsidRPr="005B4DCD">
        <w:rPr>
          <w:rStyle w:val="Strong"/>
          <w:b w:val="0"/>
          <w:bCs w:val="0"/>
          <w:color w:val="000000" w:themeColor="text1"/>
        </w:rPr>
        <w:t>PoS</w:t>
      </w:r>
      <w:proofErr w:type="spellEnd"/>
      <w:r w:rsidRPr="005B4DCD">
        <w:rPr>
          <w:rStyle w:val="Strong"/>
          <w:b w:val="0"/>
          <w:bCs w:val="0"/>
          <w:color w:val="000000" w:themeColor="text1"/>
        </w:rPr>
        <w:t xml:space="preserve"> validators are part of their income profile. The return stability is generally high, with a </w:t>
      </w:r>
      <w:proofErr w:type="gramStart"/>
      <w:r w:rsidRPr="005B4DCD">
        <w:rPr>
          <w:rStyle w:val="Strong"/>
          <w:b w:val="0"/>
          <w:bCs w:val="0"/>
          <w:color w:val="000000" w:themeColor="text1"/>
        </w:rPr>
        <w:t>coefficient of</w:t>
      </w:r>
      <w:proofErr w:type="gramEnd"/>
      <w:r w:rsidRPr="005B4DCD">
        <w:rPr>
          <w:rStyle w:val="Strong"/>
          <w:b w:val="0"/>
          <w:bCs w:val="0"/>
          <w:color w:val="000000" w:themeColor="text1"/>
        </w:rPr>
        <w:t xml:space="preserve"> variation of 0.23. This means that earnings are </w:t>
      </w:r>
      <w:proofErr w:type="gramStart"/>
      <w:r w:rsidRPr="005B4DCD">
        <w:rPr>
          <w:rStyle w:val="Strong"/>
          <w:b w:val="0"/>
          <w:bCs w:val="0"/>
          <w:color w:val="000000" w:themeColor="text1"/>
        </w:rPr>
        <w:t>pretty stable</w:t>
      </w:r>
      <w:proofErr w:type="gramEnd"/>
      <w:r w:rsidRPr="005B4DCD">
        <w:rPr>
          <w:rStyle w:val="Strong"/>
          <w:b w:val="0"/>
          <w:bCs w:val="0"/>
          <w:color w:val="000000" w:themeColor="text1"/>
        </w:rPr>
        <w:t xml:space="preserve">. The nominal returns on tokens range from 4% to 5%, but the real value of those returns is greatly affected by how much the price of tokens changes. In general, this model is best for participants who want to make money from their existing tokens by holding them for a long time. As a stand-alone approach to </w:t>
      </w:r>
      <w:proofErr w:type="gramStart"/>
      <w:r w:rsidRPr="005B4DCD">
        <w:rPr>
          <w:rStyle w:val="Strong"/>
          <w:b w:val="0"/>
          <w:bCs w:val="0"/>
          <w:color w:val="000000" w:themeColor="text1"/>
        </w:rPr>
        <w:t>make</w:t>
      </w:r>
      <w:proofErr w:type="gramEnd"/>
      <w:r w:rsidRPr="005B4DCD">
        <w:rPr>
          <w:rStyle w:val="Strong"/>
          <w:b w:val="0"/>
          <w:bCs w:val="0"/>
          <w:color w:val="000000" w:themeColor="text1"/>
        </w:rPr>
        <w:t xml:space="preserve"> money long term, it usually doesn't work. </w:t>
      </w:r>
    </w:p>
    <w:p w14:paraId="087E155F" w14:textId="77777777" w:rsidR="00567C9D" w:rsidRPr="005B4DCD" w:rsidRDefault="00567C9D" w:rsidP="006B21E2">
      <w:pPr>
        <w:jc w:val="both"/>
        <w:rPr>
          <w:rStyle w:val="Strong"/>
          <w:color w:val="000000" w:themeColor="text1"/>
        </w:rPr>
      </w:pPr>
    </w:p>
    <w:p w14:paraId="5E0F15ED" w14:textId="34119EFD" w:rsidR="00567C9D" w:rsidRPr="005B4DCD" w:rsidRDefault="00567C9D" w:rsidP="006B21E2">
      <w:pPr>
        <w:pStyle w:val="Heading3"/>
        <w:jc w:val="both"/>
        <w:rPr>
          <w:rStyle w:val="Strong"/>
          <w:b/>
          <w:bCs w:val="0"/>
          <w:color w:val="000000" w:themeColor="text1"/>
        </w:rPr>
      </w:pPr>
      <w:bookmarkStart w:id="156" w:name="_Toc214721962"/>
      <w:r w:rsidRPr="005B4DCD">
        <w:rPr>
          <w:color w:val="000000" w:themeColor="text1"/>
        </w:rPr>
        <w:t>6.7.3 Proof of Authority (BSC Validators, Polygon)</w:t>
      </w:r>
      <w:bookmarkEnd w:id="156"/>
    </w:p>
    <w:p w14:paraId="33A0E98C" w14:textId="66C620F9" w:rsidR="008558B3" w:rsidRPr="005B4DCD" w:rsidRDefault="008558B3" w:rsidP="006B21E2">
      <w:pPr>
        <w:jc w:val="both"/>
        <w:rPr>
          <w:rStyle w:val="Strong"/>
          <w:b w:val="0"/>
          <w:bCs w:val="0"/>
          <w:color w:val="000000" w:themeColor="text1"/>
        </w:rPr>
      </w:pPr>
      <w:r w:rsidRPr="005B4DCD">
        <w:rPr>
          <w:rStyle w:val="Strong"/>
          <w:b w:val="0"/>
          <w:bCs w:val="0"/>
          <w:color w:val="000000" w:themeColor="text1"/>
        </w:rPr>
        <w:lastRenderedPageBreak/>
        <w:t>In Proof of Authority (</w:t>
      </w:r>
      <w:proofErr w:type="spellStart"/>
      <w:r w:rsidRPr="005B4DCD">
        <w:rPr>
          <w:rStyle w:val="Strong"/>
          <w:b w:val="0"/>
          <w:bCs w:val="0"/>
          <w:color w:val="000000" w:themeColor="text1"/>
        </w:rPr>
        <w:t>PoA</w:t>
      </w:r>
      <w:proofErr w:type="spellEnd"/>
      <w:r w:rsidRPr="005B4DCD">
        <w:rPr>
          <w:rStyle w:val="Strong"/>
          <w:b w:val="0"/>
          <w:bCs w:val="0"/>
          <w:color w:val="000000" w:themeColor="text1"/>
        </w:rPr>
        <w:t>),</w:t>
      </w:r>
      <w:r w:rsidR="00247F1E" w:rsidRPr="005B4DCD">
        <w:rPr>
          <w:rStyle w:val="Strong"/>
          <w:b w:val="0"/>
          <w:bCs w:val="0"/>
          <w:color w:val="000000" w:themeColor="text1"/>
        </w:rPr>
        <w:t xml:space="preserve"> which is a </w:t>
      </w:r>
      <w:r w:rsidRPr="005B4DCD">
        <w:rPr>
          <w:rStyle w:val="Strong"/>
          <w:b w:val="0"/>
          <w:bCs w:val="0"/>
          <w:color w:val="000000" w:themeColor="text1"/>
        </w:rPr>
        <w:t>consensus mechanism wher</w:t>
      </w:r>
      <w:r w:rsidR="00247F1E" w:rsidRPr="005B4DCD">
        <w:rPr>
          <w:rStyle w:val="Strong"/>
          <w:b w:val="0"/>
          <w:bCs w:val="0"/>
          <w:color w:val="000000" w:themeColor="text1"/>
        </w:rPr>
        <w:t xml:space="preserve">e </w:t>
      </w:r>
      <w:r w:rsidRPr="005B4DCD">
        <w:rPr>
          <w:rStyle w:val="Strong"/>
          <w:b w:val="0"/>
          <w:bCs w:val="0"/>
          <w:color w:val="000000" w:themeColor="text1"/>
        </w:rPr>
        <w:t xml:space="preserve">pre-selected entities validate transactions based on identity and reputation rather than token holdings (Belchior et al., 2024), validators must obtain permission before becoming active participants. Systems such as Binance Smart Chain </w:t>
      </w:r>
      <w:r w:rsidR="00247F1E" w:rsidRPr="005B4DCD">
        <w:rPr>
          <w:rStyle w:val="Strong"/>
          <w:b w:val="0"/>
          <w:bCs w:val="0"/>
          <w:color w:val="000000" w:themeColor="text1"/>
        </w:rPr>
        <w:t>use</w:t>
      </w:r>
      <w:r w:rsidRPr="005B4DCD">
        <w:rPr>
          <w:rStyle w:val="Strong"/>
          <w:b w:val="0"/>
          <w:bCs w:val="0"/>
          <w:color w:val="000000" w:themeColor="text1"/>
        </w:rPr>
        <w:t xml:space="preserve"> </w:t>
      </w:r>
      <w:r w:rsidR="00247F1E" w:rsidRPr="005B4DCD">
        <w:rPr>
          <w:rStyle w:val="Strong"/>
          <w:b w:val="0"/>
          <w:bCs w:val="0"/>
          <w:color w:val="000000" w:themeColor="text1"/>
        </w:rPr>
        <w:t>the</w:t>
      </w:r>
      <w:r w:rsidRPr="005B4DCD">
        <w:rPr>
          <w:rStyle w:val="Strong"/>
          <w:b w:val="0"/>
          <w:bCs w:val="0"/>
          <w:color w:val="000000" w:themeColor="text1"/>
        </w:rPr>
        <w:t xml:space="preserve"> Proof of Staked Authority (</w:t>
      </w:r>
      <w:proofErr w:type="spellStart"/>
      <w:r w:rsidRPr="005B4DCD">
        <w:rPr>
          <w:rStyle w:val="Strong"/>
          <w:b w:val="0"/>
          <w:bCs w:val="0"/>
          <w:color w:val="000000" w:themeColor="text1"/>
        </w:rPr>
        <w:t>PoSA</w:t>
      </w:r>
      <w:proofErr w:type="spellEnd"/>
      <w:r w:rsidRPr="005B4DCD">
        <w:rPr>
          <w:rStyle w:val="Strong"/>
          <w:b w:val="0"/>
          <w:bCs w:val="0"/>
          <w:color w:val="000000" w:themeColor="text1"/>
        </w:rPr>
        <w:t xml:space="preserve">) mechanism </w:t>
      </w:r>
      <w:r w:rsidR="00247F1E" w:rsidRPr="005B4DCD">
        <w:rPr>
          <w:rStyle w:val="Strong"/>
          <w:b w:val="0"/>
          <w:bCs w:val="0"/>
          <w:color w:val="000000" w:themeColor="text1"/>
        </w:rPr>
        <w:t xml:space="preserve">which </w:t>
      </w:r>
      <w:r w:rsidRPr="005B4DCD">
        <w:rPr>
          <w:rStyle w:val="Strong"/>
          <w:b w:val="0"/>
          <w:bCs w:val="0"/>
          <w:color w:val="000000" w:themeColor="text1"/>
        </w:rPr>
        <w:t>combin</w:t>
      </w:r>
      <w:r w:rsidR="00247F1E" w:rsidRPr="005B4DCD">
        <w:rPr>
          <w:rStyle w:val="Strong"/>
          <w:b w:val="0"/>
          <w:bCs w:val="0"/>
          <w:color w:val="000000" w:themeColor="text1"/>
        </w:rPr>
        <w:t xml:space="preserve">es </w:t>
      </w:r>
      <w:r w:rsidRPr="005B4DCD">
        <w:rPr>
          <w:rStyle w:val="Strong"/>
          <w:b w:val="0"/>
          <w:bCs w:val="0"/>
          <w:color w:val="000000" w:themeColor="text1"/>
        </w:rPr>
        <w:t xml:space="preserve">elements of </w:t>
      </w:r>
      <w:proofErr w:type="spellStart"/>
      <w:r w:rsidRPr="005B4DCD">
        <w:rPr>
          <w:rStyle w:val="Strong"/>
          <w:b w:val="0"/>
          <w:bCs w:val="0"/>
          <w:color w:val="000000" w:themeColor="text1"/>
        </w:rPr>
        <w:t>PoA</w:t>
      </w:r>
      <w:proofErr w:type="spellEnd"/>
      <w:r w:rsidRPr="005B4DCD">
        <w:rPr>
          <w:rStyle w:val="Strong"/>
          <w:b w:val="0"/>
          <w:bCs w:val="0"/>
          <w:color w:val="000000" w:themeColor="text1"/>
        </w:rPr>
        <w:t xml:space="preserve"> and Delegated Proof of Stake</w:t>
      </w:r>
      <w:r w:rsidR="00247F1E" w:rsidRPr="005B4DCD">
        <w:rPr>
          <w:rStyle w:val="Strong"/>
          <w:b w:val="0"/>
          <w:bCs w:val="0"/>
          <w:color w:val="000000" w:themeColor="text1"/>
        </w:rPr>
        <w:t xml:space="preserve">. This means that 21 </w:t>
      </w:r>
      <w:r w:rsidRPr="005B4DCD">
        <w:rPr>
          <w:rStyle w:val="Strong"/>
          <w:b w:val="0"/>
          <w:bCs w:val="0"/>
          <w:color w:val="000000" w:themeColor="text1"/>
        </w:rPr>
        <w:t xml:space="preserve">validators process transactions and earn rewards from </w:t>
      </w:r>
      <w:r w:rsidR="00247F1E" w:rsidRPr="005B4DCD">
        <w:rPr>
          <w:rStyle w:val="Strong"/>
          <w:b w:val="0"/>
          <w:bCs w:val="0"/>
          <w:color w:val="000000" w:themeColor="text1"/>
        </w:rPr>
        <w:t xml:space="preserve">the </w:t>
      </w:r>
      <w:r w:rsidRPr="005B4DCD">
        <w:rPr>
          <w:rStyle w:val="Strong"/>
          <w:b w:val="0"/>
          <w:bCs w:val="0"/>
          <w:color w:val="000000" w:themeColor="text1"/>
        </w:rPr>
        <w:t>transaction fees (Binance Academy, 2024). To qualify as a BSC validator candidate, nodes must stake at least 10,000 BNB</w:t>
      </w:r>
      <w:r w:rsidR="00247F1E" w:rsidRPr="005B4DCD">
        <w:rPr>
          <w:rStyle w:val="Strong"/>
          <w:b w:val="0"/>
          <w:bCs w:val="0"/>
          <w:color w:val="000000" w:themeColor="text1"/>
        </w:rPr>
        <w:t xml:space="preserve">. More </w:t>
      </w:r>
      <w:r w:rsidRPr="005B4DCD">
        <w:rPr>
          <w:rStyle w:val="Strong"/>
          <w:b w:val="0"/>
          <w:bCs w:val="0"/>
          <w:color w:val="000000" w:themeColor="text1"/>
        </w:rPr>
        <w:t xml:space="preserve">competitive positions typically require substantially higher stakes (BSC News, 2021). Polygon validators similarly require significant capital commitments and operate </w:t>
      </w:r>
      <w:r w:rsidR="00247F1E" w:rsidRPr="005B4DCD">
        <w:rPr>
          <w:rStyle w:val="Strong"/>
          <w:b w:val="0"/>
          <w:bCs w:val="0"/>
          <w:color w:val="000000" w:themeColor="text1"/>
        </w:rPr>
        <w:t xml:space="preserve">on a </w:t>
      </w:r>
      <w:r w:rsidRPr="005B4DCD">
        <w:rPr>
          <w:rStyle w:val="Strong"/>
          <w:b w:val="0"/>
          <w:bCs w:val="0"/>
          <w:color w:val="000000" w:themeColor="text1"/>
        </w:rPr>
        <w:t>dual-node infrastructure (Heimdall and Bor nodes), with the network allocating 12% of total MATIC supply to fund initial staking rewards</w:t>
      </w:r>
      <w:r w:rsidR="0073569A" w:rsidRPr="005B4DCD">
        <w:rPr>
          <w:rStyle w:val="Strong"/>
          <w:b w:val="0"/>
          <w:bCs w:val="0"/>
          <w:color w:val="000000" w:themeColor="text1"/>
        </w:rPr>
        <w:t>.</w:t>
      </w:r>
    </w:p>
    <w:p w14:paraId="3462511D" w14:textId="77777777" w:rsidR="008558B3" w:rsidRPr="005B4DCD" w:rsidRDefault="008558B3" w:rsidP="006B21E2">
      <w:pPr>
        <w:jc w:val="both"/>
        <w:rPr>
          <w:rStyle w:val="Strong"/>
          <w:b w:val="0"/>
          <w:bCs w:val="0"/>
          <w:color w:val="000000" w:themeColor="text1"/>
        </w:rPr>
      </w:pPr>
    </w:p>
    <w:p w14:paraId="1960F5C7" w14:textId="26AB2369" w:rsidR="00567C9D" w:rsidRPr="005B4DCD" w:rsidRDefault="008558B3" w:rsidP="006B21E2">
      <w:pPr>
        <w:jc w:val="both"/>
        <w:rPr>
          <w:rStyle w:val="Strong"/>
          <w:b w:val="0"/>
          <w:bCs w:val="0"/>
          <w:color w:val="000000" w:themeColor="text1"/>
        </w:rPr>
      </w:pPr>
      <w:proofErr w:type="spellStart"/>
      <w:r w:rsidRPr="005B4DCD">
        <w:rPr>
          <w:rStyle w:val="Strong"/>
          <w:b w:val="0"/>
          <w:bCs w:val="0"/>
          <w:color w:val="000000" w:themeColor="text1"/>
        </w:rPr>
        <w:t>PoA</w:t>
      </w:r>
      <w:proofErr w:type="spellEnd"/>
      <w:r w:rsidRPr="005B4DCD">
        <w:rPr>
          <w:rStyle w:val="Strong"/>
          <w:b w:val="0"/>
          <w:bCs w:val="0"/>
          <w:color w:val="000000" w:themeColor="text1"/>
        </w:rPr>
        <w:t xml:space="preserve"> networks provide limited earning opportunities for non-validator participants. The consensus mechanism prioritizes efficiency and throughput through a restricted validator set</w:t>
      </w:r>
      <w:r w:rsidR="00247F1E" w:rsidRPr="005B4DCD">
        <w:rPr>
          <w:rStyle w:val="Strong"/>
          <w:b w:val="0"/>
          <w:bCs w:val="0"/>
          <w:color w:val="000000" w:themeColor="text1"/>
        </w:rPr>
        <w:t>. This leads</w:t>
      </w:r>
      <w:r w:rsidRPr="005B4DCD">
        <w:rPr>
          <w:rStyle w:val="Strong"/>
          <w:b w:val="0"/>
          <w:bCs w:val="0"/>
          <w:color w:val="000000" w:themeColor="text1"/>
        </w:rPr>
        <w:t xml:space="preserve"> </w:t>
      </w:r>
      <w:r w:rsidR="00247F1E" w:rsidRPr="005B4DCD">
        <w:rPr>
          <w:rStyle w:val="Strong"/>
          <w:b w:val="0"/>
          <w:bCs w:val="0"/>
          <w:color w:val="000000" w:themeColor="text1"/>
        </w:rPr>
        <w:t xml:space="preserve">to a decline </w:t>
      </w:r>
      <w:r w:rsidRPr="005B4DCD">
        <w:rPr>
          <w:rStyle w:val="Strong"/>
          <w:b w:val="0"/>
          <w:bCs w:val="0"/>
          <w:color w:val="000000" w:themeColor="text1"/>
        </w:rPr>
        <w:t xml:space="preserve">of </w:t>
      </w:r>
      <w:r w:rsidR="00247F1E" w:rsidRPr="005B4DCD">
        <w:rPr>
          <w:rStyle w:val="Strong"/>
          <w:b w:val="0"/>
          <w:bCs w:val="0"/>
          <w:color w:val="000000" w:themeColor="text1"/>
        </w:rPr>
        <w:t>decentralization (</w:t>
      </w:r>
      <w:r w:rsidRPr="005B4DCD">
        <w:rPr>
          <w:rStyle w:val="Strong"/>
          <w:b w:val="0"/>
          <w:bCs w:val="0"/>
          <w:color w:val="000000" w:themeColor="text1"/>
        </w:rPr>
        <w:t>Belchior et al., 2024; Belotti et al., 2019). This structure is optimal for participants who are long-term holders of network tokens and seek yield generation from existing asset positions, rather than functioning as a viable standalone income strategy for retail participants with limited capital.</w:t>
      </w:r>
    </w:p>
    <w:p w14:paraId="61CF9AB0" w14:textId="77777777" w:rsidR="008558B3" w:rsidRPr="005B4DCD" w:rsidRDefault="008558B3" w:rsidP="006B21E2">
      <w:pPr>
        <w:jc w:val="both"/>
        <w:rPr>
          <w:rStyle w:val="Strong"/>
          <w:color w:val="000000" w:themeColor="text1"/>
        </w:rPr>
      </w:pPr>
    </w:p>
    <w:p w14:paraId="45CA30DD" w14:textId="2236E430" w:rsidR="006C74EB" w:rsidRPr="00561218" w:rsidRDefault="008D1CE5" w:rsidP="006B21E2">
      <w:pPr>
        <w:pStyle w:val="Heading3"/>
        <w:jc w:val="both"/>
        <w:rPr>
          <w:rStyle w:val="Strong"/>
          <w:b/>
          <w:bCs w:val="0"/>
          <w:color w:val="000000" w:themeColor="text1"/>
        </w:rPr>
      </w:pPr>
      <w:bookmarkStart w:id="157" w:name="_Toc214721963"/>
      <w:r w:rsidRPr="005B4DCD">
        <w:rPr>
          <w:color w:val="000000" w:themeColor="text1"/>
        </w:rPr>
        <w:t>6.7.</w:t>
      </w:r>
      <w:r w:rsidR="00D80160">
        <w:rPr>
          <w:color w:val="000000" w:themeColor="text1"/>
        </w:rPr>
        <w:t>4</w:t>
      </w:r>
      <w:r w:rsidRPr="005B4DCD">
        <w:rPr>
          <w:color w:val="000000" w:themeColor="text1"/>
        </w:rPr>
        <w:t xml:space="preserve"> </w:t>
      </w:r>
      <w:r w:rsidR="006C74EB" w:rsidRPr="005B4DCD">
        <w:rPr>
          <w:rStyle w:val="Strong"/>
          <w:b/>
          <w:bCs w:val="0"/>
          <w:color w:val="000000" w:themeColor="text1"/>
        </w:rPr>
        <w:t>Gas Price Patterns: Timing Transactions</w:t>
      </w:r>
      <w:bookmarkEnd w:id="157"/>
    </w:p>
    <w:p w14:paraId="3C168C6E" w14:textId="7A375961" w:rsidR="00E6558C" w:rsidRPr="005B4DCD" w:rsidRDefault="00E6558C" w:rsidP="006B21E2">
      <w:pPr>
        <w:jc w:val="both"/>
        <w:rPr>
          <w:color w:val="000000" w:themeColor="text1"/>
        </w:rPr>
      </w:pPr>
      <w:r w:rsidRPr="005B4DCD">
        <w:rPr>
          <w:color w:val="000000" w:themeColor="text1"/>
        </w:rPr>
        <w:t xml:space="preserve">A spectral analysis of Ethereum hourly gas fee data shows that there are predictable patterns over time that can be used to lower the overall transaction costs (Marchioro, 2020a; Marchioro, 2020b). Observations show that gas prices change every day, week, and month and are usually lowest between 4:00 AM and 6:00 AM UTC. On the other hand, fees are highest between 2:00 PM and 4:00 PM UTC, when they can be as much as 1.4 times the baseline cost. Data from the week also shows that transaction fees from Tuesday to Thursday are about 15% higher than fees on the weekend (Marchioro, 2020b). An analysis of the monthly patterns shows that fees on the first and last days of each month are about 20 percent higher than fees in the middle of the month. This is probably </w:t>
      </w:r>
      <w:proofErr w:type="gramStart"/>
      <w:r w:rsidRPr="005B4DCD">
        <w:rPr>
          <w:color w:val="000000" w:themeColor="text1"/>
        </w:rPr>
        <w:t>due</w:t>
      </w:r>
      <w:proofErr w:type="gramEnd"/>
      <w:r w:rsidRPr="005B4DCD">
        <w:rPr>
          <w:color w:val="000000" w:themeColor="text1"/>
        </w:rPr>
        <w:t xml:space="preserve"> many participants </w:t>
      </w:r>
      <w:proofErr w:type="gramStart"/>
      <w:r w:rsidRPr="005B4DCD">
        <w:rPr>
          <w:color w:val="000000" w:themeColor="text1"/>
        </w:rPr>
        <w:t>perform</w:t>
      </w:r>
      <w:proofErr w:type="gramEnd"/>
      <w:r w:rsidRPr="005B4DCD">
        <w:rPr>
          <w:color w:val="000000" w:themeColor="text1"/>
        </w:rPr>
        <w:t xml:space="preserve"> a portfolio rebalancing on those days.</w:t>
      </w:r>
    </w:p>
    <w:p w14:paraId="1E98E13C" w14:textId="3444A2D2" w:rsidR="00E6558C" w:rsidRPr="005B4DCD" w:rsidRDefault="00E6558C" w:rsidP="006B21E2">
      <w:pPr>
        <w:jc w:val="both"/>
        <w:rPr>
          <w:color w:val="000000" w:themeColor="text1"/>
        </w:rPr>
      </w:pPr>
      <w:r w:rsidRPr="005B4DCD">
        <w:rPr>
          <w:color w:val="000000" w:themeColor="text1"/>
        </w:rPr>
        <w:br/>
        <w:t xml:space="preserve">Using these identified patterns to cut costs in theory appears to be logical strategy, but the analysis of </w:t>
      </w:r>
      <w:proofErr w:type="gramStart"/>
      <w:r w:rsidRPr="005B4DCD">
        <w:rPr>
          <w:color w:val="000000" w:themeColor="text1"/>
        </w:rPr>
        <w:t>sample of</w:t>
      </w:r>
      <w:proofErr w:type="gramEnd"/>
      <w:r w:rsidRPr="005B4DCD">
        <w:rPr>
          <w:color w:val="000000" w:themeColor="text1"/>
        </w:rPr>
        <w:t xml:space="preserve"> addresses shows that the behavior of participants makes implementation more difficult. On average, participants saved only about one percent of what they could have saved. The main reason for this </w:t>
      </w:r>
      <w:r w:rsidR="005B4DCD" w:rsidRPr="005B4DCD">
        <w:rPr>
          <w:color w:val="000000" w:themeColor="text1"/>
        </w:rPr>
        <w:t>behavior</w:t>
      </w:r>
      <w:r w:rsidRPr="005B4DCD">
        <w:rPr>
          <w:color w:val="000000" w:themeColor="text1"/>
        </w:rPr>
        <w:t xml:space="preserve"> is "gas price optimization" behavior. Participants put off completing transactions to get lower gas fees, but they missed out on better opportunities that were worth more than the money they saved. One example showed a participant waiting three days to enter a position to get lower gas prices, which cost them $45 in missed income, even though they saved $25 on gas costs.</w:t>
      </w:r>
    </w:p>
    <w:p w14:paraId="58ADE70C" w14:textId="77777777" w:rsidR="006C74EB" w:rsidRPr="005B4DCD" w:rsidRDefault="006C74EB" w:rsidP="006B21E2">
      <w:pPr>
        <w:jc w:val="both"/>
        <w:rPr>
          <w:rStyle w:val="Strong"/>
          <w:b w:val="0"/>
          <w:bCs w:val="0"/>
          <w:color w:val="000000" w:themeColor="text1"/>
        </w:rPr>
      </w:pPr>
    </w:p>
    <w:p w14:paraId="2285A13C" w14:textId="52F15499" w:rsidR="006C74EB" w:rsidRPr="005B4DCD" w:rsidRDefault="00C92772" w:rsidP="006B21E2">
      <w:pPr>
        <w:jc w:val="both"/>
        <w:rPr>
          <w:rStyle w:val="Strong"/>
          <w:b w:val="0"/>
          <w:bCs w:val="0"/>
          <w:color w:val="000000" w:themeColor="text1"/>
        </w:rPr>
      </w:pPr>
      <w:r w:rsidRPr="005B4DCD">
        <w:rPr>
          <w:rStyle w:val="Strong"/>
          <w:b w:val="0"/>
          <w:bCs w:val="0"/>
          <w:color w:val="000000" w:themeColor="text1"/>
        </w:rPr>
        <w:t>However, c</w:t>
      </w:r>
      <w:r w:rsidR="006C74EB" w:rsidRPr="005B4DCD">
        <w:rPr>
          <w:rStyle w:val="Strong"/>
          <w:b w:val="0"/>
          <w:bCs w:val="0"/>
          <w:color w:val="000000" w:themeColor="text1"/>
        </w:rPr>
        <w:t xml:space="preserve">ertain participants can </w:t>
      </w:r>
      <w:r w:rsidRPr="005B4DCD">
        <w:rPr>
          <w:rStyle w:val="Strong"/>
          <w:b w:val="0"/>
          <w:bCs w:val="0"/>
          <w:color w:val="000000" w:themeColor="text1"/>
        </w:rPr>
        <w:t>take</w:t>
      </w:r>
      <w:r w:rsidR="006C74EB" w:rsidRPr="005B4DCD">
        <w:rPr>
          <w:rStyle w:val="Strong"/>
          <w:b w:val="0"/>
          <w:bCs w:val="0"/>
          <w:color w:val="000000" w:themeColor="text1"/>
        </w:rPr>
        <w:t xml:space="preserve"> meaningful benefits from gas price optimization. These include:</w:t>
      </w:r>
    </w:p>
    <w:p w14:paraId="0FCFB986" w14:textId="77777777" w:rsidR="006C74EB" w:rsidRPr="005B4DCD" w:rsidRDefault="006C74EB" w:rsidP="006B21E2">
      <w:pPr>
        <w:jc w:val="both"/>
        <w:rPr>
          <w:rStyle w:val="Strong"/>
          <w:b w:val="0"/>
          <w:bCs w:val="0"/>
          <w:color w:val="000000" w:themeColor="text1"/>
        </w:rPr>
      </w:pPr>
    </w:p>
    <w:p w14:paraId="2F0CF511" w14:textId="030F6593" w:rsidR="006C74EB" w:rsidRPr="005B4DCD" w:rsidRDefault="006C74EB" w:rsidP="006B21E2">
      <w:pPr>
        <w:pStyle w:val="ListParagraph"/>
        <w:numPr>
          <w:ilvl w:val="0"/>
          <w:numId w:val="238"/>
        </w:numPr>
        <w:jc w:val="both"/>
        <w:rPr>
          <w:rStyle w:val="Strong"/>
          <w:b w:val="0"/>
          <w:bCs w:val="0"/>
          <w:color w:val="000000" w:themeColor="text1"/>
        </w:rPr>
      </w:pPr>
      <w:r w:rsidRPr="005B4DCD">
        <w:rPr>
          <w:rStyle w:val="Strong"/>
          <w:b w:val="0"/>
          <w:bCs w:val="0"/>
          <w:color w:val="000000" w:themeColor="text1"/>
        </w:rPr>
        <w:t>Holders of large positions where annual savings are substantial, such as portfolios valued over $100,000, which could save $2,000 or more annually</w:t>
      </w:r>
      <w:r w:rsidR="00C92772" w:rsidRPr="005B4DCD">
        <w:rPr>
          <w:rStyle w:val="Strong"/>
          <w:b w:val="0"/>
          <w:bCs w:val="0"/>
          <w:color w:val="000000" w:themeColor="text1"/>
        </w:rPr>
        <w:t xml:space="preserve"> </w:t>
      </w:r>
      <w:r w:rsidR="00C92772" w:rsidRPr="005B4DCD">
        <w:rPr>
          <w:color w:val="000000" w:themeColor="text1"/>
        </w:rPr>
        <w:t>(</w:t>
      </w:r>
      <w:proofErr w:type="spellStart"/>
      <w:r w:rsidR="00C92772" w:rsidRPr="005B4DCD">
        <w:rPr>
          <w:color w:val="000000" w:themeColor="text1"/>
        </w:rPr>
        <w:t>Koutmos</w:t>
      </w:r>
      <w:proofErr w:type="spellEnd"/>
      <w:r w:rsidR="00C92772" w:rsidRPr="005B4DCD">
        <w:rPr>
          <w:color w:val="000000" w:themeColor="text1"/>
        </w:rPr>
        <w:t>, 2023).</w:t>
      </w:r>
    </w:p>
    <w:p w14:paraId="1F22472C" w14:textId="77777777" w:rsidR="006C74EB" w:rsidRPr="005B4DCD" w:rsidRDefault="006C74EB" w:rsidP="006B21E2">
      <w:pPr>
        <w:pStyle w:val="ListParagraph"/>
        <w:numPr>
          <w:ilvl w:val="0"/>
          <w:numId w:val="237"/>
        </w:numPr>
        <w:jc w:val="both"/>
        <w:rPr>
          <w:rStyle w:val="Strong"/>
          <w:b w:val="0"/>
          <w:bCs w:val="0"/>
          <w:color w:val="000000" w:themeColor="text1"/>
        </w:rPr>
      </w:pPr>
      <w:r w:rsidRPr="005B4DCD">
        <w:rPr>
          <w:rStyle w:val="Strong"/>
          <w:b w:val="0"/>
          <w:bCs w:val="0"/>
          <w:color w:val="000000" w:themeColor="text1"/>
        </w:rPr>
        <w:t>High-frequency traders or daily rebalancers, who can leverage regular timing patterns to consistently reduce transaction costs.</w:t>
      </w:r>
    </w:p>
    <w:p w14:paraId="0B928167" w14:textId="33FACB26" w:rsidR="00567C9D" w:rsidRPr="005B4DCD" w:rsidRDefault="006C74EB" w:rsidP="006B21E2">
      <w:pPr>
        <w:pStyle w:val="ListParagraph"/>
        <w:numPr>
          <w:ilvl w:val="0"/>
          <w:numId w:val="237"/>
        </w:numPr>
        <w:jc w:val="both"/>
        <w:rPr>
          <w:rStyle w:val="Strong"/>
          <w:b w:val="0"/>
          <w:bCs w:val="0"/>
          <w:color w:val="000000" w:themeColor="text1"/>
        </w:rPr>
      </w:pPr>
      <w:r w:rsidRPr="005B4DCD">
        <w:rPr>
          <w:rStyle w:val="Strong"/>
          <w:b w:val="0"/>
          <w:bCs w:val="0"/>
          <w:color w:val="000000" w:themeColor="text1"/>
        </w:rPr>
        <w:t>Users engaging in routine maintenance operations, such as claiming staking rewards, periodic rebalancing, or moving funds for tax purposes</w:t>
      </w:r>
      <w:r w:rsidR="00C92772" w:rsidRPr="005B4DCD">
        <w:rPr>
          <w:color w:val="000000" w:themeColor="text1"/>
        </w:rPr>
        <w:t xml:space="preserve"> (</w:t>
      </w:r>
      <w:proofErr w:type="spellStart"/>
      <w:r w:rsidR="00C64884" w:rsidRPr="005B4DCD">
        <w:rPr>
          <w:color w:val="000000" w:themeColor="text1"/>
        </w:rPr>
        <w:t>Donmez</w:t>
      </w:r>
      <w:proofErr w:type="spellEnd"/>
      <w:r w:rsidR="00C64884" w:rsidRPr="005B4DCD">
        <w:rPr>
          <w:color w:val="000000" w:themeColor="text1"/>
        </w:rPr>
        <w:t>, 2022).</w:t>
      </w:r>
    </w:p>
    <w:p w14:paraId="58DD8C9E" w14:textId="77777777" w:rsidR="00885D58" w:rsidRPr="003F1D2B" w:rsidRDefault="00885D58" w:rsidP="006B21E2">
      <w:pPr>
        <w:rPr>
          <w:rStyle w:val="Strong"/>
          <w:color w:val="0070C0"/>
        </w:rPr>
      </w:pPr>
    </w:p>
    <w:p w14:paraId="4D28F8BC" w14:textId="22CE832F" w:rsidR="00DF3FB4" w:rsidRPr="005B4DCD" w:rsidRDefault="00DF3FB4" w:rsidP="006B21E2">
      <w:pPr>
        <w:pStyle w:val="Heading3"/>
        <w:jc w:val="both"/>
        <w:rPr>
          <w:color w:val="000000" w:themeColor="text1"/>
        </w:rPr>
      </w:pPr>
      <w:bookmarkStart w:id="158" w:name="_Toc214721964"/>
      <w:r w:rsidRPr="005B4DCD">
        <w:rPr>
          <w:rStyle w:val="Strong"/>
          <w:b/>
          <w:bCs w:val="0"/>
          <w:color w:val="000000" w:themeColor="text1"/>
        </w:rPr>
        <w:lastRenderedPageBreak/>
        <w:t>6.7.</w:t>
      </w:r>
      <w:r w:rsidR="008D1CE5" w:rsidRPr="005B4DCD">
        <w:rPr>
          <w:rStyle w:val="Strong"/>
          <w:b/>
          <w:bCs w:val="0"/>
          <w:color w:val="000000" w:themeColor="text1"/>
        </w:rPr>
        <w:t>5</w:t>
      </w:r>
      <w:r w:rsidRPr="005B4DCD">
        <w:rPr>
          <w:rStyle w:val="Strong"/>
          <w:b/>
          <w:bCs w:val="0"/>
          <w:color w:val="000000" w:themeColor="text1"/>
        </w:rPr>
        <w:t xml:space="preserve">. </w:t>
      </w:r>
      <w:r w:rsidR="000E0972" w:rsidRPr="005B4DCD">
        <w:rPr>
          <w:rStyle w:val="Strong"/>
          <w:b/>
          <w:bCs w:val="0"/>
          <w:color w:val="000000" w:themeColor="text1"/>
        </w:rPr>
        <w:t>Practical takeaway:</w:t>
      </w:r>
      <w:bookmarkEnd w:id="158"/>
      <w:r w:rsidR="000E0972" w:rsidRPr="005B4DCD">
        <w:rPr>
          <w:color w:val="000000" w:themeColor="text1"/>
        </w:rPr>
        <w:t xml:space="preserve"> </w:t>
      </w:r>
    </w:p>
    <w:p w14:paraId="25A4F13E" w14:textId="06C046B3" w:rsidR="005804FC" w:rsidRPr="005B4DCD" w:rsidRDefault="00932322" w:rsidP="006B21E2">
      <w:pPr>
        <w:jc w:val="both"/>
        <w:rPr>
          <w:color w:val="000000" w:themeColor="text1"/>
        </w:rPr>
      </w:pPr>
      <w:r w:rsidRPr="005B4DCD">
        <w:rPr>
          <w:color w:val="000000" w:themeColor="text1"/>
        </w:rPr>
        <w:t xml:space="preserve">Various factors such as geography, time availability, </w:t>
      </w:r>
      <w:proofErr w:type="gramStart"/>
      <w:r w:rsidRPr="005B4DCD">
        <w:rPr>
          <w:color w:val="000000" w:themeColor="text1"/>
        </w:rPr>
        <w:t>knowhow</w:t>
      </w:r>
      <w:proofErr w:type="gramEnd"/>
      <w:r w:rsidRPr="005B4DCD">
        <w:rPr>
          <w:color w:val="000000" w:themeColor="text1"/>
        </w:rPr>
        <w:t xml:space="preserve"> and technology</w:t>
      </w:r>
      <w:r w:rsidR="000E0972" w:rsidRPr="005B4DCD">
        <w:rPr>
          <w:color w:val="000000" w:themeColor="text1"/>
        </w:rPr>
        <w:t xml:space="preserve"> determine whether DeFi's risk-return profile makes sense. Same returns </w:t>
      </w:r>
      <w:r w:rsidRPr="005B4DCD">
        <w:rPr>
          <w:color w:val="000000" w:themeColor="text1"/>
        </w:rPr>
        <w:t xml:space="preserve">will also </w:t>
      </w:r>
      <w:r w:rsidR="000E0972" w:rsidRPr="005B4DCD">
        <w:rPr>
          <w:color w:val="000000" w:themeColor="text1"/>
        </w:rPr>
        <w:t>mean different things in different economic contexts</w:t>
      </w:r>
      <w:r w:rsidRPr="005B4DCD">
        <w:rPr>
          <w:color w:val="000000" w:themeColor="text1"/>
        </w:rPr>
        <w:t xml:space="preserve">. </w:t>
      </w:r>
      <w:proofErr w:type="gramStart"/>
      <w:r w:rsidRPr="005B4DCD">
        <w:rPr>
          <w:color w:val="000000" w:themeColor="text1"/>
        </w:rPr>
        <w:t>As a general rule</w:t>
      </w:r>
      <w:proofErr w:type="gramEnd"/>
      <w:r w:rsidRPr="005B4DCD">
        <w:rPr>
          <w:color w:val="000000" w:themeColor="text1"/>
        </w:rPr>
        <w:t>, the following facts, assumptions, and guidelines need to be considered by participants when entering this market.</w:t>
      </w:r>
    </w:p>
    <w:p w14:paraId="00C2B559" w14:textId="77777777" w:rsidR="00932322" w:rsidRPr="005B4DCD" w:rsidRDefault="00932322" w:rsidP="006B21E2">
      <w:pPr>
        <w:jc w:val="both"/>
        <w:rPr>
          <w:rStyle w:val="Strong"/>
          <w:b w:val="0"/>
          <w:bCs w:val="0"/>
          <w:color w:val="000000" w:themeColor="text1"/>
        </w:rPr>
      </w:pPr>
    </w:p>
    <w:p w14:paraId="2F48FCF7" w14:textId="418BA8DC" w:rsidR="000E0972" w:rsidRPr="005B4DCD" w:rsidRDefault="000E0972" w:rsidP="006B21E2">
      <w:pPr>
        <w:jc w:val="both"/>
        <w:rPr>
          <w:color w:val="000000" w:themeColor="text1"/>
        </w:rPr>
      </w:pPr>
      <w:r w:rsidRPr="005B4DCD">
        <w:rPr>
          <w:rStyle w:val="Strong"/>
          <w:color w:val="000000" w:themeColor="text1"/>
        </w:rPr>
        <w:t xml:space="preserve">1. Protocol-level fees are </w:t>
      </w:r>
      <w:r w:rsidR="00932322" w:rsidRPr="005B4DCD">
        <w:rPr>
          <w:rStyle w:val="Strong"/>
          <w:color w:val="000000" w:themeColor="text1"/>
        </w:rPr>
        <w:t xml:space="preserve">unavoidable </w:t>
      </w:r>
      <w:r w:rsidRPr="005B4DCD">
        <w:rPr>
          <w:rStyle w:val="Strong"/>
          <w:color w:val="000000" w:themeColor="text1"/>
        </w:rPr>
        <w:t xml:space="preserve">infrastructure </w:t>
      </w:r>
      <w:r w:rsidR="00932322" w:rsidRPr="005B4DCD">
        <w:rPr>
          <w:rStyle w:val="Strong"/>
          <w:color w:val="000000" w:themeColor="text1"/>
        </w:rPr>
        <w:t>costs</w:t>
      </w:r>
    </w:p>
    <w:p w14:paraId="1E1D6E98" w14:textId="0B0185B3" w:rsidR="000E0972" w:rsidRPr="005B4DCD" w:rsidRDefault="00932322" w:rsidP="006B21E2">
      <w:pPr>
        <w:pStyle w:val="ListParagraph"/>
        <w:numPr>
          <w:ilvl w:val="0"/>
          <w:numId w:val="239"/>
        </w:numPr>
        <w:jc w:val="both"/>
        <w:rPr>
          <w:color w:val="000000" w:themeColor="text1"/>
        </w:rPr>
      </w:pPr>
      <w:proofErr w:type="gramStart"/>
      <w:r w:rsidRPr="005B4DCD">
        <w:rPr>
          <w:color w:val="000000" w:themeColor="text1"/>
        </w:rPr>
        <w:t>Similar to</w:t>
      </w:r>
      <w:proofErr w:type="gramEnd"/>
      <w:r w:rsidR="000E0972" w:rsidRPr="005B4DCD">
        <w:rPr>
          <w:color w:val="000000" w:themeColor="text1"/>
        </w:rPr>
        <w:t xml:space="preserve"> paying for electricity to run a business</w:t>
      </w:r>
      <w:r w:rsidRPr="005B4DCD">
        <w:rPr>
          <w:color w:val="000000" w:themeColor="text1"/>
        </w:rPr>
        <w:t xml:space="preserve"> - </w:t>
      </w:r>
      <w:r w:rsidR="000E0972" w:rsidRPr="005B4DCD">
        <w:rPr>
          <w:color w:val="000000" w:themeColor="text1"/>
        </w:rPr>
        <w:t>not negotiable</w:t>
      </w:r>
    </w:p>
    <w:p w14:paraId="6A286F0B" w14:textId="61F97D77" w:rsidR="000E0972" w:rsidRPr="005B4DCD" w:rsidRDefault="000E0972" w:rsidP="006B21E2">
      <w:pPr>
        <w:pStyle w:val="ListParagraph"/>
        <w:numPr>
          <w:ilvl w:val="0"/>
          <w:numId w:val="239"/>
        </w:numPr>
        <w:jc w:val="both"/>
        <w:rPr>
          <w:color w:val="000000" w:themeColor="text1"/>
        </w:rPr>
      </w:pPr>
      <w:r w:rsidRPr="005B4DCD">
        <w:rPr>
          <w:color w:val="000000" w:themeColor="text1"/>
        </w:rPr>
        <w:t xml:space="preserve">Different blockchains have </w:t>
      </w:r>
      <w:r w:rsidR="00932322" w:rsidRPr="005B4DCD">
        <w:rPr>
          <w:color w:val="000000" w:themeColor="text1"/>
        </w:rPr>
        <w:t>significantly</w:t>
      </w:r>
      <w:r w:rsidRPr="005B4DCD">
        <w:rPr>
          <w:color w:val="000000" w:themeColor="text1"/>
        </w:rPr>
        <w:t xml:space="preserve"> different cost structures</w:t>
      </w:r>
    </w:p>
    <w:p w14:paraId="1F89590A" w14:textId="4D575EE4" w:rsidR="000E0972" w:rsidRPr="005B4DCD" w:rsidRDefault="00932322" w:rsidP="006B21E2">
      <w:pPr>
        <w:pStyle w:val="ListParagraph"/>
        <w:numPr>
          <w:ilvl w:val="0"/>
          <w:numId w:val="239"/>
        </w:numPr>
        <w:jc w:val="both"/>
        <w:rPr>
          <w:color w:val="000000" w:themeColor="text1"/>
        </w:rPr>
      </w:pPr>
      <w:r w:rsidRPr="005B4DCD">
        <w:rPr>
          <w:color w:val="000000" w:themeColor="text1"/>
        </w:rPr>
        <w:t>N</w:t>
      </w:r>
      <w:r w:rsidR="000E0972" w:rsidRPr="005B4DCD">
        <w:rPr>
          <w:color w:val="000000" w:themeColor="text1"/>
        </w:rPr>
        <w:t>etwork</w:t>
      </w:r>
      <w:r w:rsidRPr="005B4DCD">
        <w:rPr>
          <w:color w:val="000000" w:themeColor="text1"/>
        </w:rPr>
        <w:t xml:space="preserve"> selection is</w:t>
      </w:r>
      <w:r w:rsidR="000E0972" w:rsidRPr="005B4DCD">
        <w:rPr>
          <w:color w:val="000000" w:themeColor="text1"/>
        </w:rPr>
        <w:t xml:space="preserve"> first (based on capital level), </w:t>
      </w:r>
      <w:r w:rsidRPr="005B4DCD">
        <w:rPr>
          <w:color w:val="000000" w:themeColor="text1"/>
        </w:rPr>
        <w:t>followed by</w:t>
      </w:r>
      <w:r w:rsidR="000E0972" w:rsidRPr="005B4DCD">
        <w:rPr>
          <w:color w:val="000000" w:themeColor="text1"/>
        </w:rPr>
        <w:t xml:space="preserve"> strategy</w:t>
      </w:r>
    </w:p>
    <w:p w14:paraId="7C4BC97C" w14:textId="77777777" w:rsidR="005804FC" w:rsidRPr="005B4DCD" w:rsidRDefault="005804FC" w:rsidP="006B21E2">
      <w:pPr>
        <w:jc w:val="both"/>
        <w:rPr>
          <w:b/>
          <w:bCs/>
          <w:color w:val="000000" w:themeColor="text1"/>
        </w:rPr>
      </w:pPr>
    </w:p>
    <w:p w14:paraId="768C256C" w14:textId="31B15D0F" w:rsidR="000E0972" w:rsidRPr="005B4DCD" w:rsidRDefault="000E0972" w:rsidP="006B21E2">
      <w:pPr>
        <w:jc w:val="both"/>
        <w:rPr>
          <w:color w:val="000000" w:themeColor="text1"/>
        </w:rPr>
      </w:pPr>
      <w:r w:rsidRPr="005B4DCD">
        <w:rPr>
          <w:b/>
          <w:bCs/>
          <w:color w:val="000000" w:themeColor="text1"/>
        </w:rPr>
        <w:t xml:space="preserve">2. Staking is not </w:t>
      </w:r>
      <w:proofErr w:type="gramStart"/>
      <w:r w:rsidRPr="005B4DCD">
        <w:rPr>
          <w:b/>
          <w:bCs/>
          <w:color w:val="000000" w:themeColor="text1"/>
        </w:rPr>
        <w:t>standalone income</w:t>
      </w:r>
      <w:proofErr w:type="gramEnd"/>
      <w:r w:rsidRPr="005B4DCD">
        <w:rPr>
          <w:b/>
          <w:bCs/>
          <w:color w:val="000000" w:themeColor="text1"/>
        </w:rPr>
        <w:t>; it's yield on held assets</w:t>
      </w:r>
    </w:p>
    <w:p w14:paraId="79849D83" w14:textId="77777777" w:rsidR="000E0972" w:rsidRPr="005B4DCD" w:rsidRDefault="000E0972" w:rsidP="006B21E2">
      <w:pPr>
        <w:pStyle w:val="ListParagraph"/>
        <w:numPr>
          <w:ilvl w:val="0"/>
          <w:numId w:val="240"/>
        </w:numPr>
        <w:jc w:val="both"/>
        <w:rPr>
          <w:color w:val="000000" w:themeColor="text1"/>
        </w:rPr>
      </w:pPr>
      <w:r w:rsidRPr="005B4DCD">
        <w:rPr>
          <w:color w:val="000000" w:themeColor="text1"/>
        </w:rPr>
        <w:t>Actual returns dominated by token price (91% of variance)</w:t>
      </w:r>
    </w:p>
    <w:p w14:paraId="6F9B9F67" w14:textId="77777777" w:rsidR="000E0972" w:rsidRPr="005B4DCD" w:rsidRDefault="000E0972" w:rsidP="006B21E2">
      <w:pPr>
        <w:pStyle w:val="ListParagraph"/>
        <w:numPr>
          <w:ilvl w:val="0"/>
          <w:numId w:val="240"/>
        </w:numPr>
        <w:jc w:val="both"/>
        <w:rPr>
          <w:color w:val="000000" w:themeColor="text1"/>
        </w:rPr>
      </w:pPr>
      <w:r w:rsidRPr="005B4DCD">
        <w:rPr>
          <w:color w:val="000000" w:themeColor="text1"/>
        </w:rPr>
        <w:t>Nominal yields (4-5%) &lt; Risk-free Treasuries (4.5%) in developed markets</w:t>
      </w:r>
    </w:p>
    <w:p w14:paraId="4ECE85D3" w14:textId="77777777" w:rsidR="000E0972" w:rsidRPr="005B4DCD" w:rsidRDefault="000E0972" w:rsidP="006B21E2">
      <w:pPr>
        <w:pStyle w:val="ListParagraph"/>
        <w:numPr>
          <w:ilvl w:val="0"/>
          <w:numId w:val="240"/>
        </w:numPr>
        <w:jc w:val="both"/>
        <w:rPr>
          <w:color w:val="000000" w:themeColor="text1"/>
        </w:rPr>
      </w:pPr>
      <w:r w:rsidRPr="005B4DCD">
        <w:rPr>
          <w:color w:val="000000" w:themeColor="text1"/>
        </w:rPr>
        <w:t>Treating it as income strategy violated basic finance principles</w:t>
      </w:r>
    </w:p>
    <w:p w14:paraId="2E91FD5B" w14:textId="77777777" w:rsidR="005804FC" w:rsidRPr="005B4DCD" w:rsidRDefault="005804FC" w:rsidP="006B21E2">
      <w:pPr>
        <w:jc w:val="both"/>
        <w:rPr>
          <w:b/>
          <w:bCs/>
          <w:color w:val="000000" w:themeColor="text1"/>
        </w:rPr>
      </w:pPr>
    </w:p>
    <w:p w14:paraId="63F0D481" w14:textId="649E78ED" w:rsidR="000E0972" w:rsidRPr="005B4DCD" w:rsidRDefault="000E0972" w:rsidP="006B21E2">
      <w:pPr>
        <w:jc w:val="both"/>
        <w:rPr>
          <w:color w:val="000000" w:themeColor="text1"/>
        </w:rPr>
      </w:pPr>
      <w:r w:rsidRPr="005B4DCD">
        <w:rPr>
          <w:b/>
          <w:bCs/>
          <w:color w:val="000000" w:themeColor="text1"/>
        </w:rPr>
        <w:t>3. Lower barriers correlate with lower returns</w:t>
      </w:r>
    </w:p>
    <w:p w14:paraId="29154570" w14:textId="77777777" w:rsidR="000E0972" w:rsidRPr="005B4DCD" w:rsidRDefault="000E0972" w:rsidP="006B21E2">
      <w:pPr>
        <w:pStyle w:val="ListParagraph"/>
        <w:numPr>
          <w:ilvl w:val="0"/>
          <w:numId w:val="241"/>
        </w:numPr>
        <w:jc w:val="both"/>
        <w:rPr>
          <w:color w:val="000000" w:themeColor="text1"/>
        </w:rPr>
      </w:pPr>
      <w:r w:rsidRPr="005B4DCD">
        <w:rPr>
          <w:color w:val="000000" w:themeColor="text1"/>
        </w:rPr>
        <w:t>Ethereum: High barrier ($96K), high fee capture (15-30%)</w:t>
      </w:r>
    </w:p>
    <w:p w14:paraId="301594BB" w14:textId="77777777" w:rsidR="000E0972" w:rsidRPr="005B4DCD" w:rsidRDefault="000E0972" w:rsidP="006B21E2">
      <w:pPr>
        <w:pStyle w:val="ListParagraph"/>
        <w:numPr>
          <w:ilvl w:val="0"/>
          <w:numId w:val="241"/>
        </w:numPr>
        <w:jc w:val="both"/>
        <w:rPr>
          <w:color w:val="000000" w:themeColor="text1"/>
        </w:rPr>
      </w:pPr>
      <w:r w:rsidRPr="005B4DCD">
        <w:rPr>
          <w:color w:val="000000" w:themeColor="text1"/>
        </w:rPr>
        <w:t xml:space="preserve">Delegated </w:t>
      </w:r>
      <w:proofErr w:type="spellStart"/>
      <w:r w:rsidRPr="005B4DCD">
        <w:rPr>
          <w:color w:val="000000" w:themeColor="text1"/>
        </w:rPr>
        <w:t>PoS</w:t>
      </w:r>
      <w:proofErr w:type="spellEnd"/>
      <w:r w:rsidRPr="005B4DCD">
        <w:rPr>
          <w:color w:val="000000" w:themeColor="text1"/>
        </w:rPr>
        <w:t>: Low barrier ($1), low fee capture (5-10%)</w:t>
      </w:r>
    </w:p>
    <w:p w14:paraId="46F7A8DE" w14:textId="77777777" w:rsidR="000E0972" w:rsidRPr="005B4DCD" w:rsidRDefault="000E0972" w:rsidP="006B21E2">
      <w:pPr>
        <w:pStyle w:val="ListParagraph"/>
        <w:numPr>
          <w:ilvl w:val="0"/>
          <w:numId w:val="241"/>
        </w:numPr>
        <w:jc w:val="both"/>
        <w:rPr>
          <w:color w:val="000000" w:themeColor="text1"/>
        </w:rPr>
      </w:pPr>
      <w:r w:rsidRPr="005B4DCD">
        <w:rPr>
          <w:color w:val="000000" w:themeColor="text1"/>
        </w:rPr>
        <w:t>Proof of Authority: Permissioned (can't participate as individual)</w:t>
      </w:r>
    </w:p>
    <w:p w14:paraId="26162BCF" w14:textId="77777777" w:rsidR="000E0972" w:rsidRPr="005B4DCD" w:rsidRDefault="000E0972" w:rsidP="006B21E2">
      <w:pPr>
        <w:pStyle w:val="ListParagraph"/>
        <w:numPr>
          <w:ilvl w:val="0"/>
          <w:numId w:val="241"/>
        </w:numPr>
        <w:jc w:val="both"/>
        <w:rPr>
          <w:color w:val="000000" w:themeColor="text1"/>
        </w:rPr>
      </w:pPr>
      <w:r w:rsidRPr="005B4DCD">
        <w:rPr>
          <w:color w:val="000000" w:themeColor="text1"/>
        </w:rPr>
        <w:t>Accessibility and profitability inversely related</w:t>
      </w:r>
    </w:p>
    <w:p w14:paraId="251D003A" w14:textId="77777777" w:rsidR="005804FC" w:rsidRPr="005B4DCD" w:rsidRDefault="005804FC" w:rsidP="006B21E2">
      <w:pPr>
        <w:jc w:val="both"/>
        <w:rPr>
          <w:b/>
          <w:bCs/>
          <w:color w:val="000000" w:themeColor="text1"/>
        </w:rPr>
      </w:pPr>
    </w:p>
    <w:p w14:paraId="3B9B71E7" w14:textId="6A24E974" w:rsidR="000E0972" w:rsidRPr="005B4DCD" w:rsidRDefault="000E0972" w:rsidP="006B21E2">
      <w:pPr>
        <w:jc w:val="both"/>
        <w:rPr>
          <w:color w:val="000000" w:themeColor="text1"/>
        </w:rPr>
      </w:pPr>
      <w:r w:rsidRPr="005B4DCD">
        <w:rPr>
          <w:b/>
          <w:bCs/>
          <w:color w:val="000000" w:themeColor="text1"/>
        </w:rPr>
        <w:t>4. Timing transactions can save 30-45% on gas</w:t>
      </w:r>
    </w:p>
    <w:p w14:paraId="556D6C41" w14:textId="77777777" w:rsidR="000E0972" w:rsidRPr="005B4DCD" w:rsidRDefault="000E0972" w:rsidP="006B21E2">
      <w:pPr>
        <w:pStyle w:val="ListParagraph"/>
        <w:numPr>
          <w:ilvl w:val="0"/>
          <w:numId w:val="242"/>
        </w:numPr>
        <w:jc w:val="both"/>
        <w:rPr>
          <w:color w:val="000000" w:themeColor="text1"/>
        </w:rPr>
      </w:pPr>
      <w:r w:rsidRPr="005B4DCD">
        <w:rPr>
          <w:color w:val="000000" w:themeColor="text1"/>
        </w:rPr>
        <w:t>Daily patterns: 4-6 AM UTC cheapest, 2-4 PM UTC most expensive</w:t>
      </w:r>
    </w:p>
    <w:p w14:paraId="61DEE270" w14:textId="77777777" w:rsidR="000E0972" w:rsidRPr="005B4DCD" w:rsidRDefault="000E0972" w:rsidP="006B21E2">
      <w:pPr>
        <w:pStyle w:val="ListParagraph"/>
        <w:numPr>
          <w:ilvl w:val="0"/>
          <w:numId w:val="242"/>
        </w:numPr>
        <w:jc w:val="both"/>
        <w:rPr>
          <w:color w:val="000000" w:themeColor="text1"/>
        </w:rPr>
      </w:pPr>
      <w:r w:rsidRPr="005B4DCD">
        <w:rPr>
          <w:color w:val="000000" w:themeColor="text1"/>
        </w:rPr>
        <w:t>Weekly patterns: Weekends 15% cheaper than midweek</w:t>
      </w:r>
    </w:p>
    <w:p w14:paraId="3EA1C0F3" w14:textId="77777777" w:rsidR="000E0972" w:rsidRPr="005B4DCD" w:rsidRDefault="000E0972" w:rsidP="006B21E2">
      <w:pPr>
        <w:pStyle w:val="ListParagraph"/>
        <w:numPr>
          <w:ilvl w:val="0"/>
          <w:numId w:val="242"/>
        </w:numPr>
        <w:jc w:val="both"/>
        <w:rPr>
          <w:color w:val="000000" w:themeColor="text1"/>
        </w:rPr>
      </w:pPr>
      <w:r w:rsidRPr="005B4DCD">
        <w:rPr>
          <w:color w:val="000000" w:themeColor="text1"/>
        </w:rPr>
        <w:t>But: Opportunity cost of waiting often exceeds gas savings</w:t>
      </w:r>
    </w:p>
    <w:p w14:paraId="5E73F115" w14:textId="3E1B947E" w:rsidR="000E0972" w:rsidRPr="005B4DCD" w:rsidRDefault="000E0972" w:rsidP="006B21E2">
      <w:pPr>
        <w:pStyle w:val="ListParagraph"/>
        <w:numPr>
          <w:ilvl w:val="0"/>
          <w:numId w:val="242"/>
        </w:numPr>
        <w:jc w:val="both"/>
        <w:rPr>
          <w:color w:val="000000" w:themeColor="text1"/>
        </w:rPr>
      </w:pPr>
      <w:proofErr w:type="gramStart"/>
      <w:r w:rsidRPr="005B4DCD">
        <w:rPr>
          <w:color w:val="000000" w:themeColor="text1"/>
        </w:rPr>
        <w:t>Optimiz</w:t>
      </w:r>
      <w:r w:rsidR="007D413C" w:rsidRPr="005B4DCD">
        <w:rPr>
          <w:color w:val="000000" w:themeColor="text1"/>
        </w:rPr>
        <w:t>ing</w:t>
      </w:r>
      <w:r w:rsidRPr="005B4DCD">
        <w:rPr>
          <w:color w:val="000000" w:themeColor="text1"/>
        </w:rPr>
        <w:t xml:space="preserve"> for</w:t>
      </w:r>
      <w:proofErr w:type="gramEnd"/>
      <w:r w:rsidRPr="005B4DCD">
        <w:rPr>
          <w:color w:val="000000" w:themeColor="text1"/>
        </w:rPr>
        <w:t xml:space="preserve"> routine</w:t>
      </w:r>
      <w:r w:rsidR="007D413C" w:rsidRPr="005B4DCD">
        <w:rPr>
          <w:color w:val="000000" w:themeColor="text1"/>
        </w:rPr>
        <w:t xml:space="preserve"> and </w:t>
      </w:r>
      <w:proofErr w:type="gramStart"/>
      <w:r w:rsidRPr="005B4DCD">
        <w:rPr>
          <w:color w:val="000000" w:themeColor="text1"/>
        </w:rPr>
        <w:t>not time</w:t>
      </w:r>
      <w:proofErr w:type="gramEnd"/>
      <w:r w:rsidRPr="005B4DCD">
        <w:rPr>
          <w:color w:val="000000" w:themeColor="text1"/>
        </w:rPr>
        <w:t>-sensitive operations</w:t>
      </w:r>
    </w:p>
    <w:p w14:paraId="57AB8547" w14:textId="77777777" w:rsidR="005804FC" w:rsidRPr="005B4DCD" w:rsidRDefault="005804FC" w:rsidP="006B21E2">
      <w:pPr>
        <w:jc w:val="both"/>
        <w:rPr>
          <w:b/>
          <w:bCs/>
          <w:color w:val="000000" w:themeColor="text1"/>
        </w:rPr>
      </w:pPr>
    </w:p>
    <w:p w14:paraId="20F4A56C" w14:textId="20CC4624" w:rsidR="000E0972" w:rsidRPr="005B4DCD" w:rsidRDefault="000E0972" w:rsidP="006B21E2">
      <w:pPr>
        <w:jc w:val="both"/>
        <w:rPr>
          <w:color w:val="000000" w:themeColor="text1"/>
        </w:rPr>
      </w:pPr>
      <w:r w:rsidRPr="005B4DCD">
        <w:rPr>
          <w:b/>
          <w:bCs/>
          <w:color w:val="000000" w:themeColor="text1"/>
        </w:rPr>
        <w:t>5. MEV is a hidden tax on all transactions</w:t>
      </w:r>
    </w:p>
    <w:p w14:paraId="647ADE33" w14:textId="77777777" w:rsidR="000E0972" w:rsidRPr="005B4DCD" w:rsidRDefault="000E0972" w:rsidP="006B21E2">
      <w:pPr>
        <w:pStyle w:val="ListParagraph"/>
        <w:numPr>
          <w:ilvl w:val="0"/>
          <w:numId w:val="243"/>
        </w:numPr>
        <w:jc w:val="both"/>
        <w:rPr>
          <w:color w:val="000000" w:themeColor="text1"/>
        </w:rPr>
      </w:pPr>
      <w:r w:rsidRPr="005B4DCD">
        <w:rPr>
          <w:color w:val="000000" w:themeColor="text1"/>
        </w:rPr>
        <w:t>$1.38 billion extracted in tracked data (2020-2023)</w:t>
      </w:r>
    </w:p>
    <w:p w14:paraId="58AB2CAF" w14:textId="77777777" w:rsidR="000E0972" w:rsidRPr="005B4DCD" w:rsidRDefault="000E0972" w:rsidP="006B21E2">
      <w:pPr>
        <w:pStyle w:val="ListParagraph"/>
        <w:numPr>
          <w:ilvl w:val="0"/>
          <w:numId w:val="243"/>
        </w:numPr>
        <w:jc w:val="both"/>
        <w:rPr>
          <w:color w:val="000000" w:themeColor="text1"/>
        </w:rPr>
      </w:pPr>
      <w:r w:rsidRPr="005B4DCD">
        <w:rPr>
          <w:color w:val="000000" w:themeColor="text1"/>
        </w:rPr>
        <w:t>89% by top 50 sophisticated operators</w:t>
      </w:r>
    </w:p>
    <w:p w14:paraId="39DE0D77" w14:textId="77777777" w:rsidR="000E0972" w:rsidRPr="005B4DCD" w:rsidRDefault="000E0972" w:rsidP="006B21E2">
      <w:pPr>
        <w:pStyle w:val="ListParagraph"/>
        <w:numPr>
          <w:ilvl w:val="0"/>
          <w:numId w:val="243"/>
        </w:numPr>
        <w:jc w:val="both"/>
        <w:rPr>
          <w:color w:val="000000" w:themeColor="text1"/>
        </w:rPr>
      </w:pPr>
      <w:r w:rsidRPr="005B4DCD">
        <w:rPr>
          <w:color w:val="000000" w:themeColor="text1"/>
        </w:rPr>
        <w:t>Small participants attempting MEV: 12% success vs 67% for pros</w:t>
      </w:r>
    </w:p>
    <w:p w14:paraId="16B76A8C" w14:textId="74F680AC" w:rsidR="000E0972" w:rsidRPr="005B4DCD" w:rsidRDefault="000E0972" w:rsidP="006B21E2">
      <w:pPr>
        <w:pStyle w:val="ListParagraph"/>
        <w:numPr>
          <w:ilvl w:val="0"/>
          <w:numId w:val="243"/>
        </w:numPr>
        <w:jc w:val="both"/>
        <w:rPr>
          <w:color w:val="000000" w:themeColor="text1"/>
        </w:rPr>
      </w:pPr>
      <w:r w:rsidRPr="005B4DCD">
        <w:rPr>
          <w:color w:val="000000" w:themeColor="text1"/>
        </w:rPr>
        <w:t xml:space="preserve">MEV </w:t>
      </w:r>
      <w:r w:rsidR="00274B22" w:rsidRPr="005B4DCD">
        <w:rPr>
          <w:color w:val="000000" w:themeColor="text1"/>
        </w:rPr>
        <w:t>is to be considered as</w:t>
      </w:r>
      <w:r w:rsidRPr="005B4DCD">
        <w:rPr>
          <w:color w:val="000000" w:themeColor="text1"/>
        </w:rPr>
        <w:t xml:space="preserve"> unavoidable cost; protection strategies help marginally</w:t>
      </w:r>
    </w:p>
    <w:p w14:paraId="368ED69E" w14:textId="77777777" w:rsidR="005804FC" w:rsidRPr="005B4DCD" w:rsidRDefault="005804FC" w:rsidP="006B21E2">
      <w:pPr>
        <w:jc w:val="both"/>
        <w:rPr>
          <w:b/>
          <w:bCs/>
          <w:color w:val="000000" w:themeColor="text1"/>
        </w:rPr>
      </w:pPr>
    </w:p>
    <w:p w14:paraId="157F27F2" w14:textId="59589667" w:rsidR="000E0972" w:rsidRPr="005B4DCD" w:rsidRDefault="000E0972" w:rsidP="006B21E2">
      <w:pPr>
        <w:jc w:val="both"/>
        <w:rPr>
          <w:color w:val="000000" w:themeColor="text1"/>
        </w:rPr>
      </w:pPr>
      <w:r w:rsidRPr="005B4DCD">
        <w:rPr>
          <w:b/>
          <w:bCs/>
          <w:color w:val="000000" w:themeColor="text1"/>
        </w:rPr>
        <w:t>6. Protocol sustainability varies dramatically</w:t>
      </w:r>
    </w:p>
    <w:p w14:paraId="0505DD65" w14:textId="77777777" w:rsidR="00DB1FD6" w:rsidRPr="005B4DCD" w:rsidRDefault="00DB1FD6" w:rsidP="006B21E2">
      <w:pPr>
        <w:pStyle w:val="ListParagraph"/>
        <w:numPr>
          <w:ilvl w:val="0"/>
          <w:numId w:val="244"/>
        </w:numPr>
        <w:jc w:val="both"/>
        <w:rPr>
          <w:color w:val="000000" w:themeColor="text1"/>
        </w:rPr>
      </w:pPr>
      <w:r w:rsidRPr="005B4DCD">
        <w:rPr>
          <w:color w:val="000000" w:themeColor="text1"/>
        </w:rPr>
        <w:t>Stablecoin/utility chains survived 2022 downturn (&gt;60% peak fees)</w:t>
      </w:r>
    </w:p>
    <w:p w14:paraId="4D0B18B9" w14:textId="77777777" w:rsidR="00DB1FD6" w:rsidRPr="005B4DCD" w:rsidRDefault="00DB1FD6" w:rsidP="006B21E2">
      <w:pPr>
        <w:pStyle w:val="ListParagraph"/>
        <w:numPr>
          <w:ilvl w:val="0"/>
          <w:numId w:val="244"/>
        </w:numPr>
        <w:jc w:val="both"/>
        <w:rPr>
          <w:color w:val="000000" w:themeColor="text1"/>
        </w:rPr>
      </w:pPr>
      <w:r w:rsidRPr="005B4DCD">
        <w:rPr>
          <w:color w:val="000000" w:themeColor="text1"/>
        </w:rPr>
        <w:t>Gaming/farming chains collapsed (&lt;30% peak fees)</w:t>
      </w:r>
    </w:p>
    <w:p w14:paraId="1600320B" w14:textId="77777777" w:rsidR="00DB1FD6" w:rsidRPr="005B4DCD" w:rsidRDefault="00DB1FD6" w:rsidP="006B21E2">
      <w:pPr>
        <w:pStyle w:val="ListParagraph"/>
        <w:numPr>
          <w:ilvl w:val="0"/>
          <w:numId w:val="244"/>
        </w:numPr>
        <w:jc w:val="both"/>
        <w:rPr>
          <w:color w:val="000000" w:themeColor="text1"/>
        </w:rPr>
      </w:pPr>
      <w:r w:rsidRPr="005B4DCD">
        <w:rPr>
          <w:color w:val="000000" w:themeColor="text1"/>
        </w:rPr>
        <w:t>Current earnings may not indicate long-term sustainability</w:t>
      </w:r>
    </w:p>
    <w:p w14:paraId="0C454AF0" w14:textId="77777777" w:rsidR="005804FC" w:rsidRPr="005B4DCD" w:rsidRDefault="005804FC" w:rsidP="006B21E2">
      <w:pPr>
        <w:jc w:val="both"/>
        <w:rPr>
          <w:rStyle w:val="Strong"/>
          <w:color w:val="000000" w:themeColor="text1"/>
        </w:rPr>
      </w:pPr>
    </w:p>
    <w:p w14:paraId="208C7E01" w14:textId="16E5E315" w:rsidR="00DB1FD6" w:rsidRPr="005B4DCD" w:rsidRDefault="00DB1FD6" w:rsidP="006B21E2">
      <w:pPr>
        <w:jc w:val="both"/>
        <w:rPr>
          <w:color w:val="000000" w:themeColor="text1"/>
        </w:rPr>
      </w:pPr>
      <w:r w:rsidRPr="005B4DCD">
        <w:rPr>
          <w:rStyle w:val="Strong"/>
          <w:color w:val="000000" w:themeColor="text1"/>
        </w:rPr>
        <w:t>7. Fee abstraction services charge 25-45% premium</w:t>
      </w:r>
    </w:p>
    <w:p w14:paraId="48CAB412" w14:textId="267D9DF6" w:rsidR="00DB1FD6" w:rsidRPr="005B4DCD" w:rsidRDefault="007C6F5D" w:rsidP="006B21E2">
      <w:pPr>
        <w:pStyle w:val="ListParagraph"/>
        <w:numPr>
          <w:ilvl w:val="0"/>
          <w:numId w:val="245"/>
        </w:numPr>
        <w:jc w:val="both"/>
        <w:rPr>
          <w:color w:val="000000" w:themeColor="text1"/>
        </w:rPr>
      </w:pPr>
      <w:r w:rsidRPr="005B4DCD">
        <w:rPr>
          <w:color w:val="000000" w:themeColor="text1"/>
        </w:rPr>
        <w:t>Only good for</w:t>
      </w:r>
      <w:r w:rsidR="00DB1FD6" w:rsidRPr="005B4DCD">
        <w:rPr>
          <w:color w:val="000000" w:themeColor="text1"/>
        </w:rPr>
        <w:t xml:space="preserve"> $50-500 transactions if time is valuable</w:t>
      </w:r>
    </w:p>
    <w:p w14:paraId="2F1ACF1A" w14:textId="106DA57B" w:rsidR="007C6F5D" w:rsidRPr="005B4DCD" w:rsidRDefault="00DB1FD6" w:rsidP="006B21E2">
      <w:pPr>
        <w:pStyle w:val="ListParagraph"/>
        <w:numPr>
          <w:ilvl w:val="0"/>
          <w:numId w:val="245"/>
        </w:numPr>
        <w:jc w:val="both"/>
        <w:rPr>
          <w:color w:val="000000" w:themeColor="text1"/>
        </w:rPr>
      </w:pPr>
      <w:r w:rsidRPr="005B4DCD">
        <w:rPr>
          <w:color w:val="000000" w:themeColor="text1"/>
        </w:rPr>
        <w:t>Doe</w:t>
      </w:r>
      <w:r w:rsidR="007C6F5D" w:rsidRPr="005B4DCD">
        <w:rPr>
          <w:color w:val="000000" w:themeColor="text1"/>
        </w:rPr>
        <w:t>s not</w:t>
      </w:r>
      <w:r w:rsidRPr="005B4DCD">
        <w:rPr>
          <w:color w:val="000000" w:themeColor="text1"/>
        </w:rPr>
        <w:t xml:space="preserve"> make sense for very small or very large transactions</w:t>
      </w:r>
    </w:p>
    <w:p w14:paraId="172F2DE0" w14:textId="77777777" w:rsidR="005804FC" w:rsidRPr="005B4DCD" w:rsidRDefault="005804FC" w:rsidP="006B21E2">
      <w:pPr>
        <w:jc w:val="both"/>
        <w:rPr>
          <w:color w:val="000000" w:themeColor="text1"/>
        </w:rPr>
      </w:pPr>
    </w:p>
    <w:p w14:paraId="255063CA" w14:textId="77777777" w:rsidR="00DB1FD6" w:rsidRPr="005B4DCD" w:rsidRDefault="00DB1FD6" w:rsidP="006B21E2">
      <w:pPr>
        <w:jc w:val="both"/>
        <w:rPr>
          <w:color w:val="000000" w:themeColor="text1"/>
        </w:rPr>
      </w:pPr>
      <w:r w:rsidRPr="005B4DCD">
        <w:rPr>
          <w:rStyle w:val="Strong"/>
          <w:color w:val="000000" w:themeColor="text1"/>
        </w:rPr>
        <w:t>Total cost structure:</w:t>
      </w:r>
    </w:p>
    <w:p w14:paraId="1810FDF3" w14:textId="77777777" w:rsidR="00DB1FD6" w:rsidRPr="005B4DCD" w:rsidRDefault="00DB1FD6" w:rsidP="006B21E2">
      <w:pPr>
        <w:pStyle w:val="ListParagraph"/>
        <w:numPr>
          <w:ilvl w:val="0"/>
          <w:numId w:val="245"/>
        </w:numPr>
        <w:jc w:val="both"/>
        <w:rPr>
          <w:color w:val="000000" w:themeColor="text1"/>
        </w:rPr>
      </w:pPr>
      <w:r w:rsidRPr="005B4DCD">
        <w:rPr>
          <w:color w:val="000000" w:themeColor="text1"/>
        </w:rPr>
        <w:t>Protocol fees (gas): Network-dependent, highly variable</w:t>
      </w:r>
    </w:p>
    <w:p w14:paraId="5EEB0447" w14:textId="77777777" w:rsidR="00DB1FD6" w:rsidRPr="005B4DCD" w:rsidRDefault="00DB1FD6" w:rsidP="006B21E2">
      <w:pPr>
        <w:pStyle w:val="ListParagraph"/>
        <w:numPr>
          <w:ilvl w:val="0"/>
          <w:numId w:val="245"/>
        </w:numPr>
        <w:jc w:val="both"/>
        <w:rPr>
          <w:color w:val="000000" w:themeColor="text1"/>
        </w:rPr>
      </w:pPr>
      <w:r w:rsidRPr="005B4DCD">
        <w:rPr>
          <w:color w:val="000000" w:themeColor="text1"/>
        </w:rPr>
        <w:t>Application fees (DEX/protocol): 0.01-1.0% typically</w:t>
      </w:r>
    </w:p>
    <w:p w14:paraId="7910100D" w14:textId="77777777" w:rsidR="00DB1FD6" w:rsidRPr="005B4DCD" w:rsidRDefault="00DB1FD6" w:rsidP="006B21E2">
      <w:pPr>
        <w:pStyle w:val="ListParagraph"/>
        <w:numPr>
          <w:ilvl w:val="0"/>
          <w:numId w:val="245"/>
        </w:numPr>
        <w:jc w:val="both"/>
        <w:rPr>
          <w:color w:val="000000" w:themeColor="text1"/>
        </w:rPr>
      </w:pPr>
      <w:r w:rsidRPr="005B4DCD">
        <w:rPr>
          <w:color w:val="000000" w:themeColor="text1"/>
        </w:rPr>
        <w:lastRenderedPageBreak/>
        <w:t>Hidden costs (MEV, slippage): 0.1-0.5% average</w:t>
      </w:r>
    </w:p>
    <w:p w14:paraId="7844B104" w14:textId="77777777" w:rsidR="00DB1FD6" w:rsidRPr="005B4DCD" w:rsidRDefault="00DB1FD6" w:rsidP="006B21E2">
      <w:pPr>
        <w:pStyle w:val="ListParagraph"/>
        <w:numPr>
          <w:ilvl w:val="0"/>
          <w:numId w:val="245"/>
        </w:numPr>
        <w:jc w:val="both"/>
        <w:rPr>
          <w:color w:val="000000" w:themeColor="text1"/>
        </w:rPr>
      </w:pPr>
      <w:r w:rsidRPr="005B4DCD">
        <w:rPr>
          <w:color w:val="000000" w:themeColor="text1"/>
        </w:rPr>
        <w:t>Service fees (if using managed services): 10-25% of yields</w:t>
      </w:r>
    </w:p>
    <w:p w14:paraId="7E47CEAD" w14:textId="77777777" w:rsidR="00DB1FD6" w:rsidRPr="005B4DCD" w:rsidRDefault="00DB1FD6" w:rsidP="006B21E2">
      <w:pPr>
        <w:pStyle w:val="ListParagraph"/>
        <w:numPr>
          <w:ilvl w:val="0"/>
          <w:numId w:val="245"/>
        </w:numPr>
        <w:jc w:val="both"/>
        <w:rPr>
          <w:color w:val="000000" w:themeColor="text1"/>
        </w:rPr>
      </w:pPr>
      <w:r w:rsidRPr="005B4DCD">
        <w:rPr>
          <w:color w:val="000000" w:themeColor="text1"/>
        </w:rPr>
        <w:t>Opportunity costs (time spent, missed opportunities): Unquantified but significant</w:t>
      </w:r>
    </w:p>
    <w:p w14:paraId="744E1938" w14:textId="77777777" w:rsidR="00CC6608" w:rsidRDefault="00CC6608">
      <w:pPr>
        <w:spacing w:after="200" w:line="276" w:lineRule="auto"/>
        <w:rPr>
          <w:rFonts w:eastAsiaTheme="majorEastAsia"/>
          <w:b/>
          <w:kern w:val="2"/>
          <w:sz w:val="32"/>
        </w:rPr>
      </w:pPr>
      <w:bookmarkStart w:id="159" w:name="_Toc214721965"/>
      <w:r>
        <w:rPr>
          <w:rFonts w:eastAsiaTheme="majorEastAsia"/>
        </w:rPr>
        <w:br w:type="page"/>
      </w:r>
    </w:p>
    <w:p w14:paraId="0DB7B7E5" w14:textId="19D75114" w:rsidR="00B36DE2" w:rsidRDefault="00B36DE2" w:rsidP="006B21E2">
      <w:pPr>
        <w:pStyle w:val="Heading1"/>
        <w:jc w:val="center"/>
        <w:rPr>
          <w:rFonts w:eastAsiaTheme="majorEastAsia"/>
        </w:rPr>
      </w:pPr>
      <w:r w:rsidRPr="003C66A0">
        <w:rPr>
          <w:rFonts w:eastAsiaTheme="majorEastAsia"/>
        </w:rPr>
        <w:lastRenderedPageBreak/>
        <w:t xml:space="preserve">CHAPTER </w:t>
      </w:r>
      <w:r w:rsidR="008D6F57" w:rsidRPr="003C66A0">
        <w:rPr>
          <w:rFonts w:eastAsiaTheme="majorEastAsia"/>
        </w:rPr>
        <w:t>7</w:t>
      </w:r>
      <w:r w:rsidRPr="003C66A0">
        <w:rPr>
          <w:rFonts w:eastAsiaTheme="majorEastAsia"/>
        </w:rPr>
        <w:t xml:space="preserve">: </w:t>
      </w:r>
      <w:r w:rsidR="00025275" w:rsidRPr="003C66A0">
        <w:rPr>
          <w:rFonts w:eastAsiaTheme="majorEastAsia"/>
        </w:rPr>
        <w:t>RISK ARCHITECTURE IN CRYPTOCURRENCY VENTURES</w:t>
      </w:r>
      <w:bookmarkEnd w:id="159"/>
    </w:p>
    <w:p w14:paraId="5A79E7C3" w14:textId="77777777" w:rsidR="00C4575C" w:rsidRDefault="00C4575C" w:rsidP="006B21E2">
      <w:pPr>
        <w:rPr>
          <w:rFonts w:eastAsiaTheme="majorEastAsia"/>
        </w:rPr>
      </w:pPr>
    </w:p>
    <w:p w14:paraId="07C934A1" w14:textId="77777777" w:rsidR="00A62F99" w:rsidRPr="00C4575C" w:rsidRDefault="00A62F99" w:rsidP="006B21E2">
      <w:pPr>
        <w:rPr>
          <w:rFonts w:eastAsiaTheme="majorEastAsia"/>
        </w:rPr>
      </w:pPr>
    </w:p>
    <w:p w14:paraId="05B5D924" w14:textId="77777777" w:rsidR="00D15CDB" w:rsidRPr="003C66A0" w:rsidRDefault="00D15CDB" w:rsidP="006B21E2">
      <w:pPr>
        <w:jc w:val="both"/>
        <w:rPr>
          <w:rFonts w:eastAsiaTheme="majorEastAsia"/>
          <w:color w:val="000000" w:themeColor="text1"/>
        </w:rPr>
      </w:pPr>
      <w:r w:rsidRPr="003C66A0">
        <w:rPr>
          <w:rFonts w:eastAsiaTheme="majorEastAsia"/>
          <w:color w:val="000000" w:themeColor="text1"/>
        </w:rPr>
        <w:t>This chapter looks at the risks of cryptocurrency projects by analyzing 312 documented failures and 156 tracked positions from 2020 to 2024. Most businesses do not fail due to risks they are aware of; instead, they fail because of risks that were unknown or perceived as unlikely.</w:t>
      </w:r>
    </w:p>
    <w:p w14:paraId="2C57E277" w14:textId="77777777" w:rsidR="00D15CDB" w:rsidRPr="003C66A0" w:rsidRDefault="00D15CDB" w:rsidP="006B21E2">
      <w:pPr>
        <w:jc w:val="both"/>
        <w:rPr>
          <w:rFonts w:eastAsiaTheme="majorEastAsia"/>
          <w:color w:val="000000" w:themeColor="text1"/>
        </w:rPr>
      </w:pPr>
    </w:p>
    <w:p w14:paraId="4297C566" w14:textId="77777777" w:rsidR="00D15CDB" w:rsidRPr="003C66A0" w:rsidRDefault="00D15CDB" w:rsidP="006B21E2">
      <w:pPr>
        <w:jc w:val="both"/>
        <w:rPr>
          <w:rFonts w:eastAsiaTheme="majorEastAsia"/>
          <w:color w:val="000000" w:themeColor="text1"/>
        </w:rPr>
      </w:pPr>
      <w:r w:rsidRPr="003C66A0">
        <w:rPr>
          <w:rFonts w:eastAsiaTheme="majorEastAsia"/>
          <w:color w:val="000000" w:themeColor="text1"/>
        </w:rPr>
        <w:t xml:space="preserve">The data reveals a very uncomfortable truth as the standard risk models fail to predict cryptocurrency failures because they assume regularities </w:t>
      </w:r>
      <w:proofErr w:type="gramStart"/>
      <w:r w:rsidRPr="003C66A0">
        <w:rPr>
          <w:rFonts w:eastAsiaTheme="majorEastAsia"/>
          <w:color w:val="000000" w:themeColor="text1"/>
        </w:rPr>
        <w:t>that just</w:t>
      </w:r>
      <w:proofErr w:type="gramEnd"/>
      <w:r w:rsidRPr="003C66A0">
        <w:rPr>
          <w:rFonts w:eastAsiaTheme="majorEastAsia"/>
          <w:color w:val="000000" w:themeColor="text1"/>
        </w:rPr>
        <w:t xml:space="preserve"> simply do not exist in this market. Smart contract audits do not prevent governance attacks, and diversification does not protect against protocol contagion. In this market existing risk management frameworks are ineffective if they are not managing the right risks.</w:t>
      </w:r>
    </w:p>
    <w:p w14:paraId="77AA0483" w14:textId="77777777" w:rsidR="005C21FD" w:rsidRPr="003C66A0" w:rsidRDefault="005C21FD" w:rsidP="006B21E2">
      <w:pPr>
        <w:jc w:val="both"/>
        <w:rPr>
          <w:rFonts w:eastAsiaTheme="majorEastAsia"/>
          <w:b/>
          <w:bCs/>
          <w:color w:val="000000" w:themeColor="text1"/>
        </w:rPr>
      </w:pPr>
    </w:p>
    <w:p w14:paraId="78A4B85F" w14:textId="61C97614" w:rsidR="0076579E" w:rsidRPr="003C66A0" w:rsidRDefault="008D6F57" w:rsidP="006B21E2">
      <w:pPr>
        <w:pStyle w:val="Heading2"/>
        <w:rPr>
          <w:rFonts w:eastAsiaTheme="majorEastAsia"/>
        </w:rPr>
      </w:pPr>
      <w:bookmarkStart w:id="160" w:name="_Toc214721966"/>
      <w:r w:rsidRPr="003C66A0">
        <w:rPr>
          <w:rFonts w:eastAsiaTheme="majorEastAsia"/>
        </w:rPr>
        <w:t>7</w:t>
      </w:r>
      <w:r w:rsidR="0076579E" w:rsidRPr="003C66A0">
        <w:rPr>
          <w:rFonts w:eastAsiaTheme="majorEastAsia"/>
        </w:rPr>
        <w:t>.1 The Inadequacy of Traditional Risk Frameworks</w:t>
      </w:r>
      <w:bookmarkEnd w:id="160"/>
    </w:p>
    <w:p w14:paraId="13623A1F" w14:textId="77777777" w:rsidR="00D15CDB" w:rsidRDefault="00D15CDB" w:rsidP="006B21E2">
      <w:pPr>
        <w:jc w:val="both"/>
        <w:rPr>
          <w:rFonts w:eastAsiaTheme="majorEastAsia"/>
          <w:color w:val="000000" w:themeColor="text1"/>
        </w:rPr>
      </w:pPr>
      <w:r w:rsidRPr="003C66A0">
        <w:rPr>
          <w:rFonts w:eastAsiaTheme="majorEastAsia"/>
          <w:color w:val="000000" w:themeColor="text1"/>
        </w:rPr>
        <w:t xml:space="preserve">Normal distributions, independent events, rational actors, and stable correlations are all things that traditional financial risk models assume. The cryptocurrency markets go against </w:t>
      </w:r>
      <w:proofErr w:type="gramStart"/>
      <w:r w:rsidRPr="003C66A0">
        <w:rPr>
          <w:rFonts w:eastAsiaTheme="majorEastAsia"/>
          <w:color w:val="000000" w:themeColor="text1"/>
        </w:rPr>
        <w:t>all of</w:t>
      </w:r>
      <w:proofErr w:type="gramEnd"/>
      <w:r w:rsidRPr="003C66A0">
        <w:rPr>
          <w:rFonts w:eastAsiaTheme="majorEastAsia"/>
          <w:color w:val="000000" w:themeColor="text1"/>
        </w:rPr>
        <w:t xml:space="preserve"> these ideas. Of the 312 documented failures of ventures:</w:t>
      </w:r>
    </w:p>
    <w:p w14:paraId="7F0262EF" w14:textId="77777777" w:rsidR="0053652F" w:rsidRPr="003C66A0" w:rsidRDefault="0053652F" w:rsidP="006B21E2">
      <w:pPr>
        <w:jc w:val="both"/>
        <w:rPr>
          <w:rFonts w:eastAsiaTheme="majorEastAsia"/>
          <w:color w:val="000000" w:themeColor="text1"/>
        </w:rPr>
      </w:pPr>
    </w:p>
    <w:p w14:paraId="1D04A37A" w14:textId="661A209E" w:rsidR="0076579E" w:rsidRPr="003C66A0" w:rsidRDefault="0076579E" w:rsidP="006B21E2">
      <w:pPr>
        <w:pStyle w:val="ListParagraph"/>
        <w:numPr>
          <w:ilvl w:val="0"/>
          <w:numId w:val="102"/>
        </w:numPr>
        <w:jc w:val="both"/>
        <w:rPr>
          <w:rFonts w:eastAsiaTheme="majorEastAsia"/>
          <w:color w:val="000000" w:themeColor="text1"/>
        </w:rPr>
      </w:pPr>
      <w:r w:rsidRPr="003C66A0">
        <w:rPr>
          <w:rFonts w:eastAsiaTheme="majorEastAsia"/>
          <w:color w:val="000000" w:themeColor="text1"/>
        </w:rPr>
        <w:t>67% involved risks not covered by traditional frameworks</w:t>
      </w:r>
    </w:p>
    <w:p w14:paraId="56004501" w14:textId="77777777" w:rsidR="0076579E" w:rsidRPr="003C66A0" w:rsidRDefault="0076579E" w:rsidP="006B21E2">
      <w:pPr>
        <w:numPr>
          <w:ilvl w:val="0"/>
          <w:numId w:val="52"/>
        </w:numPr>
        <w:jc w:val="both"/>
        <w:rPr>
          <w:rFonts w:eastAsiaTheme="majorEastAsia"/>
          <w:color w:val="000000" w:themeColor="text1"/>
        </w:rPr>
      </w:pPr>
      <w:r w:rsidRPr="003C66A0">
        <w:rPr>
          <w:rFonts w:eastAsiaTheme="majorEastAsia"/>
          <w:color w:val="000000" w:themeColor="text1"/>
        </w:rPr>
        <w:t>78% showed correlations spiking from 0.3 to 0.9+ during stress</w:t>
      </w:r>
    </w:p>
    <w:p w14:paraId="63640E5A" w14:textId="77777777" w:rsidR="0076579E" w:rsidRPr="003C66A0" w:rsidRDefault="0076579E" w:rsidP="006B21E2">
      <w:pPr>
        <w:numPr>
          <w:ilvl w:val="0"/>
          <w:numId w:val="52"/>
        </w:numPr>
        <w:jc w:val="both"/>
        <w:rPr>
          <w:rFonts w:eastAsiaTheme="majorEastAsia"/>
          <w:color w:val="000000" w:themeColor="text1"/>
        </w:rPr>
      </w:pPr>
      <w:r w:rsidRPr="003C66A0">
        <w:rPr>
          <w:rFonts w:eastAsiaTheme="majorEastAsia"/>
          <w:color w:val="000000" w:themeColor="text1"/>
        </w:rPr>
        <w:t>43% failed from second-order effects rather than direct exposure</w:t>
      </w:r>
    </w:p>
    <w:p w14:paraId="10878E7B" w14:textId="77777777" w:rsidR="0076579E" w:rsidRPr="003C66A0" w:rsidRDefault="0076579E" w:rsidP="006B21E2">
      <w:pPr>
        <w:numPr>
          <w:ilvl w:val="0"/>
          <w:numId w:val="52"/>
        </w:numPr>
        <w:jc w:val="both"/>
        <w:rPr>
          <w:rFonts w:eastAsiaTheme="majorEastAsia"/>
          <w:color w:val="000000" w:themeColor="text1"/>
        </w:rPr>
      </w:pPr>
      <w:r w:rsidRPr="003C66A0">
        <w:rPr>
          <w:rFonts w:eastAsiaTheme="majorEastAsia"/>
          <w:color w:val="000000" w:themeColor="text1"/>
        </w:rPr>
        <w:t>89% had implemented "comprehensive" risk management</w:t>
      </w:r>
    </w:p>
    <w:p w14:paraId="235DC7DD" w14:textId="77777777" w:rsidR="005C21FD" w:rsidRPr="003C66A0" w:rsidRDefault="005C21FD" w:rsidP="006B21E2">
      <w:pPr>
        <w:jc w:val="both"/>
        <w:rPr>
          <w:rFonts w:eastAsiaTheme="majorEastAsia"/>
          <w:color w:val="000000" w:themeColor="text1"/>
        </w:rPr>
      </w:pPr>
    </w:p>
    <w:p w14:paraId="3B71BADB" w14:textId="6A69B09D" w:rsidR="0076579E" w:rsidRPr="003C66A0" w:rsidRDefault="0076579E" w:rsidP="006B21E2">
      <w:pPr>
        <w:jc w:val="both"/>
        <w:rPr>
          <w:rFonts w:eastAsiaTheme="majorEastAsia"/>
          <w:color w:val="000000" w:themeColor="text1"/>
        </w:rPr>
      </w:pPr>
      <w:r w:rsidRPr="003C66A0">
        <w:rPr>
          <w:rFonts w:eastAsiaTheme="majorEastAsia"/>
          <w:color w:val="000000" w:themeColor="text1"/>
        </w:rPr>
        <w:t>The problem</w:t>
      </w:r>
      <w:r w:rsidR="00934AAA" w:rsidRPr="003C66A0">
        <w:rPr>
          <w:rFonts w:eastAsiaTheme="majorEastAsia"/>
          <w:color w:val="000000" w:themeColor="text1"/>
        </w:rPr>
        <w:t xml:space="preserve"> is not </w:t>
      </w:r>
      <w:r w:rsidR="00A8398A" w:rsidRPr="003C66A0">
        <w:rPr>
          <w:rFonts w:eastAsiaTheme="majorEastAsia"/>
          <w:color w:val="000000" w:themeColor="text1"/>
        </w:rPr>
        <w:t xml:space="preserve">necessarily the </w:t>
      </w:r>
      <w:r w:rsidRPr="003C66A0">
        <w:rPr>
          <w:rFonts w:eastAsiaTheme="majorEastAsia"/>
          <w:color w:val="000000" w:themeColor="text1"/>
        </w:rPr>
        <w:t xml:space="preserve">need </w:t>
      </w:r>
      <w:proofErr w:type="gramStart"/>
      <w:r w:rsidR="00A8398A" w:rsidRPr="003C66A0">
        <w:rPr>
          <w:rFonts w:eastAsiaTheme="majorEastAsia"/>
          <w:color w:val="000000" w:themeColor="text1"/>
        </w:rPr>
        <w:t>of</w:t>
      </w:r>
      <w:proofErr w:type="gramEnd"/>
      <w:r w:rsidR="00A8398A" w:rsidRPr="003C66A0">
        <w:rPr>
          <w:rFonts w:eastAsiaTheme="majorEastAsia"/>
          <w:color w:val="000000" w:themeColor="text1"/>
        </w:rPr>
        <w:t xml:space="preserve"> better</w:t>
      </w:r>
      <w:r w:rsidRPr="003C66A0">
        <w:rPr>
          <w:rFonts w:eastAsiaTheme="majorEastAsia"/>
          <w:color w:val="000000" w:themeColor="text1"/>
        </w:rPr>
        <w:t xml:space="preserve"> models</w:t>
      </w:r>
      <w:r w:rsidR="00A8398A" w:rsidRPr="003C66A0">
        <w:rPr>
          <w:rFonts w:eastAsiaTheme="majorEastAsia"/>
          <w:color w:val="000000" w:themeColor="text1"/>
        </w:rPr>
        <w:t xml:space="preserve">. The reason is that </w:t>
      </w:r>
      <w:r w:rsidRPr="003C66A0">
        <w:rPr>
          <w:rFonts w:eastAsiaTheme="majorEastAsia"/>
          <w:color w:val="000000" w:themeColor="text1"/>
        </w:rPr>
        <w:t>that risk structure differs fundamentally. Crypto risks are</w:t>
      </w:r>
      <w:r w:rsidR="00A8398A" w:rsidRPr="003C66A0">
        <w:rPr>
          <w:rFonts w:eastAsiaTheme="majorEastAsia"/>
          <w:color w:val="000000" w:themeColor="text1"/>
        </w:rPr>
        <w:t xml:space="preserve"> no</w:t>
      </w:r>
      <w:r w:rsidRPr="003C66A0">
        <w:rPr>
          <w:rFonts w:eastAsiaTheme="majorEastAsia"/>
          <w:color w:val="000000" w:themeColor="text1"/>
        </w:rPr>
        <w:t xml:space="preserve">t independent variables but components of interconnected systems. A governance vote on one protocol </w:t>
      </w:r>
      <w:r w:rsidR="00A8398A" w:rsidRPr="003C66A0">
        <w:rPr>
          <w:rFonts w:eastAsiaTheme="majorEastAsia"/>
          <w:color w:val="000000" w:themeColor="text1"/>
        </w:rPr>
        <w:t xml:space="preserve">can </w:t>
      </w:r>
      <w:proofErr w:type="gramStart"/>
      <w:r w:rsidRPr="003C66A0">
        <w:rPr>
          <w:rFonts w:eastAsiaTheme="majorEastAsia"/>
          <w:color w:val="000000" w:themeColor="text1"/>
        </w:rPr>
        <w:t>trig</w:t>
      </w:r>
      <w:proofErr w:type="gramEnd"/>
      <w:r w:rsidRPr="003C66A0">
        <w:rPr>
          <w:rFonts w:eastAsiaTheme="majorEastAsia"/>
          <w:color w:val="000000" w:themeColor="text1"/>
        </w:rPr>
        <w:t xml:space="preserve"> liquidations on another</w:t>
      </w:r>
      <w:r w:rsidR="00A8398A" w:rsidRPr="003C66A0">
        <w:rPr>
          <w:rFonts w:eastAsiaTheme="majorEastAsia"/>
          <w:color w:val="000000" w:themeColor="text1"/>
        </w:rPr>
        <w:t xml:space="preserve"> that in turn can </w:t>
      </w:r>
      <w:r w:rsidRPr="003C66A0">
        <w:rPr>
          <w:rFonts w:eastAsiaTheme="majorEastAsia"/>
          <w:color w:val="000000" w:themeColor="text1"/>
        </w:rPr>
        <w:t>caus</w:t>
      </w:r>
      <w:r w:rsidR="00A8398A" w:rsidRPr="003C66A0">
        <w:rPr>
          <w:rFonts w:eastAsiaTheme="majorEastAsia"/>
          <w:color w:val="000000" w:themeColor="text1"/>
        </w:rPr>
        <w:t>e</w:t>
      </w:r>
      <w:r w:rsidRPr="003C66A0">
        <w:rPr>
          <w:rFonts w:eastAsiaTheme="majorEastAsia"/>
          <w:color w:val="000000" w:themeColor="text1"/>
        </w:rPr>
        <w:t xml:space="preserve"> congestion on a third, leading to </w:t>
      </w:r>
      <w:r w:rsidR="00A8398A" w:rsidRPr="003C66A0">
        <w:rPr>
          <w:rFonts w:eastAsiaTheme="majorEastAsia"/>
          <w:color w:val="000000" w:themeColor="text1"/>
        </w:rPr>
        <w:t>catastrophic</w:t>
      </w:r>
      <w:r w:rsidRPr="003C66A0">
        <w:rPr>
          <w:rFonts w:eastAsiaTheme="majorEastAsia"/>
          <w:color w:val="000000" w:themeColor="text1"/>
        </w:rPr>
        <w:t xml:space="preserve"> failures on a fourth. Traditional frameworks </w:t>
      </w:r>
      <w:r w:rsidR="00A8398A" w:rsidRPr="003C66A0">
        <w:rPr>
          <w:rFonts w:eastAsiaTheme="majorEastAsia"/>
          <w:color w:val="000000" w:themeColor="text1"/>
        </w:rPr>
        <w:t xml:space="preserve">just simply </w:t>
      </w:r>
      <w:r w:rsidR="00327B6B" w:rsidRPr="003C66A0">
        <w:rPr>
          <w:rFonts w:eastAsiaTheme="majorEastAsia"/>
          <w:color w:val="000000" w:themeColor="text1"/>
        </w:rPr>
        <w:t>cannot</w:t>
      </w:r>
      <w:r w:rsidRPr="003C66A0">
        <w:rPr>
          <w:rFonts w:eastAsiaTheme="majorEastAsia"/>
          <w:color w:val="000000" w:themeColor="text1"/>
        </w:rPr>
        <w:t xml:space="preserve"> capture these cascade effects.</w:t>
      </w:r>
    </w:p>
    <w:p w14:paraId="58722314" w14:textId="77777777" w:rsidR="005C21FD" w:rsidRPr="003C66A0" w:rsidRDefault="005C21FD" w:rsidP="006B21E2">
      <w:pPr>
        <w:jc w:val="both"/>
        <w:rPr>
          <w:rFonts w:eastAsiaTheme="majorEastAsia"/>
          <w:b/>
          <w:bCs/>
          <w:color w:val="000000" w:themeColor="text1"/>
        </w:rPr>
      </w:pPr>
    </w:p>
    <w:p w14:paraId="151A49EA" w14:textId="59933E9D" w:rsidR="0076579E" w:rsidRPr="003C66A0" w:rsidRDefault="008D6F57" w:rsidP="006B21E2">
      <w:pPr>
        <w:pStyle w:val="Heading2"/>
        <w:jc w:val="both"/>
        <w:rPr>
          <w:rFonts w:eastAsiaTheme="majorEastAsia"/>
        </w:rPr>
      </w:pPr>
      <w:bookmarkStart w:id="161" w:name="_Toc214721967"/>
      <w:r w:rsidRPr="003C66A0">
        <w:rPr>
          <w:rFonts w:eastAsiaTheme="majorEastAsia"/>
        </w:rPr>
        <w:t>7</w:t>
      </w:r>
      <w:r w:rsidR="0076579E" w:rsidRPr="003C66A0">
        <w:rPr>
          <w:rFonts w:eastAsiaTheme="majorEastAsia"/>
        </w:rPr>
        <w:t>.2 Technical Risk: Beyond Smart Contract Audits</w:t>
      </w:r>
      <w:bookmarkEnd w:id="161"/>
    </w:p>
    <w:p w14:paraId="2C924E21" w14:textId="77777777" w:rsidR="0076579E" w:rsidRPr="003C66A0" w:rsidRDefault="0076579E" w:rsidP="006B21E2">
      <w:pPr>
        <w:jc w:val="both"/>
        <w:rPr>
          <w:rFonts w:eastAsiaTheme="majorEastAsia"/>
          <w:color w:val="000000" w:themeColor="text1"/>
        </w:rPr>
      </w:pPr>
      <w:r w:rsidRPr="003C66A0">
        <w:rPr>
          <w:rFonts w:eastAsiaTheme="majorEastAsia"/>
          <w:color w:val="000000" w:themeColor="text1"/>
        </w:rPr>
        <w:t>The $3.7 billion lost to technical exploits (2020-2023) represents only direct losses. Including indirect effects—shutdowns, liquidity exits, contagion—total impact exceeds $12 billion.</w:t>
      </w:r>
    </w:p>
    <w:p w14:paraId="7B6717AA" w14:textId="77777777" w:rsidR="005C21FD" w:rsidRPr="003C66A0" w:rsidRDefault="005C21FD" w:rsidP="006B21E2">
      <w:pPr>
        <w:jc w:val="both"/>
        <w:rPr>
          <w:rFonts w:eastAsiaTheme="majorEastAsia"/>
          <w:b/>
          <w:bCs/>
          <w:color w:val="000000" w:themeColor="text1"/>
        </w:rPr>
      </w:pPr>
    </w:p>
    <w:p w14:paraId="3AE0257D" w14:textId="2BEC8FAF" w:rsidR="0076579E" w:rsidRPr="003C66A0" w:rsidRDefault="008D6F57" w:rsidP="006B21E2">
      <w:pPr>
        <w:pStyle w:val="Heading3"/>
        <w:jc w:val="both"/>
        <w:rPr>
          <w:rFonts w:eastAsiaTheme="majorEastAsia"/>
        </w:rPr>
      </w:pPr>
      <w:bookmarkStart w:id="162" w:name="_Toc214721968"/>
      <w:r w:rsidRPr="003C66A0">
        <w:rPr>
          <w:rFonts w:eastAsiaTheme="majorEastAsia"/>
        </w:rPr>
        <w:t>7</w:t>
      </w:r>
      <w:r w:rsidR="0076579E" w:rsidRPr="003C66A0">
        <w:rPr>
          <w:rFonts w:eastAsiaTheme="majorEastAsia"/>
        </w:rPr>
        <w:t>.2.1 The Audit Paradox</w:t>
      </w:r>
      <w:bookmarkEnd w:id="162"/>
    </w:p>
    <w:p w14:paraId="440AF58A" w14:textId="35FFF0ED" w:rsidR="0076579E" w:rsidRPr="003C66A0" w:rsidRDefault="00A8398A" w:rsidP="006B21E2">
      <w:pPr>
        <w:jc w:val="both"/>
        <w:rPr>
          <w:rFonts w:eastAsiaTheme="majorEastAsia"/>
          <w:color w:val="000000" w:themeColor="text1"/>
        </w:rPr>
      </w:pPr>
      <w:r w:rsidRPr="003C66A0">
        <w:rPr>
          <w:rFonts w:eastAsiaTheme="majorEastAsia"/>
          <w:color w:val="000000" w:themeColor="text1"/>
        </w:rPr>
        <w:t>P</w:t>
      </w:r>
      <w:r w:rsidR="0076579E" w:rsidRPr="003C66A0">
        <w:rPr>
          <w:rFonts w:eastAsiaTheme="majorEastAsia"/>
          <w:color w:val="000000" w:themeColor="text1"/>
        </w:rPr>
        <w:t>rotocols suffering major exploits:</w:t>
      </w:r>
    </w:p>
    <w:p w14:paraId="737A93C2" w14:textId="52E11438" w:rsidR="0076579E" w:rsidRPr="003C66A0" w:rsidRDefault="00A33EF4" w:rsidP="006B21E2">
      <w:pPr>
        <w:numPr>
          <w:ilvl w:val="0"/>
          <w:numId w:val="53"/>
        </w:numPr>
        <w:jc w:val="both"/>
        <w:rPr>
          <w:rFonts w:eastAsiaTheme="majorEastAsia"/>
          <w:color w:val="000000" w:themeColor="text1"/>
        </w:rPr>
      </w:pPr>
      <w:r w:rsidRPr="003C66A0">
        <w:rPr>
          <w:rFonts w:eastAsiaTheme="majorEastAsia"/>
          <w:color w:val="000000" w:themeColor="text1"/>
        </w:rPr>
        <w:t>71% had multiple professional audits (n=89 major incidents analyzed)</w:t>
      </w:r>
    </w:p>
    <w:p w14:paraId="40837782" w14:textId="77777777" w:rsidR="0076579E" w:rsidRPr="003C66A0" w:rsidRDefault="0076579E" w:rsidP="006B21E2">
      <w:pPr>
        <w:numPr>
          <w:ilvl w:val="0"/>
          <w:numId w:val="53"/>
        </w:numPr>
        <w:jc w:val="both"/>
        <w:rPr>
          <w:rFonts w:eastAsiaTheme="majorEastAsia"/>
          <w:color w:val="000000" w:themeColor="text1"/>
        </w:rPr>
      </w:pPr>
      <w:r w:rsidRPr="003C66A0">
        <w:rPr>
          <w:rFonts w:eastAsiaTheme="majorEastAsia"/>
          <w:color w:val="000000" w:themeColor="text1"/>
        </w:rPr>
        <w:t>83% had bug bounty programs</w:t>
      </w:r>
    </w:p>
    <w:p w14:paraId="0E8C7DC9" w14:textId="77777777" w:rsidR="0076579E" w:rsidRPr="003C66A0" w:rsidRDefault="0076579E" w:rsidP="006B21E2">
      <w:pPr>
        <w:numPr>
          <w:ilvl w:val="0"/>
          <w:numId w:val="53"/>
        </w:numPr>
        <w:jc w:val="both"/>
        <w:rPr>
          <w:rFonts w:eastAsiaTheme="majorEastAsia"/>
          <w:color w:val="000000" w:themeColor="text1"/>
        </w:rPr>
      </w:pPr>
      <w:r w:rsidRPr="003C66A0">
        <w:rPr>
          <w:rFonts w:eastAsiaTheme="majorEastAsia"/>
          <w:color w:val="000000" w:themeColor="text1"/>
        </w:rPr>
        <w:t>44% were exploited through audited code</w:t>
      </w:r>
    </w:p>
    <w:p w14:paraId="3EC24D67" w14:textId="459FB97D" w:rsidR="0076579E" w:rsidRPr="003C66A0" w:rsidRDefault="0076579E" w:rsidP="006B21E2">
      <w:pPr>
        <w:numPr>
          <w:ilvl w:val="0"/>
          <w:numId w:val="53"/>
        </w:numPr>
        <w:jc w:val="both"/>
        <w:rPr>
          <w:rFonts w:eastAsiaTheme="majorEastAsia"/>
          <w:color w:val="000000" w:themeColor="text1"/>
        </w:rPr>
      </w:pPr>
      <w:r w:rsidRPr="003C66A0">
        <w:rPr>
          <w:rFonts w:eastAsiaTheme="majorEastAsia"/>
          <w:color w:val="000000" w:themeColor="text1"/>
        </w:rPr>
        <w:t xml:space="preserve">31% </w:t>
      </w:r>
      <w:proofErr w:type="gramStart"/>
      <w:r w:rsidRPr="003C66A0">
        <w:rPr>
          <w:rFonts w:eastAsiaTheme="majorEastAsia"/>
          <w:color w:val="000000" w:themeColor="text1"/>
        </w:rPr>
        <w:t>failed from</w:t>
      </w:r>
      <w:proofErr w:type="gramEnd"/>
      <w:r w:rsidRPr="003C66A0">
        <w:rPr>
          <w:rFonts w:eastAsiaTheme="majorEastAsia"/>
          <w:color w:val="000000" w:themeColor="text1"/>
        </w:rPr>
        <w:t xml:space="preserve"> economic attacks audits</w:t>
      </w:r>
      <w:r w:rsidR="00934AAA" w:rsidRPr="003C66A0">
        <w:rPr>
          <w:rFonts w:eastAsiaTheme="majorEastAsia"/>
          <w:color w:val="000000" w:themeColor="text1"/>
        </w:rPr>
        <w:t xml:space="preserve"> do not </w:t>
      </w:r>
      <w:r w:rsidRPr="003C66A0">
        <w:rPr>
          <w:rFonts w:eastAsiaTheme="majorEastAsia"/>
          <w:color w:val="000000" w:themeColor="text1"/>
        </w:rPr>
        <w:t>cover</w:t>
      </w:r>
    </w:p>
    <w:p w14:paraId="1A5A785B" w14:textId="77777777" w:rsidR="00A8398A" w:rsidRPr="003C66A0" w:rsidRDefault="00A8398A" w:rsidP="006B21E2">
      <w:pPr>
        <w:jc w:val="both"/>
        <w:rPr>
          <w:rFonts w:eastAsiaTheme="majorEastAsia"/>
          <w:color w:val="000000" w:themeColor="text1"/>
        </w:rPr>
      </w:pPr>
    </w:p>
    <w:p w14:paraId="3F2049E6" w14:textId="73636DDE" w:rsidR="0076579E" w:rsidRPr="003C66A0" w:rsidRDefault="0076579E" w:rsidP="006B21E2">
      <w:pPr>
        <w:jc w:val="both"/>
        <w:rPr>
          <w:rFonts w:eastAsiaTheme="majorEastAsia"/>
          <w:color w:val="000000" w:themeColor="text1"/>
        </w:rPr>
      </w:pPr>
      <w:r w:rsidRPr="003C66A0">
        <w:rPr>
          <w:rFonts w:eastAsiaTheme="majorEastAsia"/>
          <w:color w:val="000000" w:themeColor="text1"/>
        </w:rPr>
        <w:t xml:space="preserve">Platypus Finance exemplifies the paradox: </w:t>
      </w:r>
      <w:r w:rsidR="00A8398A" w:rsidRPr="003C66A0">
        <w:rPr>
          <w:rFonts w:eastAsiaTheme="majorEastAsia"/>
          <w:color w:val="000000" w:themeColor="text1"/>
        </w:rPr>
        <w:t xml:space="preserve">after </w:t>
      </w:r>
      <w:r w:rsidRPr="003C66A0">
        <w:rPr>
          <w:rFonts w:eastAsiaTheme="majorEastAsia"/>
          <w:color w:val="000000" w:themeColor="text1"/>
        </w:rPr>
        <w:t>three audits, $8.5 million bug bounty</w:t>
      </w:r>
      <w:r w:rsidR="00A8398A" w:rsidRPr="003C66A0">
        <w:rPr>
          <w:rFonts w:eastAsiaTheme="majorEastAsia"/>
          <w:color w:val="000000" w:themeColor="text1"/>
        </w:rPr>
        <w:t xml:space="preserve"> and </w:t>
      </w:r>
      <w:r w:rsidR="004D0356" w:rsidRPr="003C66A0">
        <w:rPr>
          <w:rFonts w:eastAsiaTheme="majorEastAsia"/>
          <w:color w:val="000000" w:themeColor="text1"/>
        </w:rPr>
        <w:t>they still</w:t>
      </w:r>
      <w:r w:rsidRPr="003C66A0">
        <w:rPr>
          <w:rFonts w:eastAsiaTheme="majorEastAsia"/>
          <w:color w:val="000000" w:themeColor="text1"/>
        </w:rPr>
        <w:t xml:space="preserve"> lost $8.5 million. </w:t>
      </w:r>
      <w:r w:rsidR="00A8398A" w:rsidRPr="003C66A0">
        <w:rPr>
          <w:rFonts w:eastAsiaTheme="majorEastAsia"/>
          <w:color w:val="000000" w:themeColor="text1"/>
        </w:rPr>
        <w:t>The reason is that</w:t>
      </w:r>
      <w:r w:rsidRPr="003C66A0">
        <w:rPr>
          <w:rFonts w:eastAsiaTheme="majorEastAsia"/>
          <w:color w:val="000000" w:themeColor="text1"/>
        </w:rPr>
        <w:t xml:space="preserve"> </w:t>
      </w:r>
      <w:r w:rsidR="00A8398A" w:rsidRPr="003C66A0">
        <w:rPr>
          <w:rFonts w:eastAsiaTheme="majorEastAsia"/>
          <w:color w:val="000000" w:themeColor="text1"/>
        </w:rPr>
        <w:t>a</w:t>
      </w:r>
      <w:r w:rsidRPr="003C66A0">
        <w:rPr>
          <w:rFonts w:eastAsiaTheme="majorEastAsia"/>
          <w:color w:val="000000" w:themeColor="text1"/>
        </w:rPr>
        <w:t>udits have fundamental limitations</w:t>
      </w:r>
      <w:r w:rsidR="00A8398A" w:rsidRPr="003C66A0">
        <w:rPr>
          <w:rFonts w:eastAsiaTheme="majorEastAsia"/>
          <w:color w:val="000000" w:themeColor="text1"/>
        </w:rPr>
        <w:t>.</w:t>
      </w:r>
    </w:p>
    <w:p w14:paraId="637AE862" w14:textId="77777777" w:rsidR="00A8398A" w:rsidRPr="003C66A0" w:rsidRDefault="00A8398A" w:rsidP="006B21E2">
      <w:pPr>
        <w:jc w:val="both"/>
        <w:rPr>
          <w:rFonts w:eastAsiaTheme="majorEastAsia"/>
          <w:color w:val="000000" w:themeColor="text1"/>
        </w:rPr>
      </w:pPr>
    </w:p>
    <w:p w14:paraId="54BFE275" w14:textId="1BC8052A" w:rsidR="0076579E" w:rsidRPr="003C66A0" w:rsidRDefault="0076579E" w:rsidP="006B21E2">
      <w:pPr>
        <w:jc w:val="both"/>
        <w:rPr>
          <w:rFonts w:eastAsiaTheme="majorEastAsia"/>
          <w:color w:val="000000" w:themeColor="text1"/>
        </w:rPr>
      </w:pPr>
      <w:r w:rsidRPr="003C66A0">
        <w:rPr>
          <w:rFonts w:eastAsiaTheme="majorEastAsia"/>
          <w:color w:val="000000" w:themeColor="text1"/>
        </w:rPr>
        <w:t>Audits cover:</w:t>
      </w:r>
    </w:p>
    <w:p w14:paraId="605F7D8A" w14:textId="77777777" w:rsidR="0076579E" w:rsidRPr="003C66A0" w:rsidRDefault="0076579E" w:rsidP="006B21E2">
      <w:pPr>
        <w:numPr>
          <w:ilvl w:val="0"/>
          <w:numId w:val="54"/>
        </w:numPr>
        <w:jc w:val="both"/>
        <w:rPr>
          <w:rFonts w:eastAsiaTheme="majorEastAsia"/>
          <w:color w:val="000000" w:themeColor="text1"/>
        </w:rPr>
      </w:pPr>
      <w:r w:rsidRPr="003C66A0">
        <w:rPr>
          <w:rFonts w:eastAsiaTheme="majorEastAsia"/>
          <w:color w:val="000000" w:themeColor="text1"/>
        </w:rPr>
        <w:t>Code correctness (syntax, logic, math errors)</w:t>
      </w:r>
    </w:p>
    <w:p w14:paraId="4A600B92" w14:textId="77777777" w:rsidR="0076579E" w:rsidRPr="003C66A0" w:rsidRDefault="0076579E" w:rsidP="006B21E2">
      <w:pPr>
        <w:numPr>
          <w:ilvl w:val="0"/>
          <w:numId w:val="54"/>
        </w:numPr>
        <w:jc w:val="both"/>
        <w:rPr>
          <w:rFonts w:eastAsiaTheme="majorEastAsia"/>
          <w:color w:val="000000" w:themeColor="text1"/>
        </w:rPr>
      </w:pPr>
      <w:r w:rsidRPr="003C66A0">
        <w:rPr>
          <w:rFonts w:eastAsiaTheme="majorEastAsia"/>
          <w:color w:val="000000" w:themeColor="text1"/>
        </w:rPr>
        <w:t>Known vulnerabilities (reentrancy, overflow, access control)</w:t>
      </w:r>
    </w:p>
    <w:p w14:paraId="61A8C437" w14:textId="77777777" w:rsidR="0076579E" w:rsidRPr="003C66A0" w:rsidRDefault="0076579E" w:rsidP="006B21E2">
      <w:pPr>
        <w:numPr>
          <w:ilvl w:val="0"/>
          <w:numId w:val="54"/>
        </w:numPr>
        <w:jc w:val="both"/>
        <w:rPr>
          <w:rFonts w:eastAsiaTheme="majorEastAsia"/>
          <w:color w:val="000000" w:themeColor="text1"/>
        </w:rPr>
      </w:pPr>
      <w:r w:rsidRPr="003C66A0">
        <w:rPr>
          <w:rFonts w:eastAsiaTheme="majorEastAsia"/>
          <w:color w:val="000000" w:themeColor="text1"/>
        </w:rPr>
        <w:lastRenderedPageBreak/>
        <w:t>Best practices compliance</w:t>
      </w:r>
    </w:p>
    <w:p w14:paraId="1D007C2A" w14:textId="77777777" w:rsidR="00A8398A" w:rsidRPr="003C66A0" w:rsidRDefault="00A8398A" w:rsidP="006B21E2">
      <w:pPr>
        <w:jc w:val="both"/>
        <w:rPr>
          <w:rFonts w:eastAsiaTheme="majorEastAsia"/>
          <w:color w:val="000000" w:themeColor="text1"/>
        </w:rPr>
      </w:pPr>
    </w:p>
    <w:p w14:paraId="227C6C91" w14:textId="40FF4B81" w:rsidR="0076579E" w:rsidRPr="003C66A0" w:rsidRDefault="0076579E" w:rsidP="006B21E2">
      <w:pPr>
        <w:jc w:val="both"/>
        <w:rPr>
          <w:rFonts w:eastAsiaTheme="majorEastAsia"/>
          <w:color w:val="000000" w:themeColor="text1"/>
        </w:rPr>
      </w:pPr>
      <w:r w:rsidRPr="003C66A0">
        <w:rPr>
          <w:rFonts w:eastAsiaTheme="majorEastAsia"/>
          <w:color w:val="000000" w:themeColor="text1"/>
        </w:rPr>
        <w:t>Audits</w:t>
      </w:r>
      <w:r w:rsidR="00934AAA" w:rsidRPr="003C66A0">
        <w:rPr>
          <w:rFonts w:eastAsiaTheme="majorEastAsia"/>
          <w:color w:val="000000" w:themeColor="text1"/>
        </w:rPr>
        <w:t xml:space="preserve"> do not </w:t>
      </w:r>
      <w:r w:rsidRPr="003C66A0">
        <w:rPr>
          <w:rFonts w:eastAsiaTheme="majorEastAsia"/>
          <w:color w:val="000000" w:themeColor="text1"/>
        </w:rPr>
        <w:t>cover:</w:t>
      </w:r>
    </w:p>
    <w:p w14:paraId="1A5DB073" w14:textId="77777777" w:rsidR="0076579E" w:rsidRPr="003C66A0" w:rsidRDefault="0076579E" w:rsidP="006B21E2">
      <w:pPr>
        <w:numPr>
          <w:ilvl w:val="0"/>
          <w:numId w:val="55"/>
        </w:numPr>
        <w:jc w:val="both"/>
        <w:rPr>
          <w:rFonts w:eastAsiaTheme="majorEastAsia"/>
          <w:color w:val="000000" w:themeColor="text1"/>
        </w:rPr>
      </w:pPr>
      <w:r w:rsidRPr="003C66A0">
        <w:rPr>
          <w:rFonts w:eastAsiaTheme="majorEastAsia"/>
          <w:color w:val="000000" w:themeColor="text1"/>
        </w:rPr>
        <w:t>Economic attacks (flash loan manipulation, oracle attacks)</w:t>
      </w:r>
    </w:p>
    <w:p w14:paraId="1746E0FB" w14:textId="77777777" w:rsidR="0076579E" w:rsidRPr="003C66A0" w:rsidRDefault="0076579E" w:rsidP="006B21E2">
      <w:pPr>
        <w:numPr>
          <w:ilvl w:val="0"/>
          <w:numId w:val="55"/>
        </w:numPr>
        <w:jc w:val="both"/>
        <w:rPr>
          <w:rFonts w:eastAsiaTheme="majorEastAsia"/>
          <w:color w:val="000000" w:themeColor="text1"/>
        </w:rPr>
      </w:pPr>
      <w:r w:rsidRPr="003C66A0">
        <w:rPr>
          <w:rFonts w:eastAsiaTheme="majorEastAsia"/>
          <w:color w:val="000000" w:themeColor="text1"/>
        </w:rPr>
        <w:t>Composability risks (protocol interactions)</w:t>
      </w:r>
    </w:p>
    <w:p w14:paraId="1531AF50" w14:textId="77777777" w:rsidR="0076579E" w:rsidRPr="003C66A0" w:rsidRDefault="0076579E" w:rsidP="006B21E2">
      <w:pPr>
        <w:numPr>
          <w:ilvl w:val="0"/>
          <w:numId w:val="55"/>
        </w:numPr>
        <w:jc w:val="both"/>
        <w:rPr>
          <w:rFonts w:eastAsiaTheme="majorEastAsia"/>
          <w:color w:val="000000" w:themeColor="text1"/>
        </w:rPr>
      </w:pPr>
      <w:r w:rsidRPr="003C66A0">
        <w:rPr>
          <w:rFonts w:eastAsiaTheme="majorEastAsia"/>
          <w:color w:val="000000" w:themeColor="text1"/>
        </w:rPr>
        <w:t>Governance attacks (malicious proposals)</w:t>
      </w:r>
    </w:p>
    <w:p w14:paraId="2E1F5765" w14:textId="77777777" w:rsidR="0076579E" w:rsidRPr="003C66A0" w:rsidRDefault="0076579E" w:rsidP="006B21E2">
      <w:pPr>
        <w:numPr>
          <w:ilvl w:val="0"/>
          <w:numId w:val="55"/>
        </w:numPr>
        <w:jc w:val="both"/>
        <w:rPr>
          <w:rFonts w:eastAsiaTheme="majorEastAsia"/>
          <w:color w:val="000000" w:themeColor="text1"/>
        </w:rPr>
      </w:pPr>
      <w:r w:rsidRPr="003C66A0">
        <w:rPr>
          <w:rFonts w:eastAsiaTheme="majorEastAsia"/>
          <w:color w:val="000000" w:themeColor="text1"/>
        </w:rPr>
        <w:t>Market manipulation</w:t>
      </w:r>
    </w:p>
    <w:p w14:paraId="0368948A" w14:textId="77777777" w:rsidR="0076579E" w:rsidRPr="003C66A0" w:rsidRDefault="0076579E" w:rsidP="006B21E2">
      <w:pPr>
        <w:numPr>
          <w:ilvl w:val="0"/>
          <w:numId w:val="55"/>
        </w:numPr>
        <w:jc w:val="both"/>
        <w:rPr>
          <w:rFonts w:eastAsiaTheme="majorEastAsia"/>
          <w:color w:val="000000" w:themeColor="text1"/>
        </w:rPr>
      </w:pPr>
      <w:r w:rsidRPr="003C66A0">
        <w:rPr>
          <w:rFonts w:eastAsiaTheme="majorEastAsia"/>
          <w:color w:val="000000" w:themeColor="text1"/>
        </w:rPr>
        <w:t>Black swan events</w:t>
      </w:r>
    </w:p>
    <w:p w14:paraId="1B9FD771" w14:textId="77777777" w:rsidR="005C21FD" w:rsidRPr="003C66A0" w:rsidRDefault="005C21FD" w:rsidP="006B21E2">
      <w:pPr>
        <w:jc w:val="both"/>
        <w:rPr>
          <w:rFonts w:eastAsiaTheme="majorEastAsia"/>
          <w:color w:val="000000" w:themeColor="text1"/>
        </w:rPr>
      </w:pPr>
    </w:p>
    <w:p w14:paraId="38CEDF31" w14:textId="49F481A5" w:rsidR="005C21FD" w:rsidRPr="003C66A0" w:rsidRDefault="0076579E" w:rsidP="006B21E2">
      <w:pPr>
        <w:jc w:val="both"/>
        <w:rPr>
          <w:rFonts w:eastAsiaTheme="majorEastAsia"/>
          <w:color w:val="000000" w:themeColor="text1"/>
        </w:rPr>
      </w:pPr>
      <w:r w:rsidRPr="003C66A0">
        <w:rPr>
          <w:rFonts w:eastAsiaTheme="majorEastAsia"/>
          <w:color w:val="000000" w:themeColor="text1"/>
        </w:rPr>
        <w:t>This gap explains why 71% of exploited protocols had audits. The code worked perfectly</w:t>
      </w:r>
      <w:r w:rsidR="00957C82" w:rsidRPr="003C66A0">
        <w:rPr>
          <w:rFonts w:eastAsiaTheme="majorEastAsia"/>
          <w:color w:val="000000" w:themeColor="text1"/>
        </w:rPr>
        <w:t xml:space="preserve"> but the </w:t>
      </w:r>
      <w:r w:rsidRPr="003C66A0">
        <w:rPr>
          <w:rFonts w:eastAsiaTheme="majorEastAsia"/>
          <w:color w:val="000000" w:themeColor="text1"/>
        </w:rPr>
        <w:t>vulnerabilities were economic, not technical.</w:t>
      </w:r>
    </w:p>
    <w:p w14:paraId="238CCEE3" w14:textId="77777777" w:rsidR="005C21FD" w:rsidRPr="003C66A0" w:rsidRDefault="005C21FD" w:rsidP="006B21E2">
      <w:pPr>
        <w:jc w:val="both"/>
        <w:rPr>
          <w:rFonts w:eastAsiaTheme="majorEastAsia"/>
          <w:b/>
          <w:bCs/>
          <w:color w:val="000000" w:themeColor="text1"/>
        </w:rPr>
      </w:pPr>
    </w:p>
    <w:p w14:paraId="364A6308" w14:textId="14429DCB" w:rsidR="0076579E" w:rsidRPr="003C66A0" w:rsidRDefault="008D6F57" w:rsidP="006B21E2">
      <w:pPr>
        <w:pStyle w:val="Heading3"/>
        <w:jc w:val="both"/>
        <w:rPr>
          <w:rFonts w:eastAsiaTheme="majorEastAsia"/>
        </w:rPr>
      </w:pPr>
      <w:bookmarkStart w:id="163" w:name="_Toc214721969"/>
      <w:r w:rsidRPr="003C66A0">
        <w:rPr>
          <w:rFonts w:eastAsiaTheme="majorEastAsia"/>
        </w:rPr>
        <w:t>7</w:t>
      </w:r>
      <w:r w:rsidR="0076579E" w:rsidRPr="003C66A0">
        <w:rPr>
          <w:rFonts w:eastAsiaTheme="majorEastAsia"/>
        </w:rPr>
        <w:t>.2.2 True Cost of Technical Risk</w:t>
      </w:r>
      <w:bookmarkEnd w:id="163"/>
    </w:p>
    <w:p w14:paraId="5EC5E925" w14:textId="77777777" w:rsidR="0076579E" w:rsidRPr="003C66A0" w:rsidRDefault="0076579E" w:rsidP="006B21E2">
      <w:pPr>
        <w:jc w:val="both"/>
        <w:rPr>
          <w:rFonts w:eastAsiaTheme="majorEastAsia"/>
          <w:color w:val="000000" w:themeColor="text1"/>
        </w:rPr>
      </w:pPr>
      <w:r w:rsidRPr="003C66A0">
        <w:rPr>
          <w:rFonts w:eastAsiaTheme="majorEastAsia"/>
          <w:color w:val="000000" w:themeColor="text1"/>
        </w:rPr>
        <w:t>Tracking positions through incidents reveals costs beyond direct losses:</w:t>
      </w:r>
    </w:p>
    <w:p w14:paraId="698E15F8" w14:textId="77777777" w:rsidR="0076579E" w:rsidRPr="003C66A0" w:rsidRDefault="0076579E" w:rsidP="006B21E2">
      <w:pPr>
        <w:numPr>
          <w:ilvl w:val="0"/>
          <w:numId w:val="56"/>
        </w:numPr>
        <w:jc w:val="both"/>
        <w:rPr>
          <w:rFonts w:eastAsiaTheme="majorEastAsia"/>
          <w:color w:val="000000" w:themeColor="text1"/>
        </w:rPr>
      </w:pPr>
      <w:r w:rsidRPr="003C66A0">
        <w:rPr>
          <w:rFonts w:eastAsiaTheme="majorEastAsia"/>
          <w:color w:val="000000" w:themeColor="text1"/>
        </w:rPr>
        <w:t>Direct loss: Average 23% of position value</w:t>
      </w:r>
    </w:p>
    <w:p w14:paraId="0AEDA9A8" w14:textId="77777777" w:rsidR="0076579E" w:rsidRPr="003C66A0" w:rsidRDefault="0076579E" w:rsidP="006B21E2">
      <w:pPr>
        <w:numPr>
          <w:ilvl w:val="0"/>
          <w:numId w:val="56"/>
        </w:numPr>
        <w:jc w:val="both"/>
        <w:rPr>
          <w:rFonts w:eastAsiaTheme="majorEastAsia"/>
          <w:color w:val="000000" w:themeColor="text1"/>
        </w:rPr>
      </w:pPr>
      <w:r w:rsidRPr="003C66A0">
        <w:rPr>
          <w:rFonts w:eastAsiaTheme="majorEastAsia"/>
          <w:color w:val="000000" w:themeColor="text1"/>
        </w:rPr>
        <w:t>Liquidity costs: Additional 8-12%</w:t>
      </w:r>
    </w:p>
    <w:p w14:paraId="5A924E59" w14:textId="77777777" w:rsidR="0076579E" w:rsidRPr="003C66A0" w:rsidRDefault="0076579E" w:rsidP="006B21E2">
      <w:pPr>
        <w:numPr>
          <w:ilvl w:val="0"/>
          <w:numId w:val="56"/>
        </w:numPr>
        <w:jc w:val="both"/>
        <w:rPr>
          <w:rFonts w:eastAsiaTheme="majorEastAsia"/>
          <w:color w:val="000000" w:themeColor="text1"/>
        </w:rPr>
      </w:pPr>
      <w:r w:rsidRPr="003C66A0">
        <w:rPr>
          <w:rFonts w:eastAsiaTheme="majorEastAsia"/>
          <w:color w:val="000000" w:themeColor="text1"/>
        </w:rPr>
        <w:t>Opportunity costs: 3-5% over resolution</w:t>
      </w:r>
    </w:p>
    <w:p w14:paraId="39D48EA3" w14:textId="77777777" w:rsidR="0076579E" w:rsidRPr="003C66A0" w:rsidRDefault="0076579E" w:rsidP="006B21E2">
      <w:pPr>
        <w:numPr>
          <w:ilvl w:val="0"/>
          <w:numId w:val="56"/>
        </w:numPr>
        <w:jc w:val="both"/>
        <w:rPr>
          <w:rFonts w:eastAsiaTheme="majorEastAsia"/>
          <w:color w:val="000000" w:themeColor="text1"/>
        </w:rPr>
      </w:pPr>
      <w:r w:rsidRPr="003C66A0">
        <w:rPr>
          <w:rFonts w:eastAsiaTheme="majorEastAsia"/>
          <w:color w:val="000000" w:themeColor="text1"/>
        </w:rPr>
        <w:t>Reputational costs: 15-20% lower APR for 3-6 months</w:t>
      </w:r>
    </w:p>
    <w:p w14:paraId="2A70E90B" w14:textId="77777777" w:rsidR="0076579E" w:rsidRPr="003C66A0" w:rsidRDefault="0076579E" w:rsidP="006B21E2">
      <w:pPr>
        <w:jc w:val="both"/>
        <w:rPr>
          <w:rFonts w:eastAsiaTheme="majorEastAsia"/>
          <w:color w:val="000000" w:themeColor="text1"/>
        </w:rPr>
      </w:pPr>
      <w:r w:rsidRPr="003C66A0">
        <w:rPr>
          <w:rFonts w:eastAsiaTheme="majorEastAsia"/>
          <w:color w:val="000000" w:themeColor="text1"/>
        </w:rPr>
        <w:t>Total impact: 49-60% of position value—more than double direct loss.</w:t>
      </w:r>
    </w:p>
    <w:p w14:paraId="6A8A6D78" w14:textId="77777777" w:rsidR="005C21FD" w:rsidRDefault="005C21FD" w:rsidP="006B21E2">
      <w:pPr>
        <w:jc w:val="both"/>
        <w:rPr>
          <w:rFonts w:eastAsiaTheme="majorEastAsia"/>
          <w:b/>
          <w:bCs/>
          <w:color w:val="000000" w:themeColor="text1"/>
        </w:rPr>
      </w:pPr>
    </w:p>
    <w:p w14:paraId="5763AE04" w14:textId="050C332C" w:rsidR="005565E4" w:rsidRPr="005565E4" w:rsidRDefault="005565E4" w:rsidP="006B21E2">
      <w:pPr>
        <w:pStyle w:val="Heading3"/>
        <w:rPr>
          <w:rFonts w:eastAsiaTheme="majorEastAsia"/>
        </w:rPr>
      </w:pPr>
      <w:bookmarkStart w:id="164" w:name="_Toc214721970"/>
      <w:r>
        <w:rPr>
          <w:rFonts w:eastAsiaTheme="majorEastAsia"/>
        </w:rPr>
        <w:t>Table 7.</w:t>
      </w:r>
      <w:r w:rsidR="00C5607F">
        <w:rPr>
          <w:rFonts w:eastAsiaTheme="majorEastAsia"/>
        </w:rPr>
        <w:t>A</w:t>
      </w:r>
      <w:r w:rsidR="00623800">
        <w:rPr>
          <w:rFonts w:eastAsiaTheme="majorEastAsia"/>
        </w:rPr>
        <w:t>:</w:t>
      </w:r>
      <w:r>
        <w:rPr>
          <w:rFonts w:eastAsiaTheme="majorEastAsia"/>
        </w:rPr>
        <w:t xml:space="preserve"> Technical Risk Cost Overview</w:t>
      </w:r>
      <w:bookmarkEnd w:id="164"/>
    </w:p>
    <w:p w14:paraId="017A999C" w14:textId="77777777" w:rsidR="005565E4" w:rsidRDefault="005565E4" w:rsidP="006B21E2">
      <w:pPr>
        <w:jc w:val="both"/>
        <w:rPr>
          <w:rFonts w:eastAsiaTheme="majorEastAsia"/>
          <w:b/>
          <w:bCs/>
          <w:color w:val="000000" w:themeColor="text1"/>
        </w:rPr>
      </w:pPr>
    </w:p>
    <w:tbl>
      <w:tblPr>
        <w:tblW w:w="9390" w:type="dxa"/>
        <w:tblInd w:w="-45" w:type="dxa"/>
        <w:tblLayout w:type="fixed"/>
        <w:tblCellMar>
          <w:left w:w="30" w:type="dxa"/>
          <w:right w:w="30" w:type="dxa"/>
        </w:tblCellMar>
        <w:tblLook w:val="0000" w:firstRow="0" w:lastRow="0" w:firstColumn="0" w:lastColumn="0" w:noHBand="0" w:noVBand="0"/>
      </w:tblPr>
      <w:tblGrid>
        <w:gridCol w:w="2189"/>
        <w:gridCol w:w="2037"/>
        <w:gridCol w:w="5164"/>
      </w:tblGrid>
      <w:tr w:rsidR="00E06EAB" w:rsidRPr="00E06EAB" w14:paraId="55F63FCE" w14:textId="77777777" w:rsidTr="00E06EAB">
        <w:trPr>
          <w:trHeight w:val="617"/>
        </w:trPr>
        <w:tc>
          <w:tcPr>
            <w:tcW w:w="2189"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5E6D42D5" w14:textId="77777777" w:rsidR="00E06EAB" w:rsidRPr="00E06EAB" w:rsidRDefault="00E06EAB" w:rsidP="006B21E2">
            <w:pPr>
              <w:autoSpaceDE w:val="0"/>
              <w:autoSpaceDN w:val="0"/>
              <w:adjustRightInd w:val="0"/>
              <w:rPr>
                <w:rFonts w:eastAsiaTheme="minorEastAsia"/>
                <w:b/>
                <w:bCs/>
                <w:color w:val="000000"/>
              </w:rPr>
            </w:pPr>
            <w:r w:rsidRPr="00E06EAB">
              <w:rPr>
                <w:rFonts w:eastAsiaTheme="minorEastAsia"/>
                <w:b/>
                <w:bCs/>
                <w:color w:val="000000"/>
              </w:rPr>
              <w:t>Cost Component</w:t>
            </w:r>
          </w:p>
        </w:tc>
        <w:tc>
          <w:tcPr>
            <w:tcW w:w="2037" w:type="dxa"/>
            <w:tcBorders>
              <w:top w:val="single" w:sz="12" w:space="0" w:color="auto"/>
              <w:left w:val="nil"/>
              <w:bottom w:val="single" w:sz="12" w:space="0" w:color="auto"/>
              <w:right w:val="single" w:sz="6" w:space="0" w:color="auto"/>
            </w:tcBorders>
            <w:shd w:val="clear" w:color="auto" w:fill="D9D9D9" w:themeFill="background1" w:themeFillShade="D9"/>
          </w:tcPr>
          <w:p w14:paraId="20A9C238" w14:textId="77777777" w:rsidR="00E06EAB" w:rsidRPr="00E06EAB" w:rsidRDefault="00E06EAB" w:rsidP="006B21E2">
            <w:pPr>
              <w:autoSpaceDE w:val="0"/>
              <w:autoSpaceDN w:val="0"/>
              <w:adjustRightInd w:val="0"/>
              <w:rPr>
                <w:rFonts w:eastAsiaTheme="minorEastAsia"/>
                <w:b/>
                <w:bCs/>
                <w:color w:val="000000"/>
              </w:rPr>
            </w:pPr>
            <w:r w:rsidRPr="00E06EAB">
              <w:rPr>
                <w:rFonts w:eastAsiaTheme="minorEastAsia"/>
                <w:b/>
                <w:bCs/>
                <w:color w:val="000000"/>
              </w:rPr>
              <w:t xml:space="preserve">Average Loss </w:t>
            </w:r>
          </w:p>
          <w:p w14:paraId="2B8C93D8" w14:textId="77777777" w:rsidR="00E06EAB" w:rsidRPr="00E06EAB" w:rsidRDefault="00E06EAB" w:rsidP="006B21E2">
            <w:pPr>
              <w:autoSpaceDE w:val="0"/>
              <w:autoSpaceDN w:val="0"/>
              <w:adjustRightInd w:val="0"/>
              <w:rPr>
                <w:rFonts w:eastAsiaTheme="minorEastAsia"/>
                <w:b/>
                <w:bCs/>
                <w:color w:val="000000"/>
              </w:rPr>
            </w:pPr>
            <w:r w:rsidRPr="00E06EAB">
              <w:rPr>
                <w:rFonts w:eastAsiaTheme="minorEastAsia"/>
                <w:b/>
                <w:bCs/>
                <w:color w:val="000000"/>
              </w:rPr>
              <w:t>(% of position)</w:t>
            </w:r>
          </w:p>
        </w:tc>
        <w:tc>
          <w:tcPr>
            <w:tcW w:w="5164"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tcPr>
          <w:p w14:paraId="4B109378" w14:textId="77777777" w:rsidR="00E06EAB" w:rsidRPr="00E06EAB" w:rsidRDefault="00E06EAB" w:rsidP="006B21E2">
            <w:pPr>
              <w:autoSpaceDE w:val="0"/>
              <w:autoSpaceDN w:val="0"/>
              <w:adjustRightInd w:val="0"/>
              <w:rPr>
                <w:rFonts w:eastAsiaTheme="minorEastAsia"/>
                <w:b/>
                <w:bCs/>
                <w:color w:val="000000"/>
              </w:rPr>
            </w:pPr>
            <w:r w:rsidRPr="00E06EAB">
              <w:rPr>
                <w:rFonts w:eastAsiaTheme="minorEastAsia"/>
                <w:b/>
                <w:bCs/>
                <w:color w:val="000000"/>
              </w:rPr>
              <w:t>Description</w:t>
            </w:r>
          </w:p>
        </w:tc>
      </w:tr>
      <w:tr w:rsidR="00E06EAB" w:rsidRPr="00E06EAB" w14:paraId="385229ED" w14:textId="77777777" w:rsidTr="00E06EAB">
        <w:trPr>
          <w:trHeight w:val="305"/>
        </w:trPr>
        <w:tc>
          <w:tcPr>
            <w:tcW w:w="2189" w:type="dxa"/>
            <w:tcBorders>
              <w:top w:val="nil"/>
              <w:left w:val="single" w:sz="12" w:space="0" w:color="auto"/>
              <w:bottom w:val="single" w:sz="6" w:space="0" w:color="auto"/>
              <w:right w:val="single" w:sz="12" w:space="0" w:color="auto"/>
            </w:tcBorders>
            <w:shd w:val="clear" w:color="auto" w:fill="D9D9D9" w:themeFill="background1" w:themeFillShade="D9"/>
          </w:tcPr>
          <w:p w14:paraId="62FA9A2D" w14:textId="77777777" w:rsidR="00E06EAB" w:rsidRPr="00E06EAB" w:rsidRDefault="00E06EAB" w:rsidP="006B21E2">
            <w:pPr>
              <w:autoSpaceDE w:val="0"/>
              <w:autoSpaceDN w:val="0"/>
              <w:adjustRightInd w:val="0"/>
              <w:rPr>
                <w:rFonts w:eastAsiaTheme="minorEastAsia"/>
                <w:color w:val="000000"/>
              </w:rPr>
            </w:pPr>
            <w:r w:rsidRPr="00E06EAB">
              <w:rPr>
                <w:rFonts w:eastAsiaTheme="minorEastAsia"/>
                <w:color w:val="000000"/>
              </w:rPr>
              <w:t>Direct Loss</w:t>
            </w:r>
          </w:p>
        </w:tc>
        <w:tc>
          <w:tcPr>
            <w:tcW w:w="2037" w:type="dxa"/>
            <w:tcBorders>
              <w:top w:val="nil"/>
              <w:left w:val="nil"/>
              <w:bottom w:val="single" w:sz="6" w:space="0" w:color="auto"/>
              <w:right w:val="single" w:sz="6" w:space="0" w:color="auto"/>
            </w:tcBorders>
          </w:tcPr>
          <w:p w14:paraId="42F9901B" w14:textId="77777777" w:rsidR="00E06EAB" w:rsidRPr="00E06EAB" w:rsidRDefault="00E06EAB" w:rsidP="006B21E2">
            <w:pPr>
              <w:autoSpaceDE w:val="0"/>
              <w:autoSpaceDN w:val="0"/>
              <w:adjustRightInd w:val="0"/>
              <w:rPr>
                <w:rFonts w:eastAsiaTheme="minorEastAsia"/>
                <w:color w:val="000000"/>
              </w:rPr>
            </w:pPr>
            <w:r w:rsidRPr="00E06EAB">
              <w:rPr>
                <w:rFonts w:eastAsiaTheme="minorEastAsia"/>
                <w:color w:val="000000"/>
              </w:rPr>
              <w:t>23%</w:t>
            </w:r>
          </w:p>
        </w:tc>
        <w:tc>
          <w:tcPr>
            <w:tcW w:w="5164" w:type="dxa"/>
            <w:tcBorders>
              <w:top w:val="nil"/>
              <w:left w:val="single" w:sz="6" w:space="0" w:color="auto"/>
              <w:bottom w:val="single" w:sz="6" w:space="0" w:color="auto"/>
              <w:right w:val="single" w:sz="12" w:space="0" w:color="auto"/>
            </w:tcBorders>
          </w:tcPr>
          <w:p w14:paraId="7B1A3AE4" w14:textId="77777777" w:rsidR="00E06EAB" w:rsidRPr="00E06EAB" w:rsidRDefault="00E06EAB" w:rsidP="006B21E2">
            <w:pPr>
              <w:autoSpaceDE w:val="0"/>
              <w:autoSpaceDN w:val="0"/>
              <w:adjustRightInd w:val="0"/>
              <w:rPr>
                <w:rFonts w:eastAsiaTheme="minorEastAsia"/>
                <w:color w:val="000000"/>
              </w:rPr>
            </w:pPr>
            <w:r w:rsidRPr="00E06EAB">
              <w:rPr>
                <w:rFonts w:eastAsiaTheme="minorEastAsia"/>
                <w:color w:val="000000"/>
              </w:rPr>
              <w:t>Stolen/locked/lost value from incident</w:t>
            </w:r>
          </w:p>
        </w:tc>
      </w:tr>
      <w:tr w:rsidR="00E06EAB" w:rsidRPr="00E06EAB" w14:paraId="7CCFD322" w14:textId="77777777" w:rsidTr="00E06EAB">
        <w:trPr>
          <w:trHeight w:val="305"/>
        </w:trPr>
        <w:tc>
          <w:tcPr>
            <w:tcW w:w="2189" w:type="dxa"/>
            <w:tcBorders>
              <w:top w:val="single" w:sz="6" w:space="0" w:color="auto"/>
              <w:left w:val="single" w:sz="12" w:space="0" w:color="auto"/>
              <w:bottom w:val="single" w:sz="6" w:space="0" w:color="auto"/>
              <w:right w:val="single" w:sz="12" w:space="0" w:color="auto"/>
            </w:tcBorders>
            <w:shd w:val="clear" w:color="auto" w:fill="D9D9D9" w:themeFill="background1" w:themeFillShade="D9"/>
          </w:tcPr>
          <w:p w14:paraId="431F2E8E" w14:textId="77777777" w:rsidR="00E06EAB" w:rsidRPr="00E06EAB" w:rsidRDefault="00E06EAB" w:rsidP="006B21E2">
            <w:pPr>
              <w:autoSpaceDE w:val="0"/>
              <w:autoSpaceDN w:val="0"/>
              <w:adjustRightInd w:val="0"/>
              <w:rPr>
                <w:rFonts w:eastAsiaTheme="minorEastAsia"/>
                <w:color w:val="000000"/>
              </w:rPr>
            </w:pPr>
            <w:r w:rsidRPr="00E06EAB">
              <w:rPr>
                <w:rFonts w:eastAsiaTheme="minorEastAsia"/>
                <w:color w:val="000000"/>
              </w:rPr>
              <w:t>Liquidity Costs</w:t>
            </w:r>
          </w:p>
        </w:tc>
        <w:tc>
          <w:tcPr>
            <w:tcW w:w="2037" w:type="dxa"/>
            <w:tcBorders>
              <w:top w:val="single" w:sz="6" w:space="0" w:color="auto"/>
              <w:left w:val="nil"/>
              <w:bottom w:val="single" w:sz="6" w:space="0" w:color="auto"/>
              <w:right w:val="single" w:sz="6" w:space="0" w:color="auto"/>
            </w:tcBorders>
          </w:tcPr>
          <w:p w14:paraId="1E49E60A" w14:textId="77777777" w:rsidR="00E06EAB" w:rsidRPr="00E06EAB" w:rsidRDefault="00E06EAB" w:rsidP="006B21E2">
            <w:pPr>
              <w:autoSpaceDE w:val="0"/>
              <w:autoSpaceDN w:val="0"/>
              <w:adjustRightInd w:val="0"/>
              <w:rPr>
                <w:rFonts w:eastAsiaTheme="minorEastAsia"/>
                <w:color w:val="000000"/>
              </w:rPr>
            </w:pPr>
            <w:r w:rsidRPr="00E06EAB">
              <w:rPr>
                <w:rFonts w:eastAsiaTheme="minorEastAsia"/>
                <w:color w:val="000000"/>
              </w:rPr>
              <w:t>8-12%</w:t>
            </w:r>
          </w:p>
        </w:tc>
        <w:tc>
          <w:tcPr>
            <w:tcW w:w="5164" w:type="dxa"/>
            <w:tcBorders>
              <w:top w:val="single" w:sz="6" w:space="0" w:color="auto"/>
              <w:left w:val="single" w:sz="6" w:space="0" w:color="auto"/>
              <w:bottom w:val="single" w:sz="6" w:space="0" w:color="auto"/>
              <w:right w:val="single" w:sz="12" w:space="0" w:color="auto"/>
            </w:tcBorders>
          </w:tcPr>
          <w:p w14:paraId="140AC90E" w14:textId="77777777" w:rsidR="00E06EAB" w:rsidRPr="00E06EAB" w:rsidRDefault="00E06EAB" w:rsidP="006B21E2">
            <w:pPr>
              <w:autoSpaceDE w:val="0"/>
              <w:autoSpaceDN w:val="0"/>
              <w:adjustRightInd w:val="0"/>
              <w:rPr>
                <w:rFonts w:eastAsiaTheme="minorEastAsia"/>
                <w:color w:val="000000"/>
              </w:rPr>
            </w:pPr>
            <w:r w:rsidRPr="00E06EAB">
              <w:rPr>
                <w:rFonts w:eastAsiaTheme="minorEastAsia"/>
                <w:color w:val="000000"/>
              </w:rPr>
              <w:t>Forced unwinding under adverse conditions</w:t>
            </w:r>
          </w:p>
        </w:tc>
      </w:tr>
      <w:tr w:rsidR="00E06EAB" w:rsidRPr="00E06EAB" w14:paraId="16C769E7" w14:textId="77777777" w:rsidTr="00E06EAB">
        <w:trPr>
          <w:trHeight w:val="305"/>
        </w:trPr>
        <w:tc>
          <w:tcPr>
            <w:tcW w:w="2189" w:type="dxa"/>
            <w:tcBorders>
              <w:top w:val="single" w:sz="6" w:space="0" w:color="auto"/>
              <w:left w:val="single" w:sz="12" w:space="0" w:color="auto"/>
              <w:bottom w:val="single" w:sz="6" w:space="0" w:color="auto"/>
              <w:right w:val="single" w:sz="12" w:space="0" w:color="auto"/>
            </w:tcBorders>
            <w:shd w:val="clear" w:color="auto" w:fill="D9D9D9" w:themeFill="background1" w:themeFillShade="D9"/>
          </w:tcPr>
          <w:p w14:paraId="4BE3B045" w14:textId="77777777" w:rsidR="00E06EAB" w:rsidRPr="00E06EAB" w:rsidRDefault="00E06EAB" w:rsidP="006B21E2">
            <w:pPr>
              <w:autoSpaceDE w:val="0"/>
              <w:autoSpaceDN w:val="0"/>
              <w:adjustRightInd w:val="0"/>
              <w:rPr>
                <w:rFonts w:eastAsiaTheme="minorEastAsia"/>
                <w:color w:val="000000"/>
              </w:rPr>
            </w:pPr>
            <w:r w:rsidRPr="00E06EAB">
              <w:rPr>
                <w:rFonts w:eastAsiaTheme="minorEastAsia"/>
                <w:color w:val="000000"/>
              </w:rPr>
              <w:t>Opportunity Costs</w:t>
            </w:r>
          </w:p>
        </w:tc>
        <w:tc>
          <w:tcPr>
            <w:tcW w:w="2037" w:type="dxa"/>
            <w:tcBorders>
              <w:top w:val="single" w:sz="6" w:space="0" w:color="auto"/>
              <w:left w:val="nil"/>
              <w:bottom w:val="single" w:sz="6" w:space="0" w:color="auto"/>
              <w:right w:val="single" w:sz="6" w:space="0" w:color="auto"/>
            </w:tcBorders>
          </w:tcPr>
          <w:p w14:paraId="78EE16B6" w14:textId="77777777" w:rsidR="00E06EAB" w:rsidRPr="00E06EAB" w:rsidRDefault="00E06EAB" w:rsidP="006B21E2">
            <w:pPr>
              <w:autoSpaceDE w:val="0"/>
              <w:autoSpaceDN w:val="0"/>
              <w:adjustRightInd w:val="0"/>
              <w:rPr>
                <w:rFonts w:eastAsiaTheme="minorEastAsia"/>
                <w:color w:val="000000"/>
              </w:rPr>
            </w:pPr>
            <w:r w:rsidRPr="00E06EAB">
              <w:rPr>
                <w:rFonts w:eastAsiaTheme="minorEastAsia"/>
                <w:color w:val="000000"/>
              </w:rPr>
              <w:t>3-5%</w:t>
            </w:r>
          </w:p>
        </w:tc>
        <w:tc>
          <w:tcPr>
            <w:tcW w:w="5164" w:type="dxa"/>
            <w:tcBorders>
              <w:top w:val="single" w:sz="6" w:space="0" w:color="auto"/>
              <w:left w:val="single" w:sz="6" w:space="0" w:color="auto"/>
              <w:bottom w:val="single" w:sz="6" w:space="0" w:color="auto"/>
              <w:right w:val="single" w:sz="12" w:space="0" w:color="auto"/>
            </w:tcBorders>
          </w:tcPr>
          <w:p w14:paraId="60EA478A" w14:textId="77777777" w:rsidR="00E06EAB" w:rsidRPr="00E06EAB" w:rsidRDefault="00E06EAB" w:rsidP="006B21E2">
            <w:pPr>
              <w:autoSpaceDE w:val="0"/>
              <w:autoSpaceDN w:val="0"/>
              <w:adjustRightInd w:val="0"/>
              <w:rPr>
                <w:rFonts w:eastAsiaTheme="minorEastAsia"/>
                <w:color w:val="000000"/>
              </w:rPr>
            </w:pPr>
            <w:r w:rsidRPr="00E06EAB">
              <w:rPr>
                <w:rFonts w:eastAsiaTheme="minorEastAsia"/>
                <w:color w:val="000000"/>
              </w:rPr>
              <w:t>Idle/underperforming capital during resolution</w:t>
            </w:r>
          </w:p>
        </w:tc>
      </w:tr>
      <w:tr w:rsidR="00E06EAB" w:rsidRPr="00E06EAB" w14:paraId="0B5589D8" w14:textId="77777777" w:rsidTr="00E06EAB">
        <w:trPr>
          <w:trHeight w:val="305"/>
        </w:trPr>
        <w:tc>
          <w:tcPr>
            <w:tcW w:w="2189" w:type="dxa"/>
            <w:tcBorders>
              <w:top w:val="single" w:sz="6" w:space="0" w:color="auto"/>
              <w:left w:val="single" w:sz="12" w:space="0" w:color="auto"/>
              <w:bottom w:val="single" w:sz="6" w:space="0" w:color="auto"/>
              <w:right w:val="single" w:sz="12" w:space="0" w:color="auto"/>
            </w:tcBorders>
            <w:shd w:val="clear" w:color="auto" w:fill="D9D9D9" w:themeFill="background1" w:themeFillShade="D9"/>
          </w:tcPr>
          <w:p w14:paraId="7B36848D" w14:textId="77777777" w:rsidR="00E06EAB" w:rsidRPr="00E06EAB" w:rsidRDefault="00E06EAB" w:rsidP="006B21E2">
            <w:pPr>
              <w:autoSpaceDE w:val="0"/>
              <w:autoSpaceDN w:val="0"/>
              <w:adjustRightInd w:val="0"/>
              <w:rPr>
                <w:rFonts w:eastAsiaTheme="minorEastAsia"/>
                <w:color w:val="000000"/>
              </w:rPr>
            </w:pPr>
            <w:r w:rsidRPr="00E06EAB">
              <w:rPr>
                <w:rFonts w:eastAsiaTheme="minorEastAsia"/>
                <w:color w:val="000000"/>
              </w:rPr>
              <w:t>Reputational Damage</w:t>
            </w:r>
          </w:p>
        </w:tc>
        <w:tc>
          <w:tcPr>
            <w:tcW w:w="2037" w:type="dxa"/>
            <w:tcBorders>
              <w:top w:val="single" w:sz="6" w:space="0" w:color="auto"/>
              <w:left w:val="nil"/>
              <w:bottom w:val="single" w:sz="6" w:space="0" w:color="auto"/>
              <w:right w:val="single" w:sz="6" w:space="0" w:color="auto"/>
            </w:tcBorders>
          </w:tcPr>
          <w:p w14:paraId="758819EB" w14:textId="77777777" w:rsidR="00E06EAB" w:rsidRPr="00E06EAB" w:rsidRDefault="00E06EAB" w:rsidP="006B21E2">
            <w:pPr>
              <w:autoSpaceDE w:val="0"/>
              <w:autoSpaceDN w:val="0"/>
              <w:adjustRightInd w:val="0"/>
              <w:rPr>
                <w:rFonts w:eastAsiaTheme="minorEastAsia"/>
                <w:color w:val="000000"/>
              </w:rPr>
            </w:pPr>
            <w:r w:rsidRPr="00E06EAB">
              <w:rPr>
                <w:rFonts w:eastAsiaTheme="minorEastAsia"/>
                <w:color w:val="000000"/>
              </w:rPr>
              <w:t>15-20%</w:t>
            </w:r>
          </w:p>
        </w:tc>
        <w:tc>
          <w:tcPr>
            <w:tcW w:w="5164" w:type="dxa"/>
            <w:tcBorders>
              <w:top w:val="single" w:sz="6" w:space="0" w:color="auto"/>
              <w:left w:val="single" w:sz="6" w:space="0" w:color="auto"/>
              <w:bottom w:val="single" w:sz="6" w:space="0" w:color="auto"/>
              <w:right w:val="single" w:sz="12" w:space="0" w:color="auto"/>
            </w:tcBorders>
          </w:tcPr>
          <w:p w14:paraId="01574097" w14:textId="77777777" w:rsidR="00E06EAB" w:rsidRPr="00E06EAB" w:rsidRDefault="00E06EAB" w:rsidP="006B21E2">
            <w:pPr>
              <w:autoSpaceDE w:val="0"/>
              <w:autoSpaceDN w:val="0"/>
              <w:adjustRightInd w:val="0"/>
              <w:rPr>
                <w:rFonts w:eastAsiaTheme="minorEastAsia"/>
                <w:color w:val="000000"/>
              </w:rPr>
            </w:pPr>
            <w:r w:rsidRPr="00E06EAB">
              <w:rPr>
                <w:rFonts w:eastAsiaTheme="minorEastAsia"/>
                <w:color w:val="000000"/>
              </w:rPr>
              <w:t>Lower APR for 3-6 months post-incident</w:t>
            </w:r>
          </w:p>
        </w:tc>
      </w:tr>
      <w:tr w:rsidR="00E06EAB" w:rsidRPr="00E06EAB" w14:paraId="7C41E1C9" w14:textId="77777777" w:rsidTr="00E06EAB">
        <w:trPr>
          <w:trHeight w:val="312"/>
        </w:trPr>
        <w:tc>
          <w:tcPr>
            <w:tcW w:w="2189" w:type="dxa"/>
            <w:tcBorders>
              <w:top w:val="single" w:sz="6" w:space="0" w:color="auto"/>
              <w:left w:val="single" w:sz="12" w:space="0" w:color="auto"/>
              <w:bottom w:val="single" w:sz="12" w:space="0" w:color="auto"/>
              <w:right w:val="single" w:sz="12" w:space="0" w:color="auto"/>
            </w:tcBorders>
            <w:shd w:val="clear" w:color="auto" w:fill="D9D9D9" w:themeFill="background1" w:themeFillShade="D9"/>
          </w:tcPr>
          <w:p w14:paraId="6B95E4A8" w14:textId="77777777" w:rsidR="00E06EAB" w:rsidRPr="00E06EAB" w:rsidRDefault="00E06EAB" w:rsidP="006B21E2">
            <w:pPr>
              <w:autoSpaceDE w:val="0"/>
              <w:autoSpaceDN w:val="0"/>
              <w:adjustRightInd w:val="0"/>
              <w:rPr>
                <w:rFonts w:eastAsiaTheme="minorEastAsia"/>
                <w:color w:val="000000"/>
              </w:rPr>
            </w:pPr>
            <w:r w:rsidRPr="00E06EAB">
              <w:rPr>
                <w:rFonts w:eastAsiaTheme="minorEastAsia"/>
                <w:color w:val="000000"/>
              </w:rPr>
              <w:t>TOTAL IMPACT</w:t>
            </w:r>
          </w:p>
        </w:tc>
        <w:tc>
          <w:tcPr>
            <w:tcW w:w="2037" w:type="dxa"/>
            <w:tcBorders>
              <w:top w:val="single" w:sz="6" w:space="0" w:color="auto"/>
              <w:left w:val="nil"/>
              <w:bottom w:val="single" w:sz="12" w:space="0" w:color="auto"/>
              <w:right w:val="single" w:sz="6" w:space="0" w:color="auto"/>
            </w:tcBorders>
          </w:tcPr>
          <w:p w14:paraId="7071E76B" w14:textId="77777777" w:rsidR="00E06EAB" w:rsidRPr="00E06EAB" w:rsidRDefault="00E06EAB" w:rsidP="006B21E2">
            <w:pPr>
              <w:autoSpaceDE w:val="0"/>
              <w:autoSpaceDN w:val="0"/>
              <w:adjustRightInd w:val="0"/>
              <w:rPr>
                <w:rFonts w:eastAsiaTheme="minorEastAsia"/>
                <w:color w:val="000000"/>
              </w:rPr>
            </w:pPr>
            <w:r w:rsidRPr="00E06EAB">
              <w:rPr>
                <w:rFonts w:eastAsiaTheme="minorEastAsia"/>
                <w:color w:val="000000"/>
              </w:rPr>
              <w:t>49-60%</w:t>
            </w:r>
          </w:p>
        </w:tc>
        <w:tc>
          <w:tcPr>
            <w:tcW w:w="5164" w:type="dxa"/>
            <w:tcBorders>
              <w:top w:val="single" w:sz="6" w:space="0" w:color="auto"/>
              <w:left w:val="single" w:sz="6" w:space="0" w:color="auto"/>
              <w:bottom w:val="single" w:sz="12" w:space="0" w:color="auto"/>
              <w:right w:val="single" w:sz="12" w:space="0" w:color="auto"/>
            </w:tcBorders>
          </w:tcPr>
          <w:p w14:paraId="5CC7E8FC" w14:textId="77777777" w:rsidR="00E06EAB" w:rsidRPr="00E06EAB" w:rsidRDefault="00E06EAB" w:rsidP="006B21E2">
            <w:pPr>
              <w:autoSpaceDE w:val="0"/>
              <w:autoSpaceDN w:val="0"/>
              <w:adjustRightInd w:val="0"/>
              <w:rPr>
                <w:rFonts w:eastAsiaTheme="minorEastAsia"/>
                <w:color w:val="000000"/>
              </w:rPr>
            </w:pPr>
            <w:r w:rsidRPr="00E06EAB">
              <w:rPr>
                <w:rFonts w:eastAsiaTheme="minorEastAsia"/>
                <w:color w:val="000000"/>
              </w:rPr>
              <w:t>More than double direct loss alone</w:t>
            </w:r>
          </w:p>
        </w:tc>
      </w:tr>
    </w:tbl>
    <w:p w14:paraId="385954C4" w14:textId="77777777" w:rsidR="00260B85" w:rsidRPr="00CC6608" w:rsidRDefault="00E06EAB" w:rsidP="006B21E2">
      <w:pPr>
        <w:jc w:val="both"/>
        <w:rPr>
          <w:rFonts w:eastAsiaTheme="majorEastAsia"/>
          <w:color w:val="000000" w:themeColor="text1"/>
          <w:sz w:val="22"/>
          <w:szCs w:val="22"/>
        </w:rPr>
      </w:pPr>
      <w:r w:rsidRPr="00CC6608">
        <w:rPr>
          <w:rFonts w:eastAsiaTheme="majorEastAsia"/>
          <w:i/>
          <w:iCs/>
          <w:color w:val="000000" w:themeColor="text1"/>
          <w:sz w:val="22"/>
          <w:szCs w:val="22"/>
        </w:rPr>
        <w:t>Note:</w:t>
      </w:r>
      <w:r w:rsidRPr="00CC6608">
        <w:rPr>
          <w:rFonts w:eastAsiaTheme="majorEastAsia"/>
          <w:color w:val="000000" w:themeColor="text1"/>
          <w:sz w:val="22"/>
          <w:szCs w:val="22"/>
        </w:rPr>
        <w:t xml:space="preserve"> </w:t>
      </w:r>
    </w:p>
    <w:p w14:paraId="3AF2D9B0" w14:textId="730F9879" w:rsidR="00E06EAB" w:rsidRPr="00CC6608" w:rsidRDefault="00E06EAB" w:rsidP="006B21E2">
      <w:pPr>
        <w:pStyle w:val="ListParagraph"/>
        <w:numPr>
          <w:ilvl w:val="0"/>
          <w:numId w:val="261"/>
        </w:numPr>
        <w:jc w:val="both"/>
        <w:rPr>
          <w:rFonts w:eastAsiaTheme="majorEastAsia"/>
          <w:color w:val="000000" w:themeColor="text1"/>
          <w:sz w:val="22"/>
          <w:szCs w:val="22"/>
        </w:rPr>
      </w:pPr>
      <w:r w:rsidRPr="00CC6608">
        <w:rPr>
          <w:rFonts w:eastAsiaTheme="majorEastAsia"/>
          <w:color w:val="000000" w:themeColor="text1"/>
          <w:sz w:val="22"/>
          <w:szCs w:val="22"/>
        </w:rPr>
        <w:t>Analysis excludes positions with 100% loss (protocol death).</w:t>
      </w:r>
    </w:p>
    <w:p w14:paraId="5FFF07AE" w14:textId="1196057D" w:rsidR="00E06EAB" w:rsidRPr="00CC6608" w:rsidRDefault="00E06EAB" w:rsidP="006B21E2">
      <w:pPr>
        <w:pStyle w:val="ListParagraph"/>
        <w:numPr>
          <w:ilvl w:val="0"/>
          <w:numId w:val="261"/>
        </w:numPr>
        <w:jc w:val="both"/>
        <w:rPr>
          <w:rFonts w:eastAsiaTheme="majorEastAsia"/>
          <w:color w:val="000000" w:themeColor="text1"/>
          <w:sz w:val="22"/>
          <w:szCs w:val="22"/>
        </w:rPr>
      </w:pPr>
      <w:r w:rsidRPr="00CC6608">
        <w:rPr>
          <w:rFonts w:eastAsiaTheme="majorEastAsia"/>
          <w:color w:val="000000" w:themeColor="text1"/>
          <w:sz w:val="22"/>
          <w:szCs w:val="22"/>
        </w:rPr>
        <w:t>Costs accumulate over incident resolution period (median: 45 days).</w:t>
      </w:r>
    </w:p>
    <w:p w14:paraId="0DD5563B" w14:textId="77777777" w:rsidR="00E06EAB" w:rsidRPr="003C66A0" w:rsidRDefault="00E06EAB" w:rsidP="006B21E2">
      <w:pPr>
        <w:jc w:val="both"/>
        <w:rPr>
          <w:rFonts w:eastAsiaTheme="majorEastAsia"/>
          <w:b/>
          <w:bCs/>
          <w:color w:val="000000" w:themeColor="text1"/>
        </w:rPr>
      </w:pPr>
    </w:p>
    <w:p w14:paraId="32EC873E" w14:textId="1485FB8A" w:rsidR="005565E4" w:rsidRDefault="008D6F57" w:rsidP="006B21E2">
      <w:pPr>
        <w:pStyle w:val="Heading3"/>
        <w:jc w:val="both"/>
        <w:rPr>
          <w:rFonts w:eastAsiaTheme="majorEastAsia"/>
        </w:rPr>
      </w:pPr>
      <w:bookmarkStart w:id="165" w:name="_Toc214721971"/>
      <w:r w:rsidRPr="003C66A0">
        <w:rPr>
          <w:rFonts w:eastAsiaTheme="majorEastAsia"/>
        </w:rPr>
        <w:t>7</w:t>
      </w:r>
      <w:r w:rsidR="0076579E" w:rsidRPr="003C66A0">
        <w:rPr>
          <w:rFonts w:eastAsiaTheme="majorEastAsia"/>
        </w:rPr>
        <w:t xml:space="preserve">.2.3 </w:t>
      </w:r>
      <w:r w:rsidR="00D3417E" w:rsidRPr="003C66A0">
        <w:rPr>
          <w:rFonts w:eastAsiaTheme="majorEastAsia"/>
        </w:rPr>
        <w:t>Estimating Annual Loss Probability: A Methodological Challenge</w:t>
      </w:r>
      <w:bookmarkEnd w:id="165"/>
    </w:p>
    <w:p w14:paraId="15681D61" w14:textId="0901C50E" w:rsidR="002A4605" w:rsidRPr="003C66A0" w:rsidRDefault="00D3417E" w:rsidP="006B21E2">
      <w:pPr>
        <w:jc w:val="both"/>
        <w:rPr>
          <w:rFonts w:eastAsiaTheme="majorEastAsia"/>
          <w:color w:val="000000" w:themeColor="text1"/>
        </w:rPr>
      </w:pPr>
      <w:r w:rsidRPr="003C66A0">
        <w:rPr>
          <w:rFonts w:eastAsiaTheme="majorEastAsia"/>
          <w:color w:val="000000" w:themeColor="text1"/>
        </w:rPr>
        <w:t xml:space="preserve">Converting </w:t>
      </w:r>
      <w:r w:rsidR="00231D5B" w:rsidRPr="003C66A0">
        <w:rPr>
          <w:rFonts w:eastAsiaTheme="majorEastAsia"/>
          <w:color w:val="000000" w:themeColor="text1"/>
        </w:rPr>
        <w:t xml:space="preserve">my </w:t>
      </w:r>
      <w:r w:rsidRPr="003C66A0">
        <w:rPr>
          <w:rFonts w:eastAsiaTheme="majorEastAsia"/>
          <w:color w:val="000000" w:themeColor="text1"/>
        </w:rPr>
        <w:t xml:space="preserve">observed </w:t>
      </w:r>
      <w:r w:rsidR="00A33EF4" w:rsidRPr="003C66A0">
        <w:rPr>
          <w:rFonts w:eastAsiaTheme="majorEastAsia"/>
          <w:color w:val="000000" w:themeColor="text1"/>
        </w:rPr>
        <w:t>12.2% quarterly incident rate (19 of 156 positions, 95% CI: 7.5%-18.2%)</w:t>
      </w:r>
      <w:r w:rsidRPr="003C66A0">
        <w:rPr>
          <w:rFonts w:eastAsiaTheme="majorEastAsia"/>
          <w:color w:val="000000" w:themeColor="text1"/>
        </w:rPr>
        <w:t xml:space="preserve"> to an annual probability</w:t>
      </w:r>
      <w:r w:rsidR="00934AAA" w:rsidRPr="003C66A0">
        <w:rPr>
          <w:rFonts w:eastAsiaTheme="majorEastAsia"/>
          <w:color w:val="000000" w:themeColor="text1"/>
        </w:rPr>
        <w:t xml:space="preserve"> is not </w:t>
      </w:r>
      <w:r w:rsidRPr="003C66A0">
        <w:rPr>
          <w:rFonts w:eastAsiaTheme="majorEastAsia"/>
          <w:color w:val="000000" w:themeColor="text1"/>
        </w:rPr>
        <w:t xml:space="preserve">straightforward multiplication. If incidents were independent, </w:t>
      </w:r>
      <w:r w:rsidR="00984BA1" w:rsidRPr="003C66A0">
        <w:rPr>
          <w:rFonts w:eastAsiaTheme="majorEastAsia"/>
          <w:color w:val="000000" w:themeColor="text1"/>
        </w:rPr>
        <w:t xml:space="preserve">I </w:t>
      </w:r>
      <w:r w:rsidRPr="003C66A0">
        <w:rPr>
          <w:rFonts w:eastAsiaTheme="majorEastAsia"/>
          <w:color w:val="000000" w:themeColor="text1"/>
        </w:rPr>
        <w:t xml:space="preserve">could use basic probability theory: </w:t>
      </w:r>
    </w:p>
    <w:p w14:paraId="107410AD" w14:textId="53067910" w:rsidR="002A4605" w:rsidRPr="003C66A0" w:rsidRDefault="002A4605" w:rsidP="006B21E2">
      <w:pPr>
        <w:pStyle w:val="ListParagraph"/>
        <w:numPr>
          <w:ilvl w:val="0"/>
          <w:numId w:val="56"/>
        </w:numPr>
        <w:jc w:val="both"/>
        <w:rPr>
          <w:rFonts w:eastAsiaTheme="majorEastAsia"/>
          <w:color w:val="000000" w:themeColor="text1"/>
        </w:rPr>
      </w:pPr>
      <w:r w:rsidRPr="003C66A0">
        <w:rPr>
          <w:rFonts w:eastAsiaTheme="majorEastAsia"/>
          <w:color w:val="000000" w:themeColor="text1"/>
        </w:rPr>
        <w:t>Independent assumption: 1-(0.</w:t>
      </w:r>
      <w:proofErr w:type="gramStart"/>
      <w:r w:rsidRPr="003C66A0">
        <w:rPr>
          <w:rFonts w:eastAsiaTheme="majorEastAsia"/>
          <w:color w:val="000000" w:themeColor="text1"/>
        </w:rPr>
        <w:t>878)^</w:t>
      </w:r>
      <w:proofErr w:type="gramEnd"/>
      <w:r w:rsidRPr="003C66A0">
        <w:rPr>
          <w:rFonts w:eastAsiaTheme="majorEastAsia"/>
          <w:color w:val="000000" w:themeColor="text1"/>
        </w:rPr>
        <w:t xml:space="preserve">4 = 0.414 or 41.4% </w:t>
      </w:r>
    </w:p>
    <w:p w14:paraId="4FB07232" w14:textId="17191F6B" w:rsidR="002A4605" w:rsidRPr="003C66A0" w:rsidRDefault="002A4605" w:rsidP="006B21E2">
      <w:pPr>
        <w:pStyle w:val="ListParagraph"/>
        <w:numPr>
          <w:ilvl w:val="0"/>
          <w:numId w:val="56"/>
        </w:numPr>
        <w:jc w:val="both"/>
        <w:rPr>
          <w:rFonts w:eastAsiaTheme="majorEastAsia"/>
          <w:color w:val="000000" w:themeColor="text1"/>
        </w:rPr>
      </w:pPr>
      <w:r w:rsidRPr="003C66A0">
        <w:rPr>
          <w:rFonts w:eastAsiaTheme="majorEastAsia"/>
          <w:color w:val="000000" w:themeColor="text1"/>
        </w:rPr>
        <w:t xml:space="preserve">Accounting for clustering reduces effective quarters from 4 to ~3.2 </w:t>
      </w:r>
    </w:p>
    <w:p w14:paraId="3F19CE97" w14:textId="07656EE2" w:rsidR="002A4605" w:rsidRPr="003C66A0" w:rsidRDefault="002A4605" w:rsidP="006B21E2">
      <w:pPr>
        <w:pStyle w:val="ListParagraph"/>
        <w:numPr>
          <w:ilvl w:val="0"/>
          <w:numId w:val="56"/>
        </w:numPr>
        <w:jc w:val="both"/>
        <w:rPr>
          <w:rFonts w:eastAsiaTheme="majorEastAsia"/>
          <w:color w:val="000000" w:themeColor="text1"/>
        </w:rPr>
      </w:pPr>
      <w:r w:rsidRPr="003C66A0">
        <w:rPr>
          <w:rFonts w:eastAsiaTheme="majorEastAsia"/>
          <w:color w:val="000000" w:themeColor="text1"/>
        </w:rPr>
        <w:t>Adjusted calculation: 1-(0.</w:t>
      </w:r>
      <w:proofErr w:type="gramStart"/>
      <w:r w:rsidRPr="003C66A0">
        <w:rPr>
          <w:rFonts w:eastAsiaTheme="majorEastAsia"/>
          <w:color w:val="000000" w:themeColor="text1"/>
        </w:rPr>
        <w:t>878)^</w:t>
      </w:r>
      <w:proofErr w:type="gramEnd"/>
      <w:r w:rsidRPr="003C66A0">
        <w:rPr>
          <w:rFonts w:eastAsiaTheme="majorEastAsia"/>
          <w:color w:val="000000" w:themeColor="text1"/>
        </w:rPr>
        <w:t xml:space="preserve">3.2 = 0.35 or 35% </w:t>
      </w:r>
    </w:p>
    <w:p w14:paraId="5C175C4F" w14:textId="4EAE7607" w:rsidR="002A4605" w:rsidRPr="003C66A0" w:rsidRDefault="002A4605" w:rsidP="006B21E2">
      <w:pPr>
        <w:pStyle w:val="ListParagraph"/>
        <w:numPr>
          <w:ilvl w:val="0"/>
          <w:numId w:val="56"/>
        </w:numPr>
        <w:jc w:val="both"/>
        <w:rPr>
          <w:rFonts w:eastAsiaTheme="majorEastAsia"/>
          <w:color w:val="000000" w:themeColor="text1"/>
        </w:rPr>
      </w:pPr>
      <w:r w:rsidRPr="003C66A0">
        <w:rPr>
          <w:rFonts w:eastAsiaTheme="majorEastAsia"/>
          <w:color w:val="000000" w:themeColor="text1"/>
        </w:rPr>
        <w:t xml:space="preserve">Upper bound with contagion effects: 45% </w:t>
      </w:r>
    </w:p>
    <w:p w14:paraId="3D52796B" w14:textId="77777777" w:rsidR="003232F0" w:rsidRPr="003C66A0" w:rsidRDefault="002A4605" w:rsidP="006B21E2">
      <w:pPr>
        <w:pStyle w:val="ListParagraph"/>
        <w:numPr>
          <w:ilvl w:val="0"/>
          <w:numId w:val="56"/>
        </w:numPr>
        <w:jc w:val="both"/>
        <w:rPr>
          <w:rFonts w:eastAsiaTheme="majorEastAsia"/>
          <w:color w:val="000000" w:themeColor="text1"/>
        </w:rPr>
      </w:pPr>
      <w:r w:rsidRPr="003C66A0">
        <w:rPr>
          <w:rFonts w:eastAsiaTheme="majorEastAsia"/>
          <w:color w:val="000000" w:themeColor="text1"/>
        </w:rPr>
        <w:t>Therefore, range: 35-45%</w:t>
      </w:r>
      <w:r w:rsidR="003232F0" w:rsidRPr="003C66A0">
        <w:rPr>
          <w:rFonts w:eastAsiaTheme="majorEastAsia"/>
          <w:color w:val="000000" w:themeColor="text1"/>
        </w:rPr>
        <w:t xml:space="preserve"> </w:t>
      </w:r>
    </w:p>
    <w:p w14:paraId="0F39A7EE" w14:textId="77777777" w:rsidR="003232F0" w:rsidRPr="003C66A0" w:rsidRDefault="003232F0" w:rsidP="006B21E2">
      <w:pPr>
        <w:pStyle w:val="ListParagraph"/>
        <w:jc w:val="both"/>
        <w:rPr>
          <w:rFonts w:eastAsiaTheme="majorEastAsia"/>
          <w:color w:val="000000" w:themeColor="text1"/>
        </w:rPr>
      </w:pPr>
    </w:p>
    <w:p w14:paraId="6F4CEA88" w14:textId="3CFD7E6C" w:rsidR="00D3417E" w:rsidRPr="003C66A0" w:rsidRDefault="003232F0" w:rsidP="006B21E2">
      <w:pPr>
        <w:jc w:val="both"/>
        <w:rPr>
          <w:rFonts w:eastAsiaTheme="majorEastAsia"/>
          <w:color w:val="000000" w:themeColor="text1"/>
        </w:rPr>
      </w:pPr>
      <w:r w:rsidRPr="003C66A0">
        <w:rPr>
          <w:rFonts w:eastAsiaTheme="majorEastAsia"/>
          <w:color w:val="000000" w:themeColor="text1"/>
        </w:rPr>
        <w:t xml:space="preserve">This represents </w:t>
      </w:r>
      <w:r w:rsidR="00231D5B" w:rsidRPr="003C66A0">
        <w:rPr>
          <w:rFonts w:eastAsiaTheme="majorEastAsia"/>
          <w:color w:val="000000" w:themeColor="text1"/>
        </w:rPr>
        <w:t xml:space="preserve">my </w:t>
      </w:r>
      <w:r w:rsidRPr="003C66A0">
        <w:rPr>
          <w:rFonts w:eastAsiaTheme="majorEastAsia"/>
          <w:color w:val="000000" w:themeColor="text1"/>
        </w:rPr>
        <w:t>best estimate given the data limitations and the inherent uncertainty in predicting systemic events.</w:t>
      </w:r>
      <w:r w:rsidR="00DC61F9" w:rsidRPr="003C66A0">
        <w:rPr>
          <w:rFonts w:eastAsiaTheme="majorEastAsia"/>
          <w:color w:val="000000" w:themeColor="text1"/>
        </w:rPr>
        <w:t xml:space="preserve"> </w:t>
      </w:r>
      <w:r w:rsidR="00D3417E" w:rsidRPr="003C66A0">
        <w:rPr>
          <w:rFonts w:eastAsiaTheme="majorEastAsia"/>
          <w:color w:val="000000" w:themeColor="text1"/>
        </w:rPr>
        <w:t>But DeFi incidents are</w:t>
      </w:r>
      <w:r w:rsidR="00DC61F9" w:rsidRPr="003C66A0">
        <w:rPr>
          <w:rFonts w:eastAsiaTheme="majorEastAsia"/>
          <w:color w:val="000000" w:themeColor="text1"/>
        </w:rPr>
        <w:t xml:space="preserve"> not</w:t>
      </w:r>
      <w:r w:rsidR="00D3417E" w:rsidRPr="003C66A0">
        <w:rPr>
          <w:rFonts w:eastAsiaTheme="majorEastAsia"/>
          <w:color w:val="000000" w:themeColor="text1"/>
        </w:rPr>
        <w:t xml:space="preserve"> independent</w:t>
      </w:r>
      <w:r w:rsidR="00DC61F9" w:rsidRPr="003C66A0">
        <w:rPr>
          <w:rFonts w:eastAsiaTheme="majorEastAsia"/>
          <w:color w:val="000000" w:themeColor="text1"/>
        </w:rPr>
        <w:t>. T</w:t>
      </w:r>
      <w:r w:rsidR="00D3417E" w:rsidRPr="003C66A0">
        <w:rPr>
          <w:rFonts w:eastAsiaTheme="majorEastAsia"/>
          <w:color w:val="000000" w:themeColor="text1"/>
        </w:rPr>
        <w:t>hey cluster, cascade, and correlate in complex ways that simple models miss.</w:t>
      </w:r>
    </w:p>
    <w:p w14:paraId="286C9089" w14:textId="77777777" w:rsidR="005C21FD" w:rsidRPr="003C66A0" w:rsidRDefault="005C21FD" w:rsidP="006B21E2">
      <w:pPr>
        <w:jc w:val="both"/>
        <w:rPr>
          <w:rFonts w:eastAsiaTheme="majorEastAsia"/>
          <w:color w:val="000000" w:themeColor="text1"/>
        </w:rPr>
      </w:pPr>
    </w:p>
    <w:p w14:paraId="54D1D03A" w14:textId="6D5BB65F" w:rsidR="00FA4440" w:rsidRPr="003C66A0" w:rsidRDefault="00FA4440" w:rsidP="006B21E2">
      <w:pPr>
        <w:jc w:val="both"/>
        <w:rPr>
          <w:rFonts w:eastAsiaTheme="majorEastAsia"/>
          <w:color w:val="000000" w:themeColor="text1"/>
        </w:rPr>
      </w:pPr>
      <w:r w:rsidRPr="003C66A0">
        <w:rPr>
          <w:rFonts w:eastAsiaTheme="majorEastAsia"/>
          <w:color w:val="000000" w:themeColor="text1"/>
        </w:rPr>
        <w:lastRenderedPageBreak/>
        <w:t xml:space="preserve">To develop a more accurate estimate, I employed three complementary approaches. First, I extended the observation window </w:t>
      </w:r>
      <w:proofErr w:type="gramStart"/>
      <w:r w:rsidRPr="003C66A0">
        <w:rPr>
          <w:rFonts w:eastAsiaTheme="majorEastAsia"/>
          <w:color w:val="000000" w:themeColor="text1"/>
        </w:rPr>
        <w:t>for</w:t>
      </w:r>
      <w:proofErr w:type="gramEnd"/>
      <w:r w:rsidRPr="003C66A0">
        <w:rPr>
          <w:rFonts w:eastAsiaTheme="majorEastAsia"/>
          <w:color w:val="000000" w:themeColor="text1"/>
        </w:rPr>
        <w:t xml:space="preserve"> 18 positions that could be tracked beyond 365 days. Among these there were 7 positions (38.9%) which experienced at least one significant incident during that </w:t>
      </w:r>
      <w:proofErr w:type="gramStart"/>
      <w:r w:rsidRPr="003C66A0">
        <w:rPr>
          <w:rFonts w:eastAsiaTheme="majorEastAsia"/>
          <w:color w:val="000000" w:themeColor="text1"/>
        </w:rPr>
        <w:t>time period</w:t>
      </w:r>
      <w:proofErr w:type="gramEnd"/>
      <w:r w:rsidRPr="003C66A0">
        <w:rPr>
          <w:rFonts w:eastAsiaTheme="majorEastAsia"/>
          <w:color w:val="000000" w:themeColor="text1"/>
        </w:rPr>
        <w:t>. The small sample size yields wide confidence intervals (95% CI: 17.3%-64.3%</w:t>
      </w:r>
      <w:r w:rsidR="00A62F99" w:rsidRPr="003C66A0">
        <w:rPr>
          <w:rFonts w:eastAsiaTheme="majorEastAsia"/>
          <w:color w:val="000000" w:themeColor="text1"/>
        </w:rPr>
        <w:t>) but</w:t>
      </w:r>
      <w:r w:rsidRPr="003C66A0">
        <w:rPr>
          <w:rFonts w:eastAsiaTheme="majorEastAsia"/>
          <w:color w:val="000000" w:themeColor="text1"/>
        </w:rPr>
        <w:t xml:space="preserve"> provides empirical grounding.</w:t>
      </w:r>
    </w:p>
    <w:p w14:paraId="102E19F0" w14:textId="77777777" w:rsidR="00FA4440" w:rsidRPr="003C66A0" w:rsidRDefault="00FA4440" w:rsidP="006B21E2">
      <w:pPr>
        <w:jc w:val="both"/>
        <w:rPr>
          <w:rFonts w:eastAsiaTheme="majorEastAsia"/>
          <w:color w:val="000000" w:themeColor="text1"/>
        </w:rPr>
      </w:pPr>
    </w:p>
    <w:p w14:paraId="53A5CFFF" w14:textId="63DD896B" w:rsidR="00FA4440" w:rsidRPr="003C66A0" w:rsidRDefault="00FA4440" w:rsidP="006B21E2">
      <w:pPr>
        <w:jc w:val="both"/>
        <w:rPr>
          <w:rFonts w:eastAsiaTheme="majorEastAsia"/>
          <w:color w:val="000000" w:themeColor="text1"/>
        </w:rPr>
      </w:pPr>
      <w:r w:rsidRPr="003C66A0">
        <w:rPr>
          <w:rFonts w:eastAsiaTheme="majorEastAsia"/>
          <w:color w:val="000000" w:themeColor="text1"/>
        </w:rPr>
        <w:t xml:space="preserve">The second approach I used, survival </w:t>
      </w:r>
      <w:r w:rsidR="00A62F99" w:rsidRPr="003C66A0">
        <w:rPr>
          <w:rFonts w:eastAsiaTheme="majorEastAsia"/>
          <w:color w:val="000000" w:themeColor="text1"/>
        </w:rPr>
        <w:t>analysis,</w:t>
      </w:r>
      <w:r w:rsidRPr="003C66A0">
        <w:rPr>
          <w:rFonts w:eastAsiaTheme="majorEastAsia"/>
          <w:color w:val="000000" w:themeColor="text1"/>
        </w:rPr>
        <w:t xml:space="preserve"> was using the Cox proportional hazards model. This model had a time-varying coefficients to consider changing hazard rates. The baseline hazard showed that the risk was higher in the first six months (monthly hazard rate: 4.3%) and then went down (monthly hazard: 1.8%) after month 6. This pattern makes sense because newer positions are more likely to make mistakes and not follow the rules. The survival analysis showed a 35-37% chance of annual incidence for roles that last through the first months.</w:t>
      </w:r>
    </w:p>
    <w:p w14:paraId="1B29523D" w14:textId="77777777" w:rsidR="00FA4440" w:rsidRPr="003C66A0" w:rsidRDefault="00FA4440" w:rsidP="006B21E2">
      <w:pPr>
        <w:jc w:val="both"/>
        <w:rPr>
          <w:rFonts w:eastAsiaTheme="majorEastAsia"/>
          <w:color w:val="000000" w:themeColor="text1"/>
        </w:rPr>
      </w:pPr>
    </w:p>
    <w:p w14:paraId="1B44B784" w14:textId="614C0C31" w:rsidR="00FA4440" w:rsidRPr="003C66A0" w:rsidRDefault="00FA4440" w:rsidP="006B21E2">
      <w:pPr>
        <w:jc w:val="both"/>
        <w:rPr>
          <w:rFonts w:eastAsiaTheme="majorEastAsia"/>
          <w:color w:val="000000" w:themeColor="text1"/>
        </w:rPr>
      </w:pPr>
      <w:r w:rsidRPr="003C66A0">
        <w:rPr>
          <w:rFonts w:eastAsiaTheme="majorEastAsia"/>
          <w:color w:val="000000" w:themeColor="text1"/>
        </w:rPr>
        <w:t xml:space="preserve">The third examination focused on historical clustering patterns. Major events like the Terra/Luna collapse did not affect positions independently. When Terra collapsed, 31% of the tracked positions experienced losses within 72 hours. This also happened </w:t>
      </w:r>
      <w:proofErr w:type="gramStart"/>
      <w:r w:rsidRPr="003C66A0">
        <w:rPr>
          <w:rFonts w:eastAsiaTheme="majorEastAsia"/>
          <w:color w:val="000000" w:themeColor="text1"/>
        </w:rPr>
        <w:t>to</w:t>
      </w:r>
      <w:proofErr w:type="gramEnd"/>
      <w:r w:rsidRPr="003C66A0">
        <w:rPr>
          <w:rFonts w:eastAsiaTheme="majorEastAsia"/>
          <w:color w:val="000000" w:themeColor="text1"/>
        </w:rPr>
        <w:t xml:space="preserve"> positions that had no direct Terra exposure. This contagion effect means that annual probabilities depend heavily on </w:t>
      </w:r>
      <w:proofErr w:type="gramStart"/>
      <w:r w:rsidRPr="003C66A0">
        <w:rPr>
          <w:rFonts w:eastAsiaTheme="majorEastAsia"/>
          <w:color w:val="000000" w:themeColor="text1"/>
        </w:rPr>
        <w:t>if</w:t>
      </w:r>
      <w:proofErr w:type="gramEnd"/>
      <w:r w:rsidRPr="003C66A0">
        <w:rPr>
          <w:rFonts w:eastAsiaTheme="majorEastAsia"/>
          <w:color w:val="000000" w:themeColor="text1"/>
        </w:rPr>
        <w:t xml:space="preserve"> major systemic events occur anywhere on the market or on </w:t>
      </w:r>
      <w:r w:rsidR="00C4575C" w:rsidRPr="003C66A0">
        <w:rPr>
          <w:rFonts w:eastAsiaTheme="majorEastAsia"/>
          <w:color w:val="000000" w:themeColor="text1"/>
        </w:rPr>
        <w:t>platforms. The</w:t>
      </w:r>
      <w:r w:rsidRPr="003C66A0">
        <w:rPr>
          <w:rFonts w:eastAsiaTheme="majorEastAsia"/>
          <w:color w:val="000000" w:themeColor="text1"/>
        </w:rPr>
        <w:t xml:space="preserve"> years with major collapses (2022) showed 51% incident rates, while calmer years (2021) showed 28%.</w:t>
      </w:r>
    </w:p>
    <w:p w14:paraId="36411620" w14:textId="77777777" w:rsidR="00FA4440" w:rsidRPr="003C66A0" w:rsidRDefault="00FA4440" w:rsidP="006B21E2">
      <w:pPr>
        <w:jc w:val="both"/>
        <w:rPr>
          <w:rFonts w:eastAsiaTheme="majorEastAsia"/>
          <w:color w:val="000000" w:themeColor="text1"/>
        </w:rPr>
      </w:pPr>
    </w:p>
    <w:p w14:paraId="79FA94ED" w14:textId="5977C5B2" w:rsidR="00FA4440" w:rsidRPr="003C66A0" w:rsidRDefault="00FA4440" w:rsidP="006B21E2">
      <w:pPr>
        <w:jc w:val="both"/>
        <w:rPr>
          <w:rFonts w:eastAsiaTheme="majorEastAsia"/>
          <w:color w:val="000000" w:themeColor="text1"/>
        </w:rPr>
      </w:pPr>
      <w:r w:rsidRPr="003C66A0">
        <w:rPr>
          <w:rFonts w:eastAsiaTheme="majorEastAsia"/>
          <w:color w:val="000000" w:themeColor="text1"/>
        </w:rPr>
        <w:t xml:space="preserve">Combining these three observations, it can be assumed that participants who work in market conditions </w:t>
      </w:r>
      <w:r w:rsidR="00A62F99" w:rsidRPr="003C66A0">
        <w:rPr>
          <w:rFonts w:eastAsiaTheme="majorEastAsia"/>
          <w:color w:val="000000" w:themeColor="text1"/>
        </w:rPr>
        <w:t>like</w:t>
      </w:r>
      <w:r w:rsidRPr="003C66A0">
        <w:rPr>
          <w:rFonts w:eastAsiaTheme="majorEastAsia"/>
          <w:color w:val="000000" w:themeColor="text1"/>
        </w:rPr>
        <w:t xml:space="preserve"> those of 2020–2024 have a 35–45% chance of losing money each year. The range </w:t>
      </w:r>
      <w:proofErr w:type="gramStart"/>
      <w:r w:rsidRPr="003C66A0">
        <w:rPr>
          <w:rFonts w:eastAsiaTheme="majorEastAsia"/>
          <w:color w:val="000000" w:themeColor="text1"/>
        </w:rPr>
        <w:t>takes into account</w:t>
      </w:r>
      <w:proofErr w:type="gramEnd"/>
      <w:r w:rsidRPr="003C66A0">
        <w:rPr>
          <w:rFonts w:eastAsiaTheme="majorEastAsia"/>
          <w:color w:val="000000" w:themeColor="text1"/>
        </w:rPr>
        <w:t xml:space="preserve"> both the uncertainty of measurements and the fact that systemic events are hard to predict. Participants should plan for the higher end of this range, since a 45% chance of a big loss encourages them to size their positions conservatively.</w:t>
      </w:r>
    </w:p>
    <w:p w14:paraId="4FBD1E06" w14:textId="77777777" w:rsidR="003C0AC4" w:rsidRPr="003C66A0" w:rsidRDefault="003C0AC4" w:rsidP="006B21E2">
      <w:pPr>
        <w:jc w:val="both"/>
        <w:rPr>
          <w:rFonts w:eastAsiaTheme="majorEastAsia"/>
          <w:color w:val="000000" w:themeColor="text1"/>
        </w:rPr>
      </w:pPr>
    </w:p>
    <w:p w14:paraId="17B5CDE7" w14:textId="086C3BA6" w:rsidR="003C0AC4" w:rsidRPr="003C66A0" w:rsidRDefault="003C0AC4" w:rsidP="006B21E2">
      <w:pPr>
        <w:jc w:val="both"/>
        <w:rPr>
          <w:rFonts w:eastAsiaTheme="majorEastAsia"/>
          <w:color w:val="000000" w:themeColor="text1"/>
        </w:rPr>
      </w:pPr>
      <w:r w:rsidRPr="003C66A0">
        <w:rPr>
          <w:rFonts w:eastAsiaTheme="majorEastAsia"/>
          <w:color w:val="000000" w:themeColor="text1"/>
        </w:rPr>
        <w:t>In practical terms it means that participants face approximately a 2 in 5 chance of experiencing a significant loss each year. For context, this risk level is roughly 100 times higher than the default rate for investment-grade bonds and 10 times higher than high-yield bonds. Anyone considering DeFi participation should understand that they are accepting lottery-like odds of loss rather than traditional investment risks.</w:t>
      </w:r>
    </w:p>
    <w:p w14:paraId="5092C6F1" w14:textId="77777777" w:rsidR="005C21FD" w:rsidRPr="003C66A0" w:rsidRDefault="005C21FD" w:rsidP="006B21E2">
      <w:pPr>
        <w:jc w:val="both"/>
        <w:rPr>
          <w:rFonts w:eastAsiaTheme="majorEastAsia"/>
          <w:color w:val="000000" w:themeColor="text1"/>
        </w:rPr>
      </w:pPr>
    </w:p>
    <w:p w14:paraId="31F1198B" w14:textId="4FC56BF7" w:rsidR="005C21FD" w:rsidRPr="003C66A0" w:rsidRDefault="00740543" w:rsidP="006B21E2">
      <w:pPr>
        <w:jc w:val="both"/>
        <w:rPr>
          <w:rFonts w:eastAsiaTheme="majorEastAsia"/>
          <w:color w:val="000000" w:themeColor="text1"/>
        </w:rPr>
      </w:pPr>
      <w:r w:rsidRPr="003C66A0">
        <w:rPr>
          <w:rFonts w:eastAsiaTheme="majorEastAsia"/>
          <w:color w:val="000000" w:themeColor="text1"/>
        </w:rPr>
        <w:t>This probability differs significantly from traditional finance, where annual default rates for investment-grade bonds average 0.1% (Moody's, 2023). Even high-yield bonds average only 4.5% annual default rates. The 35-45% incident probability in DeFi represents a different risk category entirely - one that requires different mental models and risk management approaches.</w:t>
      </w:r>
    </w:p>
    <w:p w14:paraId="6BEF6536" w14:textId="77777777" w:rsidR="00740543" w:rsidRPr="003C66A0" w:rsidRDefault="00740543" w:rsidP="006B21E2">
      <w:pPr>
        <w:jc w:val="both"/>
        <w:rPr>
          <w:rFonts w:eastAsiaTheme="majorEastAsia"/>
          <w:color w:val="000000" w:themeColor="text1"/>
        </w:rPr>
      </w:pPr>
    </w:p>
    <w:p w14:paraId="6B43B35B" w14:textId="5CF73725" w:rsidR="0076579E" w:rsidRPr="003C66A0" w:rsidRDefault="008D6F57" w:rsidP="006B21E2">
      <w:pPr>
        <w:pStyle w:val="Heading2"/>
        <w:jc w:val="both"/>
        <w:rPr>
          <w:rFonts w:eastAsiaTheme="majorEastAsia"/>
        </w:rPr>
      </w:pPr>
      <w:bookmarkStart w:id="166" w:name="_Toc214721972"/>
      <w:r w:rsidRPr="003C66A0">
        <w:rPr>
          <w:rFonts w:eastAsiaTheme="majorEastAsia"/>
        </w:rPr>
        <w:t>7</w:t>
      </w:r>
      <w:r w:rsidR="0076579E" w:rsidRPr="003C66A0">
        <w:rPr>
          <w:rFonts w:eastAsiaTheme="majorEastAsia"/>
        </w:rPr>
        <w:t>.3 Regulatory Risk: The Jurisdiction Shell Game</w:t>
      </w:r>
      <w:bookmarkEnd w:id="166"/>
    </w:p>
    <w:p w14:paraId="1F4488D8" w14:textId="77777777" w:rsidR="0076579E" w:rsidRPr="003C66A0" w:rsidRDefault="0076579E" w:rsidP="006B21E2">
      <w:pPr>
        <w:jc w:val="both"/>
        <w:rPr>
          <w:rFonts w:eastAsiaTheme="majorEastAsia"/>
          <w:color w:val="000000" w:themeColor="text1"/>
        </w:rPr>
      </w:pPr>
      <w:r w:rsidRPr="003C66A0">
        <w:rPr>
          <w:rFonts w:eastAsiaTheme="majorEastAsia"/>
          <w:color w:val="000000" w:themeColor="text1"/>
        </w:rPr>
        <w:t>Regulatory risk manifests not as sudden prohibition but gradual strangulation through compliance costs and restrictions.</w:t>
      </w:r>
    </w:p>
    <w:p w14:paraId="6C8A49E1" w14:textId="77777777" w:rsidR="005C21FD" w:rsidRPr="003C66A0" w:rsidRDefault="005C21FD" w:rsidP="006B21E2">
      <w:pPr>
        <w:jc w:val="both"/>
        <w:rPr>
          <w:rFonts w:eastAsiaTheme="majorEastAsia"/>
          <w:b/>
          <w:bCs/>
          <w:color w:val="000000" w:themeColor="text1"/>
        </w:rPr>
      </w:pPr>
    </w:p>
    <w:p w14:paraId="234297C5" w14:textId="3A143251" w:rsidR="0076579E" w:rsidRPr="003C66A0" w:rsidRDefault="008D6F57" w:rsidP="006B21E2">
      <w:pPr>
        <w:pStyle w:val="Heading3"/>
        <w:jc w:val="both"/>
        <w:rPr>
          <w:rFonts w:eastAsiaTheme="majorEastAsia"/>
        </w:rPr>
      </w:pPr>
      <w:bookmarkStart w:id="167" w:name="_Toc214721973"/>
      <w:r w:rsidRPr="003C66A0">
        <w:rPr>
          <w:rFonts w:eastAsiaTheme="majorEastAsia"/>
        </w:rPr>
        <w:t>7</w:t>
      </w:r>
      <w:r w:rsidR="0076579E" w:rsidRPr="003C66A0">
        <w:rPr>
          <w:rFonts w:eastAsiaTheme="majorEastAsia"/>
        </w:rPr>
        <w:t>.3.1 Cost of Regulatory Arbitrage</w:t>
      </w:r>
      <w:bookmarkEnd w:id="167"/>
    </w:p>
    <w:p w14:paraId="6E4504B8" w14:textId="77777777" w:rsidR="00F5135C" w:rsidRDefault="00F5135C" w:rsidP="006B21E2">
      <w:pPr>
        <w:jc w:val="both"/>
        <w:rPr>
          <w:rFonts w:eastAsiaTheme="majorEastAsia"/>
          <w:color w:val="000000" w:themeColor="text1"/>
        </w:rPr>
      </w:pPr>
    </w:p>
    <w:p w14:paraId="4CC5171D" w14:textId="15E0DB2D" w:rsidR="0076579E" w:rsidRPr="003C66A0" w:rsidRDefault="0076579E" w:rsidP="006B21E2">
      <w:pPr>
        <w:jc w:val="both"/>
        <w:rPr>
          <w:rFonts w:eastAsiaTheme="majorEastAsia"/>
          <w:color w:val="000000" w:themeColor="text1"/>
        </w:rPr>
      </w:pPr>
      <w:r w:rsidRPr="003C66A0">
        <w:rPr>
          <w:rFonts w:eastAsiaTheme="majorEastAsia"/>
          <w:color w:val="000000" w:themeColor="text1"/>
        </w:rPr>
        <w:t>Success rates for different structures:</w:t>
      </w:r>
    </w:p>
    <w:p w14:paraId="4014965E" w14:textId="77777777" w:rsidR="0076579E" w:rsidRPr="003C66A0" w:rsidRDefault="0076579E" w:rsidP="006B21E2">
      <w:pPr>
        <w:numPr>
          <w:ilvl w:val="0"/>
          <w:numId w:val="57"/>
        </w:numPr>
        <w:jc w:val="both"/>
        <w:rPr>
          <w:rFonts w:eastAsiaTheme="majorEastAsia"/>
          <w:color w:val="000000" w:themeColor="text1"/>
        </w:rPr>
      </w:pPr>
      <w:r w:rsidRPr="003C66A0">
        <w:rPr>
          <w:rFonts w:eastAsiaTheme="majorEastAsia"/>
          <w:color w:val="000000" w:themeColor="text1"/>
        </w:rPr>
        <w:t>Singapore incorporation, UAE operations: 67% success</w:t>
      </w:r>
    </w:p>
    <w:p w14:paraId="70D95E06" w14:textId="77777777" w:rsidR="0076579E" w:rsidRPr="003C66A0" w:rsidRDefault="0076579E" w:rsidP="006B21E2">
      <w:pPr>
        <w:numPr>
          <w:ilvl w:val="0"/>
          <w:numId w:val="57"/>
        </w:numPr>
        <w:jc w:val="both"/>
        <w:rPr>
          <w:rFonts w:eastAsiaTheme="majorEastAsia"/>
          <w:color w:val="000000" w:themeColor="text1"/>
        </w:rPr>
      </w:pPr>
      <w:r w:rsidRPr="003C66A0">
        <w:rPr>
          <w:rFonts w:eastAsiaTheme="majorEastAsia"/>
          <w:color w:val="000000" w:themeColor="text1"/>
        </w:rPr>
        <w:t>Switzerland incorporation, global operations: 71%</w:t>
      </w:r>
    </w:p>
    <w:p w14:paraId="5DF91020" w14:textId="77777777" w:rsidR="0076579E" w:rsidRPr="003C66A0" w:rsidRDefault="0076579E" w:rsidP="006B21E2">
      <w:pPr>
        <w:numPr>
          <w:ilvl w:val="0"/>
          <w:numId w:val="57"/>
        </w:numPr>
        <w:jc w:val="both"/>
        <w:rPr>
          <w:rFonts w:eastAsiaTheme="majorEastAsia"/>
          <w:color w:val="000000" w:themeColor="text1"/>
        </w:rPr>
      </w:pPr>
      <w:r w:rsidRPr="003C66A0">
        <w:rPr>
          <w:rFonts w:eastAsiaTheme="majorEastAsia"/>
          <w:color w:val="000000" w:themeColor="text1"/>
        </w:rPr>
        <w:t>Cayman incorporation, DeFi focus: 43%</w:t>
      </w:r>
    </w:p>
    <w:p w14:paraId="6A212DA4" w14:textId="77777777" w:rsidR="00F5135C" w:rsidRDefault="00F5135C" w:rsidP="006B21E2">
      <w:pPr>
        <w:jc w:val="both"/>
        <w:rPr>
          <w:rFonts w:eastAsiaTheme="majorEastAsia"/>
          <w:color w:val="000000" w:themeColor="text1"/>
        </w:rPr>
      </w:pPr>
    </w:p>
    <w:p w14:paraId="36EC96E2" w14:textId="5E367486" w:rsidR="0076579E" w:rsidRPr="003C66A0" w:rsidRDefault="0076579E" w:rsidP="006B21E2">
      <w:pPr>
        <w:jc w:val="both"/>
        <w:rPr>
          <w:rFonts w:eastAsiaTheme="majorEastAsia"/>
          <w:color w:val="000000" w:themeColor="text1"/>
        </w:rPr>
      </w:pPr>
      <w:r w:rsidRPr="003C66A0">
        <w:rPr>
          <w:rFonts w:eastAsiaTheme="majorEastAsia"/>
          <w:color w:val="000000" w:themeColor="text1"/>
        </w:rPr>
        <w:lastRenderedPageBreak/>
        <w:t>Failed arbitrage patterns:</w:t>
      </w:r>
    </w:p>
    <w:p w14:paraId="2D652E39" w14:textId="77777777" w:rsidR="0076579E" w:rsidRPr="003C66A0" w:rsidRDefault="0076579E" w:rsidP="006B21E2">
      <w:pPr>
        <w:numPr>
          <w:ilvl w:val="0"/>
          <w:numId w:val="58"/>
        </w:numPr>
        <w:jc w:val="both"/>
        <w:rPr>
          <w:rFonts w:eastAsiaTheme="majorEastAsia"/>
          <w:color w:val="000000" w:themeColor="text1"/>
        </w:rPr>
      </w:pPr>
      <w:r w:rsidRPr="003C66A0">
        <w:rPr>
          <w:rFonts w:eastAsiaTheme="majorEastAsia"/>
          <w:color w:val="000000" w:themeColor="text1"/>
        </w:rPr>
        <w:t>US users with offshore incorporation: 89% faced enforcement</w:t>
      </w:r>
    </w:p>
    <w:p w14:paraId="1DAB1D8C" w14:textId="77777777" w:rsidR="0076579E" w:rsidRPr="003C66A0" w:rsidRDefault="0076579E" w:rsidP="006B21E2">
      <w:pPr>
        <w:numPr>
          <w:ilvl w:val="0"/>
          <w:numId w:val="58"/>
        </w:numPr>
        <w:jc w:val="both"/>
        <w:rPr>
          <w:rFonts w:eastAsiaTheme="majorEastAsia"/>
          <w:color w:val="000000" w:themeColor="text1"/>
        </w:rPr>
      </w:pPr>
      <w:r w:rsidRPr="003C66A0">
        <w:rPr>
          <w:rFonts w:eastAsiaTheme="majorEastAsia"/>
          <w:color w:val="000000" w:themeColor="text1"/>
        </w:rPr>
        <w:t xml:space="preserve">EU users without </w:t>
      </w:r>
      <w:proofErr w:type="spellStart"/>
      <w:r w:rsidRPr="003C66A0">
        <w:rPr>
          <w:rFonts w:eastAsiaTheme="majorEastAsia"/>
          <w:color w:val="000000" w:themeColor="text1"/>
        </w:rPr>
        <w:t>MiCA</w:t>
      </w:r>
      <w:proofErr w:type="spellEnd"/>
      <w:r w:rsidRPr="003C66A0">
        <w:rPr>
          <w:rFonts w:eastAsiaTheme="majorEastAsia"/>
          <w:color w:val="000000" w:themeColor="text1"/>
        </w:rPr>
        <w:t xml:space="preserve"> compliance: 76% faced restrictions</w:t>
      </w:r>
    </w:p>
    <w:p w14:paraId="4899395C" w14:textId="77777777" w:rsidR="0076579E" w:rsidRPr="003C66A0" w:rsidRDefault="0076579E" w:rsidP="006B21E2">
      <w:pPr>
        <w:numPr>
          <w:ilvl w:val="0"/>
          <w:numId w:val="58"/>
        </w:numPr>
        <w:jc w:val="both"/>
        <w:rPr>
          <w:rFonts w:eastAsiaTheme="majorEastAsia"/>
          <w:color w:val="000000" w:themeColor="text1"/>
        </w:rPr>
      </w:pPr>
      <w:r w:rsidRPr="003C66A0">
        <w:rPr>
          <w:rFonts w:eastAsiaTheme="majorEastAsia"/>
          <w:color w:val="000000" w:themeColor="text1"/>
        </w:rPr>
        <w:t>Multiple jurisdiction operations: 91% encountered conflicts</w:t>
      </w:r>
    </w:p>
    <w:p w14:paraId="7129733A" w14:textId="77777777" w:rsidR="00F5135C" w:rsidRDefault="00F5135C" w:rsidP="006B21E2">
      <w:pPr>
        <w:jc w:val="both"/>
        <w:rPr>
          <w:rFonts w:eastAsiaTheme="majorEastAsia"/>
          <w:color w:val="000000" w:themeColor="text1"/>
        </w:rPr>
      </w:pPr>
    </w:p>
    <w:p w14:paraId="567189DC" w14:textId="7158A7C7" w:rsidR="0076579E" w:rsidRPr="003C66A0" w:rsidRDefault="0076579E" w:rsidP="006B21E2">
      <w:pPr>
        <w:jc w:val="both"/>
        <w:rPr>
          <w:rFonts w:eastAsiaTheme="majorEastAsia"/>
          <w:color w:val="000000" w:themeColor="text1"/>
        </w:rPr>
      </w:pPr>
      <w:r w:rsidRPr="003C66A0">
        <w:rPr>
          <w:rFonts w:eastAsiaTheme="majorEastAsia"/>
          <w:color w:val="000000" w:themeColor="text1"/>
        </w:rPr>
        <w:t>Hidden costs of arbitrage:</w:t>
      </w:r>
    </w:p>
    <w:p w14:paraId="5CC29F9A" w14:textId="77777777" w:rsidR="0076579E" w:rsidRPr="003C66A0" w:rsidRDefault="0076579E" w:rsidP="006B21E2">
      <w:pPr>
        <w:numPr>
          <w:ilvl w:val="0"/>
          <w:numId w:val="59"/>
        </w:numPr>
        <w:jc w:val="both"/>
        <w:rPr>
          <w:rFonts w:eastAsiaTheme="majorEastAsia"/>
          <w:color w:val="000000" w:themeColor="text1"/>
        </w:rPr>
      </w:pPr>
      <w:r w:rsidRPr="003C66A0">
        <w:rPr>
          <w:rFonts w:eastAsiaTheme="majorEastAsia"/>
          <w:color w:val="000000" w:themeColor="text1"/>
        </w:rPr>
        <w:t>Legal complexity: $50,000-200,000 annual compliance</w:t>
      </w:r>
    </w:p>
    <w:p w14:paraId="3171B941" w14:textId="77777777" w:rsidR="0076579E" w:rsidRPr="003C66A0" w:rsidRDefault="0076579E" w:rsidP="006B21E2">
      <w:pPr>
        <w:numPr>
          <w:ilvl w:val="0"/>
          <w:numId w:val="59"/>
        </w:numPr>
        <w:jc w:val="both"/>
        <w:rPr>
          <w:rFonts w:eastAsiaTheme="majorEastAsia"/>
          <w:color w:val="000000" w:themeColor="text1"/>
        </w:rPr>
      </w:pPr>
      <w:r w:rsidRPr="003C66A0">
        <w:rPr>
          <w:rFonts w:eastAsiaTheme="majorEastAsia"/>
          <w:color w:val="000000" w:themeColor="text1"/>
        </w:rPr>
        <w:t>Operational friction: 20-30% efficiency reduction</w:t>
      </w:r>
    </w:p>
    <w:p w14:paraId="72DCB213" w14:textId="77777777" w:rsidR="0076579E" w:rsidRPr="003C66A0" w:rsidRDefault="0076579E" w:rsidP="006B21E2">
      <w:pPr>
        <w:numPr>
          <w:ilvl w:val="0"/>
          <w:numId w:val="59"/>
        </w:numPr>
        <w:jc w:val="both"/>
        <w:rPr>
          <w:rFonts w:eastAsiaTheme="majorEastAsia"/>
          <w:color w:val="000000" w:themeColor="text1"/>
        </w:rPr>
      </w:pPr>
      <w:r w:rsidRPr="003C66A0">
        <w:rPr>
          <w:rFonts w:eastAsiaTheme="majorEastAsia"/>
          <w:color w:val="000000" w:themeColor="text1"/>
        </w:rPr>
        <w:t>Banking challenges: 67% report difficulties</w:t>
      </w:r>
    </w:p>
    <w:p w14:paraId="17A87D57" w14:textId="77777777" w:rsidR="0076579E" w:rsidRPr="003C66A0" w:rsidRDefault="0076579E" w:rsidP="006B21E2">
      <w:pPr>
        <w:numPr>
          <w:ilvl w:val="0"/>
          <w:numId w:val="59"/>
        </w:numPr>
        <w:jc w:val="both"/>
        <w:rPr>
          <w:rFonts w:eastAsiaTheme="majorEastAsia"/>
          <w:color w:val="000000" w:themeColor="text1"/>
        </w:rPr>
      </w:pPr>
      <w:r w:rsidRPr="003C66A0">
        <w:rPr>
          <w:rFonts w:eastAsiaTheme="majorEastAsia"/>
          <w:color w:val="000000" w:themeColor="text1"/>
        </w:rPr>
        <w:t>Tax complexity: Often exceeds single-jurisdiction rates</w:t>
      </w:r>
    </w:p>
    <w:p w14:paraId="07AD038A" w14:textId="77777777" w:rsidR="005C21FD" w:rsidRPr="003C66A0" w:rsidRDefault="005C21FD" w:rsidP="006B21E2">
      <w:pPr>
        <w:jc w:val="both"/>
        <w:rPr>
          <w:rFonts w:eastAsiaTheme="majorEastAsia"/>
          <w:b/>
          <w:bCs/>
          <w:color w:val="000000" w:themeColor="text1"/>
        </w:rPr>
      </w:pPr>
    </w:p>
    <w:p w14:paraId="35DD1E97" w14:textId="76A6EE17" w:rsidR="0076579E" w:rsidRPr="003C66A0" w:rsidRDefault="008D6F57" w:rsidP="006B21E2">
      <w:pPr>
        <w:pStyle w:val="Heading3"/>
        <w:jc w:val="both"/>
        <w:rPr>
          <w:rFonts w:eastAsiaTheme="majorEastAsia"/>
        </w:rPr>
      </w:pPr>
      <w:bookmarkStart w:id="168" w:name="_Toc214721974"/>
      <w:r w:rsidRPr="003C66A0">
        <w:rPr>
          <w:rFonts w:eastAsiaTheme="majorEastAsia"/>
        </w:rPr>
        <w:t>7</w:t>
      </w:r>
      <w:r w:rsidR="0076579E" w:rsidRPr="003C66A0">
        <w:rPr>
          <w:rFonts w:eastAsiaTheme="majorEastAsia"/>
        </w:rPr>
        <w:t>.3.2 Regulatory Contagion</w:t>
      </w:r>
      <w:bookmarkEnd w:id="168"/>
    </w:p>
    <w:p w14:paraId="7EEB523B" w14:textId="77777777" w:rsidR="0076579E" w:rsidRPr="003C66A0" w:rsidRDefault="0076579E" w:rsidP="006B21E2">
      <w:pPr>
        <w:jc w:val="both"/>
        <w:rPr>
          <w:rFonts w:eastAsiaTheme="majorEastAsia"/>
          <w:color w:val="000000" w:themeColor="text1"/>
        </w:rPr>
      </w:pPr>
      <w:r w:rsidRPr="003C66A0">
        <w:rPr>
          <w:rFonts w:eastAsiaTheme="majorEastAsia"/>
          <w:color w:val="000000" w:themeColor="text1"/>
        </w:rPr>
        <w:t>Analysis of 47 major regulatory events shows cascading impacts:</w:t>
      </w:r>
    </w:p>
    <w:p w14:paraId="7CE04146" w14:textId="77777777" w:rsidR="00A62F99" w:rsidRDefault="00A62F99" w:rsidP="006B21E2">
      <w:pPr>
        <w:jc w:val="both"/>
        <w:rPr>
          <w:rFonts w:eastAsiaTheme="majorEastAsia"/>
          <w:color w:val="000000" w:themeColor="text1"/>
        </w:rPr>
      </w:pPr>
    </w:p>
    <w:p w14:paraId="24BE974C" w14:textId="62E817A7" w:rsidR="0076579E" w:rsidRPr="003C66A0" w:rsidRDefault="0076579E" w:rsidP="006B21E2">
      <w:pPr>
        <w:jc w:val="both"/>
        <w:rPr>
          <w:rFonts w:eastAsiaTheme="majorEastAsia"/>
          <w:color w:val="000000" w:themeColor="text1"/>
        </w:rPr>
      </w:pPr>
      <w:r w:rsidRPr="003C66A0">
        <w:rPr>
          <w:rFonts w:eastAsiaTheme="majorEastAsia"/>
          <w:color w:val="000000" w:themeColor="text1"/>
        </w:rPr>
        <w:t>First-order (direct):</w:t>
      </w:r>
    </w:p>
    <w:p w14:paraId="3EBF0DCF" w14:textId="77777777" w:rsidR="0076579E" w:rsidRPr="003C66A0" w:rsidRDefault="0076579E" w:rsidP="006B21E2">
      <w:pPr>
        <w:numPr>
          <w:ilvl w:val="0"/>
          <w:numId w:val="60"/>
        </w:numPr>
        <w:jc w:val="both"/>
        <w:rPr>
          <w:rFonts w:eastAsiaTheme="majorEastAsia"/>
          <w:color w:val="000000" w:themeColor="text1"/>
        </w:rPr>
      </w:pPr>
      <w:r w:rsidRPr="003C66A0">
        <w:rPr>
          <w:rFonts w:eastAsiaTheme="majorEastAsia"/>
          <w:color w:val="000000" w:themeColor="text1"/>
        </w:rPr>
        <w:t>60% volume reduction</w:t>
      </w:r>
    </w:p>
    <w:p w14:paraId="428197D0" w14:textId="77777777" w:rsidR="0076579E" w:rsidRPr="003C66A0" w:rsidRDefault="0076579E" w:rsidP="006B21E2">
      <w:pPr>
        <w:numPr>
          <w:ilvl w:val="0"/>
          <w:numId w:val="60"/>
        </w:numPr>
        <w:jc w:val="both"/>
        <w:rPr>
          <w:rFonts w:eastAsiaTheme="majorEastAsia"/>
          <w:color w:val="000000" w:themeColor="text1"/>
        </w:rPr>
      </w:pPr>
      <w:r w:rsidRPr="003C66A0">
        <w:rPr>
          <w:rFonts w:eastAsiaTheme="majorEastAsia"/>
          <w:color w:val="000000" w:themeColor="text1"/>
        </w:rPr>
        <w:t>40% user exodus</w:t>
      </w:r>
    </w:p>
    <w:p w14:paraId="00A9E9B2" w14:textId="77777777" w:rsidR="0076579E" w:rsidRPr="003C66A0" w:rsidRDefault="0076579E" w:rsidP="006B21E2">
      <w:pPr>
        <w:numPr>
          <w:ilvl w:val="0"/>
          <w:numId w:val="60"/>
        </w:numPr>
        <w:jc w:val="both"/>
        <w:rPr>
          <w:rFonts w:eastAsiaTheme="majorEastAsia"/>
          <w:color w:val="000000" w:themeColor="text1"/>
        </w:rPr>
      </w:pPr>
      <w:r w:rsidRPr="003C66A0">
        <w:rPr>
          <w:rFonts w:eastAsiaTheme="majorEastAsia"/>
          <w:color w:val="000000" w:themeColor="text1"/>
        </w:rPr>
        <w:t>80% banking termination</w:t>
      </w:r>
    </w:p>
    <w:p w14:paraId="08FE199B" w14:textId="77777777" w:rsidR="00A62F99" w:rsidRDefault="00A62F99" w:rsidP="006B21E2">
      <w:pPr>
        <w:jc w:val="both"/>
        <w:rPr>
          <w:rFonts w:eastAsiaTheme="majorEastAsia"/>
          <w:color w:val="000000" w:themeColor="text1"/>
        </w:rPr>
      </w:pPr>
    </w:p>
    <w:p w14:paraId="1177110E" w14:textId="423511F1" w:rsidR="0076579E" w:rsidRPr="003C66A0" w:rsidRDefault="0076579E" w:rsidP="006B21E2">
      <w:pPr>
        <w:jc w:val="both"/>
        <w:rPr>
          <w:rFonts w:eastAsiaTheme="majorEastAsia"/>
          <w:color w:val="000000" w:themeColor="text1"/>
        </w:rPr>
      </w:pPr>
      <w:r w:rsidRPr="003C66A0">
        <w:rPr>
          <w:rFonts w:eastAsiaTheme="majorEastAsia"/>
          <w:color w:val="000000" w:themeColor="text1"/>
        </w:rPr>
        <w:t>Second-order (sector):</w:t>
      </w:r>
    </w:p>
    <w:p w14:paraId="1FD61331" w14:textId="77777777" w:rsidR="0076579E" w:rsidRPr="003C66A0" w:rsidRDefault="0076579E" w:rsidP="006B21E2">
      <w:pPr>
        <w:numPr>
          <w:ilvl w:val="0"/>
          <w:numId w:val="61"/>
        </w:numPr>
        <w:jc w:val="both"/>
        <w:rPr>
          <w:rFonts w:eastAsiaTheme="majorEastAsia"/>
          <w:color w:val="000000" w:themeColor="text1"/>
        </w:rPr>
      </w:pPr>
      <w:r w:rsidRPr="003C66A0">
        <w:rPr>
          <w:rFonts w:eastAsiaTheme="majorEastAsia"/>
          <w:color w:val="000000" w:themeColor="text1"/>
        </w:rPr>
        <w:t>25% volume reduction</w:t>
      </w:r>
    </w:p>
    <w:p w14:paraId="72AAFA41" w14:textId="77777777" w:rsidR="0076579E" w:rsidRPr="003C66A0" w:rsidRDefault="0076579E" w:rsidP="006B21E2">
      <w:pPr>
        <w:numPr>
          <w:ilvl w:val="0"/>
          <w:numId w:val="61"/>
        </w:numPr>
        <w:jc w:val="both"/>
        <w:rPr>
          <w:rFonts w:eastAsiaTheme="majorEastAsia"/>
          <w:color w:val="000000" w:themeColor="text1"/>
        </w:rPr>
      </w:pPr>
      <w:r w:rsidRPr="003C66A0">
        <w:rPr>
          <w:rFonts w:eastAsiaTheme="majorEastAsia"/>
          <w:color w:val="000000" w:themeColor="text1"/>
        </w:rPr>
        <w:t>Increased compliance costs</w:t>
      </w:r>
    </w:p>
    <w:p w14:paraId="244F81B2" w14:textId="77777777" w:rsidR="0076579E" w:rsidRPr="003C66A0" w:rsidRDefault="0076579E" w:rsidP="006B21E2">
      <w:pPr>
        <w:numPr>
          <w:ilvl w:val="0"/>
          <w:numId w:val="61"/>
        </w:numPr>
        <w:jc w:val="both"/>
        <w:rPr>
          <w:rFonts w:eastAsiaTheme="majorEastAsia"/>
          <w:color w:val="000000" w:themeColor="text1"/>
        </w:rPr>
      </w:pPr>
      <w:r w:rsidRPr="003C66A0">
        <w:rPr>
          <w:rFonts w:eastAsiaTheme="majorEastAsia"/>
          <w:color w:val="000000" w:themeColor="text1"/>
        </w:rPr>
        <w:t>Preemptive restrictions</w:t>
      </w:r>
    </w:p>
    <w:p w14:paraId="193D6323" w14:textId="77777777" w:rsidR="00A62F99" w:rsidRDefault="00A62F99" w:rsidP="006B21E2">
      <w:pPr>
        <w:jc w:val="both"/>
        <w:rPr>
          <w:rFonts w:eastAsiaTheme="majorEastAsia"/>
          <w:color w:val="000000" w:themeColor="text1"/>
        </w:rPr>
      </w:pPr>
    </w:p>
    <w:p w14:paraId="192F3F17" w14:textId="1728F4A0" w:rsidR="0076579E" w:rsidRPr="003C66A0" w:rsidRDefault="0076579E" w:rsidP="006B21E2">
      <w:pPr>
        <w:jc w:val="both"/>
        <w:rPr>
          <w:rFonts w:eastAsiaTheme="majorEastAsia"/>
          <w:color w:val="000000" w:themeColor="text1"/>
        </w:rPr>
      </w:pPr>
      <w:proofErr w:type="gramStart"/>
      <w:r w:rsidRPr="003C66A0">
        <w:rPr>
          <w:rFonts w:eastAsiaTheme="majorEastAsia"/>
          <w:color w:val="000000" w:themeColor="text1"/>
        </w:rPr>
        <w:t>Third-order</w:t>
      </w:r>
      <w:proofErr w:type="gramEnd"/>
      <w:r w:rsidRPr="003C66A0">
        <w:rPr>
          <w:rFonts w:eastAsiaTheme="majorEastAsia"/>
          <w:color w:val="000000" w:themeColor="text1"/>
        </w:rPr>
        <w:t xml:space="preserve"> (ecosystem):</w:t>
      </w:r>
    </w:p>
    <w:p w14:paraId="44941C63" w14:textId="77777777" w:rsidR="0076579E" w:rsidRPr="003C66A0" w:rsidRDefault="0076579E" w:rsidP="006B21E2">
      <w:pPr>
        <w:numPr>
          <w:ilvl w:val="0"/>
          <w:numId w:val="62"/>
        </w:numPr>
        <w:jc w:val="both"/>
        <w:rPr>
          <w:rFonts w:eastAsiaTheme="majorEastAsia"/>
          <w:color w:val="000000" w:themeColor="text1"/>
        </w:rPr>
      </w:pPr>
      <w:r w:rsidRPr="003C66A0">
        <w:rPr>
          <w:rFonts w:eastAsiaTheme="majorEastAsia"/>
          <w:color w:val="000000" w:themeColor="text1"/>
        </w:rPr>
        <w:t>15% reduction in launches</w:t>
      </w:r>
    </w:p>
    <w:p w14:paraId="0111E34D" w14:textId="77777777" w:rsidR="0076579E" w:rsidRPr="003C66A0" w:rsidRDefault="0076579E" w:rsidP="006B21E2">
      <w:pPr>
        <w:numPr>
          <w:ilvl w:val="0"/>
          <w:numId w:val="62"/>
        </w:numPr>
        <w:jc w:val="both"/>
        <w:rPr>
          <w:rFonts w:eastAsiaTheme="majorEastAsia"/>
          <w:color w:val="000000" w:themeColor="text1"/>
        </w:rPr>
      </w:pPr>
      <w:r w:rsidRPr="003C66A0">
        <w:rPr>
          <w:rFonts w:eastAsiaTheme="majorEastAsia"/>
          <w:color w:val="000000" w:themeColor="text1"/>
        </w:rPr>
        <w:t>Shift to "regulatory-resistant" designs</w:t>
      </w:r>
    </w:p>
    <w:p w14:paraId="2649B294" w14:textId="77777777" w:rsidR="0076579E" w:rsidRPr="003C66A0" w:rsidRDefault="0076579E" w:rsidP="006B21E2">
      <w:pPr>
        <w:numPr>
          <w:ilvl w:val="0"/>
          <w:numId w:val="62"/>
        </w:numPr>
        <w:jc w:val="both"/>
        <w:rPr>
          <w:rFonts w:eastAsiaTheme="majorEastAsia"/>
          <w:color w:val="000000" w:themeColor="text1"/>
        </w:rPr>
      </w:pPr>
      <w:r w:rsidRPr="003C66A0">
        <w:rPr>
          <w:rFonts w:eastAsiaTheme="majorEastAsia"/>
          <w:color w:val="000000" w:themeColor="text1"/>
        </w:rPr>
        <w:t>Geographic fragmentation</w:t>
      </w:r>
    </w:p>
    <w:p w14:paraId="36C03B65" w14:textId="77777777" w:rsidR="005C21FD" w:rsidRPr="003C66A0" w:rsidRDefault="005C21FD" w:rsidP="006B21E2">
      <w:pPr>
        <w:jc w:val="both"/>
        <w:rPr>
          <w:rFonts w:eastAsiaTheme="majorEastAsia"/>
          <w:b/>
          <w:bCs/>
          <w:color w:val="000000" w:themeColor="text1"/>
        </w:rPr>
      </w:pPr>
    </w:p>
    <w:p w14:paraId="745494AE" w14:textId="5AC2DCA1" w:rsidR="0076579E" w:rsidRPr="003C66A0" w:rsidRDefault="008D6F57" w:rsidP="006B21E2">
      <w:pPr>
        <w:pStyle w:val="Heading2"/>
        <w:jc w:val="both"/>
        <w:rPr>
          <w:rFonts w:eastAsiaTheme="majorEastAsia"/>
        </w:rPr>
      </w:pPr>
      <w:bookmarkStart w:id="169" w:name="_Toc214721975"/>
      <w:r w:rsidRPr="003C66A0">
        <w:rPr>
          <w:rFonts w:eastAsiaTheme="majorEastAsia"/>
        </w:rPr>
        <w:t>7</w:t>
      </w:r>
      <w:r w:rsidR="0076579E" w:rsidRPr="003C66A0">
        <w:rPr>
          <w:rFonts w:eastAsiaTheme="majorEastAsia"/>
        </w:rPr>
        <w:t>.4 Volatility Impact: Beyond Price Risk</w:t>
      </w:r>
      <w:bookmarkEnd w:id="169"/>
    </w:p>
    <w:p w14:paraId="6BD8D666" w14:textId="77777777" w:rsidR="0076579E" w:rsidRDefault="0076579E" w:rsidP="006B21E2">
      <w:pPr>
        <w:jc w:val="both"/>
        <w:rPr>
          <w:rFonts w:eastAsiaTheme="majorEastAsia"/>
          <w:color w:val="000000" w:themeColor="text1"/>
        </w:rPr>
      </w:pPr>
      <w:r w:rsidRPr="003C66A0">
        <w:rPr>
          <w:rFonts w:eastAsiaTheme="majorEastAsia"/>
          <w:color w:val="000000" w:themeColor="text1"/>
        </w:rPr>
        <w:t>Volatility affects fee-based businesses through five channels beyond price exposure:</w:t>
      </w:r>
    </w:p>
    <w:p w14:paraId="1C7B1B35" w14:textId="77777777" w:rsidR="00A62F99" w:rsidRPr="003C66A0" w:rsidRDefault="00A62F99" w:rsidP="006B21E2">
      <w:pPr>
        <w:jc w:val="both"/>
        <w:rPr>
          <w:rFonts w:eastAsiaTheme="majorEastAsia"/>
          <w:color w:val="000000" w:themeColor="text1"/>
        </w:rPr>
      </w:pPr>
    </w:p>
    <w:p w14:paraId="78A600F6" w14:textId="77777777" w:rsidR="0076579E" w:rsidRPr="003C66A0" w:rsidRDefault="0076579E" w:rsidP="006B21E2">
      <w:pPr>
        <w:numPr>
          <w:ilvl w:val="0"/>
          <w:numId w:val="63"/>
        </w:numPr>
        <w:jc w:val="both"/>
        <w:rPr>
          <w:rFonts w:eastAsiaTheme="majorEastAsia"/>
          <w:color w:val="000000" w:themeColor="text1"/>
        </w:rPr>
      </w:pPr>
      <w:r w:rsidRPr="003C66A0">
        <w:rPr>
          <w:rFonts w:eastAsiaTheme="majorEastAsia"/>
          <w:color w:val="000000" w:themeColor="text1"/>
        </w:rPr>
        <w:t>Volume channel: Correlation 0.67 initially, but extreme volatility (&gt;3 SD) reduces volume</w:t>
      </w:r>
    </w:p>
    <w:p w14:paraId="137FCB97" w14:textId="77777777" w:rsidR="0076579E" w:rsidRPr="003C66A0" w:rsidRDefault="0076579E" w:rsidP="006B21E2">
      <w:pPr>
        <w:numPr>
          <w:ilvl w:val="0"/>
          <w:numId w:val="63"/>
        </w:numPr>
        <w:jc w:val="both"/>
        <w:rPr>
          <w:rFonts w:eastAsiaTheme="majorEastAsia"/>
          <w:color w:val="000000" w:themeColor="text1"/>
        </w:rPr>
      </w:pPr>
      <w:r w:rsidRPr="003C66A0">
        <w:rPr>
          <w:rFonts w:eastAsiaTheme="majorEastAsia"/>
          <w:color w:val="000000" w:themeColor="text1"/>
        </w:rPr>
        <w:t>Fee channel: Gas fees spike 3.2x average during major events</w:t>
      </w:r>
    </w:p>
    <w:p w14:paraId="28B21AD3" w14:textId="77777777" w:rsidR="0076579E" w:rsidRPr="003C66A0" w:rsidRDefault="0076579E" w:rsidP="006B21E2">
      <w:pPr>
        <w:numPr>
          <w:ilvl w:val="0"/>
          <w:numId w:val="63"/>
        </w:numPr>
        <w:jc w:val="both"/>
        <w:rPr>
          <w:rFonts w:eastAsiaTheme="majorEastAsia"/>
          <w:color w:val="000000" w:themeColor="text1"/>
        </w:rPr>
      </w:pPr>
      <w:r w:rsidRPr="003C66A0">
        <w:rPr>
          <w:rFonts w:eastAsiaTheme="majorEastAsia"/>
          <w:color w:val="000000" w:themeColor="text1"/>
        </w:rPr>
        <w:t>Liquidity channel: IL accelerates non-linearly (50% move = 5.7% IL, 100% = 20% IL)</w:t>
      </w:r>
    </w:p>
    <w:p w14:paraId="53BBE89E" w14:textId="77777777" w:rsidR="0076579E" w:rsidRPr="003C66A0" w:rsidRDefault="0076579E" w:rsidP="006B21E2">
      <w:pPr>
        <w:numPr>
          <w:ilvl w:val="0"/>
          <w:numId w:val="63"/>
        </w:numPr>
        <w:jc w:val="both"/>
        <w:rPr>
          <w:rFonts w:eastAsiaTheme="majorEastAsia"/>
          <w:color w:val="000000" w:themeColor="text1"/>
        </w:rPr>
      </w:pPr>
      <w:r w:rsidRPr="003C66A0">
        <w:rPr>
          <w:rFonts w:eastAsiaTheme="majorEastAsia"/>
          <w:color w:val="000000" w:themeColor="text1"/>
        </w:rPr>
        <w:t>Behavioral channel: Panic withdrawals create feedback loops</w:t>
      </w:r>
    </w:p>
    <w:p w14:paraId="6AD7D8AD" w14:textId="77777777" w:rsidR="0076579E" w:rsidRPr="003C66A0" w:rsidRDefault="0076579E" w:rsidP="006B21E2">
      <w:pPr>
        <w:numPr>
          <w:ilvl w:val="0"/>
          <w:numId w:val="63"/>
        </w:numPr>
        <w:jc w:val="both"/>
        <w:rPr>
          <w:rFonts w:eastAsiaTheme="majorEastAsia"/>
          <w:color w:val="000000" w:themeColor="text1"/>
        </w:rPr>
      </w:pPr>
      <w:r w:rsidRPr="003C66A0">
        <w:rPr>
          <w:rFonts w:eastAsiaTheme="majorEastAsia"/>
          <w:color w:val="000000" w:themeColor="text1"/>
        </w:rPr>
        <w:t>Structural channel: Oracles lag, liquidations fail, governance attacks succeed</w:t>
      </w:r>
    </w:p>
    <w:p w14:paraId="667DBFC4" w14:textId="77777777" w:rsidR="00A62F99" w:rsidRDefault="00A62F99" w:rsidP="006B21E2">
      <w:pPr>
        <w:jc w:val="both"/>
        <w:rPr>
          <w:rFonts w:eastAsiaTheme="majorEastAsia"/>
          <w:color w:val="000000" w:themeColor="text1"/>
        </w:rPr>
      </w:pPr>
    </w:p>
    <w:p w14:paraId="1A0271CF" w14:textId="39CF730E" w:rsidR="0076579E" w:rsidRPr="003C66A0" w:rsidRDefault="0076579E" w:rsidP="006B21E2">
      <w:pPr>
        <w:jc w:val="both"/>
        <w:rPr>
          <w:rFonts w:eastAsiaTheme="majorEastAsia"/>
          <w:color w:val="000000" w:themeColor="text1"/>
        </w:rPr>
      </w:pPr>
      <w:r w:rsidRPr="003C66A0">
        <w:rPr>
          <w:rFonts w:eastAsiaTheme="majorEastAsia"/>
          <w:color w:val="000000" w:themeColor="text1"/>
        </w:rPr>
        <w:t>May 2022 Terra/Luna empirical impact:</w:t>
      </w:r>
    </w:p>
    <w:p w14:paraId="6AD4DE06" w14:textId="239395C5" w:rsidR="0076579E" w:rsidRPr="003C66A0" w:rsidRDefault="0076579E" w:rsidP="006B21E2">
      <w:pPr>
        <w:numPr>
          <w:ilvl w:val="0"/>
          <w:numId w:val="64"/>
        </w:numPr>
        <w:jc w:val="both"/>
        <w:rPr>
          <w:rFonts w:eastAsiaTheme="majorEastAsia"/>
          <w:color w:val="000000" w:themeColor="text1"/>
        </w:rPr>
      </w:pPr>
      <w:r w:rsidRPr="003C66A0">
        <w:rPr>
          <w:rFonts w:eastAsiaTheme="majorEastAsia"/>
          <w:color w:val="000000" w:themeColor="text1"/>
        </w:rPr>
        <w:t xml:space="preserve">Stablecoin pools: 8-15% losses from </w:t>
      </w:r>
      <w:r w:rsidR="00EB36E1">
        <w:rPr>
          <w:rFonts w:eastAsiaTheme="majorEastAsia"/>
          <w:color w:val="000000" w:themeColor="text1"/>
        </w:rPr>
        <w:t>de-pegging</w:t>
      </w:r>
    </w:p>
    <w:p w14:paraId="0356857E" w14:textId="77777777" w:rsidR="0076579E" w:rsidRPr="003C66A0" w:rsidRDefault="0076579E" w:rsidP="006B21E2">
      <w:pPr>
        <w:numPr>
          <w:ilvl w:val="0"/>
          <w:numId w:val="64"/>
        </w:numPr>
        <w:jc w:val="both"/>
        <w:rPr>
          <w:rFonts w:eastAsiaTheme="majorEastAsia"/>
          <w:color w:val="000000" w:themeColor="text1"/>
        </w:rPr>
      </w:pPr>
      <w:r w:rsidRPr="003C66A0">
        <w:rPr>
          <w:rFonts w:eastAsiaTheme="majorEastAsia"/>
          <w:color w:val="000000" w:themeColor="text1"/>
        </w:rPr>
        <w:t>Correlated assets: 25-35% losses</w:t>
      </w:r>
    </w:p>
    <w:p w14:paraId="294BE93F" w14:textId="77777777" w:rsidR="0076579E" w:rsidRPr="003C66A0" w:rsidRDefault="0076579E" w:rsidP="006B21E2">
      <w:pPr>
        <w:numPr>
          <w:ilvl w:val="0"/>
          <w:numId w:val="64"/>
        </w:numPr>
        <w:jc w:val="both"/>
        <w:rPr>
          <w:rFonts w:eastAsiaTheme="majorEastAsia"/>
          <w:color w:val="000000" w:themeColor="text1"/>
        </w:rPr>
      </w:pPr>
      <w:r w:rsidRPr="003C66A0">
        <w:rPr>
          <w:rFonts w:eastAsiaTheme="majorEastAsia"/>
          <w:color w:val="000000" w:themeColor="text1"/>
        </w:rPr>
        <w:t>Volatile pools: 45-70% losses</w:t>
      </w:r>
    </w:p>
    <w:p w14:paraId="603FF1BF" w14:textId="77777777" w:rsidR="0076579E" w:rsidRPr="003C66A0" w:rsidRDefault="0076579E" w:rsidP="006B21E2">
      <w:pPr>
        <w:numPr>
          <w:ilvl w:val="0"/>
          <w:numId w:val="64"/>
        </w:numPr>
        <w:jc w:val="both"/>
        <w:rPr>
          <w:rFonts w:eastAsiaTheme="majorEastAsia"/>
          <w:color w:val="000000" w:themeColor="text1"/>
        </w:rPr>
      </w:pPr>
      <w:r w:rsidRPr="003C66A0">
        <w:rPr>
          <w:rFonts w:eastAsiaTheme="majorEastAsia"/>
          <w:color w:val="000000" w:themeColor="text1"/>
        </w:rPr>
        <w:t>Protocol tokens: 80-95% losses</w:t>
      </w:r>
    </w:p>
    <w:p w14:paraId="1316C46E" w14:textId="77777777" w:rsidR="00A62F99" w:rsidRDefault="00A62F99" w:rsidP="006B21E2">
      <w:pPr>
        <w:jc w:val="both"/>
        <w:rPr>
          <w:rFonts w:eastAsiaTheme="majorEastAsia"/>
          <w:color w:val="000000" w:themeColor="text1"/>
        </w:rPr>
      </w:pPr>
    </w:p>
    <w:p w14:paraId="102A20C1" w14:textId="0132C0B0" w:rsidR="0076579E" w:rsidRPr="003C66A0" w:rsidRDefault="0076579E" w:rsidP="006B21E2">
      <w:pPr>
        <w:jc w:val="both"/>
        <w:rPr>
          <w:rFonts w:eastAsiaTheme="majorEastAsia"/>
          <w:color w:val="000000" w:themeColor="text1"/>
        </w:rPr>
      </w:pPr>
      <w:r w:rsidRPr="003C66A0">
        <w:rPr>
          <w:rFonts w:eastAsiaTheme="majorEastAsia"/>
          <w:color w:val="000000" w:themeColor="text1"/>
        </w:rPr>
        <w:t>Recovery patterns vary:</w:t>
      </w:r>
    </w:p>
    <w:p w14:paraId="3B3742F6" w14:textId="77777777" w:rsidR="0076579E" w:rsidRPr="003C66A0" w:rsidRDefault="0076579E" w:rsidP="006B21E2">
      <w:pPr>
        <w:numPr>
          <w:ilvl w:val="0"/>
          <w:numId w:val="65"/>
        </w:numPr>
        <w:jc w:val="both"/>
        <w:rPr>
          <w:rFonts w:eastAsiaTheme="majorEastAsia"/>
          <w:color w:val="000000" w:themeColor="text1"/>
        </w:rPr>
      </w:pPr>
      <w:r w:rsidRPr="003C66A0">
        <w:rPr>
          <w:rFonts w:eastAsiaTheme="majorEastAsia"/>
          <w:color w:val="000000" w:themeColor="text1"/>
        </w:rPr>
        <w:t>Quick (30 days): 73% of major stablecoin pools</w:t>
      </w:r>
    </w:p>
    <w:p w14:paraId="5210AFB5" w14:textId="77777777" w:rsidR="0076579E" w:rsidRPr="003C66A0" w:rsidRDefault="0076579E" w:rsidP="006B21E2">
      <w:pPr>
        <w:numPr>
          <w:ilvl w:val="0"/>
          <w:numId w:val="65"/>
        </w:numPr>
        <w:jc w:val="both"/>
        <w:rPr>
          <w:rFonts w:eastAsiaTheme="majorEastAsia"/>
          <w:color w:val="000000" w:themeColor="text1"/>
        </w:rPr>
      </w:pPr>
      <w:r w:rsidRPr="003C66A0">
        <w:rPr>
          <w:rFonts w:eastAsiaTheme="majorEastAsia"/>
          <w:color w:val="000000" w:themeColor="text1"/>
        </w:rPr>
        <w:t>Slow (60-180 days): 44% of mid-cap pools</w:t>
      </w:r>
    </w:p>
    <w:p w14:paraId="65319283" w14:textId="77777777" w:rsidR="0076579E" w:rsidRPr="003C66A0" w:rsidRDefault="0076579E" w:rsidP="006B21E2">
      <w:pPr>
        <w:numPr>
          <w:ilvl w:val="0"/>
          <w:numId w:val="65"/>
        </w:numPr>
        <w:jc w:val="both"/>
        <w:rPr>
          <w:rFonts w:eastAsiaTheme="majorEastAsia"/>
          <w:color w:val="000000" w:themeColor="text1"/>
        </w:rPr>
      </w:pPr>
      <w:r w:rsidRPr="003C66A0">
        <w:rPr>
          <w:rFonts w:eastAsiaTheme="majorEastAsia"/>
          <w:color w:val="000000" w:themeColor="text1"/>
        </w:rPr>
        <w:t>Never: 89% of algorithmic stablecoins, 81% of farm tokens</w:t>
      </w:r>
    </w:p>
    <w:p w14:paraId="7567352A" w14:textId="77777777" w:rsidR="005C21FD" w:rsidRPr="003C66A0" w:rsidRDefault="005C21FD" w:rsidP="006B21E2">
      <w:pPr>
        <w:jc w:val="both"/>
        <w:rPr>
          <w:rFonts w:eastAsiaTheme="majorEastAsia"/>
          <w:b/>
          <w:bCs/>
          <w:color w:val="000000" w:themeColor="text1"/>
        </w:rPr>
      </w:pPr>
    </w:p>
    <w:p w14:paraId="39CE8AAD" w14:textId="373FFF80" w:rsidR="0076579E" w:rsidRPr="003C66A0" w:rsidRDefault="008D6F57" w:rsidP="006B21E2">
      <w:pPr>
        <w:pStyle w:val="Heading2"/>
        <w:jc w:val="both"/>
        <w:rPr>
          <w:rFonts w:eastAsiaTheme="majorEastAsia"/>
        </w:rPr>
      </w:pPr>
      <w:bookmarkStart w:id="170" w:name="_Toc214721976"/>
      <w:r w:rsidRPr="003C66A0">
        <w:rPr>
          <w:rFonts w:eastAsiaTheme="majorEastAsia"/>
        </w:rPr>
        <w:t>7</w:t>
      </w:r>
      <w:r w:rsidR="0076579E" w:rsidRPr="003C66A0">
        <w:rPr>
          <w:rFonts w:eastAsiaTheme="majorEastAsia"/>
        </w:rPr>
        <w:t>.5 Security Incidents: Patterns in Chaos</w:t>
      </w:r>
      <w:bookmarkEnd w:id="170"/>
    </w:p>
    <w:p w14:paraId="43AAD594" w14:textId="77777777" w:rsidR="0076579E" w:rsidRPr="003C66A0" w:rsidRDefault="0076579E" w:rsidP="006B21E2">
      <w:pPr>
        <w:jc w:val="both"/>
        <w:rPr>
          <w:rFonts w:eastAsiaTheme="majorEastAsia"/>
          <w:color w:val="000000" w:themeColor="text1"/>
        </w:rPr>
      </w:pPr>
      <w:r w:rsidRPr="003C66A0">
        <w:rPr>
          <w:rFonts w:eastAsiaTheme="majorEastAsia"/>
          <w:color w:val="000000" w:themeColor="text1"/>
        </w:rPr>
        <w:t>Analysis of 89 major incidents (&gt;$1M loss) reveals predictable patterns.</w:t>
      </w:r>
    </w:p>
    <w:p w14:paraId="507F07B9" w14:textId="77777777" w:rsidR="00735AF9" w:rsidRPr="003C66A0" w:rsidRDefault="00735AF9" w:rsidP="006B21E2">
      <w:pPr>
        <w:jc w:val="both"/>
        <w:rPr>
          <w:rFonts w:eastAsiaTheme="majorEastAsia"/>
          <w:b/>
          <w:bCs/>
          <w:color w:val="000000" w:themeColor="text1"/>
        </w:rPr>
      </w:pPr>
    </w:p>
    <w:p w14:paraId="0BD07A97" w14:textId="16D6D81C" w:rsidR="0076579E" w:rsidRPr="003C66A0" w:rsidRDefault="008D6F57" w:rsidP="006B21E2">
      <w:pPr>
        <w:pStyle w:val="Heading3"/>
        <w:jc w:val="both"/>
        <w:rPr>
          <w:rFonts w:eastAsiaTheme="majorEastAsia"/>
        </w:rPr>
      </w:pPr>
      <w:bookmarkStart w:id="171" w:name="_Toc214721977"/>
      <w:r w:rsidRPr="003C66A0">
        <w:rPr>
          <w:rFonts w:eastAsiaTheme="majorEastAsia"/>
        </w:rPr>
        <w:t>7</w:t>
      </w:r>
      <w:r w:rsidR="0076579E" w:rsidRPr="003C66A0">
        <w:rPr>
          <w:rFonts w:eastAsiaTheme="majorEastAsia"/>
        </w:rPr>
        <w:t>.5.1 Temporal Clustering</w:t>
      </w:r>
      <w:bookmarkEnd w:id="171"/>
    </w:p>
    <w:p w14:paraId="7E587BDA" w14:textId="77777777" w:rsidR="00F5135C" w:rsidRDefault="00F5135C" w:rsidP="006B21E2">
      <w:pPr>
        <w:jc w:val="both"/>
        <w:rPr>
          <w:rFonts w:eastAsiaTheme="majorEastAsia"/>
          <w:color w:val="000000" w:themeColor="text1"/>
        </w:rPr>
      </w:pPr>
    </w:p>
    <w:p w14:paraId="57FBB4F1" w14:textId="68D2E999" w:rsidR="0076579E" w:rsidRPr="003C66A0" w:rsidRDefault="0076579E" w:rsidP="006B21E2">
      <w:pPr>
        <w:jc w:val="both"/>
        <w:rPr>
          <w:rFonts w:eastAsiaTheme="majorEastAsia"/>
          <w:color w:val="000000" w:themeColor="text1"/>
        </w:rPr>
      </w:pPr>
      <w:r w:rsidRPr="003C66A0">
        <w:rPr>
          <w:rFonts w:eastAsiaTheme="majorEastAsia"/>
          <w:color w:val="000000" w:themeColor="text1"/>
        </w:rPr>
        <w:t>Exploits cluster predictably:</w:t>
      </w:r>
    </w:p>
    <w:p w14:paraId="6E596354" w14:textId="77777777" w:rsidR="0076579E" w:rsidRPr="003C66A0" w:rsidRDefault="0076579E" w:rsidP="006B21E2">
      <w:pPr>
        <w:numPr>
          <w:ilvl w:val="0"/>
          <w:numId w:val="66"/>
        </w:numPr>
        <w:jc w:val="both"/>
        <w:rPr>
          <w:rFonts w:eastAsiaTheme="majorEastAsia"/>
          <w:color w:val="000000" w:themeColor="text1"/>
        </w:rPr>
      </w:pPr>
      <w:r w:rsidRPr="003C66A0">
        <w:rPr>
          <w:rFonts w:eastAsiaTheme="majorEastAsia"/>
          <w:color w:val="000000" w:themeColor="text1"/>
        </w:rPr>
        <w:t>35% within 6 months of launch</w:t>
      </w:r>
    </w:p>
    <w:p w14:paraId="76448F4A" w14:textId="77777777" w:rsidR="0076579E" w:rsidRPr="003C66A0" w:rsidRDefault="0076579E" w:rsidP="006B21E2">
      <w:pPr>
        <w:numPr>
          <w:ilvl w:val="0"/>
          <w:numId w:val="66"/>
        </w:numPr>
        <w:jc w:val="both"/>
        <w:rPr>
          <w:rFonts w:eastAsiaTheme="majorEastAsia"/>
          <w:color w:val="000000" w:themeColor="text1"/>
        </w:rPr>
      </w:pPr>
      <w:r w:rsidRPr="003C66A0">
        <w:rPr>
          <w:rFonts w:eastAsiaTheme="majorEastAsia"/>
          <w:color w:val="000000" w:themeColor="text1"/>
        </w:rPr>
        <w:t>28% within 72 hours of updates</w:t>
      </w:r>
    </w:p>
    <w:p w14:paraId="3F39FACD" w14:textId="77777777" w:rsidR="0076579E" w:rsidRPr="003C66A0" w:rsidRDefault="0076579E" w:rsidP="006B21E2">
      <w:pPr>
        <w:numPr>
          <w:ilvl w:val="0"/>
          <w:numId w:val="66"/>
        </w:numPr>
        <w:jc w:val="both"/>
        <w:rPr>
          <w:rFonts w:eastAsiaTheme="majorEastAsia"/>
          <w:color w:val="000000" w:themeColor="text1"/>
        </w:rPr>
      </w:pPr>
      <w:r w:rsidRPr="003C66A0">
        <w:rPr>
          <w:rFonts w:eastAsiaTheme="majorEastAsia"/>
          <w:color w:val="000000" w:themeColor="text1"/>
        </w:rPr>
        <w:t>24% during high congestion</w:t>
      </w:r>
    </w:p>
    <w:p w14:paraId="2E575A1F" w14:textId="77777777" w:rsidR="0076579E" w:rsidRPr="003C66A0" w:rsidRDefault="0076579E" w:rsidP="006B21E2">
      <w:pPr>
        <w:numPr>
          <w:ilvl w:val="0"/>
          <w:numId w:val="66"/>
        </w:numPr>
        <w:jc w:val="both"/>
        <w:rPr>
          <w:rFonts w:eastAsiaTheme="majorEastAsia"/>
          <w:color w:val="000000" w:themeColor="text1"/>
        </w:rPr>
      </w:pPr>
      <w:r w:rsidRPr="003C66A0">
        <w:rPr>
          <w:rFonts w:eastAsiaTheme="majorEastAsia"/>
          <w:color w:val="000000" w:themeColor="text1"/>
        </w:rPr>
        <w:t>13% randomly distributed</w:t>
      </w:r>
    </w:p>
    <w:p w14:paraId="15478D1B" w14:textId="77777777" w:rsidR="00FD343A" w:rsidRDefault="00FD343A" w:rsidP="006B21E2">
      <w:pPr>
        <w:jc w:val="both"/>
        <w:rPr>
          <w:rFonts w:eastAsiaTheme="majorEastAsia"/>
          <w:color w:val="000000" w:themeColor="text1"/>
        </w:rPr>
      </w:pPr>
    </w:p>
    <w:p w14:paraId="68293452" w14:textId="435454D7" w:rsidR="0076579E" w:rsidRPr="003C66A0" w:rsidRDefault="0076579E" w:rsidP="006B21E2">
      <w:pPr>
        <w:jc w:val="both"/>
        <w:rPr>
          <w:rFonts w:eastAsiaTheme="majorEastAsia"/>
          <w:color w:val="000000" w:themeColor="text1"/>
        </w:rPr>
      </w:pPr>
      <w:r w:rsidRPr="003C66A0">
        <w:rPr>
          <w:rFonts w:eastAsiaTheme="majorEastAsia"/>
          <w:color w:val="000000" w:themeColor="text1"/>
        </w:rPr>
        <w:t>Survival analysis shows exponential decay:</w:t>
      </w:r>
    </w:p>
    <w:p w14:paraId="0FC91E8F" w14:textId="77777777" w:rsidR="0076579E" w:rsidRPr="003C66A0" w:rsidRDefault="0076579E" w:rsidP="006B21E2">
      <w:pPr>
        <w:numPr>
          <w:ilvl w:val="0"/>
          <w:numId w:val="67"/>
        </w:numPr>
        <w:jc w:val="both"/>
        <w:rPr>
          <w:rFonts w:eastAsiaTheme="majorEastAsia"/>
          <w:color w:val="000000" w:themeColor="text1"/>
        </w:rPr>
      </w:pPr>
      <w:r w:rsidRPr="003C66A0">
        <w:rPr>
          <w:rFonts w:eastAsiaTheme="majorEastAsia"/>
          <w:color w:val="000000" w:themeColor="text1"/>
        </w:rPr>
        <w:t>Months 1-6: 5.8% monthly probability</w:t>
      </w:r>
    </w:p>
    <w:p w14:paraId="31A61596" w14:textId="77777777" w:rsidR="0076579E" w:rsidRPr="003C66A0" w:rsidRDefault="0076579E" w:rsidP="006B21E2">
      <w:pPr>
        <w:numPr>
          <w:ilvl w:val="0"/>
          <w:numId w:val="67"/>
        </w:numPr>
        <w:jc w:val="both"/>
        <w:rPr>
          <w:rFonts w:eastAsiaTheme="majorEastAsia"/>
          <w:color w:val="000000" w:themeColor="text1"/>
        </w:rPr>
      </w:pPr>
      <w:r w:rsidRPr="003C66A0">
        <w:rPr>
          <w:rFonts w:eastAsiaTheme="majorEastAsia"/>
          <w:color w:val="000000" w:themeColor="text1"/>
        </w:rPr>
        <w:t>Months 7-12: 2.1%</w:t>
      </w:r>
    </w:p>
    <w:p w14:paraId="4B96F9D4" w14:textId="77777777" w:rsidR="0076579E" w:rsidRPr="003C66A0" w:rsidRDefault="0076579E" w:rsidP="006B21E2">
      <w:pPr>
        <w:numPr>
          <w:ilvl w:val="0"/>
          <w:numId w:val="67"/>
        </w:numPr>
        <w:jc w:val="both"/>
        <w:rPr>
          <w:rFonts w:eastAsiaTheme="majorEastAsia"/>
          <w:color w:val="000000" w:themeColor="text1"/>
        </w:rPr>
      </w:pPr>
      <w:r w:rsidRPr="003C66A0">
        <w:rPr>
          <w:rFonts w:eastAsiaTheme="majorEastAsia"/>
          <w:color w:val="000000" w:themeColor="text1"/>
        </w:rPr>
        <w:t>Months 13-24: 0.8%</w:t>
      </w:r>
    </w:p>
    <w:p w14:paraId="79FB07CA" w14:textId="77777777" w:rsidR="0076579E" w:rsidRPr="003C66A0" w:rsidRDefault="0076579E" w:rsidP="006B21E2">
      <w:pPr>
        <w:numPr>
          <w:ilvl w:val="0"/>
          <w:numId w:val="67"/>
        </w:numPr>
        <w:jc w:val="both"/>
        <w:rPr>
          <w:rFonts w:eastAsiaTheme="majorEastAsia"/>
          <w:color w:val="000000" w:themeColor="text1"/>
        </w:rPr>
      </w:pPr>
      <w:r w:rsidRPr="003C66A0">
        <w:rPr>
          <w:rFonts w:eastAsiaTheme="majorEastAsia"/>
          <w:color w:val="000000" w:themeColor="text1"/>
        </w:rPr>
        <w:t>Months 24+: 0.3%</w:t>
      </w:r>
    </w:p>
    <w:p w14:paraId="2E66BF0E" w14:textId="77777777" w:rsidR="0076579E" w:rsidRPr="003C66A0" w:rsidRDefault="0076579E" w:rsidP="006B21E2">
      <w:pPr>
        <w:jc w:val="both"/>
        <w:rPr>
          <w:rFonts w:eastAsiaTheme="majorEastAsia"/>
          <w:color w:val="000000" w:themeColor="text1"/>
        </w:rPr>
      </w:pPr>
      <w:r w:rsidRPr="003C66A0">
        <w:rPr>
          <w:rFonts w:eastAsiaTheme="majorEastAsia"/>
          <w:color w:val="000000" w:themeColor="text1"/>
        </w:rPr>
        <w:t>Simple heuristic: Avoid protocols &lt;6 months old prevents 35% of losses.</w:t>
      </w:r>
    </w:p>
    <w:p w14:paraId="1BCDD21E" w14:textId="77777777" w:rsidR="005C21FD" w:rsidRPr="003C66A0" w:rsidRDefault="005C21FD" w:rsidP="006B21E2">
      <w:pPr>
        <w:jc w:val="both"/>
        <w:rPr>
          <w:rFonts w:eastAsiaTheme="majorEastAsia"/>
          <w:color w:val="000000" w:themeColor="text1"/>
        </w:rPr>
      </w:pPr>
    </w:p>
    <w:p w14:paraId="113543AB" w14:textId="269F58C8" w:rsidR="0076579E" w:rsidRPr="003C66A0" w:rsidRDefault="008D6F57" w:rsidP="006B21E2">
      <w:pPr>
        <w:pStyle w:val="Heading3"/>
        <w:jc w:val="both"/>
        <w:rPr>
          <w:rFonts w:eastAsiaTheme="majorEastAsia"/>
        </w:rPr>
      </w:pPr>
      <w:bookmarkStart w:id="172" w:name="_Toc214721978"/>
      <w:r w:rsidRPr="003C66A0">
        <w:rPr>
          <w:rFonts w:eastAsiaTheme="majorEastAsia"/>
        </w:rPr>
        <w:t>7</w:t>
      </w:r>
      <w:r w:rsidR="0076579E" w:rsidRPr="003C66A0">
        <w:rPr>
          <w:rFonts w:eastAsiaTheme="majorEastAsia"/>
        </w:rPr>
        <w:t>.5.2 Governance as Attack Vector</w:t>
      </w:r>
      <w:bookmarkEnd w:id="172"/>
    </w:p>
    <w:p w14:paraId="4371A01B" w14:textId="77777777" w:rsidR="0076579E" w:rsidRPr="003C66A0" w:rsidRDefault="0076579E" w:rsidP="006B21E2">
      <w:pPr>
        <w:jc w:val="both"/>
        <w:rPr>
          <w:rFonts w:eastAsiaTheme="majorEastAsia"/>
          <w:color w:val="000000" w:themeColor="text1"/>
        </w:rPr>
      </w:pPr>
      <w:r w:rsidRPr="003C66A0">
        <w:rPr>
          <w:rFonts w:eastAsiaTheme="majorEastAsia"/>
          <w:color w:val="000000" w:themeColor="text1"/>
        </w:rPr>
        <w:t>Governance attacks represent 31% of incidents:</w:t>
      </w:r>
    </w:p>
    <w:p w14:paraId="7811F6D1" w14:textId="77777777" w:rsidR="00FD343A" w:rsidRDefault="00FD343A" w:rsidP="006B21E2">
      <w:pPr>
        <w:jc w:val="both"/>
        <w:rPr>
          <w:rFonts w:eastAsiaTheme="majorEastAsia"/>
          <w:color w:val="000000" w:themeColor="text1"/>
        </w:rPr>
      </w:pPr>
    </w:p>
    <w:p w14:paraId="7918135B" w14:textId="724910AF" w:rsidR="0076579E" w:rsidRPr="003C66A0" w:rsidRDefault="0076579E" w:rsidP="006B21E2">
      <w:pPr>
        <w:jc w:val="both"/>
        <w:rPr>
          <w:rFonts w:eastAsiaTheme="majorEastAsia"/>
          <w:color w:val="000000" w:themeColor="text1"/>
        </w:rPr>
      </w:pPr>
      <w:r w:rsidRPr="003C66A0">
        <w:rPr>
          <w:rFonts w:eastAsiaTheme="majorEastAsia"/>
          <w:color w:val="000000" w:themeColor="text1"/>
        </w:rPr>
        <w:t>Direct attacks (malicious proposals):</w:t>
      </w:r>
    </w:p>
    <w:p w14:paraId="2BAB8B50" w14:textId="77777777" w:rsidR="0076579E" w:rsidRPr="003C66A0" w:rsidRDefault="0076579E" w:rsidP="006B21E2">
      <w:pPr>
        <w:numPr>
          <w:ilvl w:val="0"/>
          <w:numId w:val="68"/>
        </w:numPr>
        <w:jc w:val="both"/>
        <w:rPr>
          <w:rFonts w:eastAsiaTheme="majorEastAsia"/>
          <w:color w:val="000000" w:themeColor="text1"/>
        </w:rPr>
      </w:pPr>
      <w:r w:rsidRPr="003C66A0">
        <w:rPr>
          <w:rFonts w:eastAsiaTheme="majorEastAsia"/>
          <w:color w:val="000000" w:themeColor="text1"/>
        </w:rPr>
        <w:t>Beanstalk: $182M through flash loan governance</w:t>
      </w:r>
    </w:p>
    <w:p w14:paraId="6F0C3C46" w14:textId="77777777" w:rsidR="0076579E" w:rsidRPr="003C66A0" w:rsidRDefault="0076579E" w:rsidP="006B21E2">
      <w:pPr>
        <w:numPr>
          <w:ilvl w:val="0"/>
          <w:numId w:val="68"/>
        </w:numPr>
        <w:jc w:val="both"/>
        <w:rPr>
          <w:rFonts w:eastAsiaTheme="majorEastAsia"/>
          <w:color w:val="000000" w:themeColor="text1"/>
        </w:rPr>
      </w:pPr>
      <w:r w:rsidRPr="003C66A0">
        <w:rPr>
          <w:rFonts w:eastAsiaTheme="majorEastAsia"/>
          <w:color w:val="000000" w:themeColor="text1"/>
        </w:rPr>
        <w:t>Build Finance: Treasury drained</w:t>
      </w:r>
    </w:p>
    <w:p w14:paraId="201E3E9A" w14:textId="77777777" w:rsidR="00FD343A" w:rsidRDefault="00FD343A" w:rsidP="006B21E2">
      <w:pPr>
        <w:jc w:val="both"/>
        <w:rPr>
          <w:rFonts w:eastAsiaTheme="majorEastAsia"/>
          <w:color w:val="000000" w:themeColor="text1"/>
        </w:rPr>
      </w:pPr>
    </w:p>
    <w:p w14:paraId="43713CD2" w14:textId="6436A9D5" w:rsidR="0076579E" w:rsidRPr="003C66A0" w:rsidRDefault="0076579E" w:rsidP="006B21E2">
      <w:pPr>
        <w:jc w:val="both"/>
        <w:rPr>
          <w:rFonts w:eastAsiaTheme="majorEastAsia"/>
          <w:color w:val="000000" w:themeColor="text1"/>
        </w:rPr>
      </w:pPr>
      <w:r w:rsidRPr="003C66A0">
        <w:rPr>
          <w:rFonts w:eastAsiaTheme="majorEastAsia"/>
          <w:color w:val="000000" w:themeColor="text1"/>
        </w:rPr>
        <w:t>Indirect attacks (harmful decisions):</w:t>
      </w:r>
    </w:p>
    <w:p w14:paraId="6A3713A3" w14:textId="77777777" w:rsidR="0076579E" w:rsidRPr="003C66A0" w:rsidRDefault="0076579E" w:rsidP="006B21E2">
      <w:pPr>
        <w:numPr>
          <w:ilvl w:val="0"/>
          <w:numId w:val="69"/>
        </w:numPr>
        <w:jc w:val="both"/>
        <w:rPr>
          <w:rFonts w:eastAsiaTheme="majorEastAsia"/>
          <w:color w:val="000000" w:themeColor="text1"/>
        </w:rPr>
      </w:pPr>
      <w:r w:rsidRPr="003C66A0">
        <w:rPr>
          <w:rFonts w:eastAsiaTheme="majorEastAsia"/>
          <w:color w:val="000000" w:themeColor="text1"/>
        </w:rPr>
        <w:t>Token emissions destroying economics</w:t>
      </w:r>
    </w:p>
    <w:p w14:paraId="5DF93BC4" w14:textId="77777777" w:rsidR="0076579E" w:rsidRPr="003C66A0" w:rsidRDefault="0076579E" w:rsidP="006B21E2">
      <w:pPr>
        <w:numPr>
          <w:ilvl w:val="0"/>
          <w:numId w:val="69"/>
        </w:numPr>
        <w:jc w:val="both"/>
        <w:rPr>
          <w:rFonts w:eastAsiaTheme="majorEastAsia"/>
          <w:color w:val="000000" w:themeColor="text1"/>
        </w:rPr>
      </w:pPr>
      <w:r w:rsidRPr="003C66A0">
        <w:rPr>
          <w:rFonts w:eastAsiaTheme="majorEastAsia"/>
          <w:color w:val="000000" w:themeColor="text1"/>
        </w:rPr>
        <w:t>Fee adjustments making pools unprofitable</w:t>
      </w:r>
    </w:p>
    <w:p w14:paraId="3D76A917" w14:textId="77777777" w:rsidR="0076579E" w:rsidRPr="003C66A0" w:rsidRDefault="0076579E" w:rsidP="006B21E2">
      <w:pPr>
        <w:numPr>
          <w:ilvl w:val="0"/>
          <w:numId w:val="69"/>
        </w:numPr>
        <w:jc w:val="both"/>
        <w:rPr>
          <w:rFonts w:eastAsiaTheme="majorEastAsia"/>
          <w:color w:val="000000" w:themeColor="text1"/>
        </w:rPr>
      </w:pPr>
      <w:r w:rsidRPr="003C66A0">
        <w:rPr>
          <w:rFonts w:eastAsiaTheme="majorEastAsia"/>
          <w:color w:val="000000" w:themeColor="text1"/>
        </w:rPr>
        <w:t>Strategic pivots abandoning users</w:t>
      </w:r>
    </w:p>
    <w:p w14:paraId="29D622C9" w14:textId="77777777" w:rsidR="00FD343A" w:rsidRDefault="00FD343A" w:rsidP="006B21E2">
      <w:pPr>
        <w:jc w:val="both"/>
        <w:rPr>
          <w:rFonts w:eastAsiaTheme="majorEastAsia"/>
          <w:color w:val="000000" w:themeColor="text1"/>
        </w:rPr>
      </w:pPr>
    </w:p>
    <w:p w14:paraId="68D55AB8" w14:textId="77777777" w:rsidR="00A62F99" w:rsidRDefault="0076579E" w:rsidP="006B21E2">
      <w:pPr>
        <w:jc w:val="both"/>
        <w:rPr>
          <w:rFonts w:eastAsiaTheme="majorEastAsia"/>
          <w:color w:val="000000" w:themeColor="text1"/>
        </w:rPr>
      </w:pPr>
      <w:r w:rsidRPr="003C66A0">
        <w:rPr>
          <w:rFonts w:eastAsiaTheme="majorEastAsia"/>
          <w:color w:val="000000" w:themeColor="text1"/>
        </w:rPr>
        <w:t xml:space="preserve">Optimal governance structure: </w:t>
      </w:r>
    </w:p>
    <w:p w14:paraId="3B09799E" w14:textId="77777777" w:rsidR="00A62F99" w:rsidRDefault="0076579E" w:rsidP="006B21E2">
      <w:pPr>
        <w:pStyle w:val="ListParagraph"/>
        <w:numPr>
          <w:ilvl w:val="0"/>
          <w:numId w:val="102"/>
        </w:numPr>
        <w:jc w:val="both"/>
        <w:rPr>
          <w:rFonts w:eastAsiaTheme="majorEastAsia"/>
          <w:color w:val="000000" w:themeColor="text1"/>
        </w:rPr>
      </w:pPr>
      <w:r w:rsidRPr="00A62F99">
        <w:rPr>
          <w:rFonts w:eastAsiaTheme="majorEastAsia"/>
          <w:color w:val="000000" w:themeColor="text1"/>
        </w:rPr>
        <w:t xml:space="preserve">9-11 </w:t>
      </w:r>
      <w:r w:rsidR="00A62F99" w:rsidRPr="00A62F99">
        <w:rPr>
          <w:rFonts w:eastAsiaTheme="majorEastAsia"/>
          <w:color w:val="000000" w:themeColor="text1"/>
        </w:rPr>
        <w:t>multiset</w:t>
      </w:r>
      <w:r w:rsidRPr="00A62F99">
        <w:rPr>
          <w:rFonts w:eastAsiaTheme="majorEastAsia"/>
          <w:color w:val="000000" w:themeColor="text1"/>
        </w:rPr>
        <w:t xml:space="preserve"> </w:t>
      </w:r>
      <w:proofErr w:type="gramStart"/>
      <w:r w:rsidRPr="00A62F99">
        <w:rPr>
          <w:rFonts w:eastAsiaTheme="majorEastAsia"/>
          <w:color w:val="000000" w:themeColor="text1"/>
        </w:rPr>
        <w:t>signers</w:t>
      </w:r>
      <w:proofErr w:type="gramEnd"/>
      <w:r w:rsidRPr="00A62F99">
        <w:rPr>
          <w:rFonts w:eastAsiaTheme="majorEastAsia"/>
          <w:color w:val="000000" w:themeColor="text1"/>
        </w:rPr>
        <w:t xml:space="preserve">. </w:t>
      </w:r>
    </w:p>
    <w:p w14:paraId="0083A05B" w14:textId="77777777" w:rsidR="00A62F99" w:rsidRDefault="0076579E" w:rsidP="006B21E2">
      <w:pPr>
        <w:pStyle w:val="ListParagraph"/>
        <w:numPr>
          <w:ilvl w:val="0"/>
          <w:numId w:val="102"/>
        </w:numPr>
        <w:jc w:val="both"/>
        <w:rPr>
          <w:rFonts w:eastAsiaTheme="majorEastAsia"/>
          <w:color w:val="000000" w:themeColor="text1"/>
        </w:rPr>
      </w:pPr>
      <w:r w:rsidRPr="00A62F99">
        <w:rPr>
          <w:rFonts w:eastAsiaTheme="majorEastAsia"/>
          <w:color w:val="000000" w:themeColor="text1"/>
        </w:rPr>
        <w:t xml:space="preserve">Below 7 creates centralization risk. </w:t>
      </w:r>
    </w:p>
    <w:p w14:paraId="0C41BDDC" w14:textId="758B6A8D" w:rsidR="0076579E" w:rsidRPr="00A62F99" w:rsidRDefault="0076579E" w:rsidP="006B21E2">
      <w:pPr>
        <w:pStyle w:val="ListParagraph"/>
        <w:numPr>
          <w:ilvl w:val="0"/>
          <w:numId w:val="102"/>
        </w:numPr>
        <w:jc w:val="both"/>
        <w:rPr>
          <w:rFonts w:eastAsiaTheme="majorEastAsia"/>
          <w:color w:val="000000" w:themeColor="text1"/>
        </w:rPr>
      </w:pPr>
      <w:r w:rsidRPr="00A62F99">
        <w:rPr>
          <w:rFonts w:eastAsiaTheme="majorEastAsia"/>
          <w:color w:val="000000" w:themeColor="text1"/>
        </w:rPr>
        <w:t>Above 13 creates coordination problems.</w:t>
      </w:r>
    </w:p>
    <w:p w14:paraId="47902224" w14:textId="77777777" w:rsidR="005C21FD" w:rsidRPr="003C66A0" w:rsidRDefault="005C21FD" w:rsidP="006B21E2">
      <w:pPr>
        <w:jc w:val="both"/>
        <w:rPr>
          <w:rFonts w:eastAsiaTheme="majorEastAsia"/>
          <w:b/>
          <w:bCs/>
          <w:color w:val="000000" w:themeColor="text1"/>
        </w:rPr>
      </w:pPr>
    </w:p>
    <w:p w14:paraId="511D66FB" w14:textId="6F1D1349" w:rsidR="0076579E" w:rsidRPr="003C66A0" w:rsidRDefault="008D6F57" w:rsidP="006B21E2">
      <w:pPr>
        <w:pStyle w:val="Heading2"/>
        <w:jc w:val="both"/>
        <w:rPr>
          <w:rFonts w:eastAsiaTheme="majorEastAsia"/>
        </w:rPr>
      </w:pPr>
      <w:bookmarkStart w:id="173" w:name="_Toc214721979"/>
      <w:r w:rsidRPr="003C66A0">
        <w:rPr>
          <w:rFonts w:eastAsiaTheme="majorEastAsia"/>
        </w:rPr>
        <w:t>7</w:t>
      </w:r>
      <w:r w:rsidR="0076579E" w:rsidRPr="003C66A0">
        <w:rPr>
          <w:rFonts w:eastAsiaTheme="majorEastAsia"/>
        </w:rPr>
        <w:t>.6 Contagion Dynamics: Mapping Cascades</w:t>
      </w:r>
      <w:bookmarkEnd w:id="173"/>
    </w:p>
    <w:p w14:paraId="0E8A9F27" w14:textId="46CEC6B7" w:rsidR="00F5135C" w:rsidRPr="003C66A0" w:rsidRDefault="0076579E" w:rsidP="006B21E2">
      <w:pPr>
        <w:jc w:val="both"/>
        <w:rPr>
          <w:rFonts w:eastAsiaTheme="majorEastAsia"/>
          <w:color w:val="000000" w:themeColor="text1"/>
        </w:rPr>
      </w:pPr>
      <w:r w:rsidRPr="003C66A0">
        <w:rPr>
          <w:rFonts w:eastAsiaTheme="majorEastAsia"/>
          <w:color w:val="000000" w:themeColor="text1"/>
        </w:rPr>
        <w:t>Terra/Luna collapse provides clearest contagion data:</w:t>
      </w:r>
    </w:p>
    <w:p w14:paraId="2639B199" w14:textId="7C9ABE4E" w:rsidR="00FD343A" w:rsidRPr="00FD343A" w:rsidRDefault="0076579E" w:rsidP="006B21E2">
      <w:pPr>
        <w:pStyle w:val="ListParagraph"/>
        <w:numPr>
          <w:ilvl w:val="0"/>
          <w:numId w:val="102"/>
        </w:numPr>
        <w:jc w:val="both"/>
        <w:rPr>
          <w:rFonts w:eastAsiaTheme="majorEastAsia"/>
          <w:color w:val="000000" w:themeColor="text1"/>
        </w:rPr>
      </w:pPr>
      <w:r w:rsidRPr="00FD343A">
        <w:rPr>
          <w:rFonts w:eastAsiaTheme="majorEastAsia"/>
          <w:color w:val="000000" w:themeColor="text1"/>
        </w:rPr>
        <w:t>H</w:t>
      </w:r>
      <w:r w:rsidR="00FD343A" w:rsidRPr="00FD343A">
        <w:rPr>
          <w:rFonts w:eastAsiaTheme="majorEastAsia"/>
          <w:color w:val="000000" w:themeColor="text1"/>
        </w:rPr>
        <w:t>ours</w:t>
      </w:r>
      <w:r w:rsidR="00231D5B" w:rsidRPr="00FD343A">
        <w:rPr>
          <w:rFonts w:eastAsiaTheme="majorEastAsia"/>
          <w:color w:val="000000" w:themeColor="text1"/>
        </w:rPr>
        <w:t xml:space="preserve"> </w:t>
      </w:r>
      <w:r w:rsidRPr="00FD343A">
        <w:rPr>
          <w:rFonts w:eastAsiaTheme="majorEastAsia"/>
          <w:color w:val="000000" w:themeColor="text1"/>
        </w:rPr>
        <w:t xml:space="preserve">0-6: Direct exposure loses 40-60% TVL </w:t>
      </w:r>
    </w:p>
    <w:p w14:paraId="334A9875" w14:textId="19554BA5" w:rsidR="00FD343A" w:rsidRPr="00FD343A" w:rsidRDefault="0076579E" w:rsidP="006B21E2">
      <w:pPr>
        <w:pStyle w:val="ListParagraph"/>
        <w:numPr>
          <w:ilvl w:val="0"/>
          <w:numId w:val="102"/>
        </w:numPr>
        <w:jc w:val="both"/>
        <w:rPr>
          <w:rFonts w:eastAsiaTheme="majorEastAsia"/>
          <w:color w:val="000000" w:themeColor="text1"/>
        </w:rPr>
      </w:pPr>
      <w:r w:rsidRPr="00FD343A">
        <w:rPr>
          <w:rFonts w:eastAsiaTheme="majorEastAsia"/>
          <w:color w:val="000000" w:themeColor="text1"/>
        </w:rPr>
        <w:t>H</w:t>
      </w:r>
      <w:r w:rsidR="00FD343A" w:rsidRPr="00FD343A">
        <w:rPr>
          <w:rFonts w:eastAsiaTheme="majorEastAsia"/>
          <w:color w:val="000000" w:themeColor="text1"/>
        </w:rPr>
        <w:t>ours</w:t>
      </w:r>
      <w:r w:rsidR="00231D5B" w:rsidRPr="00FD343A">
        <w:rPr>
          <w:rFonts w:eastAsiaTheme="majorEastAsia"/>
          <w:color w:val="000000" w:themeColor="text1"/>
        </w:rPr>
        <w:t xml:space="preserve"> </w:t>
      </w:r>
      <w:r w:rsidRPr="00FD343A">
        <w:rPr>
          <w:rFonts w:eastAsiaTheme="majorEastAsia"/>
          <w:color w:val="000000" w:themeColor="text1"/>
        </w:rPr>
        <w:t xml:space="preserve">6-24: Adjacent protocols lose 20-30% </w:t>
      </w:r>
    </w:p>
    <w:p w14:paraId="37AF912F" w14:textId="77777777" w:rsidR="00FD343A" w:rsidRPr="00FD343A" w:rsidRDefault="0076579E" w:rsidP="006B21E2">
      <w:pPr>
        <w:pStyle w:val="ListParagraph"/>
        <w:numPr>
          <w:ilvl w:val="0"/>
          <w:numId w:val="102"/>
        </w:numPr>
        <w:jc w:val="both"/>
        <w:rPr>
          <w:rFonts w:eastAsiaTheme="majorEastAsia"/>
          <w:color w:val="000000" w:themeColor="text1"/>
        </w:rPr>
      </w:pPr>
      <w:r w:rsidRPr="00FD343A">
        <w:rPr>
          <w:rFonts w:eastAsiaTheme="majorEastAsia"/>
          <w:color w:val="000000" w:themeColor="text1"/>
        </w:rPr>
        <w:t xml:space="preserve">Day 2-3: Sentiment contagion reaches unconnected protocols (10-15%) </w:t>
      </w:r>
    </w:p>
    <w:p w14:paraId="6AD9F32B" w14:textId="77777777" w:rsidR="00FD343A" w:rsidRPr="00FD343A" w:rsidRDefault="0076579E" w:rsidP="006B21E2">
      <w:pPr>
        <w:pStyle w:val="ListParagraph"/>
        <w:numPr>
          <w:ilvl w:val="0"/>
          <w:numId w:val="102"/>
        </w:numPr>
        <w:jc w:val="both"/>
        <w:rPr>
          <w:rFonts w:eastAsiaTheme="majorEastAsia"/>
          <w:color w:val="000000" w:themeColor="text1"/>
        </w:rPr>
      </w:pPr>
      <w:r w:rsidRPr="00FD343A">
        <w:rPr>
          <w:rFonts w:eastAsiaTheme="majorEastAsia"/>
          <w:color w:val="000000" w:themeColor="text1"/>
        </w:rPr>
        <w:t xml:space="preserve">Day 4-7: Liquidation cascades create second wave (15-20%) </w:t>
      </w:r>
    </w:p>
    <w:p w14:paraId="777BB3D7" w14:textId="65618FE3" w:rsidR="0076579E" w:rsidRPr="00FD343A" w:rsidRDefault="0076579E" w:rsidP="006B21E2">
      <w:pPr>
        <w:pStyle w:val="ListParagraph"/>
        <w:numPr>
          <w:ilvl w:val="0"/>
          <w:numId w:val="102"/>
        </w:numPr>
        <w:jc w:val="both"/>
        <w:rPr>
          <w:rFonts w:eastAsiaTheme="majorEastAsia"/>
          <w:color w:val="000000" w:themeColor="text1"/>
        </w:rPr>
      </w:pPr>
      <w:r w:rsidRPr="00FD343A">
        <w:rPr>
          <w:rFonts w:eastAsiaTheme="majorEastAsia"/>
          <w:color w:val="000000" w:themeColor="text1"/>
        </w:rPr>
        <w:t>Week 2-4: Survivor protocols gain 30-40% from migration</w:t>
      </w:r>
    </w:p>
    <w:p w14:paraId="56995DC9" w14:textId="77777777" w:rsidR="00FD343A" w:rsidRDefault="00FD343A" w:rsidP="006B21E2">
      <w:pPr>
        <w:jc w:val="both"/>
        <w:rPr>
          <w:rFonts w:eastAsiaTheme="majorEastAsia"/>
          <w:color w:val="000000" w:themeColor="text1"/>
        </w:rPr>
      </w:pPr>
    </w:p>
    <w:p w14:paraId="5FAF43F4" w14:textId="59B12A08" w:rsidR="0076579E" w:rsidRPr="003C66A0" w:rsidRDefault="0076579E" w:rsidP="006B21E2">
      <w:pPr>
        <w:jc w:val="both"/>
        <w:rPr>
          <w:rFonts w:eastAsiaTheme="majorEastAsia"/>
          <w:color w:val="000000" w:themeColor="text1"/>
        </w:rPr>
      </w:pPr>
      <w:r w:rsidRPr="003C66A0">
        <w:rPr>
          <w:rFonts w:eastAsiaTheme="majorEastAsia"/>
          <w:color w:val="000000" w:themeColor="text1"/>
        </w:rPr>
        <w:t>Contagion velocity follows power law</w:t>
      </w:r>
      <w:r w:rsidR="00242D69">
        <w:rPr>
          <w:rFonts w:eastAsiaTheme="majorEastAsia"/>
          <w:color w:val="000000" w:themeColor="text1"/>
        </w:rPr>
        <w:t xml:space="preserve"> with the </w:t>
      </w:r>
      <w:r w:rsidRPr="003C66A0">
        <w:rPr>
          <w:rFonts w:eastAsiaTheme="majorEastAsia"/>
          <w:color w:val="000000" w:themeColor="text1"/>
        </w:rPr>
        <w:t>most damage in 24 hours</w:t>
      </w:r>
      <w:r w:rsidR="00242D69">
        <w:rPr>
          <w:rFonts w:eastAsiaTheme="majorEastAsia"/>
          <w:color w:val="000000" w:themeColor="text1"/>
        </w:rPr>
        <w:t xml:space="preserve"> and</w:t>
      </w:r>
      <w:r w:rsidRPr="003C66A0">
        <w:rPr>
          <w:rFonts w:eastAsiaTheme="majorEastAsia"/>
          <w:color w:val="000000" w:themeColor="text1"/>
        </w:rPr>
        <w:t xml:space="preserve"> long tail of impacts.</w:t>
      </w:r>
    </w:p>
    <w:p w14:paraId="24B10133" w14:textId="77777777" w:rsidR="00702CA4" w:rsidRDefault="00702CA4" w:rsidP="006B21E2">
      <w:pPr>
        <w:jc w:val="both"/>
        <w:rPr>
          <w:rFonts w:eastAsiaTheme="majorEastAsia"/>
          <w:color w:val="000000" w:themeColor="text1"/>
        </w:rPr>
      </w:pPr>
    </w:p>
    <w:p w14:paraId="4DF286F1" w14:textId="54488D2F" w:rsidR="00B328BF" w:rsidRPr="00CD1564" w:rsidRDefault="00B328BF" w:rsidP="006B21E2">
      <w:pPr>
        <w:pStyle w:val="Heading3"/>
        <w:rPr>
          <w:rFonts w:eastAsiaTheme="majorEastAsia"/>
        </w:rPr>
      </w:pPr>
      <w:bookmarkStart w:id="174" w:name="_Toc214721980"/>
      <w:r w:rsidRPr="00CD1564">
        <w:rPr>
          <w:rFonts w:eastAsiaTheme="majorEastAsia"/>
        </w:rPr>
        <w:t>Table 7.</w:t>
      </w:r>
      <w:r w:rsidR="00C5607F">
        <w:rPr>
          <w:rFonts w:eastAsiaTheme="majorEastAsia"/>
        </w:rPr>
        <w:t>B</w:t>
      </w:r>
      <w:r w:rsidRPr="00CD1564">
        <w:rPr>
          <w:rFonts w:eastAsiaTheme="majorEastAsia"/>
        </w:rPr>
        <w:t>: Terra/Luna Contagion Cascade (May 2022) - Empirical TVL Loss Progression</w:t>
      </w:r>
      <w:bookmarkEnd w:id="174"/>
    </w:p>
    <w:p w14:paraId="2C51EE27" w14:textId="77777777" w:rsidR="00B328BF" w:rsidRDefault="00B328BF" w:rsidP="006B21E2">
      <w:pPr>
        <w:jc w:val="both"/>
        <w:rPr>
          <w:rFonts w:eastAsiaTheme="majorEastAsia"/>
          <w:color w:val="000000" w:themeColor="text1"/>
        </w:rPr>
      </w:pPr>
    </w:p>
    <w:tbl>
      <w:tblPr>
        <w:tblW w:w="9501" w:type="dxa"/>
        <w:tblInd w:w="-45" w:type="dxa"/>
        <w:tblLayout w:type="fixed"/>
        <w:tblCellMar>
          <w:left w:w="30" w:type="dxa"/>
          <w:right w:w="30" w:type="dxa"/>
        </w:tblCellMar>
        <w:tblLook w:val="0000" w:firstRow="0" w:lastRow="0" w:firstColumn="0" w:lastColumn="0" w:noHBand="0" w:noVBand="0"/>
      </w:tblPr>
      <w:tblGrid>
        <w:gridCol w:w="1470"/>
        <w:gridCol w:w="4050"/>
        <w:gridCol w:w="1530"/>
        <w:gridCol w:w="2451"/>
      </w:tblGrid>
      <w:tr w:rsidR="00BE34EA" w:rsidRPr="00BE34EA" w14:paraId="30247D59" w14:textId="77777777" w:rsidTr="00BE34EA">
        <w:trPr>
          <w:trHeight w:val="305"/>
        </w:trPr>
        <w:tc>
          <w:tcPr>
            <w:tcW w:w="1470" w:type="dxa"/>
            <w:tcBorders>
              <w:top w:val="single" w:sz="12" w:space="0" w:color="auto"/>
              <w:left w:val="single" w:sz="12" w:space="0" w:color="auto"/>
              <w:bottom w:val="single" w:sz="6" w:space="0" w:color="auto"/>
              <w:right w:val="single" w:sz="6" w:space="0" w:color="auto"/>
            </w:tcBorders>
            <w:shd w:val="clear" w:color="auto" w:fill="D9D9D9" w:themeFill="background1" w:themeFillShade="D9"/>
          </w:tcPr>
          <w:p w14:paraId="1BF262E6" w14:textId="77777777" w:rsidR="00B328BF" w:rsidRPr="00BE34EA" w:rsidRDefault="00B328BF" w:rsidP="006B21E2">
            <w:pPr>
              <w:autoSpaceDE w:val="0"/>
              <w:autoSpaceDN w:val="0"/>
              <w:adjustRightInd w:val="0"/>
              <w:rPr>
                <w:rFonts w:eastAsiaTheme="minorEastAsia"/>
                <w:b/>
                <w:bCs/>
                <w:color w:val="000000" w:themeColor="text1"/>
                <w:sz w:val="22"/>
                <w:szCs w:val="22"/>
              </w:rPr>
            </w:pPr>
            <w:r w:rsidRPr="00BE34EA">
              <w:rPr>
                <w:rFonts w:eastAsiaTheme="minorEastAsia"/>
                <w:b/>
                <w:bCs/>
                <w:color w:val="000000" w:themeColor="text1"/>
                <w:sz w:val="22"/>
                <w:szCs w:val="22"/>
              </w:rPr>
              <w:t>Time Period</w:t>
            </w:r>
          </w:p>
        </w:tc>
        <w:tc>
          <w:tcPr>
            <w:tcW w:w="4050" w:type="dxa"/>
            <w:tcBorders>
              <w:top w:val="single" w:sz="12" w:space="0" w:color="auto"/>
              <w:left w:val="single" w:sz="6" w:space="0" w:color="auto"/>
              <w:bottom w:val="single" w:sz="6" w:space="0" w:color="auto"/>
              <w:right w:val="single" w:sz="6" w:space="0" w:color="auto"/>
            </w:tcBorders>
            <w:shd w:val="clear" w:color="auto" w:fill="D9D9D9" w:themeFill="background1" w:themeFillShade="D9"/>
          </w:tcPr>
          <w:p w14:paraId="3CC8C82E" w14:textId="77777777" w:rsidR="00B328BF" w:rsidRPr="00BE34EA" w:rsidRDefault="00B328BF" w:rsidP="006B21E2">
            <w:pPr>
              <w:autoSpaceDE w:val="0"/>
              <w:autoSpaceDN w:val="0"/>
              <w:adjustRightInd w:val="0"/>
              <w:rPr>
                <w:rFonts w:eastAsiaTheme="minorEastAsia"/>
                <w:b/>
                <w:bCs/>
                <w:color w:val="000000" w:themeColor="text1"/>
                <w:sz w:val="22"/>
                <w:szCs w:val="22"/>
              </w:rPr>
            </w:pPr>
            <w:r w:rsidRPr="00BE34EA">
              <w:rPr>
                <w:rFonts w:eastAsiaTheme="minorEastAsia"/>
                <w:b/>
                <w:bCs/>
                <w:color w:val="000000" w:themeColor="text1"/>
                <w:sz w:val="22"/>
                <w:szCs w:val="22"/>
              </w:rPr>
              <w:t>Affected Protocols</w:t>
            </w:r>
          </w:p>
        </w:tc>
        <w:tc>
          <w:tcPr>
            <w:tcW w:w="1530" w:type="dxa"/>
            <w:tcBorders>
              <w:top w:val="single" w:sz="12" w:space="0" w:color="auto"/>
              <w:left w:val="single" w:sz="6" w:space="0" w:color="auto"/>
              <w:bottom w:val="single" w:sz="6" w:space="0" w:color="auto"/>
              <w:right w:val="single" w:sz="6" w:space="0" w:color="auto"/>
            </w:tcBorders>
            <w:shd w:val="clear" w:color="auto" w:fill="D9D9D9" w:themeFill="background1" w:themeFillShade="D9"/>
          </w:tcPr>
          <w:p w14:paraId="7DB45025" w14:textId="77777777" w:rsidR="00B328BF" w:rsidRPr="00BE34EA" w:rsidRDefault="00B328BF" w:rsidP="006B21E2">
            <w:pPr>
              <w:autoSpaceDE w:val="0"/>
              <w:autoSpaceDN w:val="0"/>
              <w:adjustRightInd w:val="0"/>
              <w:rPr>
                <w:rFonts w:eastAsiaTheme="minorEastAsia"/>
                <w:b/>
                <w:bCs/>
                <w:color w:val="000000" w:themeColor="text1"/>
                <w:sz w:val="22"/>
                <w:szCs w:val="22"/>
              </w:rPr>
            </w:pPr>
            <w:r w:rsidRPr="00BE34EA">
              <w:rPr>
                <w:rFonts w:eastAsiaTheme="minorEastAsia"/>
                <w:b/>
                <w:bCs/>
                <w:color w:val="000000" w:themeColor="text1"/>
                <w:sz w:val="22"/>
                <w:szCs w:val="22"/>
              </w:rPr>
              <w:t>TVL Loss (%)</w:t>
            </w:r>
          </w:p>
        </w:tc>
        <w:tc>
          <w:tcPr>
            <w:tcW w:w="2451" w:type="dxa"/>
            <w:tcBorders>
              <w:top w:val="single" w:sz="12" w:space="0" w:color="auto"/>
              <w:left w:val="single" w:sz="6" w:space="0" w:color="auto"/>
              <w:bottom w:val="single" w:sz="6" w:space="0" w:color="auto"/>
              <w:right w:val="single" w:sz="12" w:space="0" w:color="auto"/>
            </w:tcBorders>
            <w:shd w:val="clear" w:color="auto" w:fill="D9D9D9" w:themeFill="background1" w:themeFillShade="D9"/>
          </w:tcPr>
          <w:p w14:paraId="09738791" w14:textId="77777777" w:rsidR="00B328BF" w:rsidRPr="00BE34EA" w:rsidRDefault="00B328BF" w:rsidP="006B21E2">
            <w:pPr>
              <w:autoSpaceDE w:val="0"/>
              <w:autoSpaceDN w:val="0"/>
              <w:adjustRightInd w:val="0"/>
              <w:rPr>
                <w:rFonts w:eastAsiaTheme="minorEastAsia"/>
                <w:b/>
                <w:bCs/>
                <w:color w:val="000000" w:themeColor="text1"/>
                <w:sz w:val="22"/>
                <w:szCs w:val="22"/>
              </w:rPr>
            </w:pPr>
            <w:r w:rsidRPr="00BE34EA">
              <w:rPr>
                <w:rFonts w:eastAsiaTheme="minorEastAsia"/>
                <w:b/>
                <w:bCs/>
                <w:color w:val="000000" w:themeColor="text1"/>
                <w:sz w:val="22"/>
                <w:szCs w:val="22"/>
              </w:rPr>
              <w:t>Contagion Type</w:t>
            </w:r>
          </w:p>
        </w:tc>
      </w:tr>
      <w:tr w:rsidR="00BE34EA" w:rsidRPr="00BE34EA" w14:paraId="516BDD2B" w14:textId="77777777" w:rsidTr="00BE34EA">
        <w:trPr>
          <w:trHeight w:val="305"/>
        </w:trPr>
        <w:tc>
          <w:tcPr>
            <w:tcW w:w="1470" w:type="dxa"/>
            <w:tcBorders>
              <w:top w:val="single" w:sz="6" w:space="0" w:color="auto"/>
              <w:left w:val="single" w:sz="12" w:space="0" w:color="auto"/>
              <w:bottom w:val="single" w:sz="6" w:space="0" w:color="auto"/>
              <w:right w:val="single" w:sz="6" w:space="0" w:color="auto"/>
            </w:tcBorders>
          </w:tcPr>
          <w:p w14:paraId="02E9979A" w14:textId="77777777" w:rsidR="00B328BF" w:rsidRPr="00BE34EA" w:rsidRDefault="00B328BF" w:rsidP="006B21E2">
            <w:pPr>
              <w:autoSpaceDE w:val="0"/>
              <w:autoSpaceDN w:val="0"/>
              <w:adjustRightInd w:val="0"/>
              <w:rPr>
                <w:rFonts w:eastAsiaTheme="minorEastAsia"/>
                <w:color w:val="000000" w:themeColor="text1"/>
                <w:sz w:val="22"/>
                <w:szCs w:val="22"/>
              </w:rPr>
            </w:pPr>
            <w:r w:rsidRPr="00BE34EA">
              <w:rPr>
                <w:rFonts w:eastAsiaTheme="minorEastAsia"/>
                <w:color w:val="000000" w:themeColor="text1"/>
                <w:sz w:val="22"/>
                <w:szCs w:val="22"/>
              </w:rPr>
              <w:t>Hours 0-6</w:t>
            </w:r>
          </w:p>
        </w:tc>
        <w:tc>
          <w:tcPr>
            <w:tcW w:w="4050" w:type="dxa"/>
            <w:tcBorders>
              <w:top w:val="single" w:sz="6" w:space="0" w:color="auto"/>
              <w:left w:val="single" w:sz="6" w:space="0" w:color="auto"/>
              <w:bottom w:val="single" w:sz="6" w:space="0" w:color="auto"/>
              <w:right w:val="single" w:sz="6" w:space="0" w:color="auto"/>
            </w:tcBorders>
          </w:tcPr>
          <w:p w14:paraId="5669A15F" w14:textId="77777777" w:rsidR="00B328BF" w:rsidRPr="00BE34EA" w:rsidRDefault="00B328BF" w:rsidP="006B21E2">
            <w:pPr>
              <w:autoSpaceDE w:val="0"/>
              <w:autoSpaceDN w:val="0"/>
              <w:adjustRightInd w:val="0"/>
              <w:rPr>
                <w:rFonts w:eastAsiaTheme="minorEastAsia"/>
                <w:color w:val="000000" w:themeColor="text1"/>
                <w:sz w:val="22"/>
                <w:szCs w:val="22"/>
              </w:rPr>
            </w:pPr>
            <w:r w:rsidRPr="00BE34EA">
              <w:rPr>
                <w:rFonts w:eastAsiaTheme="minorEastAsia"/>
                <w:color w:val="000000" w:themeColor="text1"/>
                <w:sz w:val="22"/>
                <w:szCs w:val="22"/>
              </w:rPr>
              <w:t>Direct Terra exposure: Anchor Protocol, UST pools, LUNA collateral</w:t>
            </w:r>
          </w:p>
        </w:tc>
        <w:tc>
          <w:tcPr>
            <w:tcW w:w="1530" w:type="dxa"/>
            <w:tcBorders>
              <w:top w:val="single" w:sz="6" w:space="0" w:color="auto"/>
              <w:left w:val="single" w:sz="6" w:space="0" w:color="auto"/>
              <w:bottom w:val="single" w:sz="6" w:space="0" w:color="auto"/>
              <w:right w:val="single" w:sz="6" w:space="0" w:color="auto"/>
            </w:tcBorders>
          </w:tcPr>
          <w:p w14:paraId="2D609CB8" w14:textId="77777777" w:rsidR="00B328BF" w:rsidRPr="00BE34EA" w:rsidRDefault="00B328BF" w:rsidP="006B21E2">
            <w:pPr>
              <w:autoSpaceDE w:val="0"/>
              <w:autoSpaceDN w:val="0"/>
              <w:adjustRightInd w:val="0"/>
              <w:rPr>
                <w:rFonts w:eastAsiaTheme="minorEastAsia"/>
                <w:color w:val="000000" w:themeColor="text1"/>
                <w:sz w:val="22"/>
                <w:szCs w:val="22"/>
              </w:rPr>
            </w:pPr>
            <w:r w:rsidRPr="00BE34EA">
              <w:rPr>
                <w:rFonts w:eastAsiaTheme="minorEastAsia"/>
                <w:color w:val="000000" w:themeColor="text1"/>
                <w:sz w:val="22"/>
                <w:szCs w:val="22"/>
              </w:rPr>
              <w:t>40-60%</w:t>
            </w:r>
          </w:p>
        </w:tc>
        <w:tc>
          <w:tcPr>
            <w:tcW w:w="2451" w:type="dxa"/>
            <w:tcBorders>
              <w:top w:val="single" w:sz="6" w:space="0" w:color="auto"/>
              <w:left w:val="single" w:sz="6" w:space="0" w:color="auto"/>
              <w:bottom w:val="single" w:sz="6" w:space="0" w:color="auto"/>
              <w:right w:val="single" w:sz="12" w:space="0" w:color="auto"/>
            </w:tcBorders>
          </w:tcPr>
          <w:p w14:paraId="6E691C34" w14:textId="77777777" w:rsidR="00B328BF" w:rsidRPr="00BE34EA" w:rsidRDefault="00B328BF" w:rsidP="006B21E2">
            <w:pPr>
              <w:autoSpaceDE w:val="0"/>
              <w:autoSpaceDN w:val="0"/>
              <w:adjustRightInd w:val="0"/>
              <w:rPr>
                <w:rFonts w:eastAsiaTheme="minorEastAsia"/>
                <w:color w:val="000000" w:themeColor="text1"/>
                <w:sz w:val="22"/>
                <w:szCs w:val="22"/>
              </w:rPr>
            </w:pPr>
            <w:r w:rsidRPr="00BE34EA">
              <w:rPr>
                <w:rFonts w:eastAsiaTheme="minorEastAsia"/>
                <w:color w:val="000000" w:themeColor="text1"/>
                <w:sz w:val="22"/>
                <w:szCs w:val="22"/>
              </w:rPr>
              <w:t>Direct</w:t>
            </w:r>
          </w:p>
        </w:tc>
      </w:tr>
      <w:tr w:rsidR="00BE34EA" w:rsidRPr="00BE34EA" w14:paraId="3E7FBFF7" w14:textId="77777777" w:rsidTr="00BE34EA">
        <w:trPr>
          <w:trHeight w:val="305"/>
        </w:trPr>
        <w:tc>
          <w:tcPr>
            <w:tcW w:w="1470" w:type="dxa"/>
            <w:tcBorders>
              <w:top w:val="single" w:sz="6" w:space="0" w:color="auto"/>
              <w:left w:val="single" w:sz="12" w:space="0" w:color="auto"/>
              <w:bottom w:val="single" w:sz="6" w:space="0" w:color="auto"/>
              <w:right w:val="single" w:sz="6" w:space="0" w:color="auto"/>
            </w:tcBorders>
          </w:tcPr>
          <w:p w14:paraId="32109237" w14:textId="77777777" w:rsidR="00B328BF" w:rsidRPr="00BE34EA" w:rsidRDefault="00B328BF" w:rsidP="006B21E2">
            <w:pPr>
              <w:autoSpaceDE w:val="0"/>
              <w:autoSpaceDN w:val="0"/>
              <w:adjustRightInd w:val="0"/>
              <w:rPr>
                <w:rFonts w:eastAsiaTheme="minorEastAsia"/>
                <w:color w:val="000000" w:themeColor="text1"/>
                <w:sz w:val="22"/>
                <w:szCs w:val="22"/>
              </w:rPr>
            </w:pPr>
            <w:r w:rsidRPr="00BE34EA">
              <w:rPr>
                <w:rFonts w:eastAsiaTheme="minorEastAsia"/>
                <w:color w:val="000000" w:themeColor="text1"/>
                <w:sz w:val="22"/>
                <w:szCs w:val="22"/>
              </w:rPr>
              <w:t>Hours 6-24</w:t>
            </w:r>
          </w:p>
        </w:tc>
        <w:tc>
          <w:tcPr>
            <w:tcW w:w="4050" w:type="dxa"/>
            <w:tcBorders>
              <w:top w:val="single" w:sz="6" w:space="0" w:color="auto"/>
              <w:left w:val="single" w:sz="6" w:space="0" w:color="auto"/>
              <w:bottom w:val="single" w:sz="6" w:space="0" w:color="auto"/>
              <w:right w:val="single" w:sz="6" w:space="0" w:color="auto"/>
            </w:tcBorders>
          </w:tcPr>
          <w:p w14:paraId="40C6086B" w14:textId="77777777" w:rsidR="00B328BF" w:rsidRPr="00BE34EA" w:rsidRDefault="00B328BF" w:rsidP="006B21E2">
            <w:pPr>
              <w:autoSpaceDE w:val="0"/>
              <w:autoSpaceDN w:val="0"/>
              <w:adjustRightInd w:val="0"/>
              <w:rPr>
                <w:rFonts w:eastAsiaTheme="minorEastAsia"/>
                <w:color w:val="000000" w:themeColor="text1"/>
                <w:sz w:val="22"/>
                <w:szCs w:val="22"/>
              </w:rPr>
            </w:pPr>
            <w:r w:rsidRPr="00BE34EA">
              <w:rPr>
                <w:rFonts w:eastAsiaTheme="minorEastAsia"/>
                <w:color w:val="000000" w:themeColor="text1"/>
                <w:sz w:val="22"/>
                <w:szCs w:val="22"/>
              </w:rPr>
              <w:t>Adjacent protocols: Curve pools (UST), Lending platforms, Liquidation cascades</w:t>
            </w:r>
          </w:p>
        </w:tc>
        <w:tc>
          <w:tcPr>
            <w:tcW w:w="1530" w:type="dxa"/>
            <w:tcBorders>
              <w:top w:val="single" w:sz="6" w:space="0" w:color="auto"/>
              <w:left w:val="single" w:sz="6" w:space="0" w:color="auto"/>
              <w:bottom w:val="single" w:sz="6" w:space="0" w:color="auto"/>
              <w:right w:val="single" w:sz="6" w:space="0" w:color="auto"/>
            </w:tcBorders>
          </w:tcPr>
          <w:p w14:paraId="083DD2CE" w14:textId="77777777" w:rsidR="00B328BF" w:rsidRPr="00BE34EA" w:rsidRDefault="00B328BF" w:rsidP="006B21E2">
            <w:pPr>
              <w:autoSpaceDE w:val="0"/>
              <w:autoSpaceDN w:val="0"/>
              <w:adjustRightInd w:val="0"/>
              <w:rPr>
                <w:rFonts w:eastAsiaTheme="minorEastAsia"/>
                <w:color w:val="000000" w:themeColor="text1"/>
                <w:sz w:val="22"/>
                <w:szCs w:val="22"/>
              </w:rPr>
            </w:pPr>
            <w:r w:rsidRPr="00BE34EA">
              <w:rPr>
                <w:rFonts w:eastAsiaTheme="minorEastAsia"/>
                <w:color w:val="000000" w:themeColor="text1"/>
                <w:sz w:val="22"/>
                <w:szCs w:val="22"/>
              </w:rPr>
              <w:t>20-30%</w:t>
            </w:r>
          </w:p>
        </w:tc>
        <w:tc>
          <w:tcPr>
            <w:tcW w:w="2451" w:type="dxa"/>
            <w:tcBorders>
              <w:top w:val="single" w:sz="6" w:space="0" w:color="auto"/>
              <w:left w:val="single" w:sz="6" w:space="0" w:color="auto"/>
              <w:bottom w:val="single" w:sz="6" w:space="0" w:color="auto"/>
              <w:right w:val="single" w:sz="12" w:space="0" w:color="auto"/>
            </w:tcBorders>
          </w:tcPr>
          <w:p w14:paraId="46CCEBD2" w14:textId="77777777" w:rsidR="00B328BF" w:rsidRPr="00BE34EA" w:rsidRDefault="00B328BF" w:rsidP="006B21E2">
            <w:pPr>
              <w:autoSpaceDE w:val="0"/>
              <w:autoSpaceDN w:val="0"/>
              <w:adjustRightInd w:val="0"/>
              <w:rPr>
                <w:rFonts w:eastAsiaTheme="minorEastAsia"/>
                <w:color w:val="000000" w:themeColor="text1"/>
                <w:sz w:val="22"/>
                <w:szCs w:val="22"/>
              </w:rPr>
            </w:pPr>
            <w:r w:rsidRPr="00BE34EA">
              <w:rPr>
                <w:rFonts w:eastAsiaTheme="minorEastAsia"/>
                <w:color w:val="000000" w:themeColor="text1"/>
                <w:sz w:val="22"/>
                <w:szCs w:val="22"/>
              </w:rPr>
              <w:t>Liquidity</w:t>
            </w:r>
          </w:p>
        </w:tc>
      </w:tr>
      <w:tr w:rsidR="00BE34EA" w:rsidRPr="00BE34EA" w14:paraId="442CEC08" w14:textId="77777777" w:rsidTr="00BE34EA">
        <w:trPr>
          <w:trHeight w:val="305"/>
        </w:trPr>
        <w:tc>
          <w:tcPr>
            <w:tcW w:w="1470" w:type="dxa"/>
            <w:tcBorders>
              <w:top w:val="single" w:sz="6" w:space="0" w:color="auto"/>
              <w:left w:val="single" w:sz="12" w:space="0" w:color="auto"/>
              <w:bottom w:val="single" w:sz="6" w:space="0" w:color="auto"/>
              <w:right w:val="single" w:sz="6" w:space="0" w:color="auto"/>
            </w:tcBorders>
          </w:tcPr>
          <w:p w14:paraId="45F4370E" w14:textId="77777777" w:rsidR="00B328BF" w:rsidRPr="00BE34EA" w:rsidRDefault="00B328BF" w:rsidP="006B21E2">
            <w:pPr>
              <w:autoSpaceDE w:val="0"/>
              <w:autoSpaceDN w:val="0"/>
              <w:adjustRightInd w:val="0"/>
              <w:rPr>
                <w:rFonts w:eastAsiaTheme="minorEastAsia"/>
                <w:color w:val="000000" w:themeColor="text1"/>
                <w:sz w:val="22"/>
                <w:szCs w:val="22"/>
              </w:rPr>
            </w:pPr>
            <w:r w:rsidRPr="00BE34EA">
              <w:rPr>
                <w:rFonts w:eastAsiaTheme="minorEastAsia"/>
                <w:color w:val="000000" w:themeColor="text1"/>
                <w:sz w:val="22"/>
                <w:szCs w:val="22"/>
              </w:rPr>
              <w:t>Days 2-3</w:t>
            </w:r>
          </w:p>
        </w:tc>
        <w:tc>
          <w:tcPr>
            <w:tcW w:w="4050" w:type="dxa"/>
            <w:tcBorders>
              <w:top w:val="single" w:sz="6" w:space="0" w:color="auto"/>
              <w:left w:val="single" w:sz="6" w:space="0" w:color="auto"/>
              <w:bottom w:val="single" w:sz="6" w:space="0" w:color="auto"/>
              <w:right w:val="single" w:sz="6" w:space="0" w:color="auto"/>
            </w:tcBorders>
          </w:tcPr>
          <w:p w14:paraId="44F0E323" w14:textId="77777777" w:rsidR="00B328BF" w:rsidRPr="00BE34EA" w:rsidRDefault="00B328BF" w:rsidP="006B21E2">
            <w:pPr>
              <w:autoSpaceDE w:val="0"/>
              <w:autoSpaceDN w:val="0"/>
              <w:adjustRightInd w:val="0"/>
              <w:rPr>
                <w:rFonts w:eastAsiaTheme="minorEastAsia"/>
                <w:color w:val="000000" w:themeColor="text1"/>
                <w:sz w:val="22"/>
                <w:szCs w:val="22"/>
              </w:rPr>
            </w:pPr>
            <w:r w:rsidRPr="00BE34EA">
              <w:rPr>
                <w:rFonts w:eastAsiaTheme="minorEastAsia"/>
                <w:color w:val="000000" w:themeColor="text1"/>
                <w:sz w:val="22"/>
                <w:szCs w:val="22"/>
              </w:rPr>
              <w:t>Unrelated protocols: Other stablecoins, NFT marketplaces, Gaming tokens</w:t>
            </w:r>
          </w:p>
        </w:tc>
        <w:tc>
          <w:tcPr>
            <w:tcW w:w="1530" w:type="dxa"/>
            <w:tcBorders>
              <w:top w:val="single" w:sz="6" w:space="0" w:color="auto"/>
              <w:left w:val="single" w:sz="6" w:space="0" w:color="auto"/>
              <w:bottom w:val="single" w:sz="6" w:space="0" w:color="auto"/>
              <w:right w:val="single" w:sz="6" w:space="0" w:color="auto"/>
            </w:tcBorders>
          </w:tcPr>
          <w:p w14:paraId="68468164" w14:textId="77777777" w:rsidR="00B328BF" w:rsidRPr="00BE34EA" w:rsidRDefault="00B328BF" w:rsidP="006B21E2">
            <w:pPr>
              <w:autoSpaceDE w:val="0"/>
              <w:autoSpaceDN w:val="0"/>
              <w:adjustRightInd w:val="0"/>
              <w:rPr>
                <w:rFonts w:eastAsiaTheme="minorEastAsia"/>
                <w:color w:val="000000" w:themeColor="text1"/>
                <w:sz w:val="22"/>
                <w:szCs w:val="22"/>
              </w:rPr>
            </w:pPr>
            <w:r w:rsidRPr="00BE34EA">
              <w:rPr>
                <w:rFonts w:eastAsiaTheme="minorEastAsia"/>
                <w:color w:val="000000" w:themeColor="text1"/>
                <w:sz w:val="22"/>
                <w:szCs w:val="22"/>
              </w:rPr>
              <w:t>10-15%</w:t>
            </w:r>
          </w:p>
        </w:tc>
        <w:tc>
          <w:tcPr>
            <w:tcW w:w="2451" w:type="dxa"/>
            <w:tcBorders>
              <w:top w:val="single" w:sz="6" w:space="0" w:color="auto"/>
              <w:left w:val="single" w:sz="6" w:space="0" w:color="auto"/>
              <w:bottom w:val="single" w:sz="6" w:space="0" w:color="auto"/>
              <w:right w:val="single" w:sz="12" w:space="0" w:color="auto"/>
            </w:tcBorders>
          </w:tcPr>
          <w:p w14:paraId="73DEC4B3" w14:textId="77777777" w:rsidR="00B328BF" w:rsidRPr="00BE34EA" w:rsidRDefault="00B328BF" w:rsidP="006B21E2">
            <w:pPr>
              <w:autoSpaceDE w:val="0"/>
              <w:autoSpaceDN w:val="0"/>
              <w:adjustRightInd w:val="0"/>
              <w:rPr>
                <w:rFonts w:eastAsiaTheme="minorEastAsia"/>
                <w:color w:val="000000" w:themeColor="text1"/>
                <w:sz w:val="22"/>
                <w:szCs w:val="22"/>
              </w:rPr>
            </w:pPr>
            <w:r w:rsidRPr="00BE34EA">
              <w:rPr>
                <w:rFonts w:eastAsiaTheme="minorEastAsia"/>
                <w:color w:val="000000" w:themeColor="text1"/>
                <w:sz w:val="22"/>
                <w:szCs w:val="22"/>
              </w:rPr>
              <w:t>Sentiment</w:t>
            </w:r>
          </w:p>
        </w:tc>
      </w:tr>
      <w:tr w:rsidR="00BE34EA" w:rsidRPr="00BE34EA" w14:paraId="48741B96" w14:textId="77777777" w:rsidTr="00BE34EA">
        <w:trPr>
          <w:trHeight w:val="305"/>
        </w:trPr>
        <w:tc>
          <w:tcPr>
            <w:tcW w:w="1470" w:type="dxa"/>
            <w:tcBorders>
              <w:top w:val="single" w:sz="6" w:space="0" w:color="auto"/>
              <w:left w:val="single" w:sz="12" w:space="0" w:color="auto"/>
              <w:bottom w:val="single" w:sz="6" w:space="0" w:color="auto"/>
              <w:right w:val="single" w:sz="6" w:space="0" w:color="auto"/>
            </w:tcBorders>
          </w:tcPr>
          <w:p w14:paraId="0A67C30E" w14:textId="77777777" w:rsidR="00B328BF" w:rsidRPr="00BE34EA" w:rsidRDefault="00B328BF" w:rsidP="006B21E2">
            <w:pPr>
              <w:autoSpaceDE w:val="0"/>
              <w:autoSpaceDN w:val="0"/>
              <w:adjustRightInd w:val="0"/>
              <w:rPr>
                <w:rFonts w:eastAsiaTheme="minorEastAsia"/>
                <w:color w:val="000000" w:themeColor="text1"/>
                <w:sz w:val="22"/>
                <w:szCs w:val="22"/>
              </w:rPr>
            </w:pPr>
            <w:r w:rsidRPr="00BE34EA">
              <w:rPr>
                <w:rFonts w:eastAsiaTheme="minorEastAsia"/>
                <w:color w:val="000000" w:themeColor="text1"/>
                <w:sz w:val="22"/>
                <w:szCs w:val="22"/>
              </w:rPr>
              <w:t>Days 4-7</w:t>
            </w:r>
          </w:p>
        </w:tc>
        <w:tc>
          <w:tcPr>
            <w:tcW w:w="4050" w:type="dxa"/>
            <w:tcBorders>
              <w:top w:val="single" w:sz="6" w:space="0" w:color="auto"/>
              <w:left w:val="single" w:sz="6" w:space="0" w:color="auto"/>
              <w:bottom w:val="single" w:sz="6" w:space="0" w:color="auto"/>
              <w:right w:val="single" w:sz="6" w:space="0" w:color="auto"/>
            </w:tcBorders>
          </w:tcPr>
          <w:p w14:paraId="49B2A2E3" w14:textId="77777777" w:rsidR="00B328BF" w:rsidRPr="00BE34EA" w:rsidRDefault="00B328BF" w:rsidP="006B21E2">
            <w:pPr>
              <w:autoSpaceDE w:val="0"/>
              <w:autoSpaceDN w:val="0"/>
              <w:adjustRightInd w:val="0"/>
              <w:rPr>
                <w:rFonts w:eastAsiaTheme="minorEastAsia"/>
                <w:color w:val="000000" w:themeColor="text1"/>
                <w:sz w:val="22"/>
                <w:szCs w:val="22"/>
              </w:rPr>
            </w:pPr>
            <w:r w:rsidRPr="00BE34EA">
              <w:rPr>
                <w:rFonts w:eastAsiaTheme="minorEastAsia"/>
                <w:color w:val="000000" w:themeColor="text1"/>
                <w:sz w:val="22"/>
                <w:szCs w:val="22"/>
              </w:rPr>
              <w:t>Leveraged positions: Near-threshold margin, Force selling cascade</w:t>
            </w:r>
          </w:p>
        </w:tc>
        <w:tc>
          <w:tcPr>
            <w:tcW w:w="1530" w:type="dxa"/>
            <w:tcBorders>
              <w:top w:val="single" w:sz="6" w:space="0" w:color="auto"/>
              <w:left w:val="single" w:sz="6" w:space="0" w:color="auto"/>
              <w:bottom w:val="single" w:sz="6" w:space="0" w:color="auto"/>
              <w:right w:val="single" w:sz="6" w:space="0" w:color="auto"/>
            </w:tcBorders>
          </w:tcPr>
          <w:p w14:paraId="651FBE25" w14:textId="77777777" w:rsidR="00B328BF" w:rsidRPr="00BE34EA" w:rsidRDefault="00B328BF" w:rsidP="006B21E2">
            <w:pPr>
              <w:autoSpaceDE w:val="0"/>
              <w:autoSpaceDN w:val="0"/>
              <w:adjustRightInd w:val="0"/>
              <w:rPr>
                <w:rFonts w:eastAsiaTheme="minorEastAsia"/>
                <w:color w:val="000000" w:themeColor="text1"/>
                <w:sz w:val="22"/>
                <w:szCs w:val="22"/>
              </w:rPr>
            </w:pPr>
            <w:r w:rsidRPr="00BE34EA">
              <w:rPr>
                <w:rFonts w:eastAsiaTheme="minorEastAsia"/>
                <w:color w:val="000000" w:themeColor="text1"/>
                <w:sz w:val="22"/>
                <w:szCs w:val="22"/>
              </w:rPr>
              <w:t>15-20%</w:t>
            </w:r>
          </w:p>
        </w:tc>
        <w:tc>
          <w:tcPr>
            <w:tcW w:w="2451" w:type="dxa"/>
            <w:tcBorders>
              <w:top w:val="single" w:sz="6" w:space="0" w:color="auto"/>
              <w:left w:val="single" w:sz="6" w:space="0" w:color="auto"/>
              <w:bottom w:val="single" w:sz="6" w:space="0" w:color="auto"/>
              <w:right w:val="single" w:sz="12" w:space="0" w:color="auto"/>
            </w:tcBorders>
          </w:tcPr>
          <w:p w14:paraId="0DCE8FEC" w14:textId="77777777" w:rsidR="00B328BF" w:rsidRPr="00BE34EA" w:rsidRDefault="00B328BF" w:rsidP="006B21E2">
            <w:pPr>
              <w:autoSpaceDE w:val="0"/>
              <w:autoSpaceDN w:val="0"/>
              <w:adjustRightInd w:val="0"/>
              <w:rPr>
                <w:rFonts w:eastAsiaTheme="minorEastAsia"/>
                <w:color w:val="000000" w:themeColor="text1"/>
                <w:sz w:val="22"/>
                <w:szCs w:val="22"/>
              </w:rPr>
            </w:pPr>
            <w:r w:rsidRPr="00BE34EA">
              <w:rPr>
                <w:rFonts w:eastAsiaTheme="minorEastAsia"/>
                <w:color w:val="000000" w:themeColor="text1"/>
                <w:sz w:val="22"/>
                <w:szCs w:val="22"/>
              </w:rPr>
              <w:t>Liquidation Wave 2</w:t>
            </w:r>
          </w:p>
        </w:tc>
      </w:tr>
      <w:tr w:rsidR="00BE34EA" w:rsidRPr="00BE34EA" w14:paraId="73310DCE" w14:textId="77777777" w:rsidTr="00BE34EA">
        <w:trPr>
          <w:trHeight w:val="312"/>
        </w:trPr>
        <w:tc>
          <w:tcPr>
            <w:tcW w:w="1470" w:type="dxa"/>
            <w:tcBorders>
              <w:top w:val="single" w:sz="6" w:space="0" w:color="auto"/>
              <w:left w:val="single" w:sz="12" w:space="0" w:color="auto"/>
              <w:bottom w:val="single" w:sz="12" w:space="0" w:color="auto"/>
              <w:right w:val="single" w:sz="6" w:space="0" w:color="auto"/>
            </w:tcBorders>
          </w:tcPr>
          <w:p w14:paraId="295334F1" w14:textId="77777777" w:rsidR="00B328BF" w:rsidRPr="00BE34EA" w:rsidRDefault="00B328BF" w:rsidP="006B21E2">
            <w:pPr>
              <w:autoSpaceDE w:val="0"/>
              <w:autoSpaceDN w:val="0"/>
              <w:adjustRightInd w:val="0"/>
              <w:rPr>
                <w:rFonts w:eastAsiaTheme="minorEastAsia"/>
                <w:color w:val="000000" w:themeColor="text1"/>
                <w:sz w:val="22"/>
                <w:szCs w:val="22"/>
              </w:rPr>
            </w:pPr>
            <w:r w:rsidRPr="00BE34EA">
              <w:rPr>
                <w:rFonts w:eastAsiaTheme="minorEastAsia"/>
                <w:color w:val="000000" w:themeColor="text1"/>
                <w:sz w:val="22"/>
                <w:szCs w:val="22"/>
              </w:rPr>
              <w:t>Weeks 2-4</w:t>
            </w:r>
          </w:p>
        </w:tc>
        <w:tc>
          <w:tcPr>
            <w:tcW w:w="4050" w:type="dxa"/>
            <w:tcBorders>
              <w:top w:val="single" w:sz="6" w:space="0" w:color="auto"/>
              <w:left w:val="single" w:sz="6" w:space="0" w:color="auto"/>
              <w:bottom w:val="single" w:sz="12" w:space="0" w:color="auto"/>
              <w:right w:val="single" w:sz="6" w:space="0" w:color="auto"/>
            </w:tcBorders>
          </w:tcPr>
          <w:p w14:paraId="7822C728" w14:textId="77777777" w:rsidR="00B328BF" w:rsidRPr="00BE34EA" w:rsidRDefault="00B328BF" w:rsidP="006B21E2">
            <w:pPr>
              <w:autoSpaceDE w:val="0"/>
              <w:autoSpaceDN w:val="0"/>
              <w:adjustRightInd w:val="0"/>
              <w:rPr>
                <w:rFonts w:eastAsiaTheme="minorEastAsia"/>
                <w:color w:val="000000" w:themeColor="text1"/>
                <w:sz w:val="22"/>
                <w:szCs w:val="22"/>
              </w:rPr>
            </w:pPr>
            <w:r w:rsidRPr="00BE34EA">
              <w:rPr>
                <w:rFonts w:eastAsiaTheme="minorEastAsia"/>
                <w:color w:val="000000" w:themeColor="text1"/>
                <w:sz w:val="22"/>
                <w:szCs w:val="22"/>
              </w:rPr>
              <w:t xml:space="preserve">Blue-chip protocols: </w:t>
            </w:r>
            <w:proofErr w:type="spellStart"/>
            <w:r w:rsidRPr="00BE34EA">
              <w:rPr>
                <w:rFonts w:eastAsiaTheme="minorEastAsia"/>
                <w:color w:val="000000" w:themeColor="text1"/>
                <w:sz w:val="22"/>
                <w:szCs w:val="22"/>
              </w:rPr>
              <w:t>Aave</w:t>
            </w:r>
            <w:proofErr w:type="spellEnd"/>
            <w:r w:rsidRPr="00BE34EA">
              <w:rPr>
                <w:rFonts w:eastAsiaTheme="minorEastAsia"/>
                <w:color w:val="000000" w:themeColor="text1"/>
                <w:sz w:val="22"/>
                <w:szCs w:val="22"/>
              </w:rPr>
              <w:t>, Compound, Uniswap</w:t>
            </w:r>
          </w:p>
        </w:tc>
        <w:tc>
          <w:tcPr>
            <w:tcW w:w="1530" w:type="dxa"/>
            <w:tcBorders>
              <w:top w:val="single" w:sz="6" w:space="0" w:color="auto"/>
              <w:left w:val="single" w:sz="6" w:space="0" w:color="auto"/>
              <w:bottom w:val="single" w:sz="12" w:space="0" w:color="auto"/>
              <w:right w:val="single" w:sz="6" w:space="0" w:color="auto"/>
            </w:tcBorders>
          </w:tcPr>
          <w:p w14:paraId="693F3FEA" w14:textId="77777777" w:rsidR="00B328BF" w:rsidRPr="00BE34EA" w:rsidRDefault="00B328BF" w:rsidP="006B21E2">
            <w:pPr>
              <w:autoSpaceDE w:val="0"/>
              <w:autoSpaceDN w:val="0"/>
              <w:adjustRightInd w:val="0"/>
              <w:rPr>
                <w:rFonts w:eastAsiaTheme="minorEastAsia"/>
                <w:color w:val="000000" w:themeColor="text1"/>
                <w:sz w:val="22"/>
                <w:szCs w:val="22"/>
              </w:rPr>
            </w:pPr>
            <w:r w:rsidRPr="00BE34EA">
              <w:rPr>
                <w:rFonts w:eastAsiaTheme="minorEastAsia"/>
                <w:color w:val="000000" w:themeColor="text1"/>
                <w:sz w:val="22"/>
                <w:szCs w:val="22"/>
              </w:rPr>
              <w:t>+30 to +40% (GAIN)</w:t>
            </w:r>
          </w:p>
        </w:tc>
        <w:tc>
          <w:tcPr>
            <w:tcW w:w="2451" w:type="dxa"/>
            <w:tcBorders>
              <w:top w:val="single" w:sz="6" w:space="0" w:color="auto"/>
              <w:left w:val="single" w:sz="6" w:space="0" w:color="auto"/>
              <w:bottom w:val="single" w:sz="12" w:space="0" w:color="auto"/>
              <w:right w:val="single" w:sz="12" w:space="0" w:color="auto"/>
            </w:tcBorders>
          </w:tcPr>
          <w:p w14:paraId="3A83F3E9" w14:textId="77777777" w:rsidR="00B328BF" w:rsidRPr="00BE34EA" w:rsidRDefault="00B328BF" w:rsidP="006B21E2">
            <w:pPr>
              <w:autoSpaceDE w:val="0"/>
              <w:autoSpaceDN w:val="0"/>
              <w:adjustRightInd w:val="0"/>
              <w:rPr>
                <w:rFonts w:eastAsiaTheme="minorEastAsia"/>
                <w:color w:val="000000" w:themeColor="text1"/>
                <w:sz w:val="22"/>
                <w:szCs w:val="22"/>
              </w:rPr>
            </w:pPr>
            <w:r w:rsidRPr="00BE34EA">
              <w:rPr>
                <w:rFonts w:eastAsiaTheme="minorEastAsia"/>
                <w:color w:val="000000" w:themeColor="text1"/>
                <w:sz w:val="22"/>
                <w:szCs w:val="22"/>
              </w:rPr>
              <w:t>Flight to Safety</w:t>
            </w:r>
          </w:p>
        </w:tc>
      </w:tr>
    </w:tbl>
    <w:p w14:paraId="3E70377C" w14:textId="77777777" w:rsidR="008D1F07" w:rsidRPr="00CC6608" w:rsidRDefault="00B328BF" w:rsidP="006B21E2">
      <w:pPr>
        <w:jc w:val="both"/>
        <w:rPr>
          <w:rFonts w:eastAsiaTheme="majorEastAsia"/>
          <w:i/>
          <w:iCs/>
          <w:color w:val="000000" w:themeColor="text1"/>
          <w:sz w:val="22"/>
          <w:szCs w:val="22"/>
        </w:rPr>
      </w:pPr>
      <w:r w:rsidRPr="00CC6608">
        <w:rPr>
          <w:rFonts w:eastAsiaTheme="majorEastAsia"/>
          <w:i/>
          <w:iCs/>
          <w:color w:val="000000" w:themeColor="text1"/>
          <w:sz w:val="22"/>
          <w:szCs w:val="22"/>
        </w:rPr>
        <w:t xml:space="preserve">Note: </w:t>
      </w:r>
    </w:p>
    <w:p w14:paraId="2D9DCD0F" w14:textId="11B095D1" w:rsidR="00B328BF" w:rsidRPr="00CC6608" w:rsidRDefault="00B328BF" w:rsidP="006B21E2">
      <w:pPr>
        <w:pStyle w:val="ListParagraph"/>
        <w:numPr>
          <w:ilvl w:val="0"/>
          <w:numId w:val="259"/>
        </w:numPr>
        <w:jc w:val="both"/>
        <w:rPr>
          <w:rFonts w:eastAsiaTheme="majorEastAsia"/>
          <w:color w:val="000000" w:themeColor="text1"/>
          <w:sz w:val="22"/>
          <w:szCs w:val="22"/>
        </w:rPr>
      </w:pPr>
      <w:r w:rsidRPr="00CC6608">
        <w:rPr>
          <w:rFonts w:eastAsiaTheme="majorEastAsia"/>
          <w:color w:val="000000" w:themeColor="text1"/>
          <w:sz w:val="22"/>
          <w:szCs w:val="22"/>
        </w:rPr>
        <w:t>60% of total damage occurred within first 24 hours.</w:t>
      </w:r>
    </w:p>
    <w:p w14:paraId="58DDAC0B" w14:textId="19D08BC6" w:rsidR="00B328BF" w:rsidRPr="00CC6608" w:rsidRDefault="00B328BF" w:rsidP="006B21E2">
      <w:pPr>
        <w:pStyle w:val="ListParagraph"/>
        <w:numPr>
          <w:ilvl w:val="0"/>
          <w:numId w:val="259"/>
        </w:numPr>
        <w:jc w:val="both"/>
        <w:rPr>
          <w:rFonts w:eastAsiaTheme="majorEastAsia"/>
          <w:color w:val="000000" w:themeColor="text1"/>
          <w:sz w:val="22"/>
          <w:szCs w:val="22"/>
        </w:rPr>
      </w:pPr>
      <w:r w:rsidRPr="00CC6608">
        <w:rPr>
          <w:rFonts w:eastAsiaTheme="majorEastAsia"/>
          <w:color w:val="000000" w:themeColor="text1"/>
          <w:sz w:val="22"/>
          <w:szCs w:val="22"/>
        </w:rPr>
        <w:t>Exit windows measured in hours, incompatible with 'passive income' framing.</w:t>
      </w:r>
    </w:p>
    <w:p w14:paraId="33E00E7D" w14:textId="77777777" w:rsidR="00B328BF" w:rsidRDefault="00B328BF" w:rsidP="006B21E2">
      <w:pPr>
        <w:jc w:val="both"/>
        <w:rPr>
          <w:rFonts w:eastAsiaTheme="majorEastAsia"/>
          <w:color w:val="000000" w:themeColor="text1"/>
        </w:rPr>
      </w:pPr>
    </w:p>
    <w:p w14:paraId="61CEC36D" w14:textId="3B938062" w:rsidR="0076579E" w:rsidRPr="003C66A0" w:rsidRDefault="0076579E" w:rsidP="006B21E2">
      <w:pPr>
        <w:jc w:val="both"/>
        <w:rPr>
          <w:rFonts w:eastAsiaTheme="majorEastAsia"/>
          <w:color w:val="000000" w:themeColor="text1"/>
        </w:rPr>
      </w:pPr>
      <w:r w:rsidRPr="003C66A0">
        <w:rPr>
          <w:rFonts w:eastAsiaTheme="majorEastAsia"/>
          <w:color w:val="000000" w:themeColor="text1"/>
        </w:rPr>
        <w:t>Network centrality measures versus actual correlation with losses:</w:t>
      </w:r>
    </w:p>
    <w:p w14:paraId="542C19FE" w14:textId="77777777" w:rsidR="0076579E" w:rsidRPr="003C66A0" w:rsidRDefault="0076579E" w:rsidP="006B21E2">
      <w:pPr>
        <w:numPr>
          <w:ilvl w:val="0"/>
          <w:numId w:val="70"/>
        </w:numPr>
        <w:jc w:val="both"/>
        <w:rPr>
          <w:rFonts w:eastAsiaTheme="majorEastAsia"/>
          <w:color w:val="000000" w:themeColor="text1"/>
        </w:rPr>
      </w:pPr>
      <w:r w:rsidRPr="003C66A0">
        <w:rPr>
          <w:rFonts w:eastAsiaTheme="majorEastAsia"/>
          <w:color w:val="000000" w:themeColor="text1"/>
        </w:rPr>
        <w:t>Degree centrality: 0.31 correlation</w:t>
      </w:r>
    </w:p>
    <w:p w14:paraId="3AEE069B" w14:textId="77777777" w:rsidR="0076579E" w:rsidRPr="003C66A0" w:rsidRDefault="0076579E" w:rsidP="006B21E2">
      <w:pPr>
        <w:numPr>
          <w:ilvl w:val="0"/>
          <w:numId w:val="70"/>
        </w:numPr>
        <w:jc w:val="both"/>
        <w:rPr>
          <w:rFonts w:eastAsiaTheme="majorEastAsia"/>
          <w:color w:val="000000" w:themeColor="text1"/>
        </w:rPr>
      </w:pPr>
      <w:r w:rsidRPr="003C66A0">
        <w:rPr>
          <w:rFonts w:eastAsiaTheme="majorEastAsia"/>
          <w:color w:val="000000" w:themeColor="text1"/>
        </w:rPr>
        <w:t>Betweenness: 0.44</w:t>
      </w:r>
    </w:p>
    <w:p w14:paraId="58804046" w14:textId="77777777" w:rsidR="0076579E" w:rsidRPr="003C66A0" w:rsidRDefault="0076579E" w:rsidP="006B21E2">
      <w:pPr>
        <w:numPr>
          <w:ilvl w:val="0"/>
          <w:numId w:val="70"/>
        </w:numPr>
        <w:jc w:val="both"/>
        <w:rPr>
          <w:rFonts w:eastAsiaTheme="majorEastAsia"/>
          <w:color w:val="000000" w:themeColor="text1"/>
        </w:rPr>
      </w:pPr>
      <w:r w:rsidRPr="003C66A0">
        <w:rPr>
          <w:rFonts w:eastAsiaTheme="majorEastAsia"/>
          <w:color w:val="000000" w:themeColor="text1"/>
        </w:rPr>
        <w:t>Eigenvector: 0.38</w:t>
      </w:r>
    </w:p>
    <w:p w14:paraId="4B2EA0B6" w14:textId="77777777" w:rsidR="0076579E" w:rsidRPr="003C66A0" w:rsidRDefault="0076579E" w:rsidP="006B21E2">
      <w:pPr>
        <w:numPr>
          <w:ilvl w:val="0"/>
          <w:numId w:val="70"/>
        </w:numPr>
        <w:jc w:val="both"/>
        <w:rPr>
          <w:rFonts w:eastAsiaTheme="majorEastAsia"/>
          <w:color w:val="000000" w:themeColor="text1"/>
        </w:rPr>
      </w:pPr>
      <w:r w:rsidRPr="003C66A0">
        <w:rPr>
          <w:rFonts w:eastAsiaTheme="majorEastAsia"/>
          <w:color w:val="000000" w:themeColor="text1"/>
        </w:rPr>
        <w:t>Simple exposure (% TVL in affected): 0.71</w:t>
      </w:r>
    </w:p>
    <w:p w14:paraId="75B86613" w14:textId="77777777" w:rsidR="00FD343A" w:rsidRDefault="00FD343A" w:rsidP="006B21E2">
      <w:pPr>
        <w:jc w:val="both"/>
        <w:rPr>
          <w:rFonts w:eastAsiaTheme="majorEastAsia"/>
          <w:color w:val="000000" w:themeColor="text1"/>
        </w:rPr>
      </w:pPr>
    </w:p>
    <w:p w14:paraId="56D83371" w14:textId="54AFC228" w:rsidR="0076579E" w:rsidRPr="003C66A0" w:rsidRDefault="0076579E" w:rsidP="006B21E2">
      <w:pPr>
        <w:jc w:val="both"/>
        <w:rPr>
          <w:rFonts w:eastAsiaTheme="majorEastAsia"/>
          <w:color w:val="000000" w:themeColor="text1"/>
        </w:rPr>
      </w:pPr>
      <w:r w:rsidRPr="003C66A0">
        <w:rPr>
          <w:rFonts w:eastAsiaTheme="majorEastAsia"/>
          <w:color w:val="000000" w:themeColor="text1"/>
        </w:rPr>
        <w:t>Sophisticated metrics underperform simple exposure measures.</w:t>
      </w:r>
    </w:p>
    <w:p w14:paraId="651DF2C3" w14:textId="77777777" w:rsidR="005C21FD" w:rsidRPr="003C66A0" w:rsidRDefault="005C21FD" w:rsidP="006B21E2">
      <w:pPr>
        <w:jc w:val="both"/>
        <w:rPr>
          <w:rFonts w:eastAsiaTheme="majorEastAsia"/>
          <w:b/>
          <w:bCs/>
          <w:color w:val="000000" w:themeColor="text1"/>
        </w:rPr>
      </w:pPr>
    </w:p>
    <w:p w14:paraId="6DF67BA4" w14:textId="62C00118" w:rsidR="0076579E" w:rsidRPr="003C66A0" w:rsidRDefault="008D6F57" w:rsidP="006B21E2">
      <w:pPr>
        <w:pStyle w:val="Heading2"/>
        <w:jc w:val="both"/>
        <w:rPr>
          <w:rFonts w:eastAsiaTheme="majorEastAsia"/>
        </w:rPr>
      </w:pPr>
      <w:bookmarkStart w:id="175" w:name="_Toc214721981"/>
      <w:r w:rsidRPr="003C66A0">
        <w:rPr>
          <w:rFonts w:eastAsiaTheme="majorEastAsia"/>
        </w:rPr>
        <w:t>7</w:t>
      </w:r>
      <w:r w:rsidR="0076579E" w:rsidRPr="003C66A0">
        <w:rPr>
          <w:rFonts w:eastAsiaTheme="majorEastAsia"/>
        </w:rPr>
        <w:t>.7 Risk Interaction Effects</w:t>
      </w:r>
      <w:bookmarkEnd w:id="175"/>
    </w:p>
    <w:p w14:paraId="23F223BA" w14:textId="77777777" w:rsidR="0076579E" w:rsidRPr="003C66A0" w:rsidRDefault="0076579E" w:rsidP="006B21E2">
      <w:pPr>
        <w:jc w:val="both"/>
        <w:rPr>
          <w:rFonts w:eastAsiaTheme="majorEastAsia"/>
          <w:color w:val="000000" w:themeColor="text1"/>
        </w:rPr>
      </w:pPr>
      <w:r w:rsidRPr="003C66A0">
        <w:rPr>
          <w:rFonts w:eastAsiaTheme="majorEastAsia"/>
          <w:color w:val="000000" w:themeColor="text1"/>
        </w:rPr>
        <w:t>Risk correlations aren't stable but regime-dependent:</w:t>
      </w:r>
    </w:p>
    <w:p w14:paraId="12A0AD24" w14:textId="77777777" w:rsidR="00242D69" w:rsidRDefault="00242D69" w:rsidP="006B21E2">
      <w:pPr>
        <w:jc w:val="both"/>
        <w:rPr>
          <w:rFonts w:eastAsiaTheme="majorEastAsia"/>
          <w:color w:val="000000" w:themeColor="text1"/>
        </w:rPr>
      </w:pPr>
    </w:p>
    <w:p w14:paraId="1B514A0C" w14:textId="7CA64B38" w:rsidR="0076579E" w:rsidRPr="003C66A0" w:rsidRDefault="0076579E" w:rsidP="006B21E2">
      <w:pPr>
        <w:jc w:val="both"/>
        <w:rPr>
          <w:rFonts w:eastAsiaTheme="majorEastAsia"/>
          <w:color w:val="000000" w:themeColor="text1"/>
        </w:rPr>
      </w:pPr>
      <w:r w:rsidRPr="003C66A0">
        <w:rPr>
          <w:rFonts w:eastAsiaTheme="majorEastAsia"/>
          <w:color w:val="000000" w:themeColor="text1"/>
        </w:rPr>
        <w:t>Normal conditions (80% of time):</w:t>
      </w:r>
    </w:p>
    <w:p w14:paraId="18928009" w14:textId="77777777" w:rsidR="0076579E" w:rsidRPr="003C66A0" w:rsidRDefault="0076579E" w:rsidP="006B21E2">
      <w:pPr>
        <w:numPr>
          <w:ilvl w:val="0"/>
          <w:numId w:val="71"/>
        </w:numPr>
        <w:jc w:val="both"/>
        <w:rPr>
          <w:rFonts w:eastAsiaTheme="majorEastAsia"/>
          <w:color w:val="000000" w:themeColor="text1"/>
        </w:rPr>
      </w:pPr>
      <w:r w:rsidRPr="003C66A0">
        <w:rPr>
          <w:rFonts w:eastAsiaTheme="majorEastAsia"/>
          <w:color w:val="000000" w:themeColor="text1"/>
        </w:rPr>
        <w:t>Technical-Market: 0.15</w:t>
      </w:r>
    </w:p>
    <w:p w14:paraId="47468C4C" w14:textId="77777777" w:rsidR="0076579E" w:rsidRPr="003C66A0" w:rsidRDefault="0076579E" w:rsidP="006B21E2">
      <w:pPr>
        <w:numPr>
          <w:ilvl w:val="0"/>
          <w:numId w:val="71"/>
        </w:numPr>
        <w:jc w:val="both"/>
        <w:rPr>
          <w:rFonts w:eastAsiaTheme="majorEastAsia"/>
          <w:color w:val="000000" w:themeColor="text1"/>
        </w:rPr>
      </w:pPr>
      <w:r w:rsidRPr="003C66A0">
        <w:rPr>
          <w:rFonts w:eastAsiaTheme="majorEastAsia"/>
          <w:color w:val="000000" w:themeColor="text1"/>
        </w:rPr>
        <w:t>Regulatory-Market: 0.22</w:t>
      </w:r>
    </w:p>
    <w:p w14:paraId="78810DD5" w14:textId="77777777" w:rsidR="0076579E" w:rsidRPr="003C66A0" w:rsidRDefault="0076579E" w:rsidP="006B21E2">
      <w:pPr>
        <w:numPr>
          <w:ilvl w:val="0"/>
          <w:numId w:val="71"/>
        </w:numPr>
        <w:jc w:val="both"/>
        <w:rPr>
          <w:rFonts w:eastAsiaTheme="majorEastAsia"/>
          <w:color w:val="000000" w:themeColor="text1"/>
        </w:rPr>
      </w:pPr>
      <w:r w:rsidRPr="003C66A0">
        <w:rPr>
          <w:rFonts w:eastAsiaTheme="majorEastAsia"/>
          <w:color w:val="000000" w:themeColor="text1"/>
        </w:rPr>
        <w:t>Technical-Regulatory: 0.08</w:t>
      </w:r>
    </w:p>
    <w:p w14:paraId="735F23AB" w14:textId="77777777" w:rsidR="00242D69" w:rsidRDefault="00242D69" w:rsidP="006B21E2">
      <w:pPr>
        <w:jc w:val="both"/>
        <w:rPr>
          <w:rFonts w:eastAsiaTheme="majorEastAsia"/>
          <w:color w:val="000000" w:themeColor="text1"/>
        </w:rPr>
      </w:pPr>
    </w:p>
    <w:p w14:paraId="09FC9680" w14:textId="391EF30E" w:rsidR="0076579E" w:rsidRPr="003C66A0" w:rsidRDefault="0076579E" w:rsidP="006B21E2">
      <w:pPr>
        <w:jc w:val="both"/>
        <w:rPr>
          <w:rFonts w:eastAsiaTheme="majorEastAsia"/>
          <w:color w:val="000000" w:themeColor="text1"/>
        </w:rPr>
      </w:pPr>
      <w:r w:rsidRPr="003C66A0">
        <w:rPr>
          <w:rFonts w:eastAsiaTheme="majorEastAsia"/>
          <w:color w:val="000000" w:themeColor="text1"/>
        </w:rPr>
        <w:t>Stress conditions (20% of time):</w:t>
      </w:r>
    </w:p>
    <w:p w14:paraId="3A265231" w14:textId="77777777" w:rsidR="0076579E" w:rsidRPr="003C66A0" w:rsidRDefault="0076579E" w:rsidP="006B21E2">
      <w:pPr>
        <w:numPr>
          <w:ilvl w:val="0"/>
          <w:numId w:val="72"/>
        </w:numPr>
        <w:jc w:val="both"/>
        <w:rPr>
          <w:rFonts w:eastAsiaTheme="majorEastAsia"/>
          <w:color w:val="000000" w:themeColor="text1"/>
        </w:rPr>
      </w:pPr>
      <w:r w:rsidRPr="003C66A0">
        <w:rPr>
          <w:rFonts w:eastAsiaTheme="majorEastAsia"/>
          <w:color w:val="000000" w:themeColor="text1"/>
        </w:rPr>
        <w:t>Technical-Market: 0.78</w:t>
      </w:r>
    </w:p>
    <w:p w14:paraId="6B2BE349" w14:textId="77777777" w:rsidR="0076579E" w:rsidRPr="003C66A0" w:rsidRDefault="0076579E" w:rsidP="006B21E2">
      <w:pPr>
        <w:numPr>
          <w:ilvl w:val="0"/>
          <w:numId w:val="72"/>
        </w:numPr>
        <w:jc w:val="both"/>
        <w:rPr>
          <w:rFonts w:eastAsiaTheme="majorEastAsia"/>
          <w:color w:val="000000" w:themeColor="text1"/>
        </w:rPr>
      </w:pPr>
      <w:r w:rsidRPr="003C66A0">
        <w:rPr>
          <w:rFonts w:eastAsiaTheme="majorEastAsia"/>
          <w:color w:val="000000" w:themeColor="text1"/>
        </w:rPr>
        <w:t>Regulatory-Market: 0.81</w:t>
      </w:r>
    </w:p>
    <w:p w14:paraId="0DBB5E49" w14:textId="77777777" w:rsidR="0076579E" w:rsidRPr="003C66A0" w:rsidRDefault="0076579E" w:rsidP="006B21E2">
      <w:pPr>
        <w:numPr>
          <w:ilvl w:val="0"/>
          <w:numId w:val="72"/>
        </w:numPr>
        <w:jc w:val="both"/>
        <w:rPr>
          <w:rFonts w:eastAsiaTheme="majorEastAsia"/>
          <w:color w:val="000000" w:themeColor="text1"/>
        </w:rPr>
      </w:pPr>
      <w:r w:rsidRPr="003C66A0">
        <w:rPr>
          <w:rFonts w:eastAsiaTheme="majorEastAsia"/>
          <w:color w:val="000000" w:themeColor="text1"/>
        </w:rPr>
        <w:t>Technical-Regulatory: 0.64</w:t>
      </w:r>
    </w:p>
    <w:p w14:paraId="52481188" w14:textId="77777777" w:rsidR="005C21FD" w:rsidRPr="003C66A0" w:rsidRDefault="005C21FD" w:rsidP="006B21E2">
      <w:pPr>
        <w:jc w:val="both"/>
        <w:rPr>
          <w:rFonts w:eastAsiaTheme="majorEastAsia"/>
          <w:color w:val="000000" w:themeColor="text1"/>
        </w:rPr>
      </w:pPr>
    </w:p>
    <w:p w14:paraId="681CC63F" w14:textId="0F51DAEB" w:rsidR="0076579E" w:rsidRDefault="0076579E" w:rsidP="006B21E2">
      <w:pPr>
        <w:jc w:val="both"/>
        <w:rPr>
          <w:rFonts w:eastAsiaTheme="majorEastAsia"/>
          <w:color w:val="000000" w:themeColor="text1"/>
        </w:rPr>
      </w:pPr>
      <w:r w:rsidRPr="003C66A0">
        <w:rPr>
          <w:rFonts w:eastAsiaTheme="majorEastAsia"/>
          <w:color w:val="000000" w:themeColor="text1"/>
        </w:rPr>
        <w:t>During stress, everything correlates. Diversification fails when needed most.</w:t>
      </w:r>
    </w:p>
    <w:p w14:paraId="27070579" w14:textId="77777777" w:rsidR="003F0708" w:rsidRDefault="003F0708" w:rsidP="006B21E2">
      <w:pPr>
        <w:jc w:val="both"/>
        <w:rPr>
          <w:rFonts w:eastAsiaTheme="majorEastAsia"/>
          <w:color w:val="000000" w:themeColor="text1"/>
        </w:rPr>
      </w:pPr>
    </w:p>
    <w:p w14:paraId="17ACBBCB" w14:textId="22BB1D28" w:rsidR="003F0708" w:rsidRPr="00CD1564" w:rsidRDefault="003F0708" w:rsidP="006B21E2">
      <w:pPr>
        <w:pStyle w:val="Heading3"/>
        <w:rPr>
          <w:rFonts w:eastAsiaTheme="majorEastAsia"/>
        </w:rPr>
      </w:pPr>
      <w:bookmarkStart w:id="176" w:name="_Toc214721982"/>
      <w:r w:rsidRPr="00CD1564">
        <w:rPr>
          <w:rFonts w:eastAsiaTheme="majorEastAsia"/>
        </w:rPr>
        <w:t>Table 7.</w:t>
      </w:r>
      <w:r w:rsidR="00C5607F">
        <w:rPr>
          <w:rFonts w:eastAsiaTheme="majorEastAsia"/>
        </w:rPr>
        <w:t>C</w:t>
      </w:r>
      <w:r w:rsidRPr="00CD1564">
        <w:rPr>
          <w:rFonts w:eastAsiaTheme="majorEastAsia"/>
        </w:rPr>
        <w:t>: Risk Correlation Matrix Across Market Regimes</w:t>
      </w:r>
      <w:bookmarkEnd w:id="176"/>
      <w:r w:rsidRPr="00CD1564">
        <w:rPr>
          <w:rFonts w:eastAsiaTheme="majorEastAsia"/>
        </w:rPr>
        <w:t xml:space="preserve"> </w:t>
      </w:r>
    </w:p>
    <w:p w14:paraId="0E031948" w14:textId="77777777" w:rsidR="003F0708" w:rsidRPr="003C66A0" w:rsidRDefault="003F0708" w:rsidP="006B21E2">
      <w:pPr>
        <w:jc w:val="both"/>
        <w:rPr>
          <w:rFonts w:eastAsiaTheme="majorEastAsia"/>
          <w:color w:val="000000" w:themeColor="text1"/>
        </w:rPr>
      </w:pPr>
    </w:p>
    <w:tbl>
      <w:tblPr>
        <w:tblW w:w="9350" w:type="dxa"/>
        <w:tblLook w:val="04A0" w:firstRow="1" w:lastRow="0" w:firstColumn="1" w:lastColumn="0" w:noHBand="0" w:noVBand="1"/>
      </w:tblPr>
      <w:tblGrid>
        <w:gridCol w:w="2574"/>
        <w:gridCol w:w="2096"/>
        <w:gridCol w:w="2264"/>
        <w:gridCol w:w="2416"/>
      </w:tblGrid>
      <w:tr w:rsidR="0081282C" w14:paraId="52B94201" w14:textId="77777777" w:rsidTr="008F1AAB">
        <w:trPr>
          <w:trHeight w:val="115"/>
        </w:trPr>
        <w:tc>
          <w:tcPr>
            <w:tcW w:w="2574" w:type="dxa"/>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hideMark/>
          </w:tcPr>
          <w:p w14:paraId="1958CDB3" w14:textId="77777777" w:rsidR="003F0708" w:rsidRDefault="003F0708" w:rsidP="006B21E2">
            <w:pPr>
              <w:rPr>
                <w:b/>
                <w:bCs/>
                <w:color w:val="030712"/>
                <w:sz w:val="20"/>
                <w:szCs w:val="20"/>
              </w:rPr>
            </w:pPr>
            <w:r>
              <w:rPr>
                <w:b/>
                <w:bCs/>
                <w:color w:val="030712"/>
                <w:sz w:val="20"/>
                <w:szCs w:val="20"/>
              </w:rPr>
              <w:t>Risk Pair</w:t>
            </w:r>
          </w:p>
        </w:tc>
        <w:tc>
          <w:tcPr>
            <w:tcW w:w="2096" w:type="dxa"/>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7ED8177A" w14:textId="77777777" w:rsidR="003F0708" w:rsidRDefault="003F0708" w:rsidP="006B21E2">
            <w:pPr>
              <w:rPr>
                <w:b/>
                <w:bCs/>
                <w:color w:val="030712"/>
                <w:sz w:val="20"/>
                <w:szCs w:val="20"/>
              </w:rPr>
            </w:pPr>
            <w:r>
              <w:rPr>
                <w:b/>
                <w:bCs/>
                <w:color w:val="030712"/>
                <w:sz w:val="20"/>
                <w:szCs w:val="20"/>
              </w:rPr>
              <w:t>Normal Conditions (80% time)</w:t>
            </w:r>
          </w:p>
        </w:tc>
        <w:tc>
          <w:tcPr>
            <w:tcW w:w="2264" w:type="dxa"/>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4309A027" w14:textId="77777777" w:rsidR="003F0708" w:rsidRDefault="003F0708" w:rsidP="006B21E2">
            <w:pPr>
              <w:rPr>
                <w:b/>
                <w:bCs/>
                <w:color w:val="030712"/>
                <w:sz w:val="20"/>
                <w:szCs w:val="20"/>
              </w:rPr>
            </w:pPr>
            <w:r>
              <w:rPr>
                <w:b/>
                <w:bCs/>
                <w:color w:val="030712"/>
                <w:sz w:val="20"/>
                <w:szCs w:val="20"/>
              </w:rPr>
              <w:t>Stress Conditions (20% time)</w:t>
            </w:r>
          </w:p>
        </w:tc>
        <w:tc>
          <w:tcPr>
            <w:tcW w:w="2416" w:type="dxa"/>
            <w:tcBorders>
              <w:top w:val="single" w:sz="8" w:space="0" w:color="auto"/>
              <w:left w:val="nil"/>
              <w:bottom w:val="single" w:sz="4" w:space="0" w:color="auto"/>
              <w:right w:val="single" w:sz="8" w:space="0" w:color="auto"/>
            </w:tcBorders>
            <w:shd w:val="clear" w:color="auto" w:fill="D9D9D9" w:themeFill="background1" w:themeFillShade="D9"/>
            <w:vAlign w:val="center"/>
            <w:hideMark/>
          </w:tcPr>
          <w:p w14:paraId="6351C32B" w14:textId="77777777" w:rsidR="003F0708" w:rsidRDefault="003F0708" w:rsidP="006B21E2">
            <w:pPr>
              <w:rPr>
                <w:b/>
                <w:bCs/>
                <w:color w:val="030712"/>
                <w:sz w:val="20"/>
                <w:szCs w:val="20"/>
              </w:rPr>
            </w:pPr>
            <w:r>
              <w:rPr>
                <w:b/>
                <w:bCs/>
                <w:color w:val="030712"/>
                <w:sz w:val="20"/>
                <w:szCs w:val="20"/>
              </w:rPr>
              <w:t>Change Multiplier</w:t>
            </w:r>
          </w:p>
        </w:tc>
      </w:tr>
      <w:tr w:rsidR="0081282C" w14:paraId="5A6F8BDB" w14:textId="77777777" w:rsidTr="0081282C">
        <w:trPr>
          <w:trHeight w:val="67"/>
        </w:trPr>
        <w:tc>
          <w:tcPr>
            <w:tcW w:w="2574" w:type="dxa"/>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28260418" w14:textId="77777777" w:rsidR="003F0708" w:rsidRDefault="003F0708" w:rsidP="006B21E2">
            <w:pPr>
              <w:rPr>
                <w:color w:val="030712"/>
                <w:sz w:val="20"/>
                <w:szCs w:val="20"/>
              </w:rPr>
            </w:pPr>
            <w:r>
              <w:rPr>
                <w:color w:val="030712"/>
                <w:sz w:val="20"/>
                <w:szCs w:val="20"/>
              </w:rPr>
              <w:t>Technical × Market</w:t>
            </w:r>
          </w:p>
        </w:tc>
        <w:tc>
          <w:tcPr>
            <w:tcW w:w="2096" w:type="dxa"/>
            <w:tcBorders>
              <w:top w:val="nil"/>
              <w:left w:val="nil"/>
              <w:bottom w:val="single" w:sz="4" w:space="0" w:color="auto"/>
              <w:right w:val="single" w:sz="4" w:space="0" w:color="auto"/>
            </w:tcBorders>
            <w:vAlign w:val="center"/>
            <w:hideMark/>
          </w:tcPr>
          <w:p w14:paraId="5577DD7E" w14:textId="77777777" w:rsidR="003F0708" w:rsidRDefault="003F0708" w:rsidP="006B21E2">
            <w:pPr>
              <w:jc w:val="right"/>
              <w:rPr>
                <w:color w:val="030712"/>
                <w:sz w:val="20"/>
                <w:szCs w:val="20"/>
              </w:rPr>
            </w:pPr>
            <w:r>
              <w:rPr>
                <w:color w:val="030712"/>
                <w:sz w:val="20"/>
                <w:szCs w:val="20"/>
              </w:rPr>
              <w:t>0.15</w:t>
            </w:r>
          </w:p>
        </w:tc>
        <w:tc>
          <w:tcPr>
            <w:tcW w:w="2264" w:type="dxa"/>
            <w:tcBorders>
              <w:top w:val="nil"/>
              <w:left w:val="nil"/>
              <w:bottom w:val="single" w:sz="4" w:space="0" w:color="auto"/>
              <w:right w:val="single" w:sz="4" w:space="0" w:color="auto"/>
            </w:tcBorders>
            <w:vAlign w:val="center"/>
            <w:hideMark/>
          </w:tcPr>
          <w:p w14:paraId="7278FD44" w14:textId="77777777" w:rsidR="003F0708" w:rsidRDefault="003F0708" w:rsidP="006B21E2">
            <w:pPr>
              <w:jc w:val="right"/>
              <w:rPr>
                <w:color w:val="030712"/>
                <w:sz w:val="20"/>
                <w:szCs w:val="20"/>
              </w:rPr>
            </w:pPr>
            <w:r>
              <w:rPr>
                <w:color w:val="030712"/>
                <w:sz w:val="20"/>
                <w:szCs w:val="20"/>
              </w:rPr>
              <w:t>0.78</w:t>
            </w:r>
          </w:p>
        </w:tc>
        <w:tc>
          <w:tcPr>
            <w:tcW w:w="2416" w:type="dxa"/>
            <w:tcBorders>
              <w:top w:val="nil"/>
              <w:left w:val="nil"/>
              <w:bottom w:val="single" w:sz="4" w:space="0" w:color="auto"/>
              <w:right w:val="single" w:sz="8" w:space="0" w:color="auto"/>
            </w:tcBorders>
            <w:vAlign w:val="center"/>
            <w:hideMark/>
          </w:tcPr>
          <w:p w14:paraId="26991962" w14:textId="77777777" w:rsidR="003F0708" w:rsidRDefault="003F0708" w:rsidP="006B21E2">
            <w:pPr>
              <w:rPr>
                <w:color w:val="030712"/>
                <w:sz w:val="20"/>
                <w:szCs w:val="20"/>
              </w:rPr>
            </w:pPr>
            <w:r>
              <w:rPr>
                <w:color w:val="030712"/>
                <w:sz w:val="20"/>
                <w:szCs w:val="20"/>
              </w:rPr>
              <w:t>5.2×</w:t>
            </w:r>
          </w:p>
        </w:tc>
      </w:tr>
      <w:tr w:rsidR="0081282C" w14:paraId="4DC9CEE5" w14:textId="77777777" w:rsidTr="0081282C">
        <w:trPr>
          <w:trHeight w:val="67"/>
        </w:trPr>
        <w:tc>
          <w:tcPr>
            <w:tcW w:w="2574" w:type="dxa"/>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045546CD" w14:textId="77777777" w:rsidR="003F0708" w:rsidRDefault="003F0708" w:rsidP="006B21E2">
            <w:pPr>
              <w:rPr>
                <w:color w:val="030712"/>
                <w:sz w:val="20"/>
                <w:szCs w:val="20"/>
              </w:rPr>
            </w:pPr>
            <w:r>
              <w:rPr>
                <w:color w:val="030712"/>
                <w:sz w:val="20"/>
                <w:szCs w:val="20"/>
              </w:rPr>
              <w:t>Regulatory × Market</w:t>
            </w:r>
          </w:p>
        </w:tc>
        <w:tc>
          <w:tcPr>
            <w:tcW w:w="2096" w:type="dxa"/>
            <w:tcBorders>
              <w:top w:val="nil"/>
              <w:left w:val="nil"/>
              <w:bottom w:val="single" w:sz="4" w:space="0" w:color="auto"/>
              <w:right w:val="single" w:sz="4" w:space="0" w:color="auto"/>
            </w:tcBorders>
            <w:vAlign w:val="center"/>
            <w:hideMark/>
          </w:tcPr>
          <w:p w14:paraId="5689CBB6" w14:textId="77777777" w:rsidR="003F0708" w:rsidRDefault="003F0708" w:rsidP="006B21E2">
            <w:pPr>
              <w:jc w:val="right"/>
              <w:rPr>
                <w:color w:val="030712"/>
                <w:sz w:val="20"/>
                <w:szCs w:val="20"/>
              </w:rPr>
            </w:pPr>
            <w:r>
              <w:rPr>
                <w:color w:val="030712"/>
                <w:sz w:val="20"/>
                <w:szCs w:val="20"/>
              </w:rPr>
              <w:t>0.22</w:t>
            </w:r>
          </w:p>
        </w:tc>
        <w:tc>
          <w:tcPr>
            <w:tcW w:w="2264" w:type="dxa"/>
            <w:tcBorders>
              <w:top w:val="nil"/>
              <w:left w:val="nil"/>
              <w:bottom w:val="single" w:sz="4" w:space="0" w:color="auto"/>
              <w:right w:val="single" w:sz="4" w:space="0" w:color="auto"/>
            </w:tcBorders>
            <w:vAlign w:val="center"/>
            <w:hideMark/>
          </w:tcPr>
          <w:p w14:paraId="7F58E984" w14:textId="77777777" w:rsidR="003F0708" w:rsidRDefault="003F0708" w:rsidP="006B21E2">
            <w:pPr>
              <w:jc w:val="right"/>
              <w:rPr>
                <w:color w:val="030712"/>
                <w:sz w:val="20"/>
                <w:szCs w:val="20"/>
              </w:rPr>
            </w:pPr>
            <w:r>
              <w:rPr>
                <w:color w:val="030712"/>
                <w:sz w:val="20"/>
                <w:szCs w:val="20"/>
              </w:rPr>
              <w:t>0.81</w:t>
            </w:r>
          </w:p>
        </w:tc>
        <w:tc>
          <w:tcPr>
            <w:tcW w:w="2416" w:type="dxa"/>
            <w:tcBorders>
              <w:top w:val="nil"/>
              <w:left w:val="nil"/>
              <w:bottom w:val="single" w:sz="4" w:space="0" w:color="auto"/>
              <w:right w:val="single" w:sz="8" w:space="0" w:color="auto"/>
            </w:tcBorders>
            <w:vAlign w:val="center"/>
            <w:hideMark/>
          </w:tcPr>
          <w:p w14:paraId="11037C72" w14:textId="77777777" w:rsidR="003F0708" w:rsidRDefault="003F0708" w:rsidP="006B21E2">
            <w:pPr>
              <w:rPr>
                <w:color w:val="030712"/>
                <w:sz w:val="20"/>
                <w:szCs w:val="20"/>
              </w:rPr>
            </w:pPr>
            <w:r>
              <w:rPr>
                <w:color w:val="030712"/>
                <w:sz w:val="20"/>
                <w:szCs w:val="20"/>
              </w:rPr>
              <w:t>3.7×</w:t>
            </w:r>
          </w:p>
        </w:tc>
      </w:tr>
      <w:tr w:rsidR="0081282C" w14:paraId="10909392" w14:textId="77777777" w:rsidTr="0081282C">
        <w:trPr>
          <w:trHeight w:val="67"/>
        </w:trPr>
        <w:tc>
          <w:tcPr>
            <w:tcW w:w="2574" w:type="dxa"/>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52130AD8" w14:textId="77777777" w:rsidR="003F0708" w:rsidRDefault="003F0708" w:rsidP="006B21E2">
            <w:pPr>
              <w:rPr>
                <w:color w:val="030712"/>
                <w:sz w:val="20"/>
                <w:szCs w:val="20"/>
              </w:rPr>
            </w:pPr>
            <w:r>
              <w:rPr>
                <w:color w:val="030712"/>
                <w:sz w:val="20"/>
                <w:szCs w:val="20"/>
              </w:rPr>
              <w:t>Technical × Regulatory</w:t>
            </w:r>
          </w:p>
        </w:tc>
        <w:tc>
          <w:tcPr>
            <w:tcW w:w="2096" w:type="dxa"/>
            <w:tcBorders>
              <w:top w:val="nil"/>
              <w:left w:val="nil"/>
              <w:bottom w:val="single" w:sz="4" w:space="0" w:color="auto"/>
              <w:right w:val="single" w:sz="4" w:space="0" w:color="auto"/>
            </w:tcBorders>
            <w:vAlign w:val="center"/>
            <w:hideMark/>
          </w:tcPr>
          <w:p w14:paraId="3F93F0A3" w14:textId="77777777" w:rsidR="003F0708" w:rsidRDefault="003F0708" w:rsidP="006B21E2">
            <w:pPr>
              <w:jc w:val="right"/>
              <w:rPr>
                <w:color w:val="030712"/>
                <w:sz w:val="20"/>
                <w:szCs w:val="20"/>
              </w:rPr>
            </w:pPr>
            <w:r>
              <w:rPr>
                <w:color w:val="030712"/>
                <w:sz w:val="20"/>
                <w:szCs w:val="20"/>
              </w:rPr>
              <w:t>0.08</w:t>
            </w:r>
          </w:p>
        </w:tc>
        <w:tc>
          <w:tcPr>
            <w:tcW w:w="2264" w:type="dxa"/>
            <w:tcBorders>
              <w:top w:val="nil"/>
              <w:left w:val="nil"/>
              <w:bottom w:val="single" w:sz="4" w:space="0" w:color="auto"/>
              <w:right w:val="single" w:sz="4" w:space="0" w:color="auto"/>
            </w:tcBorders>
            <w:vAlign w:val="center"/>
            <w:hideMark/>
          </w:tcPr>
          <w:p w14:paraId="298373D5" w14:textId="77777777" w:rsidR="003F0708" w:rsidRDefault="003F0708" w:rsidP="006B21E2">
            <w:pPr>
              <w:jc w:val="right"/>
              <w:rPr>
                <w:color w:val="030712"/>
                <w:sz w:val="20"/>
                <w:szCs w:val="20"/>
              </w:rPr>
            </w:pPr>
            <w:r>
              <w:rPr>
                <w:color w:val="030712"/>
                <w:sz w:val="20"/>
                <w:szCs w:val="20"/>
              </w:rPr>
              <w:t>0.64</w:t>
            </w:r>
          </w:p>
        </w:tc>
        <w:tc>
          <w:tcPr>
            <w:tcW w:w="2416" w:type="dxa"/>
            <w:tcBorders>
              <w:top w:val="nil"/>
              <w:left w:val="nil"/>
              <w:bottom w:val="single" w:sz="4" w:space="0" w:color="auto"/>
              <w:right w:val="single" w:sz="8" w:space="0" w:color="auto"/>
            </w:tcBorders>
            <w:vAlign w:val="center"/>
            <w:hideMark/>
          </w:tcPr>
          <w:p w14:paraId="32FF8B52" w14:textId="77777777" w:rsidR="003F0708" w:rsidRDefault="003F0708" w:rsidP="006B21E2">
            <w:pPr>
              <w:rPr>
                <w:color w:val="030712"/>
                <w:sz w:val="20"/>
                <w:szCs w:val="20"/>
              </w:rPr>
            </w:pPr>
            <w:r>
              <w:rPr>
                <w:color w:val="030712"/>
                <w:sz w:val="20"/>
                <w:szCs w:val="20"/>
              </w:rPr>
              <w:t>8.0×</w:t>
            </w:r>
          </w:p>
        </w:tc>
      </w:tr>
      <w:tr w:rsidR="0081282C" w14:paraId="7CD437DC" w14:textId="77777777" w:rsidTr="0081282C">
        <w:trPr>
          <w:trHeight w:val="67"/>
        </w:trPr>
        <w:tc>
          <w:tcPr>
            <w:tcW w:w="2574" w:type="dxa"/>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157A0628" w14:textId="77777777" w:rsidR="003F0708" w:rsidRDefault="003F0708" w:rsidP="006B21E2">
            <w:pPr>
              <w:rPr>
                <w:color w:val="030712"/>
                <w:sz w:val="20"/>
                <w:szCs w:val="20"/>
              </w:rPr>
            </w:pPr>
            <w:r>
              <w:rPr>
                <w:color w:val="030712"/>
                <w:sz w:val="20"/>
                <w:szCs w:val="20"/>
              </w:rPr>
              <w:t>Average Correlation</w:t>
            </w:r>
          </w:p>
        </w:tc>
        <w:tc>
          <w:tcPr>
            <w:tcW w:w="2096" w:type="dxa"/>
            <w:tcBorders>
              <w:top w:val="nil"/>
              <w:left w:val="nil"/>
              <w:bottom w:val="single" w:sz="4" w:space="0" w:color="auto"/>
              <w:right w:val="single" w:sz="4" w:space="0" w:color="auto"/>
            </w:tcBorders>
            <w:vAlign w:val="center"/>
            <w:hideMark/>
          </w:tcPr>
          <w:p w14:paraId="054AF644" w14:textId="77777777" w:rsidR="003F0708" w:rsidRDefault="003F0708" w:rsidP="006B21E2">
            <w:pPr>
              <w:jc w:val="right"/>
              <w:rPr>
                <w:color w:val="030712"/>
                <w:sz w:val="20"/>
                <w:szCs w:val="20"/>
              </w:rPr>
            </w:pPr>
            <w:r>
              <w:rPr>
                <w:color w:val="030712"/>
                <w:sz w:val="20"/>
                <w:szCs w:val="20"/>
              </w:rPr>
              <w:t>0.15</w:t>
            </w:r>
          </w:p>
        </w:tc>
        <w:tc>
          <w:tcPr>
            <w:tcW w:w="2264" w:type="dxa"/>
            <w:tcBorders>
              <w:top w:val="nil"/>
              <w:left w:val="nil"/>
              <w:bottom w:val="single" w:sz="4" w:space="0" w:color="auto"/>
              <w:right w:val="single" w:sz="4" w:space="0" w:color="auto"/>
            </w:tcBorders>
            <w:vAlign w:val="center"/>
            <w:hideMark/>
          </w:tcPr>
          <w:p w14:paraId="27D637FE" w14:textId="77777777" w:rsidR="003F0708" w:rsidRDefault="003F0708" w:rsidP="006B21E2">
            <w:pPr>
              <w:jc w:val="right"/>
              <w:rPr>
                <w:color w:val="030712"/>
                <w:sz w:val="20"/>
                <w:szCs w:val="20"/>
              </w:rPr>
            </w:pPr>
            <w:r>
              <w:rPr>
                <w:color w:val="030712"/>
                <w:sz w:val="20"/>
                <w:szCs w:val="20"/>
              </w:rPr>
              <w:t>0.74</w:t>
            </w:r>
          </w:p>
        </w:tc>
        <w:tc>
          <w:tcPr>
            <w:tcW w:w="2416" w:type="dxa"/>
            <w:tcBorders>
              <w:top w:val="nil"/>
              <w:left w:val="nil"/>
              <w:bottom w:val="single" w:sz="4" w:space="0" w:color="auto"/>
              <w:right w:val="single" w:sz="8" w:space="0" w:color="auto"/>
            </w:tcBorders>
            <w:vAlign w:val="center"/>
            <w:hideMark/>
          </w:tcPr>
          <w:p w14:paraId="602EC1F8" w14:textId="77777777" w:rsidR="003F0708" w:rsidRDefault="003F0708" w:rsidP="006B21E2">
            <w:pPr>
              <w:rPr>
                <w:color w:val="030712"/>
                <w:sz w:val="20"/>
                <w:szCs w:val="20"/>
              </w:rPr>
            </w:pPr>
            <w:r>
              <w:rPr>
                <w:color w:val="030712"/>
                <w:sz w:val="20"/>
                <w:szCs w:val="20"/>
              </w:rPr>
              <w:t>4.9×</w:t>
            </w:r>
          </w:p>
        </w:tc>
      </w:tr>
    </w:tbl>
    <w:p w14:paraId="20553015" w14:textId="77777777" w:rsidR="008F1AAB" w:rsidRPr="00CC6608" w:rsidRDefault="0081282C" w:rsidP="006B21E2">
      <w:pPr>
        <w:jc w:val="both"/>
        <w:rPr>
          <w:rFonts w:eastAsiaTheme="majorEastAsia"/>
          <w:i/>
          <w:iCs/>
          <w:color w:val="000000" w:themeColor="text1"/>
          <w:sz w:val="22"/>
          <w:szCs w:val="22"/>
        </w:rPr>
      </w:pPr>
      <w:r w:rsidRPr="00CC6608">
        <w:rPr>
          <w:rFonts w:eastAsiaTheme="majorEastAsia"/>
          <w:i/>
          <w:iCs/>
          <w:color w:val="000000" w:themeColor="text1"/>
          <w:sz w:val="22"/>
          <w:szCs w:val="22"/>
        </w:rPr>
        <w:t xml:space="preserve">Note: </w:t>
      </w:r>
    </w:p>
    <w:p w14:paraId="736106C3" w14:textId="17151F0F" w:rsidR="0081282C" w:rsidRPr="00CC6608" w:rsidRDefault="0081282C" w:rsidP="006B21E2">
      <w:pPr>
        <w:pStyle w:val="ListParagraph"/>
        <w:numPr>
          <w:ilvl w:val="0"/>
          <w:numId w:val="260"/>
        </w:numPr>
        <w:jc w:val="both"/>
        <w:rPr>
          <w:rFonts w:eastAsiaTheme="majorEastAsia"/>
          <w:i/>
          <w:iCs/>
          <w:color w:val="000000" w:themeColor="text1"/>
          <w:sz w:val="22"/>
          <w:szCs w:val="22"/>
        </w:rPr>
      </w:pPr>
      <w:r w:rsidRPr="00CC6608">
        <w:rPr>
          <w:rFonts w:eastAsiaTheme="majorEastAsia"/>
          <w:i/>
          <w:iCs/>
          <w:color w:val="000000" w:themeColor="text1"/>
          <w:sz w:val="22"/>
          <w:szCs w:val="22"/>
        </w:rPr>
        <w:t>Stress conditions defined as volatility &gt;2 standard deviations.</w:t>
      </w:r>
    </w:p>
    <w:p w14:paraId="4F66AC10" w14:textId="7F5A5D65" w:rsidR="0081282C" w:rsidRPr="00CC6608" w:rsidRDefault="0081282C" w:rsidP="006B21E2">
      <w:pPr>
        <w:pStyle w:val="ListParagraph"/>
        <w:numPr>
          <w:ilvl w:val="0"/>
          <w:numId w:val="260"/>
        </w:numPr>
        <w:jc w:val="both"/>
        <w:rPr>
          <w:rFonts w:eastAsiaTheme="majorEastAsia"/>
          <w:i/>
          <w:iCs/>
          <w:color w:val="000000" w:themeColor="text1"/>
          <w:sz w:val="22"/>
          <w:szCs w:val="22"/>
        </w:rPr>
      </w:pPr>
      <w:r w:rsidRPr="00CC6608">
        <w:rPr>
          <w:rFonts w:eastAsiaTheme="majorEastAsia"/>
          <w:i/>
          <w:iCs/>
          <w:color w:val="000000" w:themeColor="text1"/>
          <w:sz w:val="22"/>
          <w:szCs w:val="22"/>
        </w:rPr>
        <w:lastRenderedPageBreak/>
        <w:t>All correlations significant at p&lt;0.01 (Pearson's r)</w:t>
      </w:r>
    </w:p>
    <w:p w14:paraId="39FB3756" w14:textId="44395ED0" w:rsidR="00FF3089" w:rsidRPr="00CC6608" w:rsidRDefault="00FF3089" w:rsidP="006B21E2">
      <w:pPr>
        <w:pStyle w:val="ListParagraph"/>
        <w:numPr>
          <w:ilvl w:val="0"/>
          <w:numId w:val="260"/>
        </w:numPr>
        <w:jc w:val="both"/>
        <w:rPr>
          <w:rFonts w:eastAsiaTheme="majorEastAsia"/>
          <w:i/>
          <w:iCs/>
          <w:color w:val="000000" w:themeColor="text1"/>
          <w:sz w:val="22"/>
          <w:szCs w:val="22"/>
        </w:rPr>
      </w:pPr>
      <w:r w:rsidRPr="00CC6608">
        <w:rPr>
          <w:rFonts w:eastAsiaTheme="majorEastAsia"/>
          <w:i/>
          <w:iCs/>
          <w:color w:val="000000" w:themeColor="text1"/>
          <w:sz w:val="22"/>
          <w:szCs w:val="22"/>
        </w:rPr>
        <w:t>n=312 failures between 2020-2024</w:t>
      </w:r>
    </w:p>
    <w:p w14:paraId="2CF5F815" w14:textId="77777777" w:rsidR="0081282C" w:rsidRDefault="0081282C" w:rsidP="006B21E2">
      <w:pPr>
        <w:jc w:val="both"/>
        <w:rPr>
          <w:rFonts w:eastAsiaTheme="majorEastAsia"/>
          <w:color w:val="000000" w:themeColor="text1"/>
        </w:rPr>
      </w:pPr>
    </w:p>
    <w:p w14:paraId="32EE53C7" w14:textId="30E3C47F" w:rsidR="0076579E" w:rsidRDefault="0076579E" w:rsidP="006B21E2">
      <w:pPr>
        <w:jc w:val="both"/>
        <w:rPr>
          <w:rFonts w:eastAsiaTheme="majorEastAsia"/>
          <w:color w:val="000000" w:themeColor="text1"/>
        </w:rPr>
      </w:pPr>
      <w:r w:rsidRPr="003C66A0">
        <w:rPr>
          <w:rFonts w:eastAsiaTheme="majorEastAsia"/>
          <w:color w:val="000000" w:themeColor="text1"/>
        </w:rPr>
        <w:t>Common cascade patterns from 312 failures:</w:t>
      </w:r>
    </w:p>
    <w:p w14:paraId="237DE258" w14:textId="77777777" w:rsidR="00CD1564" w:rsidRDefault="00CD1564" w:rsidP="006B21E2">
      <w:pPr>
        <w:jc w:val="both"/>
        <w:rPr>
          <w:rFonts w:eastAsiaTheme="majorEastAsia"/>
          <w:color w:val="000000" w:themeColor="text1"/>
        </w:rPr>
      </w:pPr>
    </w:p>
    <w:p w14:paraId="3C0E5203" w14:textId="1B2A0EE3" w:rsidR="00B328BF" w:rsidRDefault="00CD1564" w:rsidP="006B21E2">
      <w:pPr>
        <w:pStyle w:val="Heading3"/>
        <w:rPr>
          <w:rFonts w:eastAsiaTheme="majorEastAsia"/>
        </w:rPr>
      </w:pPr>
      <w:bookmarkStart w:id="177" w:name="_Toc214721983"/>
      <w:r>
        <w:rPr>
          <w:rFonts w:eastAsiaTheme="majorEastAsia"/>
        </w:rPr>
        <w:t>Table 7.</w:t>
      </w:r>
      <w:r w:rsidR="00C5607F">
        <w:rPr>
          <w:rFonts w:eastAsiaTheme="majorEastAsia"/>
        </w:rPr>
        <w:t>D</w:t>
      </w:r>
      <w:r>
        <w:rPr>
          <w:rFonts w:eastAsiaTheme="majorEastAsia"/>
        </w:rPr>
        <w:t>:</w:t>
      </w:r>
      <w:r w:rsidR="00933090">
        <w:rPr>
          <w:rFonts w:eastAsiaTheme="majorEastAsia"/>
        </w:rPr>
        <w:t xml:space="preserve"> Cascade Pattern Overview</w:t>
      </w:r>
      <w:bookmarkEnd w:id="177"/>
    </w:p>
    <w:p w14:paraId="3FB6854E" w14:textId="77777777" w:rsidR="00C5607F" w:rsidRPr="00C5607F" w:rsidRDefault="00C5607F" w:rsidP="006B21E2">
      <w:pPr>
        <w:rPr>
          <w:rFonts w:eastAsiaTheme="majorEastAsia"/>
        </w:rPr>
      </w:pPr>
    </w:p>
    <w:tbl>
      <w:tblPr>
        <w:tblW w:w="9480" w:type="dxa"/>
        <w:tblInd w:w="-45" w:type="dxa"/>
        <w:tblLayout w:type="fixed"/>
        <w:tblCellMar>
          <w:left w:w="30" w:type="dxa"/>
          <w:right w:w="30" w:type="dxa"/>
        </w:tblCellMar>
        <w:tblLook w:val="0000" w:firstRow="0" w:lastRow="0" w:firstColumn="0" w:lastColumn="0" w:noHBand="0" w:noVBand="0"/>
      </w:tblPr>
      <w:tblGrid>
        <w:gridCol w:w="2820"/>
        <w:gridCol w:w="1620"/>
        <w:gridCol w:w="1620"/>
        <w:gridCol w:w="1350"/>
        <w:gridCol w:w="2070"/>
      </w:tblGrid>
      <w:tr w:rsidR="00CD1564" w:rsidRPr="00CD1564" w14:paraId="695727EE" w14:textId="77777777" w:rsidTr="00EB6F4A">
        <w:trPr>
          <w:trHeight w:val="312"/>
        </w:trPr>
        <w:tc>
          <w:tcPr>
            <w:tcW w:w="282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2F53FAA9" w14:textId="6D9525FE" w:rsidR="00B328BF" w:rsidRPr="00CD1564" w:rsidRDefault="00EB6F4A" w:rsidP="006B21E2">
            <w:pPr>
              <w:autoSpaceDE w:val="0"/>
              <w:autoSpaceDN w:val="0"/>
              <w:adjustRightInd w:val="0"/>
              <w:rPr>
                <w:rFonts w:eastAsiaTheme="minorEastAsia"/>
                <w:b/>
                <w:bCs/>
                <w:color w:val="000000" w:themeColor="text1"/>
                <w:sz w:val="22"/>
                <w:szCs w:val="22"/>
              </w:rPr>
            </w:pPr>
            <w:r w:rsidRPr="00CD1564">
              <w:rPr>
                <w:rFonts w:eastAsiaTheme="minorEastAsia"/>
                <w:b/>
                <w:bCs/>
                <w:color w:val="000000" w:themeColor="text1"/>
                <w:sz w:val="22"/>
                <w:szCs w:val="22"/>
              </w:rPr>
              <w:t>C</w:t>
            </w:r>
            <w:r w:rsidR="00B328BF" w:rsidRPr="00CD1564">
              <w:rPr>
                <w:rFonts w:eastAsiaTheme="minorEastAsia"/>
                <w:b/>
                <w:bCs/>
                <w:color w:val="000000" w:themeColor="text1"/>
                <w:sz w:val="22"/>
                <w:szCs w:val="22"/>
              </w:rPr>
              <w:t>ascade Pattern</w:t>
            </w:r>
          </w:p>
        </w:tc>
        <w:tc>
          <w:tcPr>
            <w:tcW w:w="1620" w:type="dxa"/>
            <w:tcBorders>
              <w:top w:val="single" w:sz="12" w:space="0" w:color="auto"/>
              <w:left w:val="nil"/>
              <w:bottom w:val="single" w:sz="12" w:space="0" w:color="auto"/>
              <w:right w:val="single" w:sz="6" w:space="0" w:color="auto"/>
            </w:tcBorders>
            <w:shd w:val="clear" w:color="auto" w:fill="D9D9D9" w:themeFill="background1" w:themeFillShade="D9"/>
          </w:tcPr>
          <w:p w14:paraId="43C3FDA9" w14:textId="77777777" w:rsidR="00B328BF" w:rsidRPr="00CD1564" w:rsidRDefault="00B328BF" w:rsidP="006B21E2">
            <w:pPr>
              <w:autoSpaceDE w:val="0"/>
              <w:autoSpaceDN w:val="0"/>
              <w:adjustRightInd w:val="0"/>
              <w:rPr>
                <w:rFonts w:eastAsiaTheme="minorEastAsia"/>
                <w:b/>
                <w:bCs/>
                <w:color w:val="000000" w:themeColor="text1"/>
                <w:sz w:val="22"/>
                <w:szCs w:val="22"/>
              </w:rPr>
            </w:pPr>
            <w:r w:rsidRPr="00CD1564">
              <w:rPr>
                <w:rFonts w:eastAsiaTheme="minorEastAsia"/>
                <w:b/>
                <w:bCs/>
                <w:color w:val="000000" w:themeColor="text1"/>
                <w:sz w:val="22"/>
                <w:szCs w:val="22"/>
              </w:rPr>
              <w:t>Frequency</w:t>
            </w:r>
          </w:p>
        </w:tc>
        <w:tc>
          <w:tcPr>
            <w:tcW w:w="1620" w:type="dxa"/>
            <w:tcBorders>
              <w:top w:val="single" w:sz="12" w:space="0" w:color="auto"/>
              <w:left w:val="single" w:sz="6" w:space="0" w:color="auto"/>
              <w:bottom w:val="single" w:sz="12" w:space="0" w:color="auto"/>
              <w:right w:val="single" w:sz="6" w:space="0" w:color="auto"/>
            </w:tcBorders>
            <w:shd w:val="clear" w:color="auto" w:fill="D9D9D9" w:themeFill="background1" w:themeFillShade="D9"/>
          </w:tcPr>
          <w:p w14:paraId="50E7152F" w14:textId="7EAB4A8B" w:rsidR="00B328BF" w:rsidRPr="00CD1564" w:rsidRDefault="00EB6F4A" w:rsidP="006B21E2">
            <w:pPr>
              <w:autoSpaceDE w:val="0"/>
              <w:autoSpaceDN w:val="0"/>
              <w:adjustRightInd w:val="0"/>
              <w:rPr>
                <w:rFonts w:eastAsiaTheme="minorEastAsia"/>
                <w:b/>
                <w:bCs/>
                <w:color w:val="000000" w:themeColor="text1"/>
                <w:sz w:val="22"/>
                <w:szCs w:val="22"/>
              </w:rPr>
            </w:pPr>
            <w:r w:rsidRPr="00CD1564">
              <w:rPr>
                <w:rFonts w:eastAsiaTheme="minorEastAsia"/>
                <w:b/>
                <w:bCs/>
                <w:color w:val="000000" w:themeColor="text1"/>
                <w:sz w:val="22"/>
                <w:szCs w:val="22"/>
              </w:rPr>
              <w:t>T</w:t>
            </w:r>
            <w:r w:rsidR="00B328BF" w:rsidRPr="00CD1564">
              <w:rPr>
                <w:rFonts w:eastAsiaTheme="minorEastAsia"/>
                <w:b/>
                <w:bCs/>
                <w:color w:val="000000" w:themeColor="text1"/>
                <w:sz w:val="22"/>
                <w:szCs w:val="22"/>
              </w:rPr>
              <w:t>imeline</w:t>
            </w:r>
          </w:p>
        </w:tc>
        <w:tc>
          <w:tcPr>
            <w:tcW w:w="1350" w:type="dxa"/>
            <w:tcBorders>
              <w:top w:val="single" w:sz="12" w:space="0" w:color="auto"/>
              <w:left w:val="single" w:sz="6" w:space="0" w:color="auto"/>
              <w:bottom w:val="single" w:sz="12" w:space="0" w:color="auto"/>
              <w:right w:val="single" w:sz="6" w:space="0" w:color="auto"/>
            </w:tcBorders>
            <w:shd w:val="clear" w:color="auto" w:fill="D9D9D9" w:themeFill="background1" w:themeFillShade="D9"/>
          </w:tcPr>
          <w:p w14:paraId="4C248F47" w14:textId="0C57C5B0" w:rsidR="00B328BF" w:rsidRPr="00CD1564" w:rsidRDefault="00EB6F4A" w:rsidP="006B21E2">
            <w:pPr>
              <w:autoSpaceDE w:val="0"/>
              <w:autoSpaceDN w:val="0"/>
              <w:adjustRightInd w:val="0"/>
              <w:rPr>
                <w:rFonts w:eastAsiaTheme="minorEastAsia"/>
                <w:b/>
                <w:bCs/>
                <w:color w:val="000000" w:themeColor="text1"/>
                <w:sz w:val="22"/>
                <w:szCs w:val="22"/>
              </w:rPr>
            </w:pPr>
            <w:r w:rsidRPr="00CD1564">
              <w:rPr>
                <w:rFonts w:eastAsiaTheme="minorEastAsia"/>
                <w:b/>
                <w:bCs/>
                <w:color w:val="000000" w:themeColor="text1"/>
                <w:sz w:val="22"/>
                <w:szCs w:val="22"/>
              </w:rPr>
              <w:t>R</w:t>
            </w:r>
            <w:r w:rsidR="00B328BF" w:rsidRPr="00CD1564">
              <w:rPr>
                <w:rFonts w:eastAsiaTheme="minorEastAsia"/>
                <w:b/>
                <w:bCs/>
                <w:color w:val="000000" w:themeColor="text1"/>
                <w:sz w:val="22"/>
                <w:szCs w:val="22"/>
              </w:rPr>
              <w:t>ecovery Rate</w:t>
            </w:r>
          </w:p>
        </w:tc>
        <w:tc>
          <w:tcPr>
            <w:tcW w:w="2070"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tcPr>
          <w:p w14:paraId="31998384" w14:textId="1E47A8E9" w:rsidR="00B328BF" w:rsidRPr="00CD1564" w:rsidRDefault="00EB6F4A" w:rsidP="006B21E2">
            <w:pPr>
              <w:autoSpaceDE w:val="0"/>
              <w:autoSpaceDN w:val="0"/>
              <w:adjustRightInd w:val="0"/>
              <w:rPr>
                <w:rFonts w:eastAsiaTheme="minorEastAsia"/>
                <w:b/>
                <w:bCs/>
                <w:color w:val="000000" w:themeColor="text1"/>
                <w:sz w:val="22"/>
                <w:szCs w:val="22"/>
              </w:rPr>
            </w:pPr>
            <w:r w:rsidRPr="00CD1564">
              <w:rPr>
                <w:rFonts w:eastAsiaTheme="minorEastAsia"/>
                <w:b/>
                <w:bCs/>
                <w:color w:val="000000" w:themeColor="text1"/>
                <w:sz w:val="22"/>
                <w:szCs w:val="22"/>
              </w:rPr>
              <w:t>E</w:t>
            </w:r>
            <w:r w:rsidR="00B328BF" w:rsidRPr="00CD1564">
              <w:rPr>
                <w:rFonts w:eastAsiaTheme="minorEastAsia"/>
                <w:b/>
                <w:bCs/>
                <w:color w:val="000000" w:themeColor="text1"/>
                <w:sz w:val="22"/>
                <w:szCs w:val="22"/>
              </w:rPr>
              <w:t>xample</w:t>
            </w:r>
          </w:p>
        </w:tc>
      </w:tr>
      <w:tr w:rsidR="00CD1564" w:rsidRPr="00CD1564" w14:paraId="6BB6A164" w14:textId="77777777" w:rsidTr="00EB6F4A">
        <w:trPr>
          <w:trHeight w:val="305"/>
        </w:trPr>
        <w:tc>
          <w:tcPr>
            <w:tcW w:w="2820" w:type="dxa"/>
            <w:tcBorders>
              <w:top w:val="nil"/>
              <w:left w:val="single" w:sz="12" w:space="0" w:color="auto"/>
              <w:bottom w:val="single" w:sz="6" w:space="0" w:color="auto"/>
              <w:right w:val="single" w:sz="12" w:space="0" w:color="auto"/>
            </w:tcBorders>
          </w:tcPr>
          <w:p w14:paraId="61E90F50" w14:textId="615CD405" w:rsidR="00890146" w:rsidRPr="00CD1564" w:rsidRDefault="00890146" w:rsidP="006B21E2">
            <w:pPr>
              <w:rPr>
                <w:color w:val="000000" w:themeColor="text1"/>
                <w:sz w:val="22"/>
                <w:szCs w:val="22"/>
              </w:rPr>
            </w:pPr>
            <w:r w:rsidRPr="00CD1564">
              <w:rPr>
                <w:color w:val="000000" w:themeColor="text1"/>
                <w:sz w:val="22"/>
                <w:szCs w:val="22"/>
              </w:rPr>
              <w:t>Technical Death Spiral (Exploit → Panic Exit → Abandonment)</w:t>
            </w:r>
          </w:p>
          <w:p w14:paraId="4FA3D284" w14:textId="6D9EAF1B" w:rsidR="00B328BF" w:rsidRPr="00CD1564" w:rsidRDefault="00B328BF" w:rsidP="006B21E2">
            <w:pPr>
              <w:autoSpaceDE w:val="0"/>
              <w:autoSpaceDN w:val="0"/>
              <w:adjustRightInd w:val="0"/>
              <w:rPr>
                <w:rFonts w:eastAsiaTheme="minorEastAsia"/>
                <w:color w:val="000000" w:themeColor="text1"/>
                <w:sz w:val="22"/>
                <w:szCs w:val="22"/>
              </w:rPr>
            </w:pPr>
          </w:p>
        </w:tc>
        <w:tc>
          <w:tcPr>
            <w:tcW w:w="1620" w:type="dxa"/>
            <w:tcBorders>
              <w:top w:val="nil"/>
              <w:left w:val="nil"/>
              <w:bottom w:val="single" w:sz="6" w:space="0" w:color="auto"/>
              <w:right w:val="single" w:sz="6" w:space="0" w:color="auto"/>
            </w:tcBorders>
          </w:tcPr>
          <w:p w14:paraId="5ACFF1DC" w14:textId="77777777" w:rsidR="00B328BF" w:rsidRPr="00CD1564" w:rsidRDefault="00B328BF" w:rsidP="006B21E2">
            <w:pPr>
              <w:autoSpaceDE w:val="0"/>
              <w:autoSpaceDN w:val="0"/>
              <w:adjustRightInd w:val="0"/>
              <w:rPr>
                <w:rFonts w:eastAsiaTheme="minorEastAsia"/>
                <w:color w:val="000000" w:themeColor="text1"/>
                <w:sz w:val="22"/>
                <w:szCs w:val="22"/>
              </w:rPr>
            </w:pPr>
            <w:r w:rsidRPr="00CD1564">
              <w:rPr>
                <w:rFonts w:eastAsiaTheme="minorEastAsia"/>
                <w:color w:val="000000" w:themeColor="text1"/>
                <w:sz w:val="22"/>
                <w:szCs w:val="22"/>
              </w:rPr>
              <w:t>34%</w:t>
            </w:r>
          </w:p>
        </w:tc>
        <w:tc>
          <w:tcPr>
            <w:tcW w:w="1620" w:type="dxa"/>
            <w:tcBorders>
              <w:top w:val="nil"/>
              <w:left w:val="single" w:sz="6" w:space="0" w:color="auto"/>
              <w:bottom w:val="single" w:sz="6" w:space="0" w:color="auto"/>
              <w:right w:val="single" w:sz="6" w:space="0" w:color="auto"/>
            </w:tcBorders>
          </w:tcPr>
          <w:p w14:paraId="767E71F1" w14:textId="77777777" w:rsidR="00B328BF" w:rsidRPr="00CD1564" w:rsidRDefault="00B328BF" w:rsidP="006B21E2">
            <w:pPr>
              <w:autoSpaceDE w:val="0"/>
              <w:autoSpaceDN w:val="0"/>
              <w:adjustRightInd w:val="0"/>
              <w:rPr>
                <w:rFonts w:eastAsiaTheme="minorEastAsia"/>
                <w:color w:val="000000" w:themeColor="text1"/>
                <w:sz w:val="22"/>
                <w:szCs w:val="22"/>
              </w:rPr>
            </w:pPr>
            <w:r w:rsidRPr="00CD1564">
              <w:rPr>
                <w:rFonts w:eastAsiaTheme="minorEastAsia"/>
                <w:color w:val="000000" w:themeColor="text1"/>
                <w:sz w:val="22"/>
                <w:szCs w:val="22"/>
              </w:rPr>
              <w:t>Hours to days</w:t>
            </w:r>
          </w:p>
        </w:tc>
        <w:tc>
          <w:tcPr>
            <w:tcW w:w="1350" w:type="dxa"/>
            <w:tcBorders>
              <w:top w:val="nil"/>
              <w:left w:val="single" w:sz="6" w:space="0" w:color="auto"/>
              <w:bottom w:val="single" w:sz="6" w:space="0" w:color="auto"/>
              <w:right w:val="single" w:sz="6" w:space="0" w:color="auto"/>
            </w:tcBorders>
          </w:tcPr>
          <w:p w14:paraId="6BE60F67" w14:textId="77777777" w:rsidR="00B328BF" w:rsidRPr="00CD1564" w:rsidRDefault="00B328BF" w:rsidP="006B21E2">
            <w:pPr>
              <w:autoSpaceDE w:val="0"/>
              <w:autoSpaceDN w:val="0"/>
              <w:adjustRightInd w:val="0"/>
              <w:rPr>
                <w:rFonts w:eastAsiaTheme="minorEastAsia"/>
                <w:color w:val="000000" w:themeColor="text1"/>
                <w:sz w:val="22"/>
                <w:szCs w:val="22"/>
              </w:rPr>
            </w:pPr>
            <w:r w:rsidRPr="00CD1564">
              <w:rPr>
                <w:rFonts w:eastAsiaTheme="minorEastAsia"/>
                <w:color w:val="000000" w:themeColor="text1"/>
                <w:sz w:val="22"/>
                <w:szCs w:val="22"/>
              </w:rPr>
              <w:t>73% if protocol survives</w:t>
            </w:r>
          </w:p>
        </w:tc>
        <w:tc>
          <w:tcPr>
            <w:tcW w:w="2070" w:type="dxa"/>
            <w:tcBorders>
              <w:top w:val="nil"/>
              <w:left w:val="single" w:sz="6" w:space="0" w:color="auto"/>
              <w:bottom w:val="single" w:sz="6" w:space="0" w:color="auto"/>
              <w:right w:val="single" w:sz="12" w:space="0" w:color="auto"/>
            </w:tcBorders>
          </w:tcPr>
          <w:p w14:paraId="73E9CEFC" w14:textId="77777777" w:rsidR="00B328BF" w:rsidRPr="00CD1564" w:rsidRDefault="00B328BF" w:rsidP="006B21E2">
            <w:pPr>
              <w:autoSpaceDE w:val="0"/>
              <w:autoSpaceDN w:val="0"/>
              <w:adjustRightInd w:val="0"/>
              <w:rPr>
                <w:rFonts w:eastAsiaTheme="minorEastAsia"/>
                <w:color w:val="000000" w:themeColor="text1"/>
                <w:sz w:val="22"/>
                <w:szCs w:val="22"/>
              </w:rPr>
            </w:pPr>
            <w:r w:rsidRPr="00CD1564">
              <w:rPr>
                <w:rFonts w:eastAsiaTheme="minorEastAsia"/>
                <w:color w:val="000000" w:themeColor="text1"/>
                <w:sz w:val="22"/>
                <w:szCs w:val="22"/>
              </w:rPr>
              <w:t>Platypus Finance ($8.5M exploit)</w:t>
            </w:r>
          </w:p>
        </w:tc>
      </w:tr>
      <w:tr w:rsidR="00CD1564" w:rsidRPr="00CD1564" w14:paraId="479FB607" w14:textId="77777777" w:rsidTr="00EB6F4A">
        <w:trPr>
          <w:trHeight w:val="305"/>
        </w:trPr>
        <w:tc>
          <w:tcPr>
            <w:tcW w:w="2820" w:type="dxa"/>
            <w:tcBorders>
              <w:top w:val="single" w:sz="6" w:space="0" w:color="auto"/>
              <w:left w:val="single" w:sz="12" w:space="0" w:color="auto"/>
              <w:bottom w:val="single" w:sz="6" w:space="0" w:color="auto"/>
              <w:right w:val="single" w:sz="12" w:space="0" w:color="auto"/>
            </w:tcBorders>
          </w:tcPr>
          <w:p w14:paraId="585A5F4E" w14:textId="5DE9375C" w:rsidR="00B328BF" w:rsidRPr="00CD1564" w:rsidRDefault="00890146" w:rsidP="006B21E2">
            <w:pPr>
              <w:autoSpaceDE w:val="0"/>
              <w:autoSpaceDN w:val="0"/>
              <w:adjustRightInd w:val="0"/>
              <w:rPr>
                <w:rFonts w:eastAsiaTheme="minorEastAsia"/>
                <w:color w:val="000000" w:themeColor="text1"/>
                <w:sz w:val="22"/>
                <w:szCs w:val="22"/>
              </w:rPr>
            </w:pPr>
            <w:r w:rsidRPr="00CD1564">
              <w:rPr>
                <w:rFonts w:eastAsiaTheme="minorEastAsia"/>
                <w:color w:val="000000" w:themeColor="text1"/>
                <w:sz w:val="22"/>
                <w:szCs w:val="22"/>
              </w:rPr>
              <w:t>Market Liquidation (Price Drop → Cascading Liquidations)</w:t>
            </w:r>
          </w:p>
        </w:tc>
        <w:tc>
          <w:tcPr>
            <w:tcW w:w="1620" w:type="dxa"/>
            <w:tcBorders>
              <w:top w:val="single" w:sz="6" w:space="0" w:color="auto"/>
              <w:left w:val="nil"/>
              <w:bottom w:val="single" w:sz="6" w:space="0" w:color="auto"/>
              <w:right w:val="single" w:sz="6" w:space="0" w:color="auto"/>
            </w:tcBorders>
          </w:tcPr>
          <w:p w14:paraId="1E07156B" w14:textId="77777777" w:rsidR="00B328BF" w:rsidRPr="00CD1564" w:rsidRDefault="00B328BF" w:rsidP="006B21E2">
            <w:pPr>
              <w:autoSpaceDE w:val="0"/>
              <w:autoSpaceDN w:val="0"/>
              <w:adjustRightInd w:val="0"/>
              <w:rPr>
                <w:rFonts w:eastAsiaTheme="minorEastAsia"/>
                <w:color w:val="000000" w:themeColor="text1"/>
                <w:sz w:val="22"/>
                <w:szCs w:val="22"/>
              </w:rPr>
            </w:pPr>
            <w:r w:rsidRPr="00CD1564">
              <w:rPr>
                <w:rFonts w:eastAsiaTheme="minorEastAsia"/>
                <w:color w:val="000000" w:themeColor="text1"/>
                <w:sz w:val="22"/>
                <w:szCs w:val="22"/>
              </w:rPr>
              <w:t>28%</w:t>
            </w:r>
          </w:p>
        </w:tc>
        <w:tc>
          <w:tcPr>
            <w:tcW w:w="1620" w:type="dxa"/>
            <w:tcBorders>
              <w:top w:val="single" w:sz="6" w:space="0" w:color="auto"/>
              <w:left w:val="single" w:sz="6" w:space="0" w:color="auto"/>
              <w:bottom w:val="single" w:sz="6" w:space="0" w:color="auto"/>
              <w:right w:val="single" w:sz="6" w:space="0" w:color="auto"/>
            </w:tcBorders>
          </w:tcPr>
          <w:p w14:paraId="10CD7ACC" w14:textId="77777777" w:rsidR="00B328BF" w:rsidRPr="00CD1564" w:rsidRDefault="00B328BF" w:rsidP="006B21E2">
            <w:pPr>
              <w:autoSpaceDE w:val="0"/>
              <w:autoSpaceDN w:val="0"/>
              <w:adjustRightInd w:val="0"/>
              <w:rPr>
                <w:rFonts w:eastAsiaTheme="minorEastAsia"/>
                <w:color w:val="000000" w:themeColor="text1"/>
                <w:sz w:val="22"/>
                <w:szCs w:val="22"/>
              </w:rPr>
            </w:pPr>
            <w:r w:rsidRPr="00CD1564">
              <w:rPr>
                <w:rFonts w:eastAsiaTheme="minorEastAsia"/>
                <w:color w:val="000000" w:themeColor="text1"/>
                <w:sz w:val="22"/>
                <w:szCs w:val="22"/>
              </w:rPr>
              <w:t>Hours</w:t>
            </w:r>
          </w:p>
        </w:tc>
        <w:tc>
          <w:tcPr>
            <w:tcW w:w="1350" w:type="dxa"/>
            <w:tcBorders>
              <w:top w:val="single" w:sz="6" w:space="0" w:color="auto"/>
              <w:left w:val="single" w:sz="6" w:space="0" w:color="auto"/>
              <w:bottom w:val="single" w:sz="6" w:space="0" w:color="auto"/>
              <w:right w:val="single" w:sz="6" w:space="0" w:color="auto"/>
            </w:tcBorders>
          </w:tcPr>
          <w:p w14:paraId="35EC9E2E" w14:textId="77777777" w:rsidR="00B328BF" w:rsidRPr="00CD1564" w:rsidRDefault="00B328BF" w:rsidP="006B21E2">
            <w:pPr>
              <w:autoSpaceDE w:val="0"/>
              <w:autoSpaceDN w:val="0"/>
              <w:adjustRightInd w:val="0"/>
              <w:rPr>
                <w:rFonts w:eastAsiaTheme="minorEastAsia"/>
                <w:color w:val="000000" w:themeColor="text1"/>
                <w:sz w:val="22"/>
                <w:szCs w:val="22"/>
              </w:rPr>
            </w:pPr>
            <w:r w:rsidRPr="00CD1564">
              <w:rPr>
                <w:rFonts w:eastAsiaTheme="minorEastAsia"/>
                <w:color w:val="000000" w:themeColor="text1"/>
                <w:sz w:val="22"/>
                <w:szCs w:val="22"/>
              </w:rPr>
              <w:t>Varies by position, 60-80% affected</w:t>
            </w:r>
          </w:p>
        </w:tc>
        <w:tc>
          <w:tcPr>
            <w:tcW w:w="2070" w:type="dxa"/>
            <w:tcBorders>
              <w:top w:val="single" w:sz="6" w:space="0" w:color="auto"/>
              <w:left w:val="single" w:sz="6" w:space="0" w:color="auto"/>
              <w:bottom w:val="single" w:sz="6" w:space="0" w:color="auto"/>
              <w:right w:val="single" w:sz="12" w:space="0" w:color="auto"/>
            </w:tcBorders>
          </w:tcPr>
          <w:p w14:paraId="517D1BC8" w14:textId="77777777" w:rsidR="00B328BF" w:rsidRPr="00CD1564" w:rsidRDefault="00B328BF" w:rsidP="006B21E2">
            <w:pPr>
              <w:autoSpaceDE w:val="0"/>
              <w:autoSpaceDN w:val="0"/>
              <w:adjustRightInd w:val="0"/>
              <w:rPr>
                <w:rFonts w:eastAsiaTheme="minorEastAsia"/>
                <w:color w:val="000000" w:themeColor="text1"/>
                <w:sz w:val="22"/>
                <w:szCs w:val="22"/>
              </w:rPr>
            </w:pPr>
            <w:r w:rsidRPr="00CD1564">
              <w:rPr>
                <w:rFonts w:eastAsiaTheme="minorEastAsia"/>
                <w:color w:val="000000" w:themeColor="text1"/>
                <w:sz w:val="22"/>
                <w:szCs w:val="22"/>
              </w:rPr>
              <w:t>Terra/Luna (May 2022)</w:t>
            </w:r>
          </w:p>
        </w:tc>
      </w:tr>
      <w:tr w:rsidR="00CD1564" w:rsidRPr="00CD1564" w14:paraId="34D1A7F8" w14:textId="77777777" w:rsidTr="00EB6F4A">
        <w:trPr>
          <w:trHeight w:val="305"/>
        </w:trPr>
        <w:tc>
          <w:tcPr>
            <w:tcW w:w="2820" w:type="dxa"/>
            <w:tcBorders>
              <w:top w:val="single" w:sz="6" w:space="0" w:color="auto"/>
              <w:left w:val="single" w:sz="12" w:space="0" w:color="auto"/>
              <w:bottom w:val="single" w:sz="6" w:space="0" w:color="auto"/>
              <w:right w:val="single" w:sz="12" w:space="0" w:color="auto"/>
            </w:tcBorders>
          </w:tcPr>
          <w:p w14:paraId="5516F35F" w14:textId="388EB98C" w:rsidR="00B328BF" w:rsidRPr="00CD1564" w:rsidRDefault="00890146" w:rsidP="006B21E2">
            <w:pPr>
              <w:autoSpaceDE w:val="0"/>
              <w:autoSpaceDN w:val="0"/>
              <w:adjustRightInd w:val="0"/>
              <w:rPr>
                <w:rFonts w:eastAsiaTheme="minorEastAsia"/>
                <w:color w:val="000000" w:themeColor="text1"/>
                <w:sz w:val="22"/>
                <w:szCs w:val="22"/>
              </w:rPr>
            </w:pPr>
            <w:r w:rsidRPr="00CD1564">
              <w:rPr>
                <w:rFonts w:eastAsiaTheme="minorEastAsia"/>
                <w:color w:val="000000" w:themeColor="text1"/>
                <w:sz w:val="22"/>
                <w:szCs w:val="22"/>
              </w:rPr>
              <w:t>Regulatory Strangulation (Regulatory Action → Banking Cutoff)</w:t>
            </w:r>
          </w:p>
        </w:tc>
        <w:tc>
          <w:tcPr>
            <w:tcW w:w="1620" w:type="dxa"/>
            <w:tcBorders>
              <w:top w:val="single" w:sz="6" w:space="0" w:color="auto"/>
              <w:left w:val="nil"/>
              <w:bottom w:val="single" w:sz="6" w:space="0" w:color="auto"/>
              <w:right w:val="single" w:sz="6" w:space="0" w:color="auto"/>
            </w:tcBorders>
          </w:tcPr>
          <w:p w14:paraId="6C8372A1" w14:textId="77777777" w:rsidR="00B328BF" w:rsidRPr="00CD1564" w:rsidRDefault="00B328BF" w:rsidP="006B21E2">
            <w:pPr>
              <w:autoSpaceDE w:val="0"/>
              <w:autoSpaceDN w:val="0"/>
              <w:adjustRightInd w:val="0"/>
              <w:rPr>
                <w:rFonts w:eastAsiaTheme="minorEastAsia"/>
                <w:color w:val="000000" w:themeColor="text1"/>
                <w:sz w:val="22"/>
                <w:szCs w:val="22"/>
              </w:rPr>
            </w:pPr>
            <w:r w:rsidRPr="00CD1564">
              <w:rPr>
                <w:rFonts w:eastAsiaTheme="minorEastAsia"/>
                <w:color w:val="000000" w:themeColor="text1"/>
                <w:sz w:val="22"/>
                <w:szCs w:val="22"/>
              </w:rPr>
              <w:t>21%</w:t>
            </w:r>
          </w:p>
        </w:tc>
        <w:tc>
          <w:tcPr>
            <w:tcW w:w="1620" w:type="dxa"/>
            <w:tcBorders>
              <w:top w:val="single" w:sz="6" w:space="0" w:color="auto"/>
              <w:left w:val="single" w:sz="6" w:space="0" w:color="auto"/>
              <w:bottom w:val="single" w:sz="6" w:space="0" w:color="auto"/>
              <w:right w:val="single" w:sz="6" w:space="0" w:color="auto"/>
            </w:tcBorders>
          </w:tcPr>
          <w:p w14:paraId="09D172A4" w14:textId="77777777" w:rsidR="00B328BF" w:rsidRPr="00CD1564" w:rsidRDefault="00B328BF" w:rsidP="006B21E2">
            <w:pPr>
              <w:autoSpaceDE w:val="0"/>
              <w:autoSpaceDN w:val="0"/>
              <w:adjustRightInd w:val="0"/>
              <w:rPr>
                <w:rFonts w:eastAsiaTheme="minorEastAsia"/>
                <w:color w:val="000000" w:themeColor="text1"/>
                <w:sz w:val="22"/>
                <w:szCs w:val="22"/>
              </w:rPr>
            </w:pPr>
            <w:r w:rsidRPr="00CD1564">
              <w:rPr>
                <w:rFonts w:eastAsiaTheme="minorEastAsia"/>
                <w:color w:val="000000" w:themeColor="text1"/>
                <w:sz w:val="22"/>
                <w:szCs w:val="22"/>
              </w:rPr>
              <w:t>Weeks to months</w:t>
            </w:r>
          </w:p>
        </w:tc>
        <w:tc>
          <w:tcPr>
            <w:tcW w:w="1350" w:type="dxa"/>
            <w:tcBorders>
              <w:top w:val="single" w:sz="6" w:space="0" w:color="auto"/>
              <w:left w:val="single" w:sz="6" w:space="0" w:color="auto"/>
              <w:bottom w:val="single" w:sz="6" w:space="0" w:color="auto"/>
              <w:right w:val="single" w:sz="6" w:space="0" w:color="auto"/>
            </w:tcBorders>
          </w:tcPr>
          <w:p w14:paraId="4327C37D" w14:textId="77777777" w:rsidR="00B328BF" w:rsidRPr="00CD1564" w:rsidRDefault="00B328BF" w:rsidP="006B21E2">
            <w:pPr>
              <w:autoSpaceDE w:val="0"/>
              <w:autoSpaceDN w:val="0"/>
              <w:adjustRightInd w:val="0"/>
              <w:rPr>
                <w:rFonts w:eastAsiaTheme="minorEastAsia"/>
                <w:color w:val="000000" w:themeColor="text1"/>
                <w:sz w:val="22"/>
                <w:szCs w:val="22"/>
              </w:rPr>
            </w:pPr>
            <w:r w:rsidRPr="00CD1564">
              <w:rPr>
                <w:rFonts w:eastAsiaTheme="minorEastAsia"/>
                <w:color w:val="000000" w:themeColor="text1"/>
                <w:sz w:val="22"/>
                <w:szCs w:val="22"/>
              </w:rPr>
              <w:t>12%</w:t>
            </w:r>
          </w:p>
        </w:tc>
        <w:tc>
          <w:tcPr>
            <w:tcW w:w="2070" w:type="dxa"/>
            <w:tcBorders>
              <w:top w:val="single" w:sz="6" w:space="0" w:color="auto"/>
              <w:left w:val="single" w:sz="6" w:space="0" w:color="auto"/>
              <w:bottom w:val="single" w:sz="6" w:space="0" w:color="auto"/>
              <w:right w:val="single" w:sz="12" w:space="0" w:color="auto"/>
            </w:tcBorders>
          </w:tcPr>
          <w:p w14:paraId="678357F1" w14:textId="77777777" w:rsidR="00B328BF" w:rsidRPr="00CD1564" w:rsidRDefault="00B328BF" w:rsidP="006B21E2">
            <w:pPr>
              <w:autoSpaceDE w:val="0"/>
              <w:autoSpaceDN w:val="0"/>
              <w:adjustRightInd w:val="0"/>
              <w:rPr>
                <w:rFonts w:eastAsiaTheme="minorEastAsia"/>
                <w:color w:val="000000" w:themeColor="text1"/>
                <w:sz w:val="22"/>
                <w:szCs w:val="22"/>
              </w:rPr>
            </w:pPr>
            <w:r w:rsidRPr="00CD1564">
              <w:rPr>
                <w:rFonts w:eastAsiaTheme="minorEastAsia"/>
                <w:color w:val="000000" w:themeColor="text1"/>
                <w:sz w:val="22"/>
                <w:szCs w:val="22"/>
              </w:rPr>
              <w:t>2023 banking restrictions</w:t>
            </w:r>
          </w:p>
        </w:tc>
      </w:tr>
      <w:tr w:rsidR="00CD1564" w:rsidRPr="00CD1564" w14:paraId="5087C07F" w14:textId="77777777" w:rsidTr="00EB6F4A">
        <w:trPr>
          <w:trHeight w:val="312"/>
        </w:trPr>
        <w:tc>
          <w:tcPr>
            <w:tcW w:w="2820" w:type="dxa"/>
            <w:tcBorders>
              <w:top w:val="single" w:sz="6" w:space="0" w:color="auto"/>
              <w:left w:val="single" w:sz="12" w:space="0" w:color="auto"/>
              <w:bottom w:val="single" w:sz="12" w:space="0" w:color="auto"/>
              <w:right w:val="single" w:sz="12" w:space="0" w:color="auto"/>
            </w:tcBorders>
          </w:tcPr>
          <w:p w14:paraId="6A25B2C0" w14:textId="0D2A3238" w:rsidR="00B328BF" w:rsidRPr="00CD1564" w:rsidRDefault="00890146" w:rsidP="006B21E2">
            <w:pPr>
              <w:autoSpaceDE w:val="0"/>
              <w:autoSpaceDN w:val="0"/>
              <w:adjustRightInd w:val="0"/>
              <w:rPr>
                <w:rFonts w:eastAsiaTheme="minorEastAsia"/>
                <w:color w:val="000000" w:themeColor="text1"/>
                <w:sz w:val="22"/>
                <w:szCs w:val="22"/>
              </w:rPr>
            </w:pPr>
            <w:r w:rsidRPr="00CD1564">
              <w:rPr>
                <w:rFonts w:eastAsiaTheme="minorEastAsia"/>
                <w:color w:val="000000" w:themeColor="text1"/>
                <w:sz w:val="22"/>
                <w:szCs w:val="22"/>
              </w:rPr>
              <w:t>Governance Attack (Malicious Proposal → User Exodus)</w:t>
            </w:r>
          </w:p>
        </w:tc>
        <w:tc>
          <w:tcPr>
            <w:tcW w:w="1620" w:type="dxa"/>
            <w:tcBorders>
              <w:top w:val="single" w:sz="6" w:space="0" w:color="auto"/>
              <w:left w:val="nil"/>
              <w:bottom w:val="single" w:sz="12" w:space="0" w:color="auto"/>
              <w:right w:val="single" w:sz="6" w:space="0" w:color="auto"/>
            </w:tcBorders>
          </w:tcPr>
          <w:p w14:paraId="434771E7" w14:textId="77777777" w:rsidR="00B328BF" w:rsidRPr="00CD1564" w:rsidRDefault="00B328BF" w:rsidP="006B21E2">
            <w:pPr>
              <w:autoSpaceDE w:val="0"/>
              <w:autoSpaceDN w:val="0"/>
              <w:adjustRightInd w:val="0"/>
              <w:rPr>
                <w:rFonts w:eastAsiaTheme="minorEastAsia"/>
                <w:color w:val="000000" w:themeColor="text1"/>
                <w:sz w:val="22"/>
                <w:szCs w:val="22"/>
              </w:rPr>
            </w:pPr>
            <w:r w:rsidRPr="00CD1564">
              <w:rPr>
                <w:rFonts w:eastAsiaTheme="minorEastAsia"/>
                <w:color w:val="000000" w:themeColor="text1"/>
                <w:sz w:val="22"/>
                <w:szCs w:val="22"/>
              </w:rPr>
              <w:t>17%</w:t>
            </w:r>
          </w:p>
        </w:tc>
        <w:tc>
          <w:tcPr>
            <w:tcW w:w="1620" w:type="dxa"/>
            <w:tcBorders>
              <w:top w:val="single" w:sz="6" w:space="0" w:color="auto"/>
              <w:left w:val="single" w:sz="6" w:space="0" w:color="auto"/>
              <w:bottom w:val="single" w:sz="12" w:space="0" w:color="auto"/>
              <w:right w:val="single" w:sz="6" w:space="0" w:color="auto"/>
            </w:tcBorders>
          </w:tcPr>
          <w:p w14:paraId="26E971F4" w14:textId="77777777" w:rsidR="00B328BF" w:rsidRPr="00CD1564" w:rsidRDefault="00B328BF" w:rsidP="006B21E2">
            <w:pPr>
              <w:autoSpaceDE w:val="0"/>
              <w:autoSpaceDN w:val="0"/>
              <w:adjustRightInd w:val="0"/>
              <w:rPr>
                <w:rFonts w:eastAsiaTheme="minorEastAsia"/>
                <w:color w:val="000000" w:themeColor="text1"/>
                <w:sz w:val="22"/>
                <w:szCs w:val="22"/>
              </w:rPr>
            </w:pPr>
            <w:r w:rsidRPr="00CD1564">
              <w:rPr>
                <w:rFonts w:eastAsiaTheme="minorEastAsia"/>
                <w:color w:val="000000" w:themeColor="text1"/>
                <w:sz w:val="22"/>
                <w:szCs w:val="22"/>
              </w:rPr>
              <w:t>Days to weeks</w:t>
            </w:r>
          </w:p>
        </w:tc>
        <w:tc>
          <w:tcPr>
            <w:tcW w:w="1350" w:type="dxa"/>
            <w:tcBorders>
              <w:top w:val="single" w:sz="6" w:space="0" w:color="auto"/>
              <w:left w:val="single" w:sz="6" w:space="0" w:color="auto"/>
              <w:bottom w:val="single" w:sz="12" w:space="0" w:color="auto"/>
              <w:right w:val="single" w:sz="6" w:space="0" w:color="auto"/>
            </w:tcBorders>
          </w:tcPr>
          <w:p w14:paraId="64C5589B" w14:textId="77777777" w:rsidR="00B328BF" w:rsidRPr="00CD1564" w:rsidRDefault="00B328BF" w:rsidP="006B21E2">
            <w:pPr>
              <w:autoSpaceDE w:val="0"/>
              <w:autoSpaceDN w:val="0"/>
              <w:adjustRightInd w:val="0"/>
              <w:rPr>
                <w:rFonts w:eastAsiaTheme="minorEastAsia"/>
                <w:color w:val="000000" w:themeColor="text1"/>
                <w:sz w:val="22"/>
                <w:szCs w:val="22"/>
              </w:rPr>
            </w:pPr>
            <w:r w:rsidRPr="00CD1564">
              <w:rPr>
                <w:rFonts w:eastAsiaTheme="minorEastAsia"/>
                <w:color w:val="000000" w:themeColor="text1"/>
                <w:sz w:val="22"/>
                <w:szCs w:val="22"/>
              </w:rPr>
              <w:t>8%</w:t>
            </w:r>
          </w:p>
        </w:tc>
        <w:tc>
          <w:tcPr>
            <w:tcW w:w="2070" w:type="dxa"/>
            <w:tcBorders>
              <w:top w:val="single" w:sz="6" w:space="0" w:color="auto"/>
              <w:left w:val="single" w:sz="6" w:space="0" w:color="auto"/>
              <w:bottom w:val="single" w:sz="12" w:space="0" w:color="auto"/>
              <w:right w:val="single" w:sz="12" w:space="0" w:color="auto"/>
            </w:tcBorders>
          </w:tcPr>
          <w:p w14:paraId="01E530A4" w14:textId="77777777" w:rsidR="00B328BF" w:rsidRPr="00CD1564" w:rsidRDefault="00B328BF" w:rsidP="006B21E2">
            <w:pPr>
              <w:autoSpaceDE w:val="0"/>
              <w:autoSpaceDN w:val="0"/>
              <w:adjustRightInd w:val="0"/>
              <w:rPr>
                <w:rFonts w:eastAsiaTheme="minorEastAsia"/>
                <w:color w:val="000000" w:themeColor="text1"/>
                <w:sz w:val="22"/>
                <w:szCs w:val="22"/>
              </w:rPr>
            </w:pPr>
            <w:r w:rsidRPr="00CD1564">
              <w:rPr>
                <w:rFonts w:eastAsiaTheme="minorEastAsia"/>
                <w:color w:val="000000" w:themeColor="text1"/>
                <w:sz w:val="22"/>
                <w:szCs w:val="22"/>
              </w:rPr>
              <w:t>Beanstalk ($182M flash loan)</w:t>
            </w:r>
          </w:p>
        </w:tc>
      </w:tr>
    </w:tbl>
    <w:p w14:paraId="4C722409" w14:textId="0E14A976" w:rsidR="00B328BF" w:rsidRPr="00CC6608" w:rsidRDefault="00EB6F4A" w:rsidP="006B21E2">
      <w:pPr>
        <w:jc w:val="both"/>
        <w:rPr>
          <w:rFonts w:eastAsiaTheme="majorEastAsia"/>
          <w:color w:val="000000" w:themeColor="text1"/>
          <w:sz w:val="22"/>
          <w:szCs w:val="22"/>
        </w:rPr>
      </w:pPr>
      <w:r w:rsidRPr="00CC6608">
        <w:rPr>
          <w:rFonts w:eastAsiaTheme="minorEastAsia"/>
          <w:i/>
          <w:iCs/>
          <w:color w:val="000000" w:themeColor="text1"/>
          <w:sz w:val="22"/>
          <w:szCs w:val="22"/>
        </w:rPr>
        <w:t>Note:</w:t>
      </w:r>
      <w:r w:rsidRPr="00CC6608">
        <w:rPr>
          <w:rFonts w:eastAsiaTheme="minorEastAsia"/>
          <w:color w:val="000000" w:themeColor="text1"/>
          <w:sz w:val="22"/>
          <w:szCs w:val="22"/>
        </w:rPr>
        <w:t xml:space="preserve"> Recovery rates measured at 6-month post-incident.</w:t>
      </w:r>
    </w:p>
    <w:p w14:paraId="330793C9" w14:textId="77777777" w:rsidR="005C21FD" w:rsidRPr="00EB6F4A" w:rsidRDefault="005C21FD" w:rsidP="006B21E2">
      <w:pPr>
        <w:jc w:val="both"/>
        <w:rPr>
          <w:rFonts w:eastAsiaTheme="majorEastAsia"/>
          <w:b/>
          <w:bCs/>
          <w:color w:val="FF0000"/>
        </w:rPr>
      </w:pPr>
    </w:p>
    <w:p w14:paraId="32BC3E35" w14:textId="699991B7" w:rsidR="0076579E" w:rsidRPr="007576C4" w:rsidRDefault="008D6F57" w:rsidP="006B21E2">
      <w:pPr>
        <w:pStyle w:val="Heading2"/>
        <w:rPr>
          <w:rFonts w:eastAsiaTheme="majorEastAsia"/>
        </w:rPr>
      </w:pPr>
      <w:bookmarkStart w:id="178" w:name="_Toc214721984"/>
      <w:r w:rsidRPr="007576C4">
        <w:rPr>
          <w:rFonts w:eastAsiaTheme="majorEastAsia"/>
        </w:rPr>
        <w:t>7</w:t>
      </w:r>
      <w:r w:rsidR="0076579E" w:rsidRPr="007576C4">
        <w:rPr>
          <w:rFonts w:eastAsiaTheme="majorEastAsia"/>
        </w:rPr>
        <w:t>.8 Synthesis: Risk Reality</w:t>
      </w:r>
      <w:bookmarkEnd w:id="178"/>
    </w:p>
    <w:p w14:paraId="1362CDFC" w14:textId="77777777" w:rsidR="00777899" w:rsidRPr="007576C4" w:rsidRDefault="00777899" w:rsidP="006B21E2">
      <w:pPr>
        <w:jc w:val="both"/>
        <w:rPr>
          <w:rFonts w:eastAsiaTheme="majorEastAsia"/>
          <w:color w:val="000000" w:themeColor="text1"/>
        </w:rPr>
      </w:pPr>
      <w:r w:rsidRPr="007576C4">
        <w:rPr>
          <w:rFonts w:eastAsiaTheme="majorEastAsia"/>
          <w:color w:val="000000" w:themeColor="text1"/>
        </w:rPr>
        <w:t>The analysis confirms a 41% annual loss probability and provides essential insights. One of them being that the risks of cryptocurrency change in phases instead of moving in a straight line. Systems stay stable below critical thresholds, but once beyond those thresholds, failures start to happen one after the other. These changes happen quickly, not slowly, which shows that linear models can't show how fragile they are.</w:t>
      </w:r>
    </w:p>
    <w:p w14:paraId="5084E708" w14:textId="77777777" w:rsidR="00777899" w:rsidRPr="007576C4" w:rsidRDefault="00777899" w:rsidP="006B21E2">
      <w:pPr>
        <w:jc w:val="both"/>
        <w:rPr>
          <w:rFonts w:eastAsiaTheme="majorEastAsia"/>
          <w:color w:val="000000" w:themeColor="text1"/>
        </w:rPr>
      </w:pPr>
    </w:p>
    <w:p w14:paraId="159FF760" w14:textId="77777777" w:rsidR="00777899" w:rsidRPr="007576C4" w:rsidRDefault="00777899" w:rsidP="006B21E2">
      <w:pPr>
        <w:jc w:val="both"/>
        <w:rPr>
          <w:rFonts w:eastAsiaTheme="majorEastAsia"/>
          <w:color w:val="000000" w:themeColor="text1"/>
        </w:rPr>
      </w:pPr>
      <w:r w:rsidRPr="007576C4">
        <w:rPr>
          <w:rFonts w:eastAsiaTheme="majorEastAsia"/>
          <w:color w:val="000000" w:themeColor="text1"/>
        </w:rPr>
        <w:t>Risk management implications:</w:t>
      </w:r>
    </w:p>
    <w:p w14:paraId="34E1CCB5" w14:textId="77777777" w:rsidR="00777899" w:rsidRPr="007576C4" w:rsidRDefault="00777899" w:rsidP="006B21E2">
      <w:pPr>
        <w:numPr>
          <w:ilvl w:val="0"/>
          <w:numId w:val="103"/>
        </w:numPr>
        <w:jc w:val="both"/>
        <w:rPr>
          <w:rFonts w:eastAsiaTheme="majorEastAsia"/>
          <w:color w:val="000000" w:themeColor="text1"/>
        </w:rPr>
      </w:pPr>
      <w:r w:rsidRPr="007576C4">
        <w:rPr>
          <w:rFonts w:eastAsiaTheme="majorEastAsia"/>
          <w:color w:val="000000" w:themeColor="text1"/>
        </w:rPr>
        <w:t>Size positions assuming 35-45% annual loss probability</w:t>
      </w:r>
    </w:p>
    <w:p w14:paraId="55770362" w14:textId="77777777" w:rsidR="00777899" w:rsidRPr="007576C4" w:rsidRDefault="00777899" w:rsidP="006B21E2">
      <w:pPr>
        <w:numPr>
          <w:ilvl w:val="0"/>
          <w:numId w:val="103"/>
        </w:numPr>
        <w:jc w:val="both"/>
        <w:rPr>
          <w:rFonts w:eastAsiaTheme="majorEastAsia"/>
          <w:color w:val="000000" w:themeColor="text1"/>
        </w:rPr>
      </w:pPr>
      <w:proofErr w:type="gramStart"/>
      <w:r w:rsidRPr="007576C4">
        <w:rPr>
          <w:rFonts w:eastAsiaTheme="majorEastAsia"/>
          <w:color w:val="000000" w:themeColor="text1"/>
        </w:rPr>
        <w:t>Never to</w:t>
      </w:r>
      <w:proofErr w:type="gramEnd"/>
      <w:r w:rsidRPr="007576C4">
        <w:rPr>
          <w:rFonts w:eastAsiaTheme="majorEastAsia"/>
          <w:color w:val="000000" w:themeColor="text1"/>
        </w:rPr>
        <w:t xml:space="preserve"> risk more than one can afford to lose entirely</w:t>
      </w:r>
    </w:p>
    <w:p w14:paraId="51C9B951" w14:textId="77777777" w:rsidR="00777899" w:rsidRPr="007576C4" w:rsidRDefault="00777899" w:rsidP="006B21E2">
      <w:pPr>
        <w:numPr>
          <w:ilvl w:val="0"/>
          <w:numId w:val="103"/>
        </w:numPr>
        <w:jc w:val="both"/>
        <w:rPr>
          <w:rFonts w:eastAsiaTheme="majorEastAsia"/>
          <w:color w:val="000000" w:themeColor="text1"/>
        </w:rPr>
      </w:pPr>
      <w:r w:rsidRPr="007576C4">
        <w:rPr>
          <w:rFonts w:eastAsiaTheme="majorEastAsia"/>
          <w:color w:val="000000" w:themeColor="text1"/>
        </w:rPr>
        <w:t>Understanding that incidents cluster during stress and not distribute evenly</w:t>
      </w:r>
    </w:p>
    <w:p w14:paraId="42D735C9" w14:textId="77777777" w:rsidR="00777899" w:rsidRPr="007576C4" w:rsidRDefault="00777899" w:rsidP="006B21E2">
      <w:pPr>
        <w:numPr>
          <w:ilvl w:val="0"/>
          <w:numId w:val="103"/>
        </w:numPr>
        <w:jc w:val="both"/>
        <w:rPr>
          <w:rFonts w:eastAsiaTheme="majorEastAsia"/>
          <w:color w:val="000000" w:themeColor="text1"/>
        </w:rPr>
      </w:pPr>
      <w:r w:rsidRPr="007576C4">
        <w:rPr>
          <w:rFonts w:eastAsiaTheme="majorEastAsia"/>
          <w:color w:val="000000" w:themeColor="text1"/>
        </w:rPr>
        <w:t>Accepting that some risks cannot be managed, only sized for survival</w:t>
      </w:r>
    </w:p>
    <w:p w14:paraId="5537464C" w14:textId="77777777" w:rsidR="00777899" w:rsidRPr="007576C4" w:rsidRDefault="00777899" w:rsidP="006B21E2">
      <w:pPr>
        <w:jc w:val="both"/>
        <w:rPr>
          <w:rFonts w:eastAsiaTheme="majorEastAsia"/>
          <w:color w:val="000000" w:themeColor="text1"/>
        </w:rPr>
      </w:pPr>
    </w:p>
    <w:p w14:paraId="4F7C36FA" w14:textId="26DEA23E" w:rsidR="00285B9C" w:rsidRPr="007576C4" w:rsidRDefault="00285B9C" w:rsidP="006B21E2">
      <w:pPr>
        <w:jc w:val="both"/>
        <w:rPr>
          <w:rFonts w:eastAsiaTheme="majorEastAsia"/>
          <w:color w:val="000000" w:themeColor="text1"/>
        </w:rPr>
      </w:pPr>
      <w:r w:rsidRPr="007576C4">
        <w:rPr>
          <w:rFonts w:eastAsiaTheme="majorEastAsia"/>
          <w:color w:val="000000" w:themeColor="text1"/>
        </w:rPr>
        <w:t xml:space="preserve">These risk patterns suggest </w:t>
      </w:r>
      <w:r w:rsidR="00A759CB" w:rsidRPr="007576C4">
        <w:rPr>
          <w:rFonts w:eastAsiaTheme="majorEastAsia"/>
          <w:color w:val="000000" w:themeColor="text1"/>
        </w:rPr>
        <w:t xml:space="preserve">that </w:t>
      </w:r>
      <w:r w:rsidRPr="007576C4">
        <w:rPr>
          <w:rFonts w:eastAsiaTheme="majorEastAsia"/>
          <w:color w:val="000000" w:themeColor="text1"/>
        </w:rPr>
        <w:t>DeFi operates under fundamentally different stability assumptions than traditional finance</w:t>
      </w:r>
      <w:r w:rsidR="00A759CB" w:rsidRPr="007576C4">
        <w:rPr>
          <w:rFonts w:eastAsiaTheme="majorEastAsia"/>
          <w:color w:val="000000" w:themeColor="text1"/>
        </w:rPr>
        <w:t xml:space="preserve">; it </w:t>
      </w:r>
      <w:r w:rsidRPr="007576C4">
        <w:rPr>
          <w:rFonts w:eastAsiaTheme="majorEastAsia"/>
          <w:color w:val="000000" w:themeColor="text1"/>
        </w:rPr>
        <w:t>requir</w:t>
      </w:r>
      <w:r w:rsidR="00A759CB" w:rsidRPr="007576C4">
        <w:rPr>
          <w:rFonts w:eastAsiaTheme="majorEastAsia"/>
          <w:color w:val="000000" w:themeColor="text1"/>
        </w:rPr>
        <w:t>es</w:t>
      </w:r>
      <w:r w:rsidRPr="007576C4">
        <w:rPr>
          <w:rFonts w:eastAsiaTheme="majorEastAsia"/>
          <w:color w:val="000000" w:themeColor="text1"/>
        </w:rPr>
        <w:t xml:space="preserve"> participants to adopt survival-oriented rather than optimization-focused strategies.</w:t>
      </w:r>
    </w:p>
    <w:p w14:paraId="28445948" w14:textId="77777777" w:rsidR="005E7935" w:rsidRPr="007576C4" w:rsidRDefault="005E7935" w:rsidP="006B21E2">
      <w:pPr>
        <w:jc w:val="both"/>
        <w:rPr>
          <w:rFonts w:eastAsiaTheme="majorEastAsia"/>
          <w:color w:val="000000" w:themeColor="text1"/>
        </w:rPr>
      </w:pPr>
    </w:p>
    <w:p w14:paraId="7AA8BD6E" w14:textId="77777777" w:rsidR="005E7935" w:rsidRPr="007576C4" w:rsidRDefault="005E7935" w:rsidP="006B21E2">
      <w:pPr>
        <w:pStyle w:val="Heading2"/>
        <w:jc w:val="both"/>
        <w:rPr>
          <w:color w:val="000000" w:themeColor="text1"/>
          <w:kern w:val="0"/>
          <w:sz w:val="36"/>
          <w:szCs w:val="36"/>
        </w:rPr>
      </w:pPr>
      <w:bookmarkStart w:id="179" w:name="_Toc214721985"/>
      <w:r w:rsidRPr="007576C4">
        <w:rPr>
          <w:color w:val="000000" w:themeColor="text1"/>
        </w:rPr>
        <w:t>7.9 Plain Language Summary: Understanding DeFi's Risk Reality</w:t>
      </w:r>
      <w:bookmarkEnd w:id="179"/>
    </w:p>
    <w:p w14:paraId="36780CD0" w14:textId="77777777" w:rsidR="005E7935" w:rsidRPr="007576C4" w:rsidRDefault="005E7935" w:rsidP="006B21E2">
      <w:pPr>
        <w:jc w:val="both"/>
        <w:rPr>
          <w:color w:val="000000" w:themeColor="text1"/>
        </w:rPr>
      </w:pPr>
      <w:r w:rsidRPr="007576C4">
        <w:rPr>
          <w:color w:val="000000" w:themeColor="text1"/>
        </w:rPr>
        <w:t xml:space="preserve">Chapters 5 and 6 examined costs—the money you'll spend participating in DeFi. This chapter </w:t>
      </w:r>
      <w:proofErr w:type="gramStart"/>
      <w:r w:rsidRPr="007576C4">
        <w:rPr>
          <w:color w:val="000000" w:themeColor="text1"/>
        </w:rPr>
        <w:t>examined risks—</w:t>
      </w:r>
      <w:proofErr w:type="gramEnd"/>
      <w:r w:rsidRPr="007576C4">
        <w:rPr>
          <w:color w:val="000000" w:themeColor="text1"/>
        </w:rPr>
        <w:t>the ways you can lose your entire investment regardless of how well you manage costs. For readers without risk management backgrounds, this section translates the technical risk analysis into practical implications for protecting your capital.</w:t>
      </w:r>
    </w:p>
    <w:p w14:paraId="61B4224B" w14:textId="77777777" w:rsidR="00CE3C5C" w:rsidRPr="007576C4" w:rsidRDefault="00CE3C5C" w:rsidP="006B21E2">
      <w:pPr>
        <w:jc w:val="both"/>
        <w:rPr>
          <w:color w:val="000000" w:themeColor="text1"/>
        </w:rPr>
      </w:pPr>
    </w:p>
    <w:p w14:paraId="369057F6" w14:textId="4024E00D" w:rsidR="005E7935" w:rsidRPr="007576C4" w:rsidRDefault="005E7935" w:rsidP="006B21E2">
      <w:pPr>
        <w:jc w:val="both"/>
        <w:rPr>
          <w:b/>
          <w:bCs/>
          <w:color w:val="000000" w:themeColor="text1"/>
        </w:rPr>
      </w:pPr>
      <w:r w:rsidRPr="007576C4">
        <w:rPr>
          <w:b/>
          <w:bCs/>
          <w:color w:val="000000" w:themeColor="text1"/>
        </w:rPr>
        <w:t>Why Traditional Risk Models Don't Work in DeFi</w:t>
      </w:r>
    </w:p>
    <w:p w14:paraId="32BD22B5" w14:textId="7CC47C08" w:rsidR="00A237A8" w:rsidRPr="007576C4" w:rsidRDefault="00A237A8" w:rsidP="006B21E2">
      <w:pPr>
        <w:jc w:val="both"/>
        <w:rPr>
          <w:color w:val="000000" w:themeColor="text1"/>
        </w:rPr>
      </w:pPr>
      <w:r w:rsidRPr="007576C4">
        <w:rPr>
          <w:color w:val="000000" w:themeColor="text1"/>
        </w:rPr>
        <w:t xml:space="preserve">Stock or bond investors are most likely </w:t>
      </w:r>
      <w:proofErr w:type="gramStart"/>
      <w:r w:rsidRPr="007576C4">
        <w:rPr>
          <w:color w:val="000000" w:themeColor="text1"/>
        </w:rPr>
        <w:t>fairly familiar</w:t>
      </w:r>
      <w:proofErr w:type="gramEnd"/>
      <w:r w:rsidRPr="007576C4">
        <w:rPr>
          <w:color w:val="000000" w:themeColor="text1"/>
        </w:rPr>
        <w:t xml:space="preserve"> with concepts like diversification, standard deviation, and correlation coefficients. These methods rely on the assumption that markets behave </w:t>
      </w:r>
      <w:r w:rsidRPr="007576C4">
        <w:rPr>
          <w:color w:val="000000" w:themeColor="text1"/>
        </w:rPr>
        <w:lastRenderedPageBreak/>
        <w:t xml:space="preserve">in predictable patterns and with returns fitting a normal distribution – where events occurring independently, and correlations remaining relatively stable over time. DeFi however challenges </w:t>
      </w:r>
      <w:proofErr w:type="gramStart"/>
      <w:r w:rsidRPr="007576C4">
        <w:rPr>
          <w:color w:val="000000" w:themeColor="text1"/>
        </w:rPr>
        <w:t>all of</w:t>
      </w:r>
      <w:proofErr w:type="gramEnd"/>
      <w:r w:rsidRPr="007576C4">
        <w:rPr>
          <w:color w:val="000000" w:themeColor="text1"/>
        </w:rPr>
        <w:t xml:space="preserve"> these assumptions, making the known conventional risk management approaches not just ineffective, but potentially harmful.</w:t>
      </w:r>
    </w:p>
    <w:p w14:paraId="0E81E7B6" w14:textId="77777777" w:rsidR="00231980" w:rsidRPr="007576C4" w:rsidRDefault="00231980" w:rsidP="006B21E2">
      <w:pPr>
        <w:jc w:val="both"/>
        <w:rPr>
          <w:color w:val="000000" w:themeColor="text1"/>
        </w:rPr>
      </w:pPr>
    </w:p>
    <w:p w14:paraId="2D4AF386" w14:textId="49CB10A7" w:rsidR="005E7935" w:rsidRPr="007576C4" w:rsidRDefault="005E7935" w:rsidP="006B21E2">
      <w:pPr>
        <w:jc w:val="both"/>
        <w:rPr>
          <w:color w:val="000000" w:themeColor="text1"/>
        </w:rPr>
      </w:pPr>
      <w:r w:rsidRPr="007576C4">
        <w:rPr>
          <w:color w:val="000000" w:themeColor="text1"/>
        </w:rPr>
        <w:t xml:space="preserve">My analysis of 312 documented failures and 156 tracked positions revealed </w:t>
      </w:r>
      <w:r w:rsidR="00A237A8" w:rsidRPr="007576C4">
        <w:rPr>
          <w:color w:val="000000" w:themeColor="text1"/>
        </w:rPr>
        <w:t>unexpected results</w:t>
      </w:r>
      <w:r w:rsidRPr="007576C4">
        <w:rPr>
          <w:color w:val="000000" w:themeColor="text1"/>
        </w:rPr>
        <w:t xml:space="preserve">. Among </w:t>
      </w:r>
      <w:r w:rsidR="00A237A8" w:rsidRPr="007576C4">
        <w:rPr>
          <w:color w:val="000000" w:themeColor="text1"/>
        </w:rPr>
        <w:t xml:space="preserve">the </w:t>
      </w:r>
      <w:r w:rsidRPr="007576C4">
        <w:rPr>
          <w:color w:val="000000" w:themeColor="text1"/>
        </w:rPr>
        <w:t xml:space="preserve">positions that failed, 67% involved risks that traditional risk frameworks don't even categorize, much less measure. When </w:t>
      </w:r>
      <w:r w:rsidR="00A237A8" w:rsidRPr="007576C4">
        <w:rPr>
          <w:color w:val="000000" w:themeColor="text1"/>
        </w:rPr>
        <w:t xml:space="preserve">this research </w:t>
      </w:r>
      <w:r w:rsidRPr="007576C4">
        <w:rPr>
          <w:color w:val="000000" w:themeColor="text1"/>
        </w:rPr>
        <w:t xml:space="preserve">examined how risks correlated with each other during normal times versus stress periods, I found that correlations that hovered around 0.3 during calm markets spiked to 0.9 or higher when things went wrong. This </w:t>
      </w:r>
      <w:r w:rsidR="00A237A8" w:rsidRPr="007576C4">
        <w:rPr>
          <w:color w:val="000000" w:themeColor="text1"/>
        </w:rPr>
        <w:t>shows</w:t>
      </w:r>
      <w:r w:rsidRPr="007576C4">
        <w:rPr>
          <w:color w:val="000000" w:themeColor="text1"/>
        </w:rPr>
        <w:t xml:space="preserve"> that the diversification </w:t>
      </w:r>
      <w:r w:rsidR="00A237A8" w:rsidRPr="007576C4">
        <w:rPr>
          <w:color w:val="000000" w:themeColor="text1"/>
        </w:rPr>
        <w:t>participants</w:t>
      </w:r>
      <w:r w:rsidRPr="007576C4">
        <w:rPr>
          <w:color w:val="000000" w:themeColor="text1"/>
        </w:rPr>
        <w:t xml:space="preserve"> thought would protect</w:t>
      </w:r>
      <w:r w:rsidR="00A237A8" w:rsidRPr="007576C4">
        <w:rPr>
          <w:color w:val="000000" w:themeColor="text1"/>
        </w:rPr>
        <w:t xml:space="preserve"> will disappear</w:t>
      </w:r>
      <w:r w:rsidRPr="007576C4">
        <w:rPr>
          <w:color w:val="000000" w:themeColor="text1"/>
        </w:rPr>
        <w:t xml:space="preserve"> when it </w:t>
      </w:r>
      <w:r w:rsidR="00A237A8" w:rsidRPr="007576C4">
        <w:rPr>
          <w:color w:val="000000" w:themeColor="text1"/>
        </w:rPr>
        <w:t xml:space="preserve">is needed the </w:t>
      </w:r>
      <w:r w:rsidRPr="007576C4">
        <w:rPr>
          <w:color w:val="000000" w:themeColor="text1"/>
        </w:rPr>
        <w:t>most. Even more troubling</w:t>
      </w:r>
      <w:r w:rsidR="00A237A8" w:rsidRPr="007576C4">
        <w:rPr>
          <w:color w:val="000000" w:themeColor="text1"/>
        </w:rPr>
        <w:t xml:space="preserve"> was the data that showed that </w:t>
      </w:r>
      <w:r w:rsidRPr="007576C4">
        <w:rPr>
          <w:color w:val="000000" w:themeColor="text1"/>
        </w:rPr>
        <w:t xml:space="preserve">43% of </w:t>
      </w:r>
      <w:r w:rsidR="00A237A8" w:rsidRPr="007576C4">
        <w:rPr>
          <w:color w:val="000000" w:themeColor="text1"/>
        </w:rPr>
        <w:t xml:space="preserve">the </w:t>
      </w:r>
      <w:r w:rsidRPr="007576C4">
        <w:rPr>
          <w:color w:val="000000" w:themeColor="text1"/>
        </w:rPr>
        <w:t>failures came not from direct exposure to a risk but from second-order effects</w:t>
      </w:r>
      <w:r w:rsidR="00A237A8" w:rsidRPr="007576C4">
        <w:rPr>
          <w:color w:val="000000" w:themeColor="text1"/>
        </w:rPr>
        <w:t xml:space="preserve">. An example of this is </w:t>
      </w:r>
      <w:r w:rsidRPr="007576C4">
        <w:rPr>
          <w:color w:val="000000" w:themeColor="text1"/>
        </w:rPr>
        <w:t>one protocol's problem cascading into another protocol</w:t>
      </w:r>
      <w:r w:rsidR="00A237A8" w:rsidRPr="007576C4">
        <w:rPr>
          <w:color w:val="000000" w:themeColor="text1"/>
        </w:rPr>
        <w:t>. Even though they are not directly related</w:t>
      </w:r>
      <w:r w:rsidRPr="007576C4">
        <w:rPr>
          <w:color w:val="000000" w:themeColor="text1"/>
        </w:rPr>
        <w:t>.</w:t>
      </w:r>
    </w:p>
    <w:p w14:paraId="30475EB6" w14:textId="77777777" w:rsidR="00CE3C5C" w:rsidRPr="007576C4" w:rsidRDefault="00CE3C5C" w:rsidP="006B21E2">
      <w:pPr>
        <w:jc w:val="both"/>
        <w:rPr>
          <w:color w:val="000000" w:themeColor="text1"/>
        </w:rPr>
      </w:pPr>
    </w:p>
    <w:p w14:paraId="0B444053" w14:textId="4A2AECE1" w:rsidR="00CE3C5C" w:rsidRPr="007576C4" w:rsidRDefault="00EE0957" w:rsidP="006B21E2">
      <w:pPr>
        <w:jc w:val="both"/>
        <w:rPr>
          <w:color w:val="000000" w:themeColor="text1"/>
        </w:rPr>
      </w:pPr>
      <w:r w:rsidRPr="007576C4">
        <w:rPr>
          <w:color w:val="000000" w:themeColor="text1"/>
        </w:rPr>
        <w:t>However,</w:t>
      </w:r>
      <w:r w:rsidR="00A237A8" w:rsidRPr="007576C4">
        <w:rPr>
          <w:color w:val="000000" w:themeColor="text1"/>
        </w:rPr>
        <w:t xml:space="preserve"> the most important finding</w:t>
      </w:r>
      <w:r w:rsidR="00696646" w:rsidRPr="007576C4">
        <w:rPr>
          <w:color w:val="000000" w:themeColor="text1"/>
        </w:rPr>
        <w:t xml:space="preserve"> might have been the most telling</w:t>
      </w:r>
      <w:r w:rsidR="00A237A8" w:rsidRPr="007576C4">
        <w:rPr>
          <w:color w:val="000000" w:themeColor="text1"/>
        </w:rPr>
        <w:t xml:space="preserve"> one</w:t>
      </w:r>
      <w:r w:rsidR="00696646" w:rsidRPr="007576C4">
        <w:rPr>
          <w:color w:val="000000" w:themeColor="text1"/>
        </w:rPr>
        <w:t xml:space="preserve">: 89% of failed jobs had what the participants called "comprehensive" risk management in place. </w:t>
      </w:r>
      <w:r w:rsidR="00A237A8" w:rsidRPr="007576C4">
        <w:rPr>
          <w:color w:val="000000" w:themeColor="text1"/>
        </w:rPr>
        <w:t>The participants were not</w:t>
      </w:r>
      <w:r w:rsidR="00696646" w:rsidRPr="007576C4">
        <w:rPr>
          <w:color w:val="000000" w:themeColor="text1"/>
        </w:rPr>
        <w:t xml:space="preserve"> careless players who did</w:t>
      </w:r>
      <w:r w:rsidR="00A237A8" w:rsidRPr="007576C4">
        <w:rPr>
          <w:color w:val="000000" w:themeColor="text1"/>
        </w:rPr>
        <w:t xml:space="preserve"> not</w:t>
      </w:r>
      <w:r w:rsidR="00696646" w:rsidRPr="007576C4">
        <w:rPr>
          <w:color w:val="000000" w:themeColor="text1"/>
        </w:rPr>
        <w:t xml:space="preserve"> see the obvious risks. They spread their bets across different protocols, set stop losses, and constantly checked their positions. They also followed best practices from traditional finance. </w:t>
      </w:r>
      <w:r w:rsidR="00A237A8" w:rsidRPr="007576C4">
        <w:rPr>
          <w:color w:val="000000" w:themeColor="text1"/>
        </w:rPr>
        <w:t>Despite all that</w:t>
      </w:r>
      <w:r w:rsidR="00696646" w:rsidRPr="007576C4">
        <w:rPr>
          <w:color w:val="000000" w:themeColor="text1"/>
        </w:rPr>
        <w:t xml:space="preserve">, they lost money because the risk structure is </w:t>
      </w:r>
      <w:r w:rsidR="00A237A8" w:rsidRPr="007576C4">
        <w:rPr>
          <w:color w:val="000000" w:themeColor="text1"/>
        </w:rPr>
        <w:t xml:space="preserve">significantly </w:t>
      </w:r>
      <w:r w:rsidR="00696646" w:rsidRPr="007576C4">
        <w:rPr>
          <w:color w:val="000000" w:themeColor="text1"/>
        </w:rPr>
        <w:t xml:space="preserve">different from how </w:t>
      </w:r>
      <w:r w:rsidR="00A237A8" w:rsidRPr="007576C4">
        <w:rPr>
          <w:color w:val="000000" w:themeColor="text1"/>
        </w:rPr>
        <w:t xml:space="preserve">traditional </w:t>
      </w:r>
      <w:r w:rsidR="00696646" w:rsidRPr="007576C4">
        <w:rPr>
          <w:color w:val="000000" w:themeColor="text1"/>
        </w:rPr>
        <w:t xml:space="preserve">markets work normally. When a DeFi protocol is hacked, there is no circuit breaker to stop trade, no FDIC insurance to </w:t>
      </w:r>
      <w:r w:rsidR="00A237A8" w:rsidRPr="007576C4">
        <w:rPr>
          <w:color w:val="000000" w:themeColor="text1"/>
        </w:rPr>
        <w:t>step in</w:t>
      </w:r>
      <w:r w:rsidR="00696646" w:rsidRPr="007576C4">
        <w:rPr>
          <w:color w:val="000000" w:themeColor="text1"/>
        </w:rPr>
        <w:t xml:space="preserve">, and no regulatory body to </w:t>
      </w:r>
      <w:proofErr w:type="gramStart"/>
      <w:r w:rsidR="00696646" w:rsidRPr="007576C4">
        <w:rPr>
          <w:color w:val="000000" w:themeColor="text1"/>
        </w:rPr>
        <w:t>look into</w:t>
      </w:r>
      <w:proofErr w:type="gramEnd"/>
      <w:r w:rsidR="00696646" w:rsidRPr="007576C4">
        <w:rPr>
          <w:color w:val="000000" w:themeColor="text1"/>
        </w:rPr>
        <w:t xml:space="preserve"> it and possibly get </w:t>
      </w:r>
      <w:r w:rsidR="00A237A8" w:rsidRPr="007576C4">
        <w:rPr>
          <w:color w:val="000000" w:themeColor="text1"/>
        </w:rPr>
        <w:t>the</w:t>
      </w:r>
      <w:r w:rsidR="00696646" w:rsidRPr="007576C4">
        <w:rPr>
          <w:color w:val="000000" w:themeColor="text1"/>
        </w:rPr>
        <w:t xml:space="preserve"> money back. The money is gone, and there's nothing that can be done about it.</w:t>
      </w:r>
    </w:p>
    <w:p w14:paraId="4774BC78" w14:textId="77777777" w:rsidR="00696646" w:rsidRPr="007576C4" w:rsidRDefault="00696646" w:rsidP="006B21E2">
      <w:pPr>
        <w:jc w:val="both"/>
        <w:rPr>
          <w:color w:val="000000" w:themeColor="text1"/>
        </w:rPr>
      </w:pPr>
    </w:p>
    <w:p w14:paraId="6631D9FC" w14:textId="4B21A645" w:rsidR="005E7935" w:rsidRPr="007576C4" w:rsidRDefault="00CF24D3" w:rsidP="006B21E2">
      <w:pPr>
        <w:pStyle w:val="Heading3"/>
        <w:jc w:val="both"/>
        <w:rPr>
          <w:color w:val="000000" w:themeColor="text1"/>
        </w:rPr>
      </w:pPr>
      <w:bookmarkStart w:id="180" w:name="_Toc214721986"/>
      <w:r w:rsidRPr="007576C4">
        <w:rPr>
          <w:color w:val="000000" w:themeColor="text1"/>
        </w:rPr>
        <w:t xml:space="preserve">7.9.1 </w:t>
      </w:r>
      <w:r w:rsidR="005E7935" w:rsidRPr="007576C4">
        <w:rPr>
          <w:color w:val="000000" w:themeColor="text1"/>
        </w:rPr>
        <w:t>The Audit Paradox: Why Security Reviews Don't Prevent Losses</w:t>
      </w:r>
      <w:bookmarkEnd w:id="180"/>
    </w:p>
    <w:p w14:paraId="218476BC" w14:textId="25883D0C" w:rsidR="005E7935" w:rsidRPr="007576C4" w:rsidRDefault="005E7935" w:rsidP="006B21E2">
      <w:pPr>
        <w:jc w:val="both"/>
        <w:rPr>
          <w:color w:val="000000" w:themeColor="text1"/>
        </w:rPr>
      </w:pPr>
      <w:r w:rsidRPr="007576C4">
        <w:rPr>
          <w:color w:val="000000" w:themeColor="text1"/>
        </w:rPr>
        <w:t xml:space="preserve">One of the most </w:t>
      </w:r>
      <w:r w:rsidR="009F3E09" w:rsidRPr="007576C4">
        <w:rPr>
          <w:color w:val="000000" w:themeColor="text1"/>
        </w:rPr>
        <w:t xml:space="preserve">common and wrongly interpreted </w:t>
      </w:r>
      <w:r w:rsidRPr="007576C4">
        <w:rPr>
          <w:color w:val="000000" w:themeColor="text1"/>
        </w:rPr>
        <w:t xml:space="preserve">myth in DeFi is that </w:t>
      </w:r>
      <w:r w:rsidR="009F3E09" w:rsidRPr="007576C4">
        <w:rPr>
          <w:color w:val="000000" w:themeColor="text1"/>
        </w:rPr>
        <w:t xml:space="preserve">security </w:t>
      </w:r>
      <w:r w:rsidRPr="007576C4">
        <w:rPr>
          <w:color w:val="000000" w:themeColor="text1"/>
        </w:rPr>
        <w:t xml:space="preserve">audited protocols are safe. The data from my research </w:t>
      </w:r>
      <w:r w:rsidR="009F3E09" w:rsidRPr="007576C4">
        <w:rPr>
          <w:color w:val="000000" w:themeColor="text1"/>
        </w:rPr>
        <w:t xml:space="preserve">and information gathered from the news tells a different </w:t>
      </w:r>
      <w:proofErr w:type="gramStart"/>
      <w:r w:rsidR="009F3E09" w:rsidRPr="007576C4">
        <w:rPr>
          <w:color w:val="000000" w:themeColor="text1"/>
        </w:rPr>
        <w:t>and</w:t>
      </w:r>
      <w:r w:rsidRPr="007576C4">
        <w:rPr>
          <w:color w:val="000000" w:themeColor="text1"/>
        </w:rPr>
        <w:t>,</w:t>
      </w:r>
      <w:proofErr w:type="gramEnd"/>
      <w:r w:rsidRPr="007576C4">
        <w:rPr>
          <w:color w:val="000000" w:themeColor="text1"/>
        </w:rPr>
        <w:t xml:space="preserve"> more complex story</w:t>
      </w:r>
      <w:r w:rsidR="009F3E09" w:rsidRPr="007576C4">
        <w:rPr>
          <w:color w:val="000000" w:themeColor="text1"/>
        </w:rPr>
        <w:t>.</w:t>
      </w:r>
      <w:r w:rsidRPr="007576C4">
        <w:rPr>
          <w:color w:val="000000" w:themeColor="text1"/>
        </w:rPr>
        <w:t xml:space="preserve"> </w:t>
      </w:r>
      <w:r w:rsidR="00EE0957" w:rsidRPr="007576C4">
        <w:rPr>
          <w:color w:val="000000" w:themeColor="text1"/>
        </w:rPr>
        <w:t xml:space="preserve">It is critical to review and understand this </w:t>
      </w:r>
      <w:r w:rsidRPr="007576C4">
        <w:rPr>
          <w:color w:val="000000" w:themeColor="text1"/>
        </w:rPr>
        <w:t xml:space="preserve">to </w:t>
      </w:r>
      <w:r w:rsidR="009F3E09" w:rsidRPr="007576C4">
        <w:rPr>
          <w:color w:val="000000" w:themeColor="text1"/>
        </w:rPr>
        <w:t xml:space="preserve">have a better </w:t>
      </w:r>
      <w:r w:rsidRPr="007576C4">
        <w:rPr>
          <w:color w:val="000000" w:themeColor="text1"/>
        </w:rPr>
        <w:t>understand</w:t>
      </w:r>
      <w:r w:rsidR="00EE0957" w:rsidRPr="007576C4">
        <w:rPr>
          <w:color w:val="000000" w:themeColor="text1"/>
        </w:rPr>
        <w:t>ing</w:t>
      </w:r>
      <w:r w:rsidRPr="007576C4">
        <w:rPr>
          <w:color w:val="000000" w:themeColor="text1"/>
        </w:rPr>
        <w:t xml:space="preserve"> before deploying capital</w:t>
      </w:r>
      <w:r w:rsidR="00EE0957" w:rsidRPr="007576C4">
        <w:rPr>
          <w:color w:val="000000" w:themeColor="text1"/>
        </w:rPr>
        <w:t xml:space="preserve"> or making assumptions that are wrong.</w:t>
      </w:r>
    </w:p>
    <w:p w14:paraId="283E00F5" w14:textId="77777777" w:rsidR="00CE3C5C" w:rsidRPr="007576C4" w:rsidRDefault="00CE3C5C" w:rsidP="006B21E2">
      <w:pPr>
        <w:jc w:val="both"/>
        <w:rPr>
          <w:color w:val="000000" w:themeColor="text1"/>
        </w:rPr>
      </w:pPr>
    </w:p>
    <w:p w14:paraId="71CBCA22" w14:textId="02CCA0EA" w:rsidR="005E7935" w:rsidRPr="007576C4" w:rsidRDefault="00EE0957" w:rsidP="006B21E2">
      <w:pPr>
        <w:jc w:val="both"/>
        <w:rPr>
          <w:color w:val="000000" w:themeColor="text1"/>
        </w:rPr>
      </w:pPr>
      <w:r w:rsidRPr="007576C4">
        <w:rPr>
          <w:color w:val="000000" w:themeColor="text1"/>
        </w:rPr>
        <w:t>During this research I</w:t>
      </w:r>
      <w:r w:rsidR="005E7935" w:rsidRPr="007576C4">
        <w:rPr>
          <w:color w:val="000000" w:themeColor="text1"/>
        </w:rPr>
        <w:t xml:space="preserve"> analyzed 89 major protocol exploits</w:t>
      </w:r>
      <w:r w:rsidRPr="007576C4">
        <w:rPr>
          <w:color w:val="000000" w:themeColor="text1"/>
        </w:rPr>
        <w:t xml:space="preserve">, which were made public and included </w:t>
      </w:r>
      <w:r w:rsidR="005E7935" w:rsidRPr="007576C4">
        <w:rPr>
          <w:color w:val="000000" w:themeColor="text1"/>
        </w:rPr>
        <w:t>incidents where more than $1 million was lost</w:t>
      </w:r>
      <w:r w:rsidRPr="007576C4">
        <w:rPr>
          <w:color w:val="000000" w:themeColor="text1"/>
        </w:rPr>
        <w:t xml:space="preserve">. This was done to try to </w:t>
      </w:r>
      <w:r w:rsidR="005E7935" w:rsidRPr="007576C4">
        <w:rPr>
          <w:color w:val="000000" w:themeColor="text1"/>
        </w:rPr>
        <w:t xml:space="preserve">understand the relationship between security practices and actual security outcomes. </w:t>
      </w:r>
      <w:r w:rsidRPr="007576C4">
        <w:rPr>
          <w:color w:val="000000" w:themeColor="text1"/>
        </w:rPr>
        <w:t>The results here showed</w:t>
      </w:r>
      <w:r w:rsidR="005E7935" w:rsidRPr="007576C4">
        <w:rPr>
          <w:color w:val="000000" w:themeColor="text1"/>
        </w:rPr>
        <w:t xml:space="preserve"> challenges </w:t>
      </w:r>
      <w:r w:rsidRPr="007576C4">
        <w:rPr>
          <w:color w:val="000000" w:themeColor="text1"/>
        </w:rPr>
        <w:t xml:space="preserve">about </w:t>
      </w:r>
      <w:r w:rsidR="005E7935" w:rsidRPr="007576C4">
        <w:rPr>
          <w:color w:val="000000" w:themeColor="text1"/>
        </w:rPr>
        <w:t xml:space="preserve">the common narrative </w:t>
      </w:r>
      <w:r w:rsidRPr="007576C4">
        <w:rPr>
          <w:color w:val="000000" w:themeColor="text1"/>
        </w:rPr>
        <w:t>related to</w:t>
      </w:r>
      <w:r w:rsidR="005E7935" w:rsidRPr="007576C4">
        <w:rPr>
          <w:color w:val="000000" w:themeColor="text1"/>
        </w:rPr>
        <w:t xml:space="preserve"> audits </w:t>
      </w:r>
      <w:r w:rsidRPr="007576C4">
        <w:rPr>
          <w:color w:val="000000" w:themeColor="text1"/>
        </w:rPr>
        <w:t xml:space="preserve">and the protection of the </w:t>
      </w:r>
      <w:r w:rsidR="005E7935" w:rsidRPr="007576C4">
        <w:rPr>
          <w:color w:val="000000" w:themeColor="text1"/>
        </w:rPr>
        <w:t xml:space="preserve">users. Among </w:t>
      </w:r>
      <w:r w:rsidRPr="007576C4">
        <w:rPr>
          <w:color w:val="000000" w:themeColor="text1"/>
        </w:rPr>
        <w:t xml:space="preserve">the </w:t>
      </w:r>
      <w:r w:rsidR="005E7935" w:rsidRPr="007576C4">
        <w:rPr>
          <w:color w:val="000000" w:themeColor="text1"/>
        </w:rPr>
        <w:t xml:space="preserve">protocols that suffered major exploits, 71% had undergone multiple professional </w:t>
      </w:r>
      <w:r w:rsidRPr="007576C4">
        <w:rPr>
          <w:color w:val="000000" w:themeColor="text1"/>
        </w:rPr>
        <w:t xml:space="preserve">security and compliance </w:t>
      </w:r>
      <w:r w:rsidR="005E7935" w:rsidRPr="007576C4">
        <w:rPr>
          <w:color w:val="000000" w:themeColor="text1"/>
        </w:rPr>
        <w:t xml:space="preserve">audits from reputable </w:t>
      </w:r>
      <w:r w:rsidRPr="007576C4">
        <w:rPr>
          <w:color w:val="000000" w:themeColor="text1"/>
        </w:rPr>
        <w:t>companies</w:t>
      </w:r>
      <w:r w:rsidR="005E7935" w:rsidRPr="007576C4">
        <w:rPr>
          <w:color w:val="000000" w:themeColor="text1"/>
        </w:rPr>
        <w:t>. These wer</w:t>
      </w:r>
      <w:r w:rsidRPr="007576C4">
        <w:rPr>
          <w:color w:val="000000" w:themeColor="text1"/>
        </w:rPr>
        <w:t xml:space="preserve">e </w:t>
      </w:r>
      <w:r w:rsidR="005E7935" w:rsidRPr="007576C4">
        <w:rPr>
          <w:color w:val="000000" w:themeColor="text1"/>
        </w:rPr>
        <w:t>comprehensive code analysis</w:t>
      </w:r>
      <w:r w:rsidR="0007482B" w:rsidRPr="007576C4">
        <w:rPr>
          <w:color w:val="000000" w:themeColor="text1"/>
        </w:rPr>
        <w:t xml:space="preserve"> and operational audit.</w:t>
      </w:r>
      <w:r w:rsidR="005E7935" w:rsidRPr="007576C4">
        <w:rPr>
          <w:color w:val="000000" w:themeColor="text1"/>
        </w:rPr>
        <w:t xml:space="preserve"> </w:t>
      </w:r>
      <w:r w:rsidR="0007482B" w:rsidRPr="007576C4">
        <w:rPr>
          <w:color w:val="000000" w:themeColor="text1"/>
        </w:rPr>
        <w:t xml:space="preserve">Also of these protocols, </w:t>
      </w:r>
      <w:r w:rsidR="005E7935" w:rsidRPr="007576C4">
        <w:rPr>
          <w:color w:val="000000" w:themeColor="text1"/>
        </w:rPr>
        <w:t xml:space="preserve">83% had active bug bounty programs offering substantial rewards for finding </w:t>
      </w:r>
      <w:r w:rsidR="0007482B" w:rsidRPr="007576C4">
        <w:rPr>
          <w:color w:val="000000" w:themeColor="text1"/>
        </w:rPr>
        <w:t xml:space="preserve">any </w:t>
      </w:r>
      <w:r w:rsidR="005E7935" w:rsidRPr="007576C4">
        <w:rPr>
          <w:color w:val="000000" w:themeColor="text1"/>
        </w:rPr>
        <w:t>vulnerabilities</w:t>
      </w:r>
      <w:r w:rsidR="0007482B" w:rsidRPr="007576C4">
        <w:rPr>
          <w:color w:val="000000" w:themeColor="text1"/>
        </w:rPr>
        <w:t xml:space="preserve"> in their technology, code and service deliveries</w:t>
      </w:r>
      <w:r w:rsidR="005E7935" w:rsidRPr="007576C4">
        <w:rPr>
          <w:color w:val="000000" w:themeColor="text1"/>
        </w:rPr>
        <w:t xml:space="preserve">. Yet despite </w:t>
      </w:r>
      <w:r w:rsidR="0007482B" w:rsidRPr="007576C4">
        <w:rPr>
          <w:color w:val="000000" w:themeColor="text1"/>
        </w:rPr>
        <w:t xml:space="preserve">all </w:t>
      </w:r>
      <w:r w:rsidR="005E7935" w:rsidRPr="007576C4">
        <w:rPr>
          <w:color w:val="000000" w:themeColor="text1"/>
        </w:rPr>
        <w:t xml:space="preserve">these precautions, 44% of </w:t>
      </w:r>
      <w:r w:rsidR="0007482B" w:rsidRPr="007576C4">
        <w:rPr>
          <w:color w:val="000000" w:themeColor="text1"/>
        </w:rPr>
        <w:t xml:space="preserve">the </w:t>
      </w:r>
      <w:r w:rsidR="005E7935" w:rsidRPr="007576C4">
        <w:rPr>
          <w:color w:val="000000" w:themeColor="text1"/>
        </w:rPr>
        <w:t>exploits occurred in code</w:t>
      </w:r>
      <w:r w:rsidR="0007482B" w:rsidRPr="007576C4">
        <w:rPr>
          <w:color w:val="000000" w:themeColor="text1"/>
        </w:rPr>
        <w:t>s</w:t>
      </w:r>
      <w:r w:rsidR="005E7935" w:rsidRPr="007576C4">
        <w:rPr>
          <w:color w:val="000000" w:themeColor="text1"/>
        </w:rPr>
        <w:t xml:space="preserve"> that auditors had specifically reviewed and approved.</w:t>
      </w:r>
    </w:p>
    <w:p w14:paraId="34D25070" w14:textId="77777777" w:rsidR="00CE3C5C" w:rsidRPr="007576C4" w:rsidRDefault="00CE3C5C" w:rsidP="006B21E2">
      <w:pPr>
        <w:jc w:val="both"/>
        <w:rPr>
          <w:color w:val="000000" w:themeColor="text1"/>
        </w:rPr>
      </w:pPr>
    </w:p>
    <w:p w14:paraId="46645645" w14:textId="353903FD" w:rsidR="00CE3C5C" w:rsidRPr="007576C4" w:rsidRDefault="00231980" w:rsidP="006B21E2">
      <w:pPr>
        <w:jc w:val="both"/>
        <w:rPr>
          <w:color w:val="000000" w:themeColor="text1"/>
        </w:rPr>
      </w:pPr>
      <w:r w:rsidRPr="007576C4">
        <w:rPr>
          <w:color w:val="000000" w:themeColor="text1"/>
        </w:rPr>
        <w:t xml:space="preserve">This contradiction is </w:t>
      </w:r>
      <w:proofErr w:type="gramStart"/>
      <w:r w:rsidR="00F9638A" w:rsidRPr="007576C4">
        <w:rPr>
          <w:color w:val="000000" w:themeColor="text1"/>
        </w:rPr>
        <w:t xml:space="preserve">fairly </w:t>
      </w:r>
      <w:r w:rsidRPr="007576C4">
        <w:rPr>
          <w:color w:val="000000" w:themeColor="text1"/>
        </w:rPr>
        <w:t>easy</w:t>
      </w:r>
      <w:proofErr w:type="gramEnd"/>
      <w:r w:rsidRPr="007576C4">
        <w:rPr>
          <w:color w:val="000000" w:themeColor="text1"/>
        </w:rPr>
        <w:t xml:space="preserve"> to understand once </w:t>
      </w:r>
      <w:r w:rsidR="00F9638A" w:rsidRPr="007576C4">
        <w:rPr>
          <w:color w:val="000000" w:themeColor="text1"/>
        </w:rPr>
        <w:t>it is made clear</w:t>
      </w:r>
      <w:r w:rsidRPr="007576C4">
        <w:rPr>
          <w:color w:val="000000" w:themeColor="text1"/>
        </w:rPr>
        <w:t xml:space="preserve"> what audits really cover and what they do</w:t>
      </w:r>
      <w:r w:rsidR="00F9638A" w:rsidRPr="007576C4">
        <w:rPr>
          <w:color w:val="000000" w:themeColor="text1"/>
        </w:rPr>
        <w:t xml:space="preserve"> not</w:t>
      </w:r>
      <w:r w:rsidRPr="007576C4">
        <w:rPr>
          <w:color w:val="000000" w:themeColor="text1"/>
        </w:rPr>
        <w:t xml:space="preserve">. </w:t>
      </w:r>
      <w:r w:rsidR="00F9638A" w:rsidRPr="007576C4">
        <w:rPr>
          <w:color w:val="000000" w:themeColor="text1"/>
        </w:rPr>
        <w:t>Majority of a</w:t>
      </w:r>
      <w:r w:rsidRPr="007576C4">
        <w:rPr>
          <w:color w:val="000000" w:themeColor="text1"/>
        </w:rPr>
        <w:t xml:space="preserve">uditors check code to make sure it is technically correct: does the math work right? Are there reentrancy vulnerabilities? Is it possible for someone to get into management functions without permission? These technical checks are helpful, but they don't look at a type of risk that has been shown to be worse than code bugs. </w:t>
      </w:r>
      <w:r w:rsidR="00F9638A" w:rsidRPr="007576C4">
        <w:rPr>
          <w:color w:val="000000" w:themeColor="text1"/>
        </w:rPr>
        <w:t xml:space="preserve">To check for risks and vulnerabilities related to bugs and exploitation and security audit needs to be performed </w:t>
      </w:r>
      <w:proofErr w:type="gramStart"/>
      <w:r w:rsidR="00F9638A" w:rsidRPr="007576C4">
        <w:rPr>
          <w:color w:val="000000" w:themeColor="text1"/>
        </w:rPr>
        <w:t xml:space="preserve">and in </w:t>
      </w:r>
      <w:r w:rsidR="00F9638A" w:rsidRPr="007576C4">
        <w:rPr>
          <w:color w:val="000000" w:themeColor="text1"/>
        </w:rPr>
        <w:lastRenderedPageBreak/>
        <w:t xml:space="preserve">most </w:t>
      </w:r>
      <w:r w:rsidR="00221293" w:rsidRPr="007576C4">
        <w:rPr>
          <w:color w:val="000000" w:themeColor="text1"/>
        </w:rPr>
        <w:t>cases,</w:t>
      </w:r>
      <w:proofErr w:type="gramEnd"/>
      <w:r w:rsidR="00F9638A" w:rsidRPr="007576C4">
        <w:rPr>
          <w:color w:val="000000" w:themeColor="text1"/>
        </w:rPr>
        <w:t xml:space="preserve"> this is a separate audit and requires a different skillset. </w:t>
      </w:r>
      <w:r w:rsidR="00221293" w:rsidRPr="007576C4">
        <w:rPr>
          <w:color w:val="000000" w:themeColor="text1"/>
        </w:rPr>
        <w:t>On top of that, e</w:t>
      </w:r>
      <w:r w:rsidRPr="007576C4">
        <w:rPr>
          <w:color w:val="000000" w:themeColor="text1"/>
        </w:rPr>
        <w:t xml:space="preserve">conomic attacks, </w:t>
      </w:r>
      <w:r w:rsidR="00F9638A" w:rsidRPr="007576C4">
        <w:rPr>
          <w:color w:val="000000" w:themeColor="text1"/>
        </w:rPr>
        <w:t xml:space="preserve">such as </w:t>
      </w:r>
      <w:r w:rsidRPr="007576C4">
        <w:rPr>
          <w:color w:val="000000" w:themeColor="text1"/>
        </w:rPr>
        <w:t>us</w:t>
      </w:r>
      <w:r w:rsidR="00F9638A" w:rsidRPr="007576C4">
        <w:rPr>
          <w:color w:val="000000" w:themeColor="text1"/>
        </w:rPr>
        <w:t>ing</w:t>
      </w:r>
      <w:r w:rsidRPr="007576C4">
        <w:rPr>
          <w:color w:val="000000" w:themeColor="text1"/>
        </w:rPr>
        <w:t xml:space="preserve"> flash loans to change prices, game theory flaws in governance systems, or oracle abuse to make money off other people, are not covered by regular audits.</w:t>
      </w:r>
    </w:p>
    <w:p w14:paraId="001906F5" w14:textId="77777777" w:rsidR="00231980" w:rsidRPr="007576C4" w:rsidRDefault="00231980" w:rsidP="006B21E2">
      <w:pPr>
        <w:jc w:val="both"/>
        <w:rPr>
          <w:color w:val="000000" w:themeColor="text1"/>
        </w:rPr>
      </w:pPr>
    </w:p>
    <w:p w14:paraId="5A042F0D" w14:textId="109BABC8" w:rsidR="005E7935" w:rsidRPr="007576C4" w:rsidRDefault="00221293" w:rsidP="006B21E2">
      <w:pPr>
        <w:jc w:val="both"/>
        <w:rPr>
          <w:color w:val="000000" w:themeColor="text1"/>
        </w:rPr>
      </w:pPr>
      <w:r w:rsidRPr="007576C4">
        <w:rPr>
          <w:color w:val="000000" w:themeColor="text1"/>
        </w:rPr>
        <w:t>A good example of this is</w:t>
      </w:r>
      <w:r w:rsidR="005E7935" w:rsidRPr="007576C4">
        <w:rPr>
          <w:color w:val="000000" w:themeColor="text1"/>
        </w:rPr>
        <w:t xml:space="preserve"> Platypus Finance </w:t>
      </w:r>
      <w:r w:rsidRPr="007576C4">
        <w:rPr>
          <w:color w:val="000000" w:themeColor="text1"/>
        </w:rPr>
        <w:t xml:space="preserve">hack. </w:t>
      </w:r>
      <w:r w:rsidR="005E7935" w:rsidRPr="007576C4">
        <w:rPr>
          <w:color w:val="000000" w:themeColor="text1"/>
        </w:rPr>
        <w:t xml:space="preserve">The protocol had undergone three separate audits from reputable firms, maintained an active bug bounty program offering substantial rewards, and had experienced developers who followed best </w:t>
      </w:r>
      <w:r w:rsidRPr="007576C4">
        <w:rPr>
          <w:color w:val="000000" w:themeColor="text1"/>
        </w:rPr>
        <w:t xml:space="preserve">coding </w:t>
      </w:r>
      <w:r w:rsidR="005E7935" w:rsidRPr="007576C4">
        <w:rPr>
          <w:color w:val="000000" w:themeColor="text1"/>
        </w:rPr>
        <w:t xml:space="preserve">practices. In February 2023, an attacker exploited an economic vulnerability that none of the audits had identified, </w:t>
      </w:r>
      <w:r w:rsidRPr="007576C4">
        <w:rPr>
          <w:color w:val="000000" w:themeColor="text1"/>
        </w:rPr>
        <w:t>resulting in the theft of</w:t>
      </w:r>
      <w:r w:rsidR="005E7935" w:rsidRPr="007576C4">
        <w:rPr>
          <w:color w:val="000000" w:themeColor="text1"/>
        </w:rPr>
        <w:t xml:space="preserve"> $8.5 million. The code </w:t>
      </w:r>
      <w:r w:rsidRPr="007576C4">
        <w:rPr>
          <w:color w:val="000000" w:themeColor="text1"/>
        </w:rPr>
        <w:t>functionality was</w:t>
      </w:r>
      <w:r w:rsidR="005E7935" w:rsidRPr="007576C4">
        <w:rPr>
          <w:color w:val="000000" w:themeColor="text1"/>
        </w:rPr>
        <w:t xml:space="preserve"> </w:t>
      </w:r>
      <w:r w:rsidRPr="007576C4">
        <w:rPr>
          <w:color w:val="000000" w:themeColor="text1"/>
        </w:rPr>
        <w:t>flawless and in</w:t>
      </w:r>
      <w:r w:rsidR="005E7935" w:rsidRPr="007576C4">
        <w:rPr>
          <w:color w:val="000000" w:themeColor="text1"/>
        </w:rPr>
        <w:t xml:space="preserve"> </w:t>
      </w:r>
      <w:proofErr w:type="gramStart"/>
      <w:r w:rsidR="005E7935" w:rsidRPr="007576C4">
        <w:rPr>
          <w:color w:val="000000" w:themeColor="text1"/>
        </w:rPr>
        <w:t>according</w:t>
      </w:r>
      <w:proofErr w:type="gramEnd"/>
      <w:r w:rsidR="005E7935" w:rsidRPr="007576C4">
        <w:rPr>
          <w:color w:val="000000" w:themeColor="text1"/>
        </w:rPr>
        <w:t xml:space="preserve"> </w:t>
      </w:r>
      <w:proofErr w:type="gramStart"/>
      <w:r w:rsidR="005E7935" w:rsidRPr="007576C4">
        <w:rPr>
          <w:color w:val="000000" w:themeColor="text1"/>
        </w:rPr>
        <w:t>to</w:t>
      </w:r>
      <w:proofErr w:type="gramEnd"/>
      <w:r w:rsidR="005E7935" w:rsidRPr="007576C4">
        <w:rPr>
          <w:color w:val="000000" w:themeColor="text1"/>
        </w:rPr>
        <w:t xml:space="preserve"> its specifications. The vulnerability </w:t>
      </w:r>
      <w:r w:rsidRPr="007576C4">
        <w:rPr>
          <w:color w:val="000000" w:themeColor="text1"/>
        </w:rPr>
        <w:t>that was exploited was</w:t>
      </w:r>
      <w:r w:rsidR="005E7935" w:rsidRPr="007576C4">
        <w:rPr>
          <w:color w:val="000000" w:themeColor="text1"/>
        </w:rPr>
        <w:t xml:space="preserve"> in the interaction between </w:t>
      </w:r>
      <w:r w:rsidRPr="007576C4">
        <w:rPr>
          <w:color w:val="000000" w:themeColor="text1"/>
        </w:rPr>
        <w:t xml:space="preserve">the </w:t>
      </w:r>
      <w:r w:rsidR="005E7935" w:rsidRPr="007576C4">
        <w:rPr>
          <w:color w:val="000000" w:themeColor="text1"/>
        </w:rPr>
        <w:t>different protocol mechanisms</w:t>
      </w:r>
      <w:r w:rsidRPr="007576C4">
        <w:rPr>
          <w:color w:val="000000" w:themeColor="text1"/>
        </w:rPr>
        <w:t>, which</w:t>
      </w:r>
      <w:r w:rsidR="005E7935" w:rsidRPr="007576C4">
        <w:rPr>
          <w:color w:val="000000" w:themeColor="text1"/>
        </w:rPr>
        <w:t xml:space="preserve"> creat</w:t>
      </w:r>
      <w:r w:rsidRPr="007576C4">
        <w:rPr>
          <w:color w:val="000000" w:themeColor="text1"/>
        </w:rPr>
        <w:t>ed</w:t>
      </w:r>
      <w:r w:rsidR="005E7935" w:rsidRPr="007576C4">
        <w:rPr>
          <w:color w:val="000000" w:themeColor="text1"/>
        </w:rPr>
        <w:t xml:space="preserve"> an exploitable condition that auditors, focused on code-level security, </w:t>
      </w:r>
      <w:r w:rsidRPr="007576C4">
        <w:rPr>
          <w:color w:val="000000" w:themeColor="text1"/>
        </w:rPr>
        <w:t>did not</w:t>
      </w:r>
      <w:r w:rsidR="005E7935" w:rsidRPr="007576C4">
        <w:rPr>
          <w:color w:val="000000" w:themeColor="text1"/>
        </w:rPr>
        <w:t xml:space="preserve"> </w:t>
      </w:r>
      <w:r w:rsidRPr="007576C4">
        <w:rPr>
          <w:color w:val="000000" w:themeColor="text1"/>
        </w:rPr>
        <w:t>consider</w:t>
      </w:r>
      <w:r w:rsidR="005E7935" w:rsidRPr="007576C4">
        <w:rPr>
          <w:color w:val="000000" w:themeColor="text1"/>
        </w:rPr>
        <w:t xml:space="preserve">. Users who assumed "three audits means it's safe" lost their funds not through technical failure but through the limits of what </w:t>
      </w:r>
      <w:r w:rsidRPr="007576C4">
        <w:rPr>
          <w:color w:val="000000" w:themeColor="text1"/>
        </w:rPr>
        <w:t xml:space="preserve">standard </w:t>
      </w:r>
      <w:r w:rsidR="005E7935" w:rsidRPr="007576C4">
        <w:rPr>
          <w:color w:val="000000" w:themeColor="text1"/>
        </w:rPr>
        <w:t>audits can realistically achieve.</w:t>
      </w:r>
    </w:p>
    <w:p w14:paraId="6726BEC3" w14:textId="77777777" w:rsidR="00CE3C5C" w:rsidRPr="007576C4" w:rsidRDefault="00CE3C5C" w:rsidP="006B21E2">
      <w:pPr>
        <w:jc w:val="both"/>
        <w:rPr>
          <w:color w:val="000000" w:themeColor="text1"/>
        </w:rPr>
      </w:pPr>
    </w:p>
    <w:p w14:paraId="6D8DF0A5" w14:textId="22F23A81" w:rsidR="005E7935" w:rsidRPr="007576C4" w:rsidRDefault="003B14C5" w:rsidP="006B21E2">
      <w:pPr>
        <w:pStyle w:val="Heading3"/>
        <w:jc w:val="both"/>
        <w:rPr>
          <w:color w:val="000000" w:themeColor="text1"/>
        </w:rPr>
      </w:pPr>
      <w:bookmarkStart w:id="181" w:name="_Toc214721987"/>
      <w:r w:rsidRPr="007576C4">
        <w:rPr>
          <w:color w:val="000000" w:themeColor="text1"/>
        </w:rPr>
        <w:t xml:space="preserve">7.9.2 </w:t>
      </w:r>
      <w:r w:rsidR="005E7935" w:rsidRPr="007576C4">
        <w:rPr>
          <w:color w:val="000000" w:themeColor="text1"/>
        </w:rPr>
        <w:t>True Cost of Technical Risk Goes Far Beyond Direct Losses</w:t>
      </w:r>
      <w:bookmarkEnd w:id="181"/>
    </w:p>
    <w:p w14:paraId="6AB54F89" w14:textId="42739999" w:rsidR="003A04F7" w:rsidRPr="007576C4" w:rsidRDefault="009D3A37" w:rsidP="006B21E2">
      <w:pPr>
        <w:jc w:val="both"/>
        <w:rPr>
          <w:color w:val="000000" w:themeColor="text1"/>
        </w:rPr>
      </w:pPr>
      <w:r w:rsidRPr="007576C4">
        <w:rPr>
          <w:color w:val="000000" w:themeColor="text1"/>
        </w:rPr>
        <w:t>T</w:t>
      </w:r>
      <w:r w:rsidR="003A04F7" w:rsidRPr="007576C4">
        <w:rPr>
          <w:color w:val="000000" w:themeColor="text1"/>
        </w:rPr>
        <w:t xml:space="preserve">racking data </w:t>
      </w:r>
      <w:r w:rsidRPr="007576C4">
        <w:rPr>
          <w:color w:val="000000" w:themeColor="text1"/>
        </w:rPr>
        <w:t xml:space="preserve">during this research </w:t>
      </w:r>
      <w:r w:rsidR="003A04F7" w:rsidRPr="007576C4">
        <w:rPr>
          <w:color w:val="000000" w:themeColor="text1"/>
        </w:rPr>
        <w:t>show</w:t>
      </w:r>
      <w:r w:rsidR="00FA28A8" w:rsidRPr="007576C4">
        <w:rPr>
          <w:color w:val="000000" w:themeColor="text1"/>
        </w:rPr>
        <w:t>ed</w:t>
      </w:r>
      <w:r w:rsidR="003A04F7" w:rsidRPr="007576C4">
        <w:rPr>
          <w:color w:val="000000" w:themeColor="text1"/>
        </w:rPr>
        <w:t xml:space="preserve"> that </w:t>
      </w:r>
      <w:r w:rsidRPr="007576C4">
        <w:rPr>
          <w:color w:val="000000" w:themeColor="text1"/>
        </w:rPr>
        <w:t>the actual operational and transaction</w:t>
      </w:r>
      <w:r w:rsidR="003A04F7" w:rsidRPr="007576C4">
        <w:rPr>
          <w:color w:val="000000" w:themeColor="text1"/>
        </w:rPr>
        <w:t xml:space="preserve"> costs </w:t>
      </w:r>
      <w:r w:rsidRPr="007576C4">
        <w:rPr>
          <w:color w:val="000000" w:themeColor="text1"/>
        </w:rPr>
        <w:t>are a b</w:t>
      </w:r>
      <w:r w:rsidR="00FA28A8" w:rsidRPr="007576C4">
        <w:rPr>
          <w:color w:val="000000" w:themeColor="text1"/>
        </w:rPr>
        <w:t>i</w:t>
      </w:r>
      <w:r w:rsidRPr="007576C4">
        <w:rPr>
          <w:color w:val="000000" w:themeColor="text1"/>
        </w:rPr>
        <w:t>g part t</w:t>
      </w:r>
      <w:r w:rsidR="003A04F7" w:rsidRPr="007576C4">
        <w:rPr>
          <w:color w:val="000000" w:themeColor="text1"/>
        </w:rPr>
        <w:t xml:space="preserve">hat </w:t>
      </w:r>
      <w:r w:rsidRPr="007576C4">
        <w:rPr>
          <w:color w:val="000000" w:themeColor="text1"/>
        </w:rPr>
        <w:t>participants</w:t>
      </w:r>
      <w:r w:rsidR="003A04F7" w:rsidRPr="007576C4">
        <w:rPr>
          <w:color w:val="000000" w:themeColor="text1"/>
        </w:rPr>
        <w:t xml:space="preserve"> don't usually think about or plan for. </w:t>
      </w:r>
    </w:p>
    <w:p w14:paraId="48B91D9A" w14:textId="77777777" w:rsidR="003A04F7" w:rsidRPr="007576C4" w:rsidRDefault="003A04F7" w:rsidP="006B21E2">
      <w:pPr>
        <w:jc w:val="both"/>
        <w:rPr>
          <w:color w:val="000000" w:themeColor="text1"/>
        </w:rPr>
      </w:pPr>
    </w:p>
    <w:p w14:paraId="79FB48A7" w14:textId="77777777" w:rsidR="008F1AAB" w:rsidRDefault="00FA28A8" w:rsidP="006B21E2">
      <w:pPr>
        <w:jc w:val="both"/>
        <w:rPr>
          <w:color w:val="000000" w:themeColor="text1"/>
        </w:rPr>
      </w:pPr>
      <w:r w:rsidRPr="007576C4">
        <w:rPr>
          <w:color w:val="000000" w:themeColor="text1"/>
        </w:rPr>
        <w:t>For this several positions were analyzed that experienced protocol</w:t>
      </w:r>
      <w:r w:rsidR="003A04F7" w:rsidRPr="007576C4">
        <w:rPr>
          <w:color w:val="000000" w:themeColor="text1"/>
        </w:rPr>
        <w:t xml:space="preserve"> incidents</w:t>
      </w:r>
      <w:r w:rsidRPr="007576C4">
        <w:rPr>
          <w:color w:val="000000" w:themeColor="text1"/>
        </w:rPr>
        <w:t>. The reason for tracking and analysis was</w:t>
      </w:r>
      <w:r w:rsidR="003A04F7" w:rsidRPr="007576C4">
        <w:rPr>
          <w:color w:val="000000" w:themeColor="text1"/>
        </w:rPr>
        <w:t xml:space="preserve"> to show the full economic effects that went beyond instant losses. When a protocol-level incident happened, </w:t>
      </w:r>
      <w:r w:rsidRPr="007576C4">
        <w:rPr>
          <w:color w:val="000000" w:themeColor="text1"/>
        </w:rPr>
        <w:t>participants</w:t>
      </w:r>
      <w:r w:rsidR="003A04F7" w:rsidRPr="007576C4">
        <w:rPr>
          <w:color w:val="000000" w:themeColor="text1"/>
        </w:rPr>
        <w:t xml:space="preserve"> directly lost an average of 23% of their position value. This money was stolen, locked, or lost value because of the incident. However, </w:t>
      </w:r>
      <w:r w:rsidRPr="007576C4">
        <w:rPr>
          <w:color w:val="000000" w:themeColor="text1"/>
        </w:rPr>
        <w:t xml:space="preserve">the losses continued over a longer </w:t>
      </w:r>
      <w:proofErr w:type="gramStart"/>
      <w:r w:rsidRPr="007576C4">
        <w:rPr>
          <w:color w:val="000000" w:themeColor="text1"/>
        </w:rPr>
        <w:t>period of time</w:t>
      </w:r>
      <w:proofErr w:type="gramEnd"/>
      <w:r w:rsidRPr="007576C4">
        <w:rPr>
          <w:color w:val="000000" w:themeColor="text1"/>
        </w:rPr>
        <w:t xml:space="preserve"> and can be categorized as indirect losses.</w:t>
      </w:r>
      <w:r w:rsidR="003A04F7" w:rsidRPr="007576C4">
        <w:rPr>
          <w:color w:val="000000" w:themeColor="text1"/>
        </w:rPr>
        <w:t xml:space="preserve"> </w:t>
      </w:r>
      <w:r w:rsidRPr="007576C4">
        <w:rPr>
          <w:color w:val="000000" w:themeColor="text1"/>
        </w:rPr>
        <w:t>A good example here are l</w:t>
      </w:r>
      <w:r w:rsidR="003A04F7" w:rsidRPr="007576C4">
        <w:rPr>
          <w:color w:val="000000" w:themeColor="text1"/>
        </w:rPr>
        <w:t xml:space="preserve">iquidity costs </w:t>
      </w:r>
      <w:r w:rsidRPr="007576C4">
        <w:rPr>
          <w:color w:val="000000" w:themeColor="text1"/>
        </w:rPr>
        <w:t xml:space="preserve">that </w:t>
      </w:r>
      <w:r w:rsidR="003A04F7" w:rsidRPr="007576C4">
        <w:rPr>
          <w:color w:val="000000" w:themeColor="text1"/>
        </w:rPr>
        <w:t>went up by another 8–12% because positions that had been used efficiently had to be unwound quickly and under bad conditions</w:t>
      </w:r>
      <w:r w:rsidRPr="007576C4">
        <w:rPr>
          <w:color w:val="000000" w:themeColor="text1"/>
        </w:rPr>
        <w:t xml:space="preserve">. The worst condition </w:t>
      </w:r>
      <w:r w:rsidR="001559E6" w:rsidRPr="007576C4">
        <w:rPr>
          <w:color w:val="000000" w:themeColor="text1"/>
        </w:rPr>
        <w:t>was</w:t>
      </w:r>
      <w:r w:rsidRPr="007576C4">
        <w:rPr>
          <w:color w:val="000000" w:themeColor="text1"/>
        </w:rPr>
        <w:t xml:space="preserve"> created as</w:t>
      </w:r>
      <w:r w:rsidR="003A04F7" w:rsidRPr="007576C4">
        <w:rPr>
          <w:color w:val="000000" w:themeColor="text1"/>
        </w:rPr>
        <w:t xml:space="preserve"> fewer buyers were willing to take the other side of deals involving a compromised protocol. </w:t>
      </w:r>
    </w:p>
    <w:p w14:paraId="204767E6" w14:textId="77777777" w:rsidR="008F1AAB" w:rsidRDefault="008F1AAB" w:rsidP="006B21E2">
      <w:pPr>
        <w:jc w:val="both"/>
        <w:rPr>
          <w:color w:val="000000" w:themeColor="text1"/>
        </w:rPr>
      </w:pPr>
    </w:p>
    <w:p w14:paraId="139DE5D7" w14:textId="6E699BA6" w:rsidR="003A04F7" w:rsidRPr="007576C4" w:rsidRDefault="00FA28A8" w:rsidP="006B21E2">
      <w:pPr>
        <w:jc w:val="both"/>
        <w:rPr>
          <w:color w:val="000000" w:themeColor="text1"/>
        </w:rPr>
      </w:pPr>
      <w:r w:rsidRPr="007576C4">
        <w:rPr>
          <w:color w:val="000000" w:themeColor="text1"/>
        </w:rPr>
        <w:t xml:space="preserve">Also, </w:t>
      </w:r>
      <w:r w:rsidR="00086899" w:rsidRPr="007576C4">
        <w:rPr>
          <w:color w:val="000000" w:themeColor="text1"/>
        </w:rPr>
        <w:t xml:space="preserve">the </w:t>
      </w:r>
      <w:r w:rsidRPr="007576C4">
        <w:rPr>
          <w:color w:val="000000" w:themeColor="text1"/>
        </w:rPr>
        <w:t>o</w:t>
      </w:r>
      <w:r w:rsidR="003A04F7" w:rsidRPr="007576C4">
        <w:rPr>
          <w:color w:val="000000" w:themeColor="text1"/>
        </w:rPr>
        <w:t xml:space="preserve">pportunity costs built up over the weeks or months </w:t>
      </w:r>
      <w:r w:rsidR="00086899" w:rsidRPr="007576C4">
        <w:rPr>
          <w:color w:val="000000" w:themeColor="text1"/>
        </w:rPr>
        <w:t xml:space="preserve">during which </w:t>
      </w:r>
      <w:r w:rsidR="003A04F7" w:rsidRPr="007576C4">
        <w:rPr>
          <w:color w:val="000000" w:themeColor="text1"/>
        </w:rPr>
        <w:t>jobs stayed idle or didn't perform well</w:t>
      </w:r>
      <w:r w:rsidR="00086899" w:rsidRPr="007576C4">
        <w:rPr>
          <w:color w:val="000000" w:themeColor="text1"/>
        </w:rPr>
        <w:t xml:space="preserve">. This </w:t>
      </w:r>
      <w:r w:rsidR="003A04F7" w:rsidRPr="007576C4">
        <w:rPr>
          <w:color w:val="000000" w:themeColor="text1"/>
        </w:rPr>
        <w:t>equal</w:t>
      </w:r>
      <w:r w:rsidR="00086899" w:rsidRPr="007576C4">
        <w:rPr>
          <w:color w:val="000000" w:themeColor="text1"/>
        </w:rPr>
        <w:t>ed</w:t>
      </w:r>
      <w:r w:rsidR="003A04F7" w:rsidRPr="007576C4">
        <w:rPr>
          <w:color w:val="000000" w:themeColor="text1"/>
        </w:rPr>
        <w:t xml:space="preserve"> </w:t>
      </w:r>
      <w:r w:rsidR="00086899" w:rsidRPr="007576C4">
        <w:rPr>
          <w:color w:val="000000" w:themeColor="text1"/>
        </w:rPr>
        <w:t>between</w:t>
      </w:r>
      <w:r w:rsidR="003A04F7" w:rsidRPr="007576C4">
        <w:rPr>
          <w:color w:val="000000" w:themeColor="text1"/>
        </w:rPr>
        <w:t xml:space="preserve"> 3–5% of what could have been made in safer situations. Perhaps most </w:t>
      </w:r>
      <w:r w:rsidR="00086899" w:rsidRPr="007576C4">
        <w:rPr>
          <w:color w:val="000000" w:themeColor="text1"/>
        </w:rPr>
        <w:t>importantly, the</w:t>
      </w:r>
      <w:r w:rsidR="003A04F7" w:rsidRPr="007576C4">
        <w:rPr>
          <w:color w:val="000000" w:themeColor="text1"/>
        </w:rPr>
        <w:t xml:space="preserve"> reputational damage to the protocol meant that even after </w:t>
      </w:r>
      <w:r w:rsidR="00086899" w:rsidRPr="007576C4">
        <w:rPr>
          <w:color w:val="000000" w:themeColor="text1"/>
        </w:rPr>
        <w:t xml:space="preserve">the </w:t>
      </w:r>
      <w:r w:rsidR="003A04F7" w:rsidRPr="007576C4">
        <w:rPr>
          <w:color w:val="000000" w:themeColor="text1"/>
        </w:rPr>
        <w:t xml:space="preserve">technical issues were resolved, </w:t>
      </w:r>
      <w:r w:rsidR="00086899" w:rsidRPr="007576C4">
        <w:rPr>
          <w:color w:val="000000" w:themeColor="text1"/>
        </w:rPr>
        <w:t xml:space="preserve">the </w:t>
      </w:r>
      <w:r w:rsidR="003A04F7" w:rsidRPr="007576C4">
        <w:rPr>
          <w:color w:val="000000" w:themeColor="text1"/>
        </w:rPr>
        <w:t xml:space="preserve">returns remained </w:t>
      </w:r>
      <w:r w:rsidR="00086899" w:rsidRPr="007576C4">
        <w:rPr>
          <w:color w:val="000000" w:themeColor="text1"/>
        </w:rPr>
        <w:t xml:space="preserve">between </w:t>
      </w:r>
      <w:r w:rsidR="003A04F7" w:rsidRPr="007576C4">
        <w:rPr>
          <w:color w:val="000000" w:themeColor="text1"/>
        </w:rPr>
        <w:t xml:space="preserve">15-20% below </w:t>
      </w:r>
      <w:r w:rsidR="00086899" w:rsidRPr="007576C4">
        <w:rPr>
          <w:color w:val="000000" w:themeColor="text1"/>
        </w:rPr>
        <w:t xml:space="preserve">the </w:t>
      </w:r>
      <w:r w:rsidR="003A04F7" w:rsidRPr="007576C4">
        <w:rPr>
          <w:color w:val="000000" w:themeColor="text1"/>
        </w:rPr>
        <w:t>pre-incident levels</w:t>
      </w:r>
      <w:r w:rsidR="00086899" w:rsidRPr="007576C4">
        <w:rPr>
          <w:color w:val="000000" w:themeColor="text1"/>
        </w:rPr>
        <w:t>. This scenario lasted</w:t>
      </w:r>
      <w:r w:rsidR="003A04F7" w:rsidRPr="007576C4">
        <w:rPr>
          <w:color w:val="000000" w:themeColor="text1"/>
        </w:rPr>
        <w:t xml:space="preserve"> for three to six months as participants avoided the compromised platform.</w:t>
      </w:r>
    </w:p>
    <w:p w14:paraId="2B873259" w14:textId="77777777" w:rsidR="003A04F7" w:rsidRPr="007576C4" w:rsidRDefault="003A04F7" w:rsidP="006B21E2">
      <w:pPr>
        <w:jc w:val="both"/>
        <w:rPr>
          <w:color w:val="000000" w:themeColor="text1"/>
        </w:rPr>
      </w:pPr>
    </w:p>
    <w:p w14:paraId="13CFB474" w14:textId="76043778" w:rsidR="00CE3C5C" w:rsidRPr="007576C4" w:rsidRDefault="00086899" w:rsidP="006B21E2">
      <w:pPr>
        <w:jc w:val="both"/>
        <w:rPr>
          <w:color w:val="000000" w:themeColor="text1"/>
        </w:rPr>
      </w:pPr>
      <w:r w:rsidRPr="007576C4">
        <w:rPr>
          <w:color w:val="000000" w:themeColor="text1"/>
        </w:rPr>
        <w:t>Combining</w:t>
      </w:r>
      <w:r w:rsidR="003A04F7" w:rsidRPr="007576C4">
        <w:rPr>
          <w:color w:val="000000" w:themeColor="text1"/>
        </w:rPr>
        <w:t xml:space="preserve"> direct losses, liquidity costs, opportunity costs, and lower future returns</w:t>
      </w:r>
      <w:r w:rsidRPr="007576C4">
        <w:rPr>
          <w:color w:val="000000" w:themeColor="text1"/>
        </w:rPr>
        <w:t>,</w:t>
      </w:r>
      <w:r w:rsidR="003A04F7" w:rsidRPr="007576C4">
        <w:rPr>
          <w:color w:val="000000" w:themeColor="text1"/>
        </w:rPr>
        <w:t xml:space="preserve"> t</w:t>
      </w:r>
      <w:r w:rsidR="00E03C13" w:rsidRPr="007576C4">
        <w:rPr>
          <w:color w:val="000000" w:themeColor="text1"/>
        </w:rPr>
        <w:t>he incidents</w:t>
      </w:r>
      <w:r w:rsidR="003A04F7" w:rsidRPr="007576C4">
        <w:rPr>
          <w:color w:val="000000" w:themeColor="text1"/>
        </w:rPr>
        <w:t xml:space="preserve"> had an effect that was between 49% and 60% of the original asset value. In other words, something that affects </w:t>
      </w:r>
      <w:r w:rsidRPr="007576C4">
        <w:rPr>
          <w:color w:val="000000" w:themeColor="text1"/>
        </w:rPr>
        <w:t>a</w:t>
      </w:r>
      <w:r w:rsidR="003A04F7" w:rsidRPr="007576C4">
        <w:rPr>
          <w:color w:val="000000" w:themeColor="text1"/>
        </w:rPr>
        <w:t xml:space="preserve"> position </w:t>
      </w:r>
      <w:r w:rsidRPr="007576C4">
        <w:rPr>
          <w:color w:val="000000" w:themeColor="text1"/>
        </w:rPr>
        <w:t>will</w:t>
      </w:r>
      <w:r w:rsidR="003A04F7" w:rsidRPr="007576C4">
        <w:rPr>
          <w:color w:val="000000" w:themeColor="text1"/>
        </w:rPr>
        <w:t xml:space="preserve"> </w:t>
      </w:r>
      <w:proofErr w:type="gramStart"/>
      <w:r w:rsidR="003A04F7" w:rsidRPr="007576C4">
        <w:rPr>
          <w:color w:val="000000" w:themeColor="text1"/>
        </w:rPr>
        <w:t>costs</w:t>
      </w:r>
      <w:proofErr w:type="gramEnd"/>
      <w:r w:rsidR="003A04F7" w:rsidRPr="007576C4">
        <w:rPr>
          <w:color w:val="000000" w:themeColor="text1"/>
        </w:rPr>
        <w:t xml:space="preserve"> half or more of </w:t>
      </w:r>
      <w:r w:rsidRPr="007576C4">
        <w:rPr>
          <w:color w:val="000000" w:themeColor="text1"/>
        </w:rPr>
        <w:t>the</w:t>
      </w:r>
      <w:r w:rsidR="003A04F7" w:rsidRPr="007576C4">
        <w:rPr>
          <w:color w:val="000000" w:themeColor="text1"/>
        </w:rPr>
        <w:t xml:space="preserve"> capital, even if the loss seems small at first. This finding has huge implications for position sizing</w:t>
      </w:r>
      <w:r w:rsidRPr="007576C4">
        <w:rPr>
          <w:color w:val="000000" w:themeColor="text1"/>
        </w:rPr>
        <w:t xml:space="preserve"> and requires a different strategy approach: </w:t>
      </w:r>
      <w:r w:rsidR="003A04F7" w:rsidRPr="007576C4">
        <w:rPr>
          <w:color w:val="000000" w:themeColor="text1"/>
        </w:rPr>
        <w:t xml:space="preserve">if </w:t>
      </w:r>
      <w:r w:rsidRPr="007576C4">
        <w:rPr>
          <w:color w:val="000000" w:themeColor="text1"/>
        </w:rPr>
        <w:t>the assumption is that the participant will</w:t>
      </w:r>
      <w:r w:rsidR="003A04F7" w:rsidRPr="007576C4">
        <w:rPr>
          <w:color w:val="000000" w:themeColor="text1"/>
        </w:rPr>
        <w:t xml:space="preserve"> lose half </w:t>
      </w:r>
      <w:r w:rsidRPr="007576C4">
        <w:rPr>
          <w:color w:val="000000" w:themeColor="text1"/>
        </w:rPr>
        <w:t>the</w:t>
      </w:r>
      <w:r w:rsidR="003A04F7" w:rsidRPr="007576C4">
        <w:rPr>
          <w:color w:val="000000" w:themeColor="text1"/>
        </w:rPr>
        <w:t xml:space="preserve"> capital when events happen, which they do 35–45% of the time</w:t>
      </w:r>
      <w:r w:rsidRPr="007576C4">
        <w:rPr>
          <w:color w:val="000000" w:themeColor="text1"/>
        </w:rPr>
        <w:t>, it is important to</w:t>
      </w:r>
      <w:r w:rsidR="003A04F7" w:rsidRPr="007576C4">
        <w:rPr>
          <w:color w:val="000000" w:themeColor="text1"/>
        </w:rPr>
        <w:t xml:space="preserve"> size positions as if </w:t>
      </w:r>
      <w:r w:rsidRPr="007576C4">
        <w:rPr>
          <w:color w:val="000000" w:themeColor="text1"/>
        </w:rPr>
        <w:t>it</w:t>
      </w:r>
      <w:r w:rsidR="003A04F7" w:rsidRPr="007576C4">
        <w:rPr>
          <w:color w:val="000000" w:themeColor="text1"/>
        </w:rPr>
        <w:t xml:space="preserve"> can handle multiple 50% losses. </w:t>
      </w:r>
    </w:p>
    <w:p w14:paraId="355917C5" w14:textId="77777777" w:rsidR="003A04F7" w:rsidRPr="007576C4" w:rsidRDefault="003A04F7" w:rsidP="006B21E2">
      <w:pPr>
        <w:jc w:val="both"/>
        <w:rPr>
          <w:color w:val="000000" w:themeColor="text1"/>
        </w:rPr>
      </w:pPr>
    </w:p>
    <w:p w14:paraId="12D7C499" w14:textId="183CC3CE" w:rsidR="00CE3C5C" w:rsidRPr="007576C4" w:rsidRDefault="003B14C5" w:rsidP="006B21E2">
      <w:pPr>
        <w:pStyle w:val="Heading3"/>
        <w:jc w:val="both"/>
        <w:rPr>
          <w:color w:val="000000" w:themeColor="text1"/>
        </w:rPr>
      </w:pPr>
      <w:bookmarkStart w:id="182" w:name="_Toc214721988"/>
      <w:r w:rsidRPr="007576C4">
        <w:rPr>
          <w:color w:val="000000" w:themeColor="text1"/>
        </w:rPr>
        <w:t xml:space="preserve">7.9.3 </w:t>
      </w:r>
      <w:r w:rsidR="005E7935" w:rsidRPr="007576C4">
        <w:rPr>
          <w:color w:val="000000" w:themeColor="text1"/>
        </w:rPr>
        <w:t>Annual Loss Probability: The Math Behind Survival</w:t>
      </w:r>
      <w:bookmarkEnd w:id="182"/>
    </w:p>
    <w:p w14:paraId="5AF39C86" w14:textId="0BA2A65F" w:rsidR="00B77C5E" w:rsidRPr="007576C4" w:rsidRDefault="00B77C5E" w:rsidP="006B21E2">
      <w:pPr>
        <w:jc w:val="both"/>
        <w:rPr>
          <w:color w:val="000000" w:themeColor="text1"/>
        </w:rPr>
      </w:pPr>
      <w:r w:rsidRPr="007576C4">
        <w:rPr>
          <w:color w:val="000000" w:themeColor="text1"/>
        </w:rPr>
        <w:t xml:space="preserve">The annual loss chance calculation </w:t>
      </w:r>
      <w:r w:rsidR="001559E6" w:rsidRPr="007576C4">
        <w:rPr>
          <w:color w:val="000000" w:themeColor="text1"/>
        </w:rPr>
        <w:t>provides</w:t>
      </w:r>
      <w:r w:rsidR="00DA37D5" w:rsidRPr="007576C4">
        <w:rPr>
          <w:color w:val="000000" w:themeColor="text1"/>
        </w:rPr>
        <w:t xml:space="preserve"> one of the most</w:t>
      </w:r>
      <w:r w:rsidRPr="007576C4">
        <w:rPr>
          <w:color w:val="000000" w:themeColor="text1"/>
        </w:rPr>
        <w:t xml:space="preserve"> important results of this study</w:t>
      </w:r>
      <w:r w:rsidR="00DA37D5" w:rsidRPr="007576C4">
        <w:rPr>
          <w:color w:val="000000" w:themeColor="text1"/>
        </w:rPr>
        <w:t xml:space="preserve"> and </w:t>
      </w:r>
      <w:proofErr w:type="gramStart"/>
      <w:r w:rsidR="00DA37D5" w:rsidRPr="007576C4">
        <w:rPr>
          <w:color w:val="000000" w:themeColor="text1"/>
        </w:rPr>
        <w:t>required</w:t>
      </w:r>
      <w:proofErr w:type="gramEnd"/>
      <w:r w:rsidR="00DA37D5" w:rsidRPr="007576C4">
        <w:rPr>
          <w:color w:val="000000" w:themeColor="text1"/>
        </w:rPr>
        <w:t xml:space="preserve"> </w:t>
      </w:r>
      <w:proofErr w:type="gramStart"/>
      <w:r w:rsidR="00DA37D5" w:rsidRPr="007576C4">
        <w:rPr>
          <w:color w:val="000000" w:themeColor="text1"/>
        </w:rPr>
        <w:t>a careful</w:t>
      </w:r>
      <w:proofErr w:type="gramEnd"/>
      <w:r w:rsidR="00DA37D5" w:rsidRPr="007576C4">
        <w:rPr>
          <w:color w:val="000000" w:themeColor="text1"/>
        </w:rPr>
        <w:t xml:space="preserve"> and thorough research to avoid over or under reporting.</w:t>
      </w:r>
    </w:p>
    <w:p w14:paraId="4EC8B98A" w14:textId="77777777" w:rsidR="00B77C5E" w:rsidRPr="007576C4" w:rsidRDefault="00B77C5E" w:rsidP="006B21E2">
      <w:pPr>
        <w:jc w:val="both"/>
        <w:rPr>
          <w:color w:val="000000" w:themeColor="text1"/>
        </w:rPr>
      </w:pPr>
    </w:p>
    <w:p w14:paraId="6B82430B" w14:textId="4F27FBCB" w:rsidR="00B77C5E" w:rsidRPr="007576C4" w:rsidRDefault="00B77C5E" w:rsidP="006B21E2">
      <w:pPr>
        <w:jc w:val="both"/>
        <w:rPr>
          <w:color w:val="000000" w:themeColor="text1"/>
        </w:rPr>
      </w:pPr>
      <w:r w:rsidRPr="007576C4">
        <w:rPr>
          <w:color w:val="000000" w:themeColor="text1"/>
        </w:rPr>
        <w:t>The first step was easy observation</w:t>
      </w:r>
      <w:r w:rsidR="00DA37D5" w:rsidRPr="007576C4">
        <w:rPr>
          <w:color w:val="000000" w:themeColor="text1"/>
        </w:rPr>
        <w:t xml:space="preserve"> of the </w:t>
      </w:r>
      <w:r w:rsidRPr="007576C4">
        <w:rPr>
          <w:color w:val="000000" w:themeColor="text1"/>
        </w:rPr>
        <w:t>156 positions for at least 90 days each</w:t>
      </w:r>
      <w:r w:rsidR="00DA37D5" w:rsidRPr="007576C4">
        <w:rPr>
          <w:color w:val="000000" w:themeColor="text1"/>
        </w:rPr>
        <w:t xml:space="preserve">. Of </w:t>
      </w:r>
      <w:proofErr w:type="gramStart"/>
      <w:r w:rsidR="00DA37D5" w:rsidRPr="007576C4">
        <w:rPr>
          <w:color w:val="000000" w:themeColor="text1"/>
        </w:rPr>
        <w:t>those</w:t>
      </w:r>
      <w:proofErr w:type="gramEnd"/>
      <w:r w:rsidRPr="007576C4">
        <w:rPr>
          <w:color w:val="000000" w:themeColor="text1"/>
        </w:rPr>
        <w:t xml:space="preserve"> 19 (12.2%) had major protocol-level incidents during the observation quarter. A simple estimate would </w:t>
      </w:r>
      <w:r w:rsidR="00DA37D5" w:rsidRPr="007576C4">
        <w:rPr>
          <w:color w:val="000000" w:themeColor="text1"/>
        </w:rPr>
        <w:t xml:space="preserve">have </w:t>
      </w:r>
      <w:r w:rsidRPr="007576C4">
        <w:rPr>
          <w:color w:val="000000" w:themeColor="text1"/>
        </w:rPr>
        <w:t>be</w:t>
      </w:r>
      <w:r w:rsidR="00DA37D5" w:rsidRPr="007576C4">
        <w:rPr>
          <w:color w:val="000000" w:themeColor="text1"/>
        </w:rPr>
        <w:t>en</w:t>
      </w:r>
      <w:r w:rsidRPr="007576C4">
        <w:rPr>
          <w:color w:val="000000" w:themeColor="text1"/>
        </w:rPr>
        <w:t xml:space="preserve"> to multiply this number by four quarters to get the annual rate, which is about </w:t>
      </w:r>
      <w:r w:rsidRPr="007576C4">
        <w:rPr>
          <w:color w:val="000000" w:themeColor="text1"/>
        </w:rPr>
        <w:lastRenderedPageBreak/>
        <w:t xml:space="preserve">49%. </w:t>
      </w:r>
      <w:r w:rsidR="001559E6" w:rsidRPr="007576C4">
        <w:rPr>
          <w:color w:val="000000" w:themeColor="text1"/>
        </w:rPr>
        <w:t>However,</w:t>
      </w:r>
      <w:r w:rsidR="00DA37D5" w:rsidRPr="007576C4">
        <w:rPr>
          <w:color w:val="000000" w:themeColor="text1"/>
        </w:rPr>
        <w:t xml:space="preserve"> that</w:t>
      </w:r>
      <w:r w:rsidRPr="007576C4">
        <w:rPr>
          <w:color w:val="000000" w:themeColor="text1"/>
        </w:rPr>
        <w:t xml:space="preserve"> </w:t>
      </w:r>
      <w:r w:rsidR="00DA37D5" w:rsidRPr="007576C4">
        <w:rPr>
          <w:color w:val="000000" w:themeColor="text1"/>
        </w:rPr>
        <w:t>would have been</w:t>
      </w:r>
      <w:r w:rsidRPr="007576C4">
        <w:rPr>
          <w:color w:val="000000" w:themeColor="text1"/>
        </w:rPr>
        <w:t xml:space="preserve"> based on the idea that events </w:t>
      </w:r>
      <w:r w:rsidR="00DA37D5" w:rsidRPr="007576C4">
        <w:rPr>
          <w:color w:val="000000" w:themeColor="text1"/>
        </w:rPr>
        <w:t>happen frequently and at the observed frequency during each quarter.</w:t>
      </w:r>
      <w:r w:rsidRPr="007576C4">
        <w:rPr>
          <w:color w:val="000000" w:themeColor="text1"/>
        </w:rPr>
        <w:t xml:space="preserve"> </w:t>
      </w:r>
      <w:r w:rsidR="00DA37D5" w:rsidRPr="007576C4">
        <w:rPr>
          <w:color w:val="000000" w:themeColor="text1"/>
        </w:rPr>
        <w:t xml:space="preserve">However, mu research showed that this I not the case. </w:t>
      </w:r>
      <w:proofErr w:type="gramStart"/>
      <w:r w:rsidR="00DA37D5" w:rsidRPr="007576C4">
        <w:rPr>
          <w:color w:val="000000" w:themeColor="text1"/>
        </w:rPr>
        <w:t>And</w:t>
      </w:r>
      <w:proofErr w:type="gramEnd"/>
      <w:r w:rsidR="00DA37D5" w:rsidRPr="007576C4">
        <w:rPr>
          <w:color w:val="000000" w:themeColor="text1"/>
        </w:rPr>
        <w:t xml:space="preserve"> example of this is w</w:t>
      </w:r>
      <w:r w:rsidRPr="007576C4">
        <w:rPr>
          <w:color w:val="000000" w:themeColor="text1"/>
        </w:rPr>
        <w:t>hen Terra/Luna fell apart in May 2022</w:t>
      </w:r>
      <w:r w:rsidR="00DA37D5" w:rsidRPr="007576C4">
        <w:rPr>
          <w:color w:val="000000" w:themeColor="text1"/>
        </w:rPr>
        <w:t xml:space="preserve">. A total of </w:t>
      </w:r>
      <w:r w:rsidRPr="007576C4">
        <w:rPr>
          <w:color w:val="000000" w:themeColor="text1"/>
        </w:rPr>
        <w:t xml:space="preserve">31% of the positions </w:t>
      </w:r>
      <w:r w:rsidR="00DA37D5" w:rsidRPr="007576C4">
        <w:rPr>
          <w:color w:val="000000" w:themeColor="text1"/>
        </w:rPr>
        <w:t xml:space="preserve">tracked </w:t>
      </w:r>
      <w:r w:rsidRPr="007576C4">
        <w:rPr>
          <w:color w:val="000000" w:themeColor="text1"/>
        </w:rPr>
        <w:t xml:space="preserve">lost money within 72 hours. This included positions that had no direct Terra exposure. </w:t>
      </w:r>
    </w:p>
    <w:p w14:paraId="7F52E165" w14:textId="77777777" w:rsidR="00B77C5E" w:rsidRPr="007576C4" w:rsidRDefault="00B77C5E" w:rsidP="006B21E2">
      <w:pPr>
        <w:jc w:val="both"/>
        <w:rPr>
          <w:color w:val="000000" w:themeColor="text1"/>
        </w:rPr>
      </w:pPr>
    </w:p>
    <w:p w14:paraId="6AD7A42A" w14:textId="77777777" w:rsidR="00DA37D5" w:rsidRPr="007576C4" w:rsidRDefault="00DA37D5" w:rsidP="006B21E2">
      <w:pPr>
        <w:jc w:val="both"/>
        <w:rPr>
          <w:color w:val="000000" w:themeColor="text1"/>
        </w:rPr>
      </w:pPr>
      <w:r w:rsidRPr="007576C4">
        <w:rPr>
          <w:color w:val="000000" w:themeColor="text1"/>
        </w:rPr>
        <w:t>To calculate this, I used</w:t>
      </w:r>
      <w:r w:rsidR="00B77C5E" w:rsidRPr="007576C4">
        <w:rPr>
          <w:color w:val="000000" w:themeColor="text1"/>
        </w:rPr>
        <w:t xml:space="preserve"> survival analysis with time-varying coefficients to account for grouping</w:t>
      </w:r>
      <w:r w:rsidRPr="007576C4">
        <w:rPr>
          <w:color w:val="000000" w:themeColor="text1"/>
        </w:rPr>
        <w:t xml:space="preserve"> during </w:t>
      </w:r>
      <w:proofErr w:type="gramStart"/>
      <w:r w:rsidRPr="007576C4">
        <w:rPr>
          <w:color w:val="000000" w:themeColor="text1"/>
        </w:rPr>
        <w:t>stressed</w:t>
      </w:r>
      <w:proofErr w:type="gramEnd"/>
      <w:r w:rsidRPr="007576C4">
        <w:rPr>
          <w:color w:val="000000" w:themeColor="text1"/>
        </w:rPr>
        <w:t xml:space="preserve"> times</w:t>
      </w:r>
      <w:r w:rsidR="00B77C5E" w:rsidRPr="007576C4">
        <w:rPr>
          <w:color w:val="000000" w:themeColor="text1"/>
        </w:rPr>
        <w:t xml:space="preserve">. This method </w:t>
      </w:r>
      <w:proofErr w:type="gramStart"/>
      <w:r w:rsidR="00B77C5E" w:rsidRPr="007576C4">
        <w:rPr>
          <w:color w:val="000000" w:themeColor="text1"/>
        </w:rPr>
        <w:t>takes into account</w:t>
      </w:r>
      <w:proofErr w:type="gramEnd"/>
      <w:r w:rsidR="00B77C5E" w:rsidRPr="007576C4">
        <w:rPr>
          <w:color w:val="000000" w:themeColor="text1"/>
        </w:rPr>
        <w:t xml:space="preserve"> the fact that events do</w:t>
      </w:r>
      <w:r w:rsidRPr="007576C4">
        <w:rPr>
          <w:color w:val="000000" w:themeColor="text1"/>
        </w:rPr>
        <w:t xml:space="preserve"> not </w:t>
      </w:r>
      <w:r w:rsidR="00B77C5E" w:rsidRPr="007576C4">
        <w:rPr>
          <w:color w:val="000000" w:themeColor="text1"/>
        </w:rPr>
        <w:t xml:space="preserve">happen in a straight line over time. The study found that the riskiest time to put a position into action is in the first six months, with a monthly hazard rate of 4.3%. After six months, the monthly hazard rate drops to 1.8% for positions that made it through the first period. Adding up these risks that change over time over a whole year gave a total chance of 35 to 37 percent for jobs to make it through the risky first few months. </w:t>
      </w:r>
    </w:p>
    <w:p w14:paraId="414A87C1" w14:textId="77777777" w:rsidR="00DA37D5" w:rsidRPr="007576C4" w:rsidRDefault="00DA37D5" w:rsidP="006B21E2">
      <w:pPr>
        <w:jc w:val="both"/>
        <w:rPr>
          <w:color w:val="000000" w:themeColor="text1"/>
        </w:rPr>
      </w:pPr>
    </w:p>
    <w:p w14:paraId="5202D654" w14:textId="46B5017E" w:rsidR="00B77C5E" w:rsidRPr="007576C4" w:rsidRDefault="00B77C5E" w:rsidP="006B21E2">
      <w:pPr>
        <w:jc w:val="both"/>
        <w:rPr>
          <w:color w:val="000000" w:themeColor="text1"/>
        </w:rPr>
      </w:pPr>
      <w:r w:rsidRPr="007576C4">
        <w:rPr>
          <w:color w:val="000000" w:themeColor="text1"/>
        </w:rPr>
        <w:t xml:space="preserve">Looking back at past big systemic events, </w:t>
      </w:r>
      <w:r w:rsidR="0010101C" w:rsidRPr="007576C4">
        <w:rPr>
          <w:color w:val="000000" w:themeColor="text1"/>
        </w:rPr>
        <w:t>the research identified</w:t>
      </w:r>
      <w:r w:rsidRPr="007576C4">
        <w:rPr>
          <w:color w:val="000000" w:themeColor="text1"/>
        </w:rPr>
        <w:t xml:space="preserve"> that years with big crashes, like 2022, had rates as high as 51% of incidents, while years with less chaos, like 2021, had rates around 28%. Taking all of these</w:t>
      </w:r>
      <w:r w:rsidR="0010101C" w:rsidRPr="007576C4">
        <w:rPr>
          <w:color w:val="000000" w:themeColor="text1"/>
        </w:rPr>
        <w:t xml:space="preserve"> </w:t>
      </w:r>
      <w:r w:rsidRPr="007576C4">
        <w:rPr>
          <w:color w:val="000000" w:themeColor="text1"/>
        </w:rPr>
        <w:t xml:space="preserve">into account, the 35–45% range is </w:t>
      </w:r>
      <w:r w:rsidR="0010101C" w:rsidRPr="007576C4">
        <w:rPr>
          <w:color w:val="000000" w:themeColor="text1"/>
        </w:rPr>
        <w:t>the</w:t>
      </w:r>
      <w:r w:rsidRPr="007576C4">
        <w:rPr>
          <w:color w:val="000000" w:themeColor="text1"/>
        </w:rPr>
        <w:t xml:space="preserve"> best guess</w:t>
      </w:r>
      <w:r w:rsidR="0010101C" w:rsidRPr="007576C4">
        <w:rPr>
          <w:color w:val="000000" w:themeColor="text1"/>
        </w:rPr>
        <w:t>/estimate</w:t>
      </w:r>
      <w:r w:rsidRPr="007576C4">
        <w:rPr>
          <w:color w:val="000000" w:themeColor="text1"/>
        </w:rPr>
        <w:t xml:space="preserve"> based on the data </w:t>
      </w:r>
      <w:r w:rsidR="0010101C" w:rsidRPr="007576C4">
        <w:rPr>
          <w:color w:val="000000" w:themeColor="text1"/>
        </w:rPr>
        <w:t xml:space="preserve">available during this study. Further the numbers are </w:t>
      </w:r>
      <w:proofErr w:type="gramStart"/>
      <w:r w:rsidRPr="007576C4">
        <w:rPr>
          <w:color w:val="000000" w:themeColor="text1"/>
        </w:rPr>
        <w:t>taking into account</w:t>
      </w:r>
      <w:proofErr w:type="gramEnd"/>
      <w:r w:rsidRPr="007576C4">
        <w:rPr>
          <w:color w:val="000000" w:themeColor="text1"/>
        </w:rPr>
        <w:t xml:space="preserve"> the fact that </w:t>
      </w:r>
      <w:r w:rsidR="0010101C" w:rsidRPr="007576C4">
        <w:rPr>
          <w:color w:val="000000" w:themeColor="text1"/>
        </w:rPr>
        <w:t>it is unknown and unpredictable how</w:t>
      </w:r>
      <w:r w:rsidRPr="007576C4">
        <w:rPr>
          <w:color w:val="000000" w:themeColor="text1"/>
        </w:rPr>
        <w:t xml:space="preserve"> often systemic events will happen in the future. </w:t>
      </w:r>
      <w:r w:rsidR="0010101C" w:rsidRPr="007576C4">
        <w:rPr>
          <w:color w:val="000000" w:themeColor="text1"/>
        </w:rPr>
        <w:t xml:space="preserve">This </w:t>
      </w:r>
      <w:proofErr w:type="gramStart"/>
      <w:r w:rsidR="0010101C" w:rsidRPr="007576C4">
        <w:rPr>
          <w:color w:val="000000" w:themeColor="text1"/>
        </w:rPr>
        <w:t>make</w:t>
      </w:r>
      <w:proofErr w:type="gramEnd"/>
      <w:r w:rsidR="0010101C" w:rsidRPr="007576C4">
        <w:rPr>
          <w:color w:val="000000" w:themeColor="text1"/>
        </w:rPr>
        <w:t xml:space="preserve"> </w:t>
      </w:r>
      <w:proofErr w:type="gramStart"/>
      <w:r w:rsidR="0010101C" w:rsidRPr="007576C4">
        <w:rPr>
          <w:color w:val="000000" w:themeColor="text1"/>
        </w:rPr>
        <w:t>is</w:t>
      </w:r>
      <w:proofErr w:type="gramEnd"/>
      <w:r w:rsidR="0010101C" w:rsidRPr="007576C4">
        <w:rPr>
          <w:color w:val="000000" w:themeColor="text1"/>
        </w:rPr>
        <w:t xml:space="preserve"> impossible to create better predications or </w:t>
      </w:r>
      <w:proofErr w:type="gramStart"/>
      <w:r w:rsidR="0010101C" w:rsidRPr="007576C4">
        <w:rPr>
          <w:color w:val="000000" w:themeColor="text1"/>
        </w:rPr>
        <w:t>calculation</w:t>
      </w:r>
      <w:proofErr w:type="gramEnd"/>
      <w:r w:rsidR="0010101C" w:rsidRPr="007576C4">
        <w:rPr>
          <w:color w:val="000000" w:themeColor="text1"/>
        </w:rPr>
        <w:t xml:space="preserve"> without tracking more data over a much longer </w:t>
      </w:r>
      <w:proofErr w:type="gramStart"/>
      <w:r w:rsidR="0010101C" w:rsidRPr="007576C4">
        <w:rPr>
          <w:color w:val="000000" w:themeColor="text1"/>
        </w:rPr>
        <w:t>period of time</w:t>
      </w:r>
      <w:proofErr w:type="gramEnd"/>
      <w:r w:rsidR="0010101C" w:rsidRPr="007576C4">
        <w:rPr>
          <w:color w:val="000000" w:themeColor="text1"/>
        </w:rPr>
        <w:t>.</w:t>
      </w:r>
    </w:p>
    <w:p w14:paraId="51E52B35" w14:textId="77777777" w:rsidR="00B77C5E" w:rsidRPr="007576C4" w:rsidRDefault="00B77C5E" w:rsidP="006B21E2">
      <w:pPr>
        <w:jc w:val="both"/>
        <w:rPr>
          <w:color w:val="000000" w:themeColor="text1"/>
        </w:rPr>
      </w:pPr>
    </w:p>
    <w:p w14:paraId="38A5B92E" w14:textId="1C92BD5D" w:rsidR="00B77C5E" w:rsidRPr="007576C4" w:rsidRDefault="00303CE3" w:rsidP="006B21E2">
      <w:pPr>
        <w:jc w:val="both"/>
        <w:rPr>
          <w:color w:val="000000" w:themeColor="text1"/>
        </w:rPr>
      </w:pPr>
      <w:r w:rsidRPr="007576C4">
        <w:rPr>
          <w:color w:val="000000" w:themeColor="text1"/>
        </w:rPr>
        <w:t xml:space="preserve">Translating these findings into real </w:t>
      </w:r>
      <w:proofErr w:type="gramStart"/>
      <w:r w:rsidRPr="007576C4">
        <w:rPr>
          <w:color w:val="000000" w:themeColor="text1"/>
        </w:rPr>
        <w:t>life,</w:t>
      </w:r>
      <w:proofErr w:type="gramEnd"/>
      <w:r w:rsidR="00B77C5E" w:rsidRPr="007576C4">
        <w:rPr>
          <w:color w:val="000000" w:themeColor="text1"/>
        </w:rPr>
        <w:t xml:space="preserve"> means that if </w:t>
      </w:r>
      <w:r w:rsidRPr="007576C4">
        <w:rPr>
          <w:color w:val="000000" w:themeColor="text1"/>
        </w:rPr>
        <w:t>participants</w:t>
      </w:r>
      <w:r w:rsidR="00B77C5E" w:rsidRPr="007576C4">
        <w:rPr>
          <w:color w:val="000000" w:themeColor="text1"/>
        </w:rPr>
        <w:t xml:space="preserve"> invest in protocols through DeFi for a year, there is a two-in-five chance </w:t>
      </w:r>
      <w:r w:rsidRPr="007576C4">
        <w:rPr>
          <w:color w:val="000000" w:themeColor="text1"/>
        </w:rPr>
        <w:t>to</w:t>
      </w:r>
      <w:r w:rsidR="00B77C5E" w:rsidRPr="007576C4">
        <w:rPr>
          <w:color w:val="000000" w:themeColor="text1"/>
        </w:rPr>
        <w:t xml:space="preserve"> experience a big loss event that could wipe out 50% or more </w:t>
      </w:r>
      <w:r w:rsidRPr="007576C4">
        <w:rPr>
          <w:color w:val="000000" w:themeColor="text1"/>
        </w:rPr>
        <w:t>of the invested</w:t>
      </w:r>
      <w:r w:rsidR="00B77C5E" w:rsidRPr="007576C4">
        <w:rPr>
          <w:color w:val="000000" w:themeColor="text1"/>
        </w:rPr>
        <w:t xml:space="preserve"> value. </w:t>
      </w:r>
      <w:r w:rsidRPr="007576C4">
        <w:rPr>
          <w:color w:val="000000" w:themeColor="text1"/>
        </w:rPr>
        <w:t>Although</w:t>
      </w:r>
      <w:r w:rsidR="00B77C5E" w:rsidRPr="007576C4">
        <w:rPr>
          <w:color w:val="000000" w:themeColor="text1"/>
        </w:rPr>
        <w:t xml:space="preserve"> between 55 and 65% of </w:t>
      </w:r>
      <w:r w:rsidRPr="007576C4">
        <w:rPr>
          <w:color w:val="000000" w:themeColor="text1"/>
        </w:rPr>
        <w:t>participants</w:t>
      </w:r>
      <w:r w:rsidR="00B77C5E" w:rsidRPr="007576C4">
        <w:rPr>
          <w:color w:val="000000" w:themeColor="text1"/>
        </w:rPr>
        <w:t xml:space="preserve"> w</w:t>
      </w:r>
      <w:r w:rsidRPr="007576C4">
        <w:rPr>
          <w:color w:val="000000" w:themeColor="text1"/>
        </w:rPr>
        <w:t>ill not</w:t>
      </w:r>
      <w:r w:rsidR="00B77C5E" w:rsidRPr="007576C4">
        <w:rPr>
          <w:color w:val="000000" w:themeColor="text1"/>
        </w:rPr>
        <w:t xml:space="preserve"> have any incidents in any given year</w:t>
      </w:r>
      <w:r w:rsidRPr="007576C4">
        <w:rPr>
          <w:color w:val="000000" w:themeColor="text1"/>
        </w:rPr>
        <w:t>, the</w:t>
      </w:r>
      <w:r w:rsidR="00B77C5E" w:rsidRPr="007576C4">
        <w:rPr>
          <w:color w:val="000000" w:themeColor="text1"/>
        </w:rPr>
        <w:t xml:space="preserve"> chance is high enough to plan the size of positions based on the idea that money</w:t>
      </w:r>
      <w:r w:rsidRPr="007576C4">
        <w:rPr>
          <w:color w:val="000000" w:themeColor="text1"/>
        </w:rPr>
        <w:t xml:space="preserve"> will be lost</w:t>
      </w:r>
      <w:r w:rsidR="00B77C5E" w:rsidRPr="007576C4">
        <w:rPr>
          <w:color w:val="000000" w:themeColor="text1"/>
        </w:rPr>
        <w:t xml:space="preserve">. </w:t>
      </w:r>
      <w:r w:rsidR="009B2EEB" w:rsidRPr="007576C4">
        <w:rPr>
          <w:color w:val="000000" w:themeColor="text1"/>
        </w:rPr>
        <w:t>This</w:t>
      </w:r>
      <w:r w:rsidR="00B77C5E" w:rsidRPr="007576C4">
        <w:rPr>
          <w:color w:val="000000" w:themeColor="text1"/>
        </w:rPr>
        <w:t xml:space="preserve"> amount of risk is </w:t>
      </w:r>
      <w:r w:rsidR="009B2EEB" w:rsidRPr="007576C4">
        <w:rPr>
          <w:color w:val="000000" w:themeColor="text1"/>
        </w:rPr>
        <w:t>significantly</w:t>
      </w:r>
      <w:r w:rsidR="00B77C5E" w:rsidRPr="007576C4">
        <w:rPr>
          <w:color w:val="000000" w:themeColor="text1"/>
        </w:rPr>
        <w:t xml:space="preserve"> higher than defaults on investment-grade bonds </w:t>
      </w:r>
      <w:r w:rsidR="009B2EEB" w:rsidRPr="007576C4">
        <w:rPr>
          <w:color w:val="000000" w:themeColor="text1"/>
        </w:rPr>
        <w:t>and</w:t>
      </w:r>
      <w:r w:rsidR="00B77C5E" w:rsidRPr="007576C4">
        <w:rPr>
          <w:color w:val="000000" w:themeColor="text1"/>
        </w:rPr>
        <w:t xml:space="preserve"> high-yield bonds</w:t>
      </w:r>
      <w:r w:rsidR="009B2EEB" w:rsidRPr="007576C4">
        <w:rPr>
          <w:color w:val="000000" w:themeColor="text1"/>
        </w:rPr>
        <w:t>, putting</w:t>
      </w:r>
      <w:r w:rsidR="00B77C5E" w:rsidRPr="007576C4">
        <w:rPr>
          <w:color w:val="000000" w:themeColor="text1"/>
        </w:rPr>
        <w:t xml:space="preserve"> DeFi participation in a completely different risk category than other investments.</w:t>
      </w:r>
    </w:p>
    <w:p w14:paraId="3B5799BE" w14:textId="77777777" w:rsidR="00B77C5E" w:rsidRPr="007576C4" w:rsidRDefault="00B77C5E" w:rsidP="006B21E2">
      <w:pPr>
        <w:jc w:val="both"/>
        <w:rPr>
          <w:color w:val="000000" w:themeColor="text1"/>
        </w:rPr>
      </w:pPr>
    </w:p>
    <w:p w14:paraId="32B72071" w14:textId="7520C5CD" w:rsidR="004F1D3B" w:rsidRPr="007576C4" w:rsidRDefault="003B14C5" w:rsidP="006B21E2">
      <w:pPr>
        <w:pStyle w:val="Heading4"/>
        <w:jc w:val="both"/>
        <w:rPr>
          <w:color w:val="000000" w:themeColor="text1"/>
        </w:rPr>
      </w:pPr>
      <w:r w:rsidRPr="007576C4">
        <w:rPr>
          <w:color w:val="000000" w:themeColor="text1"/>
        </w:rPr>
        <w:t xml:space="preserve">7.9.4 </w:t>
      </w:r>
      <w:r w:rsidR="004F1D3B" w:rsidRPr="007576C4">
        <w:rPr>
          <w:color w:val="000000" w:themeColor="text1"/>
        </w:rPr>
        <w:t>Regulatory Risk: The Slow Strangulation</w:t>
      </w:r>
    </w:p>
    <w:p w14:paraId="2B28D678" w14:textId="17754F8B" w:rsidR="00D33CBA" w:rsidRPr="007576C4" w:rsidRDefault="00D33CBA" w:rsidP="006B21E2">
      <w:pPr>
        <w:jc w:val="both"/>
        <w:rPr>
          <w:color w:val="000000" w:themeColor="text1"/>
        </w:rPr>
      </w:pPr>
      <w:r w:rsidRPr="007576C4">
        <w:rPr>
          <w:color w:val="000000" w:themeColor="text1"/>
        </w:rPr>
        <w:t>Regulatory risk happens over time, slowly limiting options and raising costs until operations ca</w:t>
      </w:r>
      <w:r w:rsidR="009B2EEB" w:rsidRPr="007576C4">
        <w:rPr>
          <w:color w:val="000000" w:themeColor="text1"/>
        </w:rPr>
        <w:t>nnot</w:t>
      </w:r>
      <w:r w:rsidRPr="007576C4">
        <w:rPr>
          <w:color w:val="000000" w:themeColor="text1"/>
        </w:rPr>
        <w:t xml:space="preserve"> be sustained. This is different from </w:t>
      </w:r>
      <w:r w:rsidR="009B2EEB" w:rsidRPr="007576C4">
        <w:rPr>
          <w:color w:val="000000" w:themeColor="text1"/>
        </w:rPr>
        <w:t>technological</w:t>
      </w:r>
      <w:r w:rsidRPr="007576C4">
        <w:rPr>
          <w:color w:val="000000" w:themeColor="text1"/>
        </w:rPr>
        <w:t xml:space="preserve"> risks that show up </w:t>
      </w:r>
      <w:proofErr w:type="gramStart"/>
      <w:r w:rsidRPr="007576C4">
        <w:rPr>
          <w:color w:val="000000" w:themeColor="text1"/>
        </w:rPr>
        <w:t>all of a sudden</w:t>
      </w:r>
      <w:proofErr w:type="gramEnd"/>
      <w:r w:rsidRPr="007576C4">
        <w:rPr>
          <w:color w:val="000000" w:themeColor="text1"/>
        </w:rPr>
        <w:t xml:space="preserve"> in the form of exploits or crashes. </w:t>
      </w:r>
      <w:r w:rsidR="009B2EEB" w:rsidRPr="007576C4">
        <w:rPr>
          <w:color w:val="000000" w:themeColor="text1"/>
        </w:rPr>
        <w:t>This</w:t>
      </w:r>
      <w:r w:rsidRPr="007576C4">
        <w:rPr>
          <w:color w:val="000000" w:themeColor="text1"/>
        </w:rPr>
        <w:t xml:space="preserve"> </w:t>
      </w:r>
      <w:r w:rsidR="009B2EEB" w:rsidRPr="007576C4">
        <w:rPr>
          <w:color w:val="000000" w:themeColor="text1"/>
        </w:rPr>
        <w:t>research</w:t>
      </w:r>
      <w:r w:rsidRPr="007576C4">
        <w:rPr>
          <w:color w:val="000000" w:themeColor="text1"/>
        </w:rPr>
        <w:t xml:space="preserve"> show</w:t>
      </w:r>
      <w:r w:rsidR="009B2EEB" w:rsidRPr="007576C4">
        <w:rPr>
          <w:color w:val="000000" w:themeColor="text1"/>
        </w:rPr>
        <w:t>s</w:t>
      </w:r>
      <w:r w:rsidRPr="007576C4">
        <w:rPr>
          <w:color w:val="000000" w:themeColor="text1"/>
        </w:rPr>
        <w:t xml:space="preserve"> that regulatory pressure does not show up suddenly</w:t>
      </w:r>
      <w:r w:rsidR="00816EB8" w:rsidRPr="007576C4">
        <w:rPr>
          <w:color w:val="000000" w:themeColor="text1"/>
        </w:rPr>
        <w:t xml:space="preserve"> but is in the form </w:t>
      </w:r>
      <w:proofErr w:type="gramStart"/>
      <w:r w:rsidR="00816EB8" w:rsidRPr="007576C4">
        <w:rPr>
          <w:color w:val="000000" w:themeColor="text1"/>
        </w:rPr>
        <w:t>or</w:t>
      </w:r>
      <w:proofErr w:type="gramEnd"/>
      <w:r w:rsidR="00816EB8" w:rsidRPr="007576C4">
        <w:rPr>
          <w:color w:val="000000" w:themeColor="text1"/>
        </w:rPr>
        <w:t xml:space="preserve"> a</w:t>
      </w:r>
      <w:r w:rsidRPr="007576C4">
        <w:rPr>
          <w:color w:val="000000" w:themeColor="text1"/>
        </w:rPr>
        <w:t xml:space="preserve"> grad</w:t>
      </w:r>
      <w:r w:rsidR="00816EB8" w:rsidRPr="007576C4">
        <w:rPr>
          <w:color w:val="000000" w:themeColor="text1"/>
        </w:rPr>
        <w:t>ual</w:t>
      </w:r>
      <w:r w:rsidRPr="007576C4">
        <w:rPr>
          <w:color w:val="000000" w:themeColor="text1"/>
        </w:rPr>
        <w:t xml:space="preserve"> process that </w:t>
      </w:r>
      <w:r w:rsidR="00816EB8" w:rsidRPr="007576C4">
        <w:rPr>
          <w:color w:val="000000" w:themeColor="text1"/>
        </w:rPr>
        <w:t>negatively impacts</w:t>
      </w:r>
      <w:r w:rsidRPr="007576C4">
        <w:rPr>
          <w:color w:val="000000" w:themeColor="text1"/>
        </w:rPr>
        <w:t xml:space="preserve"> profits until p</w:t>
      </w:r>
      <w:r w:rsidR="00816EB8" w:rsidRPr="007576C4">
        <w:rPr>
          <w:color w:val="000000" w:themeColor="text1"/>
        </w:rPr>
        <w:t xml:space="preserve">articipants decide to </w:t>
      </w:r>
      <w:r w:rsidRPr="007576C4">
        <w:rPr>
          <w:color w:val="000000" w:themeColor="text1"/>
        </w:rPr>
        <w:t xml:space="preserve">quit on their own. </w:t>
      </w:r>
    </w:p>
    <w:p w14:paraId="58B88C17" w14:textId="77777777" w:rsidR="00D33CBA" w:rsidRPr="007576C4" w:rsidRDefault="00D33CBA" w:rsidP="006B21E2">
      <w:pPr>
        <w:jc w:val="both"/>
        <w:rPr>
          <w:color w:val="000000" w:themeColor="text1"/>
        </w:rPr>
      </w:pPr>
    </w:p>
    <w:p w14:paraId="3A3D20E6" w14:textId="3F440352" w:rsidR="00D33CBA" w:rsidRPr="007576C4" w:rsidRDefault="00130B58" w:rsidP="006B21E2">
      <w:pPr>
        <w:jc w:val="both"/>
        <w:rPr>
          <w:color w:val="000000" w:themeColor="text1"/>
        </w:rPr>
      </w:pPr>
      <w:r w:rsidRPr="007576C4">
        <w:rPr>
          <w:color w:val="000000" w:themeColor="text1"/>
        </w:rPr>
        <w:t xml:space="preserve">This research </w:t>
      </w:r>
      <w:r w:rsidR="00D33CBA" w:rsidRPr="007576C4">
        <w:rPr>
          <w:color w:val="000000" w:themeColor="text1"/>
        </w:rPr>
        <w:t>kept track of people who were trying regulatory arbitrage in different legal systems across countries to find out how much these strategies really cost and how well they worked. People who tried to incorporate in Singapore but did business in the UAE had the best success rate (67%), which meant they could keep running mostly as planned. For 71% of those who participated, incorporating in Switzerland with businesses around the world worked</w:t>
      </w:r>
      <w:r w:rsidRPr="007576C4">
        <w:rPr>
          <w:color w:val="000000" w:themeColor="text1"/>
        </w:rPr>
        <w:t xml:space="preserve"> as well</w:t>
      </w:r>
      <w:r w:rsidR="00D33CBA" w:rsidRPr="007576C4">
        <w:rPr>
          <w:color w:val="000000" w:themeColor="text1"/>
        </w:rPr>
        <w:t xml:space="preserve">. But </w:t>
      </w:r>
      <w:r w:rsidRPr="007576C4">
        <w:rPr>
          <w:color w:val="000000" w:themeColor="text1"/>
        </w:rPr>
        <w:t xml:space="preserve">a </w:t>
      </w:r>
      <w:r w:rsidR="00D33CBA" w:rsidRPr="007576C4">
        <w:rPr>
          <w:color w:val="000000" w:themeColor="text1"/>
        </w:rPr>
        <w:t>Cayman incorporation with a focus on DeFi services only worked 43% of the time</w:t>
      </w:r>
      <w:r w:rsidRPr="007576C4">
        <w:rPr>
          <w:color w:val="000000" w:themeColor="text1"/>
        </w:rPr>
        <w:t xml:space="preserve"> and</w:t>
      </w:r>
      <w:r w:rsidR="00D33CBA" w:rsidRPr="007576C4">
        <w:rPr>
          <w:color w:val="000000" w:themeColor="text1"/>
        </w:rPr>
        <w:t xml:space="preserve"> were finally forced to limit their services or shut down completely. There was a clear pattern: regulatory arbitrage works best when </w:t>
      </w:r>
      <w:r w:rsidRPr="007576C4">
        <w:rPr>
          <w:color w:val="000000" w:themeColor="text1"/>
        </w:rPr>
        <w:t xml:space="preserve">a business is incorporated and </w:t>
      </w:r>
      <w:r w:rsidR="00D33CBA" w:rsidRPr="007576C4">
        <w:rPr>
          <w:color w:val="000000" w:themeColor="text1"/>
        </w:rPr>
        <w:t>ha</w:t>
      </w:r>
      <w:r w:rsidRPr="007576C4">
        <w:rPr>
          <w:color w:val="000000" w:themeColor="text1"/>
        </w:rPr>
        <w:t>s</w:t>
      </w:r>
      <w:r w:rsidR="00D33CBA" w:rsidRPr="007576C4">
        <w:rPr>
          <w:color w:val="000000" w:themeColor="text1"/>
        </w:rPr>
        <w:t xml:space="preserve"> real operations in </w:t>
      </w:r>
      <w:r w:rsidRPr="007576C4">
        <w:rPr>
          <w:color w:val="000000" w:themeColor="text1"/>
        </w:rPr>
        <w:t>a good country or region</w:t>
      </w:r>
      <w:r w:rsidR="00D33CBA" w:rsidRPr="007576C4">
        <w:rPr>
          <w:color w:val="000000" w:themeColor="text1"/>
        </w:rPr>
        <w:t xml:space="preserve"> and not just a</w:t>
      </w:r>
      <w:r w:rsidRPr="007576C4">
        <w:rPr>
          <w:color w:val="000000" w:themeColor="text1"/>
        </w:rPr>
        <w:t xml:space="preserve"> (offshore)</w:t>
      </w:r>
      <w:r w:rsidR="00D33CBA" w:rsidRPr="007576C4">
        <w:rPr>
          <w:color w:val="000000" w:themeColor="text1"/>
        </w:rPr>
        <w:t xml:space="preserve"> mailbox company.</w:t>
      </w:r>
    </w:p>
    <w:p w14:paraId="5623E328" w14:textId="77777777" w:rsidR="00D33CBA" w:rsidRPr="007576C4" w:rsidRDefault="00D33CBA" w:rsidP="006B21E2">
      <w:pPr>
        <w:jc w:val="both"/>
        <w:rPr>
          <w:color w:val="000000" w:themeColor="text1"/>
        </w:rPr>
      </w:pPr>
    </w:p>
    <w:p w14:paraId="5C1B4EC8" w14:textId="77777777" w:rsidR="00E22836" w:rsidRPr="007576C4" w:rsidRDefault="00D33CBA" w:rsidP="006B21E2">
      <w:pPr>
        <w:jc w:val="both"/>
        <w:rPr>
          <w:color w:val="000000" w:themeColor="text1"/>
        </w:rPr>
      </w:pPr>
      <w:r w:rsidRPr="007576C4">
        <w:rPr>
          <w:color w:val="000000" w:themeColor="text1"/>
        </w:rPr>
        <w:t>Most participants that tried regulatory arbitrage were surprised to see how much it cost.</w:t>
      </w:r>
      <w:r w:rsidR="00C952FA" w:rsidRPr="007576C4">
        <w:rPr>
          <w:color w:val="000000" w:themeColor="text1"/>
        </w:rPr>
        <w:t xml:space="preserve"> The l</w:t>
      </w:r>
      <w:r w:rsidRPr="007576C4">
        <w:rPr>
          <w:color w:val="000000" w:themeColor="text1"/>
        </w:rPr>
        <w:t xml:space="preserve">egal setup costs for </w:t>
      </w:r>
      <w:r w:rsidR="00C952FA" w:rsidRPr="007576C4">
        <w:rPr>
          <w:color w:val="000000" w:themeColor="text1"/>
        </w:rPr>
        <w:t xml:space="preserve">a </w:t>
      </w:r>
      <w:r w:rsidRPr="007576C4">
        <w:rPr>
          <w:color w:val="000000" w:themeColor="text1"/>
        </w:rPr>
        <w:t>proper corporate structure ranged from $5,000 to $30,000</w:t>
      </w:r>
      <w:r w:rsidR="00C952FA" w:rsidRPr="007576C4">
        <w:rPr>
          <w:color w:val="000000" w:themeColor="text1"/>
        </w:rPr>
        <w:t xml:space="preserve"> – depending on the </w:t>
      </w:r>
      <w:r w:rsidR="00C952FA" w:rsidRPr="007576C4">
        <w:rPr>
          <w:color w:val="000000" w:themeColor="text1"/>
        </w:rPr>
        <w:lastRenderedPageBreak/>
        <w:t>country and legal requirements</w:t>
      </w:r>
      <w:r w:rsidRPr="007576C4">
        <w:rPr>
          <w:color w:val="000000" w:themeColor="text1"/>
        </w:rPr>
        <w:t xml:space="preserve">. This </w:t>
      </w:r>
      <w:proofErr w:type="gramStart"/>
      <w:r w:rsidRPr="007576C4">
        <w:rPr>
          <w:color w:val="000000" w:themeColor="text1"/>
        </w:rPr>
        <w:t>w</w:t>
      </w:r>
      <w:r w:rsidR="00C952FA" w:rsidRPr="007576C4">
        <w:rPr>
          <w:color w:val="000000" w:themeColor="text1"/>
        </w:rPr>
        <w:t>ere</w:t>
      </w:r>
      <w:proofErr w:type="gramEnd"/>
      <w:r w:rsidRPr="007576C4">
        <w:rPr>
          <w:color w:val="000000" w:themeColor="text1"/>
        </w:rPr>
        <w:t xml:space="preserve"> not the $200 that marketing services advertised for </w:t>
      </w:r>
      <w:proofErr w:type="gramStart"/>
      <w:r w:rsidRPr="007576C4">
        <w:rPr>
          <w:color w:val="000000" w:themeColor="text1"/>
        </w:rPr>
        <w:t>an easy</w:t>
      </w:r>
      <w:proofErr w:type="gramEnd"/>
      <w:r w:rsidRPr="007576C4">
        <w:rPr>
          <w:color w:val="000000" w:themeColor="text1"/>
        </w:rPr>
        <w:t xml:space="preserve"> incorporation</w:t>
      </w:r>
      <w:r w:rsidR="00C952FA" w:rsidRPr="007576C4">
        <w:rPr>
          <w:color w:val="000000" w:themeColor="text1"/>
        </w:rPr>
        <w:t>. Also, d</w:t>
      </w:r>
      <w:r w:rsidRPr="007576C4">
        <w:rPr>
          <w:color w:val="000000" w:themeColor="text1"/>
        </w:rPr>
        <w:t>epending on the complexity of the region and the business activities, annual compliance costs went up by another $20,000 to $80,000. Cross-border activities</w:t>
      </w:r>
      <w:r w:rsidR="00C952FA" w:rsidRPr="007576C4">
        <w:rPr>
          <w:color w:val="000000" w:themeColor="text1"/>
        </w:rPr>
        <w:t xml:space="preserve">, </w:t>
      </w:r>
      <w:r w:rsidRPr="007576C4">
        <w:rPr>
          <w:color w:val="000000" w:themeColor="text1"/>
        </w:rPr>
        <w:t xml:space="preserve">using more than one currency, and having to </w:t>
      </w:r>
      <w:r w:rsidR="00C952FA" w:rsidRPr="007576C4">
        <w:rPr>
          <w:color w:val="000000" w:themeColor="text1"/>
        </w:rPr>
        <w:t>deal with reporting</w:t>
      </w:r>
      <w:r w:rsidRPr="007576C4">
        <w:rPr>
          <w:color w:val="000000" w:themeColor="text1"/>
        </w:rPr>
        <w:t xml:space="preserve"> are causing operational friction</w:t>
      </w:r>
      <w:r w:rsidR="00C952FA" w:rsidRPr="007576C4">
        <w:rPr>
          <w:color w:val="000000" w:themeColor="text1"/>
        </w:rPr>
        <w:t xml:space="preserve"> and additional costs</w:t>
      </w:r>
      <w:r w:rsidRPr="007576C4">
        <w:rPr>
          <w:color w:val="000000" w:themeColor="text1"/>
        </w:rPr>
        <w:t xml:space="preserve">. This not only leads to delays but also to mistakes which then </w:t>
      </w:r>
      <w:r w:rsidR="00C952FA" w:rsidRPr="007576C4">
        <w:rPr>
          <w:color w:val="000000" w:themeColor="text1"/>
        </w:rPr>
        <w:t xml:space="preserve">can </w:t>
      </w:r>
      <w:proofErr w:type="gramStart"/>
      <w:r w:rsidRPr="007576C4">
        <w:rPr>
          <w:color w:val="000000" w:themeColor="text1"/>
        </w:rPr>
        <w:t>results</w:t>
      </w:r>
      <w:proofErr w:type="gramEnd"/>
      <w:r w:rsidRPr="007576C4">
        <w:rPr>
          <w:color w:val="000000" w:themeColor="text1"/>
        </w:rPr>
        <w:t xml:space="preserve"> in fines. </w:t>
      </w:r>
    </w:p>
    <w:p w14:paraId="006D66FC" w14:textId="77777777" w:rsidR="00E22836" w:rsidRPr="007576C4" w:rsidRDefault="00E22836" w:rsidP="006B21E2">
      <w:pPr>
        <w:jc w:val="both"/>
        <w:rPr>
          <w:color w:val="000000" w:themeColor="text1"/>
        </w:rPr>
      </w:pPr>
    </w:p>
    <w:p w14:paraId="5913540C" w14:textId="1EAA2580" w:rsidR="00D33CBA" w:rsidRPr="007576C4" w:rsidRDefault="00D33CBA" w:rsidP="006B21E2">
      <w:pPr>
        <w:jc w:val="both"/>
        <w:rPr>
          <w:color w:val="000000" w:themeColor="text1"/>
        </w:rPr>
      </w:pPr>
      <w:r w:rsidRPr="007576C4">
        <w:rPr>
          <w:color w:val="000000" w:themeColor="text1"/>
        </w:rPr>
        <w:t xml:space="preserve">67% of the participants that were interviewed said they had trouble opening or </w:t>
      </w:r>
      <w:proofErr w:type="gramStart"/>
      <w:r w:rsidRPr="007576C4">
        <w:rPr>
          <w:color w:val="000000" w:themeColor="text1"/>
        </w:rPr>
        <w:t>keeping banking</w:t>
      </w:r>
      <w:proofErr w:type="gramEnd"/>
      <w:r w:rsidRPr="007576C4">
        <w:rPr>
          <w:color w:val="000000" w:themeColor="text1"/>
        </w:rPr>
        <w:t xml:space="preserve"> accounts, even in places that are friendly to crypto. When professional fees and the requirement to file taxes in multiple countries were added up, the total amount of taxes paid was often higher than what would have been paid in a single state or country. This is even more true when working in multiple countries </w:t>
      </w:r>
      <w:r w:rsidR="00780154" w:rsidRPr="007576C4">
        <w:rPr>
          <w:color w:val="000000" w:themeColor="text1"/>
        </w:rPr>
        <w:t>where</w:t>
      </w:r>
      <w:r w:rsidRPr="007576C4">
        <w:rPr>
          <w:color w:val="000000" w:themeColor="text1"/>
        </w:rPr>
        <w:t xml:space="preserve"> they do not have </w:t>
      </w:r>
      <w:r w:rsidR="00C952FA" w:rsidRPr="007576C4">
        <w:rPr>
          <w:color w:val="000000" w:themeColor="text1"/>
        </w:rPr>
        <w:t>mutual</w:t>
      </w:r>
      <w:r w:rsidRPr="007576C4">
        <w:rPr>
          <w:color w:val="000000" w:themeColor="text1"/>
        </w:rPr>
        <w:t xml:space="preserve"> tax agreements or reciprocity in place. </w:t>
      </w:r>
    </w:p>
    <w:p w14:paraId="558C2D0B" w14:textId="77777777" w:rsidR="00D33CBA" w:rsidRPr="007576C4" w:rsidRDefault="00D33CBA" w:rsidP="006B21E2">
      <w:pPr>
        <w:jc w:val="both"/>
        <w:rPr>
          <w:color w:val="000000" w:themeColor="text1"/>
        </w:rPr>
      </w:pPr>
    </w:p>
    <w:p w14:paraId="07B776F9" w14:textId="77777777" w:rsidR="00E22836" w:rsidRPr="007576C4" w:rsidRDefault="00D33CBA" w:rsidP="006B21E2">
      <w:pPr>
        <w:jc w:val="both"/>
        <w:rPr>
          <w:color w:val="000000" w:themeColor="text1"/>
        </w:rPr>
      </w:pPr>
      <w:r w:rsidRPr="007576C4">
        <w:rPr>
          <w:color w:val="000000" w:themeColor="text1"/>
        </w:rPr>
        <w:t xml:space="preserve">The failed arbitrage patterns were </w:t>
      </w:r>
      <w:r w:rsidR="00D63DE0" w:rsidRPr="007576C4">
        <w:rPr>
          <w:color w:val="000000" w:themeColor="text1"/>
        </w:rPr>
        <w:t>relevant</w:t>
      </w:r>
      <w:r w:rsidRPr="007576C4">
        <w:rPr>
          <w:color w:val="000000" w:themeColor="text1"/>
        </w:rPr>
        <w:t xml:space="preserve"> in this study because they showed which methods do not work</w:t>
      </w:r>
      <w:r w:rsidR="00D63DE0" w:rsidRPr="007576C4">
        <w:rPr>
          <w:color w:val="000000" w:themeColor="text1"/>
        </w:rPr>
        <w:t xml:space="preserve">, </w:t>
      </w:r>
      <w:r w:rsidRPr="007576C4">
        <w:rPr>
          <w:color w:val="000000" w:themeColor="text1"/>
        </w:rPr>
        <w:t>even when they seem reasonable</w:t>
      </w:r>
      <w:r w:rsidR="00D63DE0" w:rsidRPr="007576C4">
        <w:rPr>
          <w:color w:val="000000" w:themeColor="text1"/>
        </w:rPr>
        <w:t xml:space="preserve"> initially</w:t>
      </w:r>
      <w:r w:rsidRPr="007576C4">
        <w:rPr>
          <w:color w:val="000000" w:themeColor="text1"/>
        </w:rPr>
        <w:t xml:space="preserve">. In 89% of the documented cases, U.S. participants who tried to avoid regulatory scrutiny by incorporating their business offshore were punished with delays, lack of banking support or difficulties with business administration and legal paperwork. This is because the SEC and CFTC </w:t>
      </w:r>
      <w:r w:rsidR="00D63DE0" w:rsidRPr="007576C4">
        <w:rPr>
          <w:color w:val="000000" w:themeColor="text1"/>
        </w:rPr>
        <w:t>are</w:t>
      </w:r>
      <w:r w:rsidRPr="007576C4">
        <w:rPr>
          <w:color w:val="000000" w:themeColor="text1"/>
        </w:rPr>
        <w:t xml:space="preserve"> more interested in where the users were based than where the entity was formed. EU players who didn't follow </w:t>
      </w:r>
      <w:proofErr w:type="spellStart"/>
      <w:r w:rsidRPr="007576C4">
        <w:rPr>
          <w:color w:val="000000" w:themeColor="text1"/>
        </w:rPr>
        <w:t>MiCA</w:t>
      </w:r>
      <w:proofErr w:type="spellEnd"/>
      <w:r w:rsidRPr="007576C4">
        <w:rPr>
          <w:color w:val="000000" w:themeColor="text1"/>
        </w:rPr>
        <w:t xml:space="preserve"> were limited in 76% of cases because platforms started using geofencing to avoid being held responsible by regulators. </w:t>
      </w:r>
    </w:p>
    <w:p w14:paraId="74EE945F" w14:textId="77777777" w:rsidR="00E22836" w:rsidRPr="007576C4" w:rsidRDefault="00E22836" w:rsidP="006B21E2">
      <w:pPr>
        <w:jc w:val="both"/>
        <w:rPr>
          <w:color w:val="000000" w:themeColor="text1"/>
        </w:rPr>
      </w:pPr>
    </w:p>
    <w:p w14:paraId="453B7BE1" w14:textId="245BE861" w:rsidR="00CE3C5C" w:rsidRPr="007576C4" w:rsidRDefault="00D33CBA" w:rsidP="006B21E2">
      <w:pPr>
        <w:jc w:val="both"/>
        <w:rPr>
          <w:color w:val="000000" w:themeColor="text1"/>
        </w:rPr>
      </w:pPr>
      <w:r w:rsidRPr="007576C4">
        <w:rPr>
          <w:color w:val="000000" w:themeColor="text1"/>
        </w:rPr>
        <w:t xml:space="preserve">Not only was geofencing put in place (which in some cases can be bypassed using a VPN) the requirements to trade included verification of the individual or institution requiring </w:t>
      </w:r>
      <w:r w:rsidR="00D63DE0" w:rsidRPr="007576C4">
        <w:rPr>
          <w:color w:val="000000" w:themeColor="text1"/>
        </w:rPr>
        <w:t xml:space="preserve">additional </w:t>
      </w:r>
      <w:r w:rsidR="00780154" w:rsidRPr="007576C4">
        <w:rPr>
          <w:color w:val="000000" w:themeColor="text1"/>
        </w:rPr>
        <w:t>and supporting</w:t>
      </w:r>
      <w:r w:rsidRPr="007576C4">
        <w:rPr>
          <w:color w:val="000000" w:themeColor="text1"/>
        </w:rPr>
        <w:t xml:space="preserve"> evidence </w:t>
      </w:r>
      <w:r w:rsidR="00D63DE0" w:rsidRPr="007576C4">
        <w:rPr>
          <w:color w:val="000000" w:themeColor="text1"/>
        </w:rPr>
        <w:t>in the form of</w:t>
      </w:r>
      <w:r w:rsidRPr="007576C4">
        <w:rPr>
          <w:color w:val="000000" w:themeColor="text1"/>
        </w:rPr>
        <w:t xml:space="preserve"> utility bills</w:t>
      </w:r>
      <w:r w:rsidR="00D63DE0" w:rsidRPr="007576C4">
        <w:rPr>
          <w:color w:val="000000" w:themeColor="text1"/>
        </w:rPr>
        <w:t>, leases</w:t>
      </w:r>
      <w:r w:rsidRPr="007576C4">
        <w:rPr>
          <w:color w:val="000000" w:themeColor="text1"/>
        </w:rPr>
        <w:t xml:space="preserve"> etc. Participants who worked in multiple jurisdictions often had conflicting requirements, which was very frustrating. In 91% of cases, following the rules in one jurisdiction would have meant breaking the rules in another, causing impossible and potentially illegal business operations.</w:t>
      </w:r>
    </w:p>
    <w:p w14:paraId="4E3AD28E" w14:textId="77777777" w:rsidR="00D33CBA" w:rsidRPr="007576C4" w:rsidRDefault="00D33CBA" w:rsidP="006B21E2">
      <w:pPr>
        <w:jc w:val="both"/>
        <w:rPr>
          <w:color w:val="000000" w:themeColor="text1"/>
        </w:rPr>
      </w:pPr>
    </w:p>
    <w:p w14:paraId="1A4D45E1" w14:textId="64774BEA" w:rsidR="00B108AC" w:rsidRPr="007576C4" w:rsidRDefault="003B14C5" w:rsidP="006B21E2">
      <w:pPr>
        <w:pStyle w:val="Heading4"/>
        <w:jc w:val="both"/>
        <w:rPr>
          <w:color w:val="000000" w:themeColor="text1"/>
        </w:rPr>
      </w:pPr>
      <w:r w:rsidRPr="007576C4">
        <w:rPr>
          <w:color w:val="000000" w:themeColor="text1"/>
        </w:rPr>
        <w:t xml:space="preserve">7.9.4.1 </w:t>
      </w:r>
      <w:r w:rsidR="00B108AC" w:rsidRPr="007576C4">
        <w:rPr>
          <w:color w:val="000000" w:themeColor="text1"/>
        </w:rPr>
        <w:t>How Risks Interact</w:t>
      </w:r>
      <w:r w:rsidR="00B3641A" w:rsidRPr="007576C4">
        <w:rPr>
          <w:color w:val="000000" w:themeColor="text1"/>
        </w:rPr>
        <w:t xml:space="preserve"> When Protection is Needed</w:t>
      </w:r>
    </w:p>
    <w:p w14:paraId="21250867" w14:textId="77777777" w:rsidR="00B3641A" w:rsidRPr="007576C4" w:rsidRDefault="00B3641A" w:rsidP="006B21E2">
      <w:pPr>
        <w:jc w:val="both"/>
        <w:rPr>
          <w:color w:val="000000" w:themeColor="text1"/>
        </w:rPr>
      </w:pPr>
      <w:r w:rsidRPr="007576C4">
        <w:rPr>
          <w:color w:val="000000" w:themeColor="text1"/>
        </w:rPr>
        <w:t>Traditional portfolio theory assumes that diversification across uncorrelated assets reduces risk. Analysis of risk correlations across market regimes shows why this fails in DeFi during stress periods.</w:t>
      </w:r>
    </w:p>
    <w:p w14:paraId="77437B4A" w14:textId="77777777" w:rsidR="00B3641A" w:rsidRPr="007576C4" w:rsidRDefault="00B3641A" w:rsidP="006B21E2">
      <w:pPr>
        <w:jc w:val="both"/>
        <w:rPr>
          <w:color w:val="000000" w:themeColor="text1"/>
        </w:rPr>
      </w:pPr>
    </w:p>
    <w:p w14:paraId="72DDC795" w14:textId="77777777" w:rsidR="00B3641A" w:rsidRPr="007576C4" w:rsidRDefault="00B3641A" w:rsidP="006B21E2">
      <w:pPr>
        <w:jc w:val="both"/>
        <w:rPr>
          <w:color w:val="000000" w:themeColor="text1"/>
        </w:rPr>
      </w:pPr>
      <w:r w:rsidRPr="007576C4">
        <w:rPr>
          <w:color w:val="000000" w:themeColor="text1"/>
        </w:rPr>
        <w:t>In normal conditions (volatility within one standard deviation of the mean, no major incidents), correlations were low: technical–market risks at 0.15, regulatory–market at 0.22, and technical–regulatory at 0.08. These figures suggest independence across categories while supporting strategies that distribute the positions across protocols, jurisdictions, and technical architectures.</w:t>
      </w:r>
    </w:p>
    <w:p w14:paraId="413E8927" w14:textId="77777777" w:rsidR="00B3641A" w:rsidRPr="007576C4" w:rsidRDefault="00B3641A" w:rsidP="006B21E2">
      <w:pPr>
        <w:jc w:val="both"/>
        <w:rPr>
          <w:color w:val="000000" w:themeColor="text1"/>
        </w:rPr>
      </w:pPr>
    </w:p>
    <w:p w14:paraId="0A58F369" w14:textId="5301A88E" w:rsidR="00B3641A" w:rsidRPr="007576C4" w:rsidRDefault="00B3641A" w:rsidP="006B21E2">
      <w:pPr>
        <w:jc w:val="both"/>
        <w:rPr>
          <w:color w:val="000000" w:themeColor="text1"/>
        </w:rPr>
      </w:pPr>
      <w:r w:rsidRPr="007576C4">
        <w:rPr>
          <w:color w:val="000000" w:themeColor="text1"/>
        </w:rPr>
        <w:t xml:space="preserve">However, when the market was under stress (high volatility, major incidents, market crashes), the correlations surged: technical–market risks rose to 0.78 as crashes incentivized exploits and exploits triggered </w:t>
      </w:r>
      <w:proofErr w:type="gramStart"/>
      <w:r w:rsidRPr="007576C4">
        <w:rPr>
          <w:color w:val="000000" w:themeColor="text1"/>
        </w:rPr>
        <w:t>sell-offs</w:t>
      </w:r>
      <w:proofErr w:type="gramEnd"/>
      <w:r w:rsidRPr="007576C4">
        <w:rPr>
          <w:color w:val="000000" w:themeColor="text1"/>
        </w:rPr>
        <w:t xml:space="preserve">. The </w:t>
      </w:r>
      <w:r w:rsidR="00780154" w:rsidRPr="007576C4">
        <w:rPr>
          <w:color w:val="000000" w:themeColor="text1"/>
        </w:rPr>
        <w:t>regulated market</w:t>
      </w:r>
      <w:r w:rsidRPr="007576C4">
        <w:rPr>
          <w:color w:val="000000" w:themeColor="text1"/>
        </w:rPr>
        <w:t xml:space="preserve"> jumped from 0.22 to 0.81 as crashes prompted crackdowns and amplifying fear. </w:t>
      </w:r>
      <w:r w:rsidR="009F14A3" w:rsidRPr="007576C4">
        <w:rPr>
          <w:color w:val="000000" w:themeColor="text1"/>
        </w:rPr>
        <w:t>Meanwhile</w:t>
      </w:r>
      <w:r w:rsidRPr="007576C4">
        <w:rPr>
          <w:color w:val="000000" w:themeColor="text1"/>
        </w:rPr>
        <w:t xml:space="preserve"> technical–regulatory risks increased from 0.08 to 0.64 as exploits drew regulatory attention that constrained most defensive options. </w:t>
      </w:r>
      <w:r w:rsidR="009F14A3" w:rsidRPr="007576C4">
        <w:rPr>
          <w:color w:val="000000" w:themeColor="text1"/>
        </w:rPr>
        <w:t>This</w:t>
      </w:r>
      <w:r w:rsidRPr="007576C4">
        <w:rPr>
          <w:color w:val="000000" w:themeColor="text1"/>
        </w:rPr>
        <w:t xml:space="preserve"> shows that mean risks converge precisely when protection is most needed and </w:t>
      </w:r>
      <w:proofErr w:type="gramStart"/>
      <w:r w:rsidRPr="007576C4">
        <w:rPr>
          <w:color w:val="000000" w:themeColor="text1"/>
        </w:rPr>
        <w:t>has</w:t>
      </w:r>
      <w:proofErr w:type="gramEnd"/>
      <w:r w:rsidRPr="007576C4">
        <w:rPr>
          <w:color w:val="000000" w:themeColor="text1"/>
        </w:rPr>
        <w:t xml:space="preserve"> led to portfolio-wide losses via contagion, regulatory spillover, or panic-driven market moves.</w:t>
      </w:r>
    </w:p>
    <w:p w14:paraId="48781DAC" w14:textId="77777777" w:rsidR="00B3641A" w:rsidRPr="007576C4" w:rsidRDefault="00B3641A" w:rsidP="006B21E2">
      <w:pPr>
        <w:jc w:val="both"/>
        <w:rPr>
          <w:color w:val="000000" w:themeColor="text1"/>
        </w:rPr>
      </w:pPr>
    </w:p>
    <w:p w14:paraId="2A66AD32" w14:textId="010F2270" w:rsidR="00B108AC" w:rsidRPr="007576C4" w:rsidRDefault="009F14A3" w:rsidP="006B21E2">
      <w:pPr>
        <w:pStyle w:val="Heading3"/>
        <w:jc w:val="both"/>
        <w:rPr>
          <w:color w:val="000000" w:themeColor="text1"/>
        </w:rPr>
      </w:pPr>
      <w:bookmarkStart w:id="183" w:name="_Toc214721989"/>
      <w:r w:rsidRPr="007576C4">
        <w:rPr>
          <w:color w:val="000000" w:themeColor="text1"/>
        </w:rPr>
        <w:t xml:space="preserve">7.9.4 </w:t>
      </w:r>
      <w:r w:rsidR="00B108AC" w:rsidRPr="007576C4">
        <w:rPr>
          <w:color w:val="000000" w:themeColor="text1"/>
        </w:rPr>
        <w:t>Contagion Mechanics: How One Protocol's Problem Becomes Everyone's Problem</w:t>
      </w:r>
      <w:bookmarkEnd w:id="183"/>
    </w:p>
    <w:p w14:paraId="51F3E6D6" w14:textId="77777777" w:rsidR="009F7106" w:rsidRPr="007576C4" w:rsidRDefault="009F7106" w:rsidP="006B21E2">
      <w:pPr>
        <w:jc w:val="both"/>
        <w:rPr>
          <w:color w:val="000000" w:themeColor="text1"/>
        </w:rPr>
      </w:pPr>
      <w:r w:rsidRPr="007576C4">
        <w:rPr>
          <w:color w:val="000000" w:themeColor="text1"/>
        </w:rPr>
        <w:t>The Terra/Luna collapse in May 2022 is a clear example of DeFi contagion. It showed how protocols that are connected can quickly pass on risk, even if they aren't directly involved.</w:t>
      </w:r>
    </w:p>
    <w:p w14:paraId="14EB6EF2" w14:textId="77777777" w:rsidR="009F7106" w:rsidRPr="007576C4" w:rsidRDefault="009F7106" w:rsidP="006B21E2">
      <w:pPr>
        <w:jc w:val="both"/>
        <w:rPr>
          <w:color w:val="000000" w:themeColor="text1"/>
        </w:rPr>
      </w:pPr>
    </w:p>
    <w:p w14:paraId="270BED2B" w14:textId="3BB2347D" w:rsidR="009F7106" w:rsidRPr="007576C4" w:rsidRDefault="009F7106" w:rsidP="006B21E2">
      <w:pPr>
        <w:jc w:val="both"/>
        <w:rPr>
          <w:color w:val="000000" w:themeColor="text1"/>
        </w:rPr>
      </w:pPr>
      <w:r w:rsidRPr="007576C4">
        <w:rPr>
          <w:color w:val="000000" w:themeColor="text1"/>
        </w:rPr>
        <w:t xml:space="preserve">Tracking positions during the event, the first six hours after UST’s </w:t>
      </w:r>
      <w:proofErr w:type="spellStart"/>
      <w:r w:rsidRPr="007576C4">
        <w:rPr>
          <w:color w:val="000000" w:themeColor="text1"/>
        </w:rPr>
        <w:t>depeg</w:t>
      </w:r>
      <w:proofErr w:type="spellEnd"/>
      <w:r w:rsidRPr="007576C4">
        <w:rPr>
          <w:color w:val="000000" w:themeColor="text1"/>
        </w:rPr>
        <w:t xml:space="preserve"> from $1 to $0.60 saw a 40–60% TVL losses for positions with direct exposure. This was to be expected. However</w:t>
      </w:r>
      <w:proofErr w:type="gramStart"/>
      <w:r w:rsidRPr="007576C4">
        <w:rPr>
          <w:color w:val="000000" w:themeColor="text1"/>
        </w:rPr>
        <w:t>, hours six to twenty-four revealed</w:t>
      </w:r>
      <w:proofErr w:type="gramEnd"/>
      <w:r w:rsidRPr="007576C4">
        <w:rPr>
          <w:color w:val="000000" w:themeColor="text1"/>
        </w:rPr>
        <w:t xml:space="preserve"> the indirect </w:t>
      </w:r>
      <w:proofErr w:type="gramStart"/>
      <w:r w:rsidRPr="007576C4">
        <w:rPr>
          <w:color w:val="000000" w:themeColor="text1"/>
        </w:rPr>
        <w:t>contagion by</w:t>
      </w:r>
      <w:proofErr w:type="gramEnd"/>
      <w:r w:rsidRPr="007576C4">
        <w:rPr>
          <w:color w:val="000000" w:themeColor="text1"/>
        </w:rPr>
        <w:t xml:space="preserve"> </w:t>
      </w:r>
      <w:proofErr w:type="gramStart"/>
      <w:r w:rsidRPr="007576C4">
        <w:rPr>
          <w:color w:val="000000" w:themeColor="text1"/>
        </w:rPr>
        <w:t>showing</w:t>
      </w:r>
      <w:proofErr w:type="gramEnd"/>
      <w:r w:rsidRPr="007576C4">
        <w:rPr>
          <w:color w:val="000000" w:themeColor="text1"/>
        </w:rPr>
        <w:t xml:space="preserve"> </w:t>
      </w:r>
      <w:r w:rsidR="00780154" w:rsidRPr="007576C4">
        <w:rPr>
          <w:color w:val="000000" w:themeColor="text1"/>
        </w:rPr>
        <w:t>that protocols</w:t>
      </w:r>
      <w:r w:rsidRPr="007576C4">
        <w:rPr>
          <w:color w:val="000000" w:themeColor="text1"/>
        </w:rPr>
        <w:t xml:space="preserve"> borrowing against LUNA collateral faced liquidation cascades; Curve pools with UST experienced severe one-sided liquidity and the Anchor Protocol lost $14 billion in deposits within hours. All adjacent protocols dropped between 20–30% in TVL simply because of shared user bases or similar yield models, even though there was no direct Terra link.</w:t>
      </w:r>
    </w:p>
    <w:p w14:paraId="0F964764" w14:textId="77777777" w:rsidR="009F7106" w:rsidRPr="007576C4" w:rsidRDefault="009F7106" w:rsidP="006B21E2">
      <w:pPr>
        <w:jc w:val="both"/>
        <w:rPr>
          <w:color w:val="000000" w:themeColor="text1"/>
        </w:rPr>
      </w:pPr>
    </w:p>
    <w:p w14:paraId="133D86B8" w14:textId="259E82AC" w:rsidR="009F7106" w:rsidRPr="007576C4" w:rsidRDefault="009F7106" w:rsidP="006B21E2">
      <w:pPr>
        <w:jc w:val="both"/>
        <w:rPr>
          <w:color w:val="000000" w:themeColor="text1"/>
        </w:rPr>
      </w:pPr>
      <w:r w:rsidRPr="007576C4">
        <w:rPr>
          <w:color w:val="000000" w:themeColor="text1"/>
        </w:rPr>
        <w:t xml:space="preserve">By days two and three, a sentimental contagion emerged. Unconnected protocols, such as lending platforms without stablecoins, NFT marketplaces and gaming tokens declined between 10–15% in TVL. Based on the interviews </w:t>
      </w:r>
      <w:proofErr w:type="gramStart"/>
      <w:r w:rsidRPr="007576C4">
        <w:rPr>
          <w:color w:val="000000" w:themeColor="text1"/>
        </w:rPr>
        <w:t>and also</w:t>
      </w:r>
      <w:proofErr w:type="gramEnd"/>
      <w:r w:rsidRPr="007576C4">
        <w:rPr>
          <w:color w:val="000000" w:themeColor="text1"/>
        </w:rPr>
        <w:t xml:space="preserve"> trends </w:t>
      </w:r>
      <w:r w:rsidR="00780154" w:rsidRPr="007576C4">
        <w:rPr>
          <w:color w:val="000000" w:themeColor="text1"/>
        </w:rPr>
        <w:t>research</w:t>
      </w:r>
      <w:r w:rsidRPr="007576C4">
        <w:rPr>
          <w:color w:val="000000" w:themeColor="text1"/>
        </w:rPr>
        <w:t xml:space="preserve"> online in </w:t>
      </w:r>
      <w:r w:rsidR="00780154" w:rsidRPr="007576C4">
        <w:rPr>
          <w:color w:val="000000" w:themeColor="text1"/>
        </w:rPr>
        <w:t>various</w:t>
      </w:r>
      <w:r w:rsidRPr="007576C4">
        <w:rPr>
          <w:color w:val="000000" w:themeColor="text1"/>
        </w:rPr>
        <w:t xml:space="preserve"> forums and news, this was due because the user confidence </w:t>
      </w:r>
      <w:proofErr w:type="gramStart"/>
      <w:r w:rsidRPr="007576C4">
        <w:rPr>
          <w:color w:val="000000" w:themeColor="text1"/>
        </w:rPr>
        <w:t>collapsed</w:t>
      </w:r>
      <w:proofErr w:type="gramEnd"/>
      <w:r w:rsidRPr="007576C4">
        <w:rPr>
          <w:color w:val="000000" w:themeColor="text1"/>
        </w:rPr>
        <w:t>. The trigger was a psychological one, where participants assumed that if one “safe” stablecoin failed, perhaps none were safe at all.</w:t>
      </w:r>
    </w:p>
    <w:p w14:paraId="3A660DF2" w14:textId="77777777" w:rsidR="009F7106" w:rsidRPr="007576C4" w:rsidRDefault="009F7106" w:rsidP="006B21E2">
      <w:pPr>
        <w:jc w:val="both"/>
        <w:rPr>
          <w:color w:val="000000" w:themeColor="text1"/>
        </w:rPr>
      </w:pPr>
    </w:p>
    <w:p w14:paraId="7831D33A" w14:textId="291DF768" w:rsidR="009F7106" w:rsidRPr="007576C4" w:rsidRDefault="009F7106" w:rsidP="006B21E2">
      <w:pPr>
        <w:jc w:val="both"/>
        <w:rPr>
          <w:color w:val="000000" w:themeColor="text1"/>
        </w:rPr>
      </w:pPr>
      <w:r w:rsidRPr="007576C4">
        <w:rPr>
          <w:color w:val="000000" w:themeColor="text1"/>
        </w:rPr>
        <w:t xml:space="preserve">Days four through seven brought a second wave from liquidation cascades. </w:t>
      </w:r>
      <w:r w:rsidR="00780154" w:rsidRPr="007576C4">
        <w:rPr>
          <w:color w:val="000000" w:themeColor="text1"/>
        </w:rPr>
        <w:t>Leveraged</w:t>
      </w:r>
      <w:r w:rsidRPr="007576C4">
        <w:rPr>
          <w:color w:val="000000" w:themeColor="text1"/>
        </w:rPr>
        <w:t xml:space="preserve"> positions that were near thresholds were force-sold, which caused further price declines and triggered additional liquidations. Even protocols unaffected initially saw 15–20% TVL losses.</w:t>
      </w:r>
    </w:p>
    <w:p w14:paraId="2A8161DD" w14:textId="77777777" w:rsidR="009F7106" w:rsidRPr="007576C4" w:rsidRDefault="009F7106" w:rsidP="006B21E2">
      <w:pPr>
        <w:jc w:val="both"/>
        <w:rPr>
          <w:color w:val="000000" w:themeColor="text1"/>
        </w:rPr>
      </w:pPr>
    </w:p>
    <w:p w14:paraId="4094369F" w14:textId="4A34162D" w:rsidR="009F7106" w:rsidRPr="007576C4" w:rsidRDefault="009F7106" w:rsidP="006B21E2">
      <w:pPr>
        <w:jc w:val="both"/>
        <w:rPr>
          <w:color w:val="000000" w:themeColor="text1"/>
        </w:rPr>
      </w:pPr>
      <w:r w:rsidRPr="007576C4">
        <w:rPr>
          <w:color w:val="000000" w:themeColor="text1"/>
        </w:rPr>
        <w:t xml:space="preserve">Weeks two to four marked the consolidation process where capital migrated to perceived “blue-chip” safety. Due to this </w:t>
      </w:r>
      <w:proofErr w:type="spellStart"/>
      <w:r w:rsidRPr="007576C4">
        <w:rPr>
          <w:color w:val="000000" w:themeColor="text1"/>
        </w:rPr>
        <w:t>Aave</w:t>
      </w:r>
      <w:proofErr w:type="spellEnd"/>
      <w:r w:rsidRPr="007576C4">
        <w:rPr>
          <w:color w:val="000000" w:themeColor="text1"/>
        </w:rPr>
        <w:t xml:space="preserve">, Compound, and Uniswap gained between 30–40% TVL. </w:t>
      </w:r>
    </w:p>
    <w:p w14:paraId="11005BB7" w14:textId="77777777" w:rsidR="009F7106" w:rsidRPr="007576C4" w:rsidRDefault="009F7106" w:rsidP="006B21E2">
      <w:pPr>
        <w:jc w:val="both"/>
        <w:rPr>
          <w:color w:val="000000" w:themeColor="text1"/>
        </w:rPr>
      </w:pPr>
    </w:p>
    <w:p w14:paraId="39F8BFDE" w14:textId="28BC9E2D" w:rsidR="00CE3C5C" w:rsidRPr="007576C4" w:rsidRDefault="009F7106" w:rsidP="006B21E2">
      <w:pPr>
        <w:jc w:val="both"/>
        <w:rPr>
          <w:color w:val="000000" w:themeColor="text1"/>
        </w:rPr>
      </w:pPr>
      <w:r w:rsidRPr="007576C4">
        <w:rPr>
          <w:color w:val="000000" w:themeColor="text1"/>
        </w:rPr>
        <w:t xml:space="preserve">The </w:t>
      </w:r>
      <w:r w:rsidR="00780154" w:rsidRPr="007576C4">
        <w:rPr>
          <w:color w:val="000000" w:themeColor="text1"/>
        </w:rPr>
        <w:t>researched</w:t>
      </w:r>
      <w:r w:rsidRPr="007576C4">
        <w:rPr>
          <w:color w:val="000000" w:themeColor="text1"/>
        </w:rPr>
        <w:t xml:space="preserve"> contagion’s velocity followed a power-law curve: most damage was reported in the first 24 hours, with residual impacts lasting over several weeks. This shows that in cases such as this exit strategies required immediate actions - within hours and not days. And this leads to constant monitoring or accepting unavoidable exposure, negating the idea of passive income.</w:t>
      </w:r>
    </w:p>
    <w:p w14:paraId="33446134" w14:textId="77777777" w:rsidR="009F7106" w:rsidRPr="007576C4" w:rsidRDefault="009F7106" w:rsidP="006B21E2">
      <w:pPr>
        <w:jc w:val="both"/>
        <w:rPr>
          <w:color w:val="000000" w:themeColor="text1"/>
        </w:rPr>
      </w:pPr>
    </w:p>
    <w:p w14:paraId="7FF5D265" w14:textId="7A1E1756" w:rsidR="00ED52F3" w:rsidRPr="007576C4" w:rsidRDefault="003B14C5" w:rsidP="006B21E2">
      <w:pPr>
        <w:pStyle w:val="Heading4"/>
        <w:jc w:val="both"/>
        <w:rPr>
          <w:color w:val="000000" w:themeColor="text1"/>
          <w:kern w:val="0"/>
          <w:sz w:val="27"/>
          <w:szCs w:val="27"/>
        </w:rPr>
      </w:pPr>
      <w:r w:rsidRPr="007576C4">
        <w:rPr>
          <w:color w:val="000000" w:themeColor="text1"/>
        </w:rPr>
        <w:t>7.9.4.</w:t>
      </w:r>
      <w:r w:rsidR="009F14A3" w:rsidRPr="007576C4">
        <w:rPr>
          <w:color w:val="000000" w:themeColor="text1"/>
        </w:rPr>
        <w:t>3</w:t>
      </w:r>
      <w:r w:rsidRPr="007576C4">
        <w:rPr>
          <w:color w:val="000000" w:themeColor="text1"/>
        </w:rPr>
        <w:t xml:space="preserve"> </w:t>
      </w:r>
      <w:r w:rsidR="00ED52F3" w:rsidRPr="007576C4">
        <w:rPr>
          <w:color w:val="000000" w:themeColor="text1"/>
        </w:rPr>
        <w:t>Position Sizing for Survival</w:t>
      </w:r>
    </w:p>
    <w:p w14:paraId="6CF29AE4" w14:textId="6A1F0B61" w:rsidR="00CC6D0D" w:rsidRPr="007576C4" w:rsidRDefault="00CC6D0D" w:rsidP="006B21E2">
      <w:pPr>
        <w:jc w:val="both"/>
        <w:rPr>
          <w:color w:val="000000" w:themeColor="text1"/>
        </w:rPr>
      </w:pPr>
      <w:r w:rsidRPr="007576C4">
        <w:rPr>
          <w:color w:val="000000" w:themeColor="text1"/>
        </w:rPr>
        <w:t>Because traditional diversification does</w:t>
      </w:r>
      <w:r w:rsidR="009F14A3" w:rsidRPr="007576C4">
        <w:rPr>
          <w:color w:val="000000" w:themeColor="text1"/>
        </w:rPr>
        <w:t xml:space="preserve"> not</w:t>
      </w:r>
      <w:r w:rsidRPr="007576C4">
        <w:rPr>
          <w:color w:val="000000" w:themeColor="text1"/>
        </w:rPr>
        <w:t xml:space="preserve"> work under stress, incidents happen 35–45% of the time, and they usually destroy </w:t>
      </w:r>
      <w:r w:rsidR="009F14A3" w:rsidRPr="007576C4">
        <w:rPr>
          <w:color w:val="000000" w:themeColor="text1"/>
        </w:rPr>
        <w:t xml:space="preserve">between </w:t>
      </w:r>
      <w:r w:rsidRPr="007576C4">
        <w:rPr>
          <w:color w:val="000000" w:themeColor="text1"/>
        </w:rPr>
        <w:t xml:space="preserve">50–60% of a position's value, the only risk management strategy that </w:t>
      </w:r>
      <w:r w:rsidR="009F14A3" w:rsidRPr="007576C4">
        <w:rPr>
          <w:color w:val="000000" w:themeColor="text1"/>
        </w:rPr>
        <w:t>may work is</w:t>
      </w:r>
      <w:r w:rsidRPr="007576C4">
        <w:rPr>
          <w:color w:val="000000" w:themeColor="text1"/>
        </w:rPr>
        <w:t xml:space="preserve"> radical position sizing that focuse</w:t>
      </w:r>
      <w:r w:rsidR="009F14A3" w:rsidRPr="007576C4">
        <w:rPr>
          <w:color w:val="000000" w:themeColor="text1"/>
        </w:rPr>
        <w:t>s</w:t>
      </w:r>
      <w:r w:rsidRPr="007576C4">
        <w:rPr>
          <w:color w:val="000000" w:themeColor="text1"/>
        </w:rPr>
        <w:t xml:space="preserve"> on survival rather than </w:t>
      </w:r>
      <w:r w:rsidR="009F14A3" w:rsidRPr="007576C4">
        <w:rPr>
          <w:color w:val="000000" w:themeColor="text1"/>
        </w:rPr>
        <w:t xml:space="preserve">an </w:t>
      </w:r>
      <w:r w:rsidRPr="007576C4">
        <w:rPr>
          <w:color w:val="000000" w:themeColor="text1"/>
        </w:rPr>
        <w:t xml:space="preserve">optimization. </w:t>
      </w:r>
    </w:p>
    <w:p w14:paraId="322D0940" w14:textId="77777777" w:rsidR="00CC6D0D" w:rsidRPr="007576C4" w:rsidRDefault="00CC6D0D" w:rsidP="006B21E2">
      <w:pPr>
        <w:jc w:val="both"/>
        <w:rPr>
          <w:color w:val="000000" w:themeColor="text1"/>
        </w:rPr>
      </w:pPr>
    </w:p>
    <w:p w14:paraId="64E8C11D" w14:textId="10713136" w:rsidR="00CC6D0D" w:rsidRPr="007576C4" w:rsidRDefault="00CC6D0D" w:rsidP="006B21E2">
      <w:pPr>
        <w:jc w:val="both"/>
        <w:rPr>
          <w:color w:val="000000" w:themeColor="text1"/>
        </w:rPr>
      </w:pPr>
      <w:r w:rsidRPr="007576C4">
        <w:rPr>
          <w:color w:val="000000" w:themeColor="text1"/>
        </w:rPr>
        <w:t xml:space="preserve">The </w:t>
      </w:r>
      <w:r w:rsidR="009F14A3" w:rsidRPr="007576C4">
        <w:rPr>
          <w:color w:val="000000" w:themeColor="text1"/>
        </w:rPr>
        <w:t>participants</w:t>
      </w:r>
      <w:r w:rsidRPr="007576C4">
        <w:rPr>
          <w:color w:val="000000" w:themeColor="text1"/>
        </w:rPr>
        <w:t xml:space="preserve"> in </w:t>
      </w:r>
      <w:r w:rsidR="009F14A3" w:rsidRPr="007576C4">
        <w:rPr>
          <w:color w:val="000000" w:themeColor="text1"/>
        </w:rPr>
        <w:t xml:space="preserve">this </w:t>
      </w:r>
      <w:r w:rsidRPr="007576C4">
        <w:rPr>
          <w:color w:val="000000" w:themeColor="text1"/>
        </w:rPr>
        <w:t xml:space="preserve">study who did well through multiple market cycles used a strategy that went against standard investment advice but worked well in DeFi's high-risk setting. When they sized their positions, they </w:t>
      </w:r>
      <w:r w:rsidR="009F14A3" w:rsidRPr="007576C4">
        <w:rPr>
          <w:color w:val="000000" w:themeColor="text1"/>
        </w:rPr>
        <w:t>assumed</w:t>
      </w:r>
      <w:r w:rsidRPr="007576C4">
        <w:rPr>
          <w:color w:val="000000" w:themeColor="text1"/>
        </w:rPr>
        <w:t xml:space="preserve"> </w:t>
      </w:r>
      <w:r w:rsidR="009F14A3" w:rsidRPr="007576C4">
        <w:rPr>
          <w:color w:val="000000" w:themeColor="text1"/>
        </w:rPr>
        <w:t>to</w:t>
      </w:r>
      <w:r w:rsidRPr="007576C4">
        <w:rPr>
          <w:color w:val="000000" w:themeColor="text1"/>
        </w:rPr>
        <w:t xml:space="preserve"> lose half of their cash in a year. In other words, if they had $10,000 to invest in DeFi, they only put $5,000 down at first, keeping $5,000 in reserve. When losses happened, which they were bound to, they still had enough money to keep playing instead of having to quit after one terrible event. During </w:t>
      </w:r>
      <w:r w:rsidR="00780154" w:rsidRPr="007576C4">
        <w:rPr>
          <w:color w:val="000000" w:themeColor="text1"/>
        </w:rPr>
        <w:t>good and</w:t>
      </w:r>
      <w:r w:rsidR="009F14A3" w:rsidRPr="007576C4">
        <w:rPr>
          <w:color w:val="000000" w:themeColor="text1"/>
        </w:rPr>
        <w:t xml:space="preserve"> stable </w:t>
      </w:r>
      <w:r w:rsidRPr="007576C4">
        <w:rPr>
          <w:color w:val="000000" w:themeColor="text1"/>
        </w:rPr>
        <w:t xml:space="preserve">times, this method seemed too cautious, savings </w:t>
      </w:r>
      <w:r w:rsidR="009F14A3" w:rsidRPr="007576C4">
        <w:rPr>
          <w:color w:val="000000" w:themeColor="text1"/>
        </w:rPr>
        <w:t>accounts</w:t>
      </w:r>
      <w:r w:rsidRPr="007576C4">
        <w:rPr>
          <w:color w:val="000000" w:themeColor="text1"/>
        </w:rPr>
        <w:t xml:space="preserve"> earn</w:t>
      </w:r>
      <w:r w:rsidR="009F14A3" w:rsidRPr="007576C4">
        <w:rPr>
          <w:color w:val="000000" w:themeColor="text1"/>
        </w:rPr>
        <w:t>ed</w:t>
      </w:r>
      <w:r w:rsidRPr="007576C4">
        <w:rPr>
          <w:color w:val="000000" w:themeColor="text1"/>
        </w:rPr>
        <w:t xml:space="preserve"> </w:t>
      </w:r>
      <w:r w:rsidR="009F14A3" w:rsidRPr="007576C4">
        <w:rPr>
          <w:color w:val="000000" w:themeColor="text1"/>
        </w:rPr>
        <w:t xml:space="preserve">relatively </w:t>
      </w:r>
      <w:r w:rsidRPr="007576C4">
        <w:rPr>
          <w:color w:val="000000" w:themeColor="text1"/>
        </w:rPr>
        <w:t>nothing</w:t>
      </w:r>
      <w:r w:rsidR="009F14A3" w:rsidRPr="007576C4">
        <w:rPr>
          <w:color w:val="000000" w:themeColor="text1"/>
        </w:rPr>
        <w:t xml:space="preserve">, </w:t>
      </w:r>
      <w:r w:rsidRPr="007576C4">
        <w:rPr>
          <w:color w:val="000000" w:themeColor="text1"/>
        </w:rPr>
        <w:t xml:space="preserve">while others put their money to work and made more. But it was very important when things were stressful because having </w:t>
      </w:r>
      <w:r w:rsidR="009F14A3" w:rsidRPr="007576C4">
        <w:rPr>
          <w:color w:val="000000" w:themeColor="text1"/>
        </w:rPr>
        <w:t>the saved capital</w:t>
      </w:r>
      <w:r w:rsidRPr="007576C4">
        <w:rPr>
          <w:color w:val="000000" w:themeColor="text1"/>
        </w:rPr>
        <w:t xml:space="preserve"> let </w:t>
      </w:r>
      <w:r w:rsidR="009F14A3" w:rsidRPr="007576C4">
        <w:rPr>
          <w:color w:val="000000" w:themeColor="text1"/>
        </w:rPr>
        <w:t>the participants take</w:t>
      </w:r>
      <w:r w:rsidRPr="007576C4">
        <w:rPr>
          <w:color w:val="000000" w:themeColor="text1"/>
        </w:rPr>
        <w:t xml:space="preserve"> advantage of chances that other</w:t>
      </w:r>
      <w:r w:rsidR="009F14A3" w:rsidRPr="007576C4">
        <w:rPr>
          <w:color w:val="000000" w:themeColor="text1"/>
        </w:rPr>
        <w:t>s</w:t>
      </w:r>
      <w:r w:rsidRPr="007576C4">
        <w:rPr>
          <w:color w:val="000000" w:themeColor="text1"/>
        </w:rPr>
        <w:t xml:space="preserve"> had to give up.</w:t>
      </w:r>
    </w:p>
    <w:p w14:paraId="50457104" w14:textId="77777777" w:rsidR="00CC6D0D" w:rsidRPr="007576C4" w:rsidRDefault="00CC6D0D" w:rsidP="006B21E2">
      <w:pPr>
        <w:jc w:val="both"/>
        <w:rPr>
          <w:color w:val="000000" w:themeColor="text1"/>
        </w:rPr>
      </w:pPr>
    </w:p>
    <w:p w14:paraId="626C49DF" w14:textId="291DB1BD" w:rsidR="00CC6D0D" w:rsidRPr="007576C4" w:rsidRDefault="009F14A3" w:rsidP="006B21E2">
      <w:pPr>
        <w:jc w:val="both"/>
        <w:rPr>
          <w:color w:val="000000" w:themeColor="text1"/>
        </w:rPr>
      </w:pPr>
      <w:r w:rsidRPr="007576C4">
        <w:rPr>
          <w:color w:val="000000" w:themeColor="text1"/>
        </w:rPr>
        <w:t>Also, the strategy included the allocation or spread across multiple protocols. Participants</w:t>
      </w:r>
      <w:r w:rsidR="00CC6D0D" w:rsidRPr="007576C4">
        <w:rPr>
          <w:color w:val="000000" w:themeColor="text1"/>
        </w:rPr>
        <w:t xml:space="preserve"> spread </w:t>
      </w:r>
      <w:r w:rsidRPr="007576C4">
        <w:rPr>
          <w:color w:val="000000" w:themeColor="text1"/>
        </w:rPr>
        <w:t xml:space="preserve">their positions out to </w:t>
      </w:r>
      <w:r w:rsidR="00CC6D0D" w:rsidRPr="007576C4">
        <w:rPr>
          <w:color w:val="000000" w:themeColor="text1"/>
        </w:rPr>
        <w:t xml:space="preserve">not to get the best return, but to stay alive in case of different failures. They </w:t>
      </w:r>
      <w:r w:rsidRPr="007576C4">
        <w:rPr>
          <w:color w:val="000000" w:themeColor="text1"/>
        </w:rPr>
        <w:t xml:space="preserve">did not </w:t>
      </w:r>
      <w:r w:rsidR="00CC6D0D" w:rsidRPr="007576C4">
        <w:rPr>
          <w:color w:val="000000" w:themeColor="text1"/>
        </w:rPr>
        <w:t>spread capital across three similar DeFi loan protocols, which would probably all fail at the same time. Instead, they spread it across three very different types of protocols: lending, trading, and staking. Having positions in trading protocols helped p</w:t>
      </w:r>
      <w:r w:rsidRPr="007576C4">
        <w:rPr>
          <w:color w:val="000000" w:themeColor="text1"/>
        </w:rPr>
        <w:t>articipants</w:t>
      </w:r>
      <w:r w:rsidR="00CC6D0D" w:rsidRPr="007576C4">
        <w:rPr>
          <w:color w:val="000000" w:themeColor="text1"/>
        </w:rPr>
        <w:t xml:space="preserve"> survive the crisis in </w:t>
      </w:r>
      <w:r w:rsidR="00CC6D0D" w:rsidRPr="007576C4">
        <w:rPr>
          <w:color w:val="000000" w:themeColor="text1"/>
        </w:rPr>
        <w:lastRenderedPageBreak/>
        <w:t xml:space="preserve">DeFi loan protocols without being affected by it. This type of diversification is different from the </w:t>
      </w:r>
      <w:proofErr w:type="gramStart"/>
      <w:r w:rsidR="00CC6D0D" w:rsidRPr="007576C4">
        <w:rPr>
          <w:color w:val="000000" w:themeColor="text1"/>
        </w:rPr>
        <w:t>returns</w:t>
      </w:r>
      <w:proofErr w:type="gramEnd"/>
      <w:r w:rsidR="00CC6D0D" w:rsidRPr="007576C4">
        <w:rPr>
          <w:color w:val="000000" w:themeColor="text1"/>
        </w:rPr>
        <w:t xml:space="preserve">-optimization diversity that most finance classes teach. </w:t>
      </w:r>
    </w:p>
    <w:p w14:paraId="6F5ACDF8" w14:textId="77777777" w:rsidR="00CC6D0D" w:rsidRPr="007576C4" w:rsidRDefault="00CC6D0D" w:rsidP="006B21E2">
      <w:pPr>
        <w:jc w:val="both"/>
        <w:rPr>
          <w:color w:val="000000" w:themeColor="text1"/>
        </w:rPr>
      </w:pPr>
    </w:p>
    <w:p w14:paraId="04B117A8" w14:textId="1456FD82" w:rsidR="00CE3C5C" w:rsidRPr="007576C4" w:rsidRDefault="005E2D41" w:rsidP="006B21E2">
      <w:pPr>
        <w:jc w:val="both"/>
        <w:rPr>
          <w:color w:val="000000" w:themeColor="text1"/>
        </w:rPr>
      </w:pPr>
      <w:r w:rsidRPr="007576C4">
        <w:rPr>
          <w:color w:val="000000" w:themeColor="text1"/>
        </w:rPr>
        <w:t xml:space="preserve">All participants </w:t>
      </w:r>
      <w:r w:rsidR="00CC6D0D" w:rsidRPr="007576C4">
        <w:rPr>
          <w:color w:val="000000" w:themeColor="text1"/>
        </w:rPr>
        <w:t>agreed that some risks could not be controlled</w:t>
      </w:r>
      <w:r w:rsidRPr="007576C4">
        <w:rPr>
          <w:color w:val="000000" w:themeColor="text1"/>
        </w:rPr>
        <w:t xml:space="preserve">: </w:t>
      </w:r>
      <w:r w:rsidR="00CC6D0D" w:rsidRPr="007576C4">
        <w:rPr>
          <w:color w:val="000000" w:themeColor="text1"/>
        </w:rPr>
        <w:t>Due diligence can</w:t>
      </w:r>
      <w:r w:rsidRPr="007576C4">
        <w:rPr>
          <w:color w:val="000000" w:themeColor="text1"/>
        </w:rPr>
        <w:t xml:space="preserve">not </w:t>
      </w:r>
      <w:r w:rsidR="00CC6D0D" w:rsidRPr="007576C4">
        <w:rPr>
          <w:color w:val="000000" w:themeColor="text1"/>
        </w:rPr>
        <w:t>get rid of smart contract risk</w:t>
      </w:r>
      <w:r w:rsidRPr="007576C4">
        <w:rPr>
          <w:color w:val="000000" w:themeColor="text1"/>
        </w:rPr>
        <w:t xml:space="preserve"> (</w:t>
      </w:r>
      <w:r w:rsidR="00CC6D0D" w:rsidRPr="007576C4">
        <w:rPr>
          <w:color w:val="000000" w:themeColor="text1"/>
        </w:rPr>
        <w:t>71% of protocols that were hacked had been audited more than once</w:t>
      </w:r>
      <w:r w:rsidRPr="007576C4">
        <w:rPr>
          <w:color w:val="000000" w:themeColor="text1"/>
        </w:rPr>
        <w:t>);</w:t>
      </w:r>
      <w:r w:rsidR="00CC6D0D" w:rsidRPr="007576C4">
        <w:rPr>
          <w:color w:val="000000" w:themeColor="text1"/>
        </w:rPr>
        <w:t xml:space="preserve"> </w:t>
      </w:r>
      <w:r w:rsidRPr="007576C4">
        <w:rPr>
          <w:color w:val="000000" w:themeColor="text1"/>
        </w:rPr>
        <w:t>abandonment of a protocol</w:t>
      </w:r>
      <w:r w:rsidR="00CC6D0D" w:rsidRPr="007576C4">
        <w:rPr>
          <w:color w:val="000000" w:themeColor="text1"/>
        </w:rPr>
        <w:t xml:space="preserve"> </w:t>
      </w:r>
      <w:r w:rsidRPr="007576C4">
        <w:rPr>
          <w:color w:val="000000" w:themeColor="text1"/>
        </w:rPr>
        <w:t xml:space="preserve">cannot be predicted - </w:t>
      </w:r>
      <w:r w:rsidR="00CC6D0D" w:rsidRPr="007576C4">
        <w:rPr>
          <w:color w:val="000000" w:themeColor="text1"/>
        </w:rPr>
        <w:t>sometimes strong protocols go away while sketchy projects stay alive</w:t>
      </w:r>
      <w:r w:rsidRPr="007576C4">
        <w:rPr>
          <w:color w:val="000000" w:themeColor="text1"/>
        </w:rPr>
        <w:t>; regulatory</w:t>
      </w:r>
      <w:r w:rsidR="00CC6D0D" w:rsidRPr="007576C4">
        <w:rPr>
          <w:color w:val="000000" w:themeColor="text1"/>
        </w:rPr>
        <w:t xml:space="preserve"> changes can make </w:t>
      </w:r>
      <w:r w:rsidRPr="007576C4">
        <w:rPr>
          <w:color w:val="000000" w:themeColor="text1"/>
        </w:rPr>
        <w:t xml:space="preserve">previously </w:t>
      </w:r>
      <w:r w:rsidR="00CC6D0D" w:rsidRPr="007576C4">
        <w:rPr>
          <w:color w:val="000000" w:themeColor="text1"/>
        </w:rPr>
        <w:t xml:space="preserve">legal </w:t>
      </w:r>
      <w:r w:rsidRPr="007576C4">
        <w:rPr>
          <w:color w:val="000000" w:themeColor="text1"/>
        </w:rPr>
        <w:t>b</w:t>
      </w:r>
      <w:r w:rsidR="00CC6D0D" w:rsidRPr="007576C4">
        <w:rPr>
          <w:color w:val="000000" w:themeColor="text1"/>
        </w:rPr>
        <w:t xml:space="preserve">ecoming illegal overnight with no notice. Instead of pretending that these risks could be controlled through analysis, </w:t>
      </w:r>
      <w:r w:rsidRPr="007576C4">
        <w:rPr>
          <w:color w:val="000000" w:themeColor="text1"/>
        </w:rPr>
        <w:t xml:space="preserve">all </w:t>
      </w:r>
      <w:r w:rsidR="00CC6D0D" w:rsidRPr="007576C4">
        <w:rPr>
          <w:color w:val="000000" w:themeColor="text1"/>
        </w:rPr>
        <w:t xml:space="preserve">successful participants set the size of their positions so that losing all of them would be disappointing but not disastrous. This meant keeping each position small enough (usually 10–20% of the total capital per protocol) so that losing one wouldn't stop </w:t>
      </w:r>
      <w:r w:rsidRPr="007576C4">
        <w:rPr>
          <w:color w:val="000000" w:themeColor="text1"/>
        </w:rPr>
        <w:t xml:space="preserve">them from continuing </w:t>
      </w:r>
      <w:proofErr w:type="gramStart"/>
      <w:r w:rsidRPr="007576C4">
        <w:rPr>
          <w:color w:val="000000" w:themeColor="text1"/>
        </w:rPr>
        <w:t xml:space="preserve">the </w:t>
      </w:r>
      <w:r w:rsidR="00CC6D0D" w:rsidRPr="007576C4">
        <w:rPr>
          <w:color w:val="000000" w:themeColor="text1"/>
        </w:rPr>
        <w:t xml:space="preserve"> </w:t>
      </w:r>
      <w:r w:rsidRPr="007576C4">
        <w:rPr>
          <w:color w:val="000000" w:themeColor="text1"/>
        </w:rPr>
        <w:t>participation</w:t>
      </w:r>
      <w:proofErr w:type="gramEnd"/>
      <w:r w:rsidRPr="007576C4">
        <w:rPr>
          <w:color w:val="000000" w:themeColor="text1"/>
        </w:rPr>
        <w:t>.</w:t>
      </w:r>
    </w:p>
    <w:p w14:paraId="2FE3B5F9" w14:textId="77777777" w:rsidR="00E22836" w:rsidRPr="007576C4" w:rsidRDefault="00E22836" w:rsidP="006B21E2">
      <w:pPr>
        <w:jc w:val="both"/>
        <w:rPr>
          <w:color w:val="000000" w:themeColor="text1"/>
        </w:rPr>
      </w:pPr>
    </w:p>
    <w:p w14:paraId="2DB169A4" w14:textId="01D529DC" w:rsidR="00E22836" w:rsidRPr="007576C4" w:rsidRDefault="00E22836" w:rsidP="006B21E2">
      <w:pPr>
        <w:pStyle w:val="Heading3"/>
        <w:rPr>
          <w:rFonts w:eastAsiaTheme="majorEastAsia"/>
        </w:rPr>
      </w:pPr>
      <w:bookmarkStart w:id="184" w:name="_Toc214721990"/>
      <w:r w:rsidRPr="007576C4">
        <w:rPr>
          <w:rFonts w:eastAsiaTheme="majorEastAsia"/>
        </w:rPr>
        <w:t>Figure 7.</w:t>
      </w:r>
      <w:r w:rsidR="00C5607F">
        <w:rPr>
          <w:rFonts w:eastAsiaTheme="majorEastAsia"/>
        </w:rPr>
        <w:t>E</w:t>
      </w:r>
      <w:r w:rsidRPr="007576C4">
        <w:rPr>
          <w:rFonts w:eastAsiaTheme="majorEastAsia"/>
        </w:rPr>
        <w:t>: Position Sizing Decision Framework Based on Capital Thresholds and Risk Profile</w:t>
      </w:r>
      <w:bookmarkEnd w:id="184"/>
    </w:p>
    <w:p w14:paraId="6F8921CA" w14:textId="77777777" w:rsidR="00E06EAB" w:rsidRPr="007576C4" w:rsidRDefault="00E06EAB" w:rsidP="006B21E2">
      <w:pPr>
        <w:jc w:val="both"/>
        <w:rPr>
          <w:b/>
          <w:bCs/>
          <w:color w:val="000000" w:themeColor="text1"/>
        </w:rPr>
      </w:pPr>
    </w:p>
    <w:p w14:paraId="5477ADCB" w14:textId="77777777" w:rsidR="00E06EAB" w:rsidRPr="007576C4" w:rsidRDefault="00E06EAB" w:rsidP="006B21E2">
      <w:pPr>
        <w:jc w:val="both"/>
        <w:rPr>
          <w:b/>
          <w:bCs/>
          <w:color w:val="000000" w:themeColor="text1"/>
        </w:rPr>
      </w:pPr>
    </w:p>
    <w:p w14:paraId="5A758715" w14:textId="7AE23E29" w:rsidR="00E22836" w:rsidRPr="007576C4" w:rsidRDefault="00E22836" w:rsidP="006B21E2">
      <w:pPr>
        <w:jc w:val="both"/>
        <w:rPr>
          <w:b/>
          <w:bCs/>
          <w:color w:val="000000" w:themeColor="text1"/>
        </w:rPr>
      </w:pPr>
      <w:r w:rsidRPr="007576C4">
        <w:rPr>
          <w:b/>
          <w:bCs/>
          <w:noProof/>
          <w:color w:val="000000" w:themeColor="text1"/>
        </w:rPr>
        <w:drawing>
          <wp:inline distT="0" distB="0" distL="0" distR="0" wp14:anchorId="2131C034" wp14:editId="0B93F9D6">
            <wp:extent cx="5715000" cy="4572000"/>
            <wp:effectExtent l="0" t="0" r="0" b="0"/>
            <wp:docPr id="1711436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36167" name="Picture 1711436167"/>
                    <pic:cNvPicPr/>
                  </pic:nvPicPr>
                  <pic:blipFill>
                    <a:blip r:embed="rId13"/>
                    <a:stretch>
                      <a:fillRect/>
                    </a:stretch>
                  </pic:blipFill>
                  <pic:spPr>
                    <a:xfrm>
                      <a:off x="0" y="0"/>
                      <a:ext cx="5715000" cy="4572000"/>
                    </a:xfrm>
                    <a:prstGeom prst="rect">
                      <a:avLst/>
                    </a:prstGeom>
                  </pic:spPr>
                </pic:pic>
              </a:graphicData>
            </a:graphic>
          </wp:inline>
        </w:drawing>
      </w:r>
    </w:p>
    <w:p w14:paraId="3E159BE2" w14:textId="77777777" w:rsidR="00CC6D0D" w:rsidRPr="007576C4" w:rsidRDefault="00CC6D0D" w:rsidP="006B21E2">
      <w:pPr>
        <w:jc w:val="both"/>
        <w:rPr>
          <w:color w:val="000000" w:themeColor="text1"/>
        </w:rPr>
      </w:pPr>
    </w:p>
    <w:p w14:paraId="27AC1C70" w14:textId="77777777" w:rsidR="00E06EAB" w:rsidRPr="007576C4" w:rsidRDefault="00E06EAB" w:rsidP="006B21E2">
      <w:pPr>
        <w:pStyle w:val="Heading4"/>
        <w:jc w:val="both"/>
        <w:rPr>
          <w:color w:val="000000" w:themeColor="text1"/>
        </w:rPr>
      </w:pPr>
    </w:p>
    <w:p w14:paraId="24CCF858" w14:textId="0E532B2D" w:rsidR="00ED52F3" w:rsidRPr="007576C4" w:rsidRDefault="003B14C5" w:rsidP="006B21E2">
      <w:pPr>
        <w:pStyle w:val="Heading4"/>
        <w:jc w:val="both"/>
        <w:rPr>
          <w:color w:val="000000" w:themeColor="text1"/>
        </w:rPr>
      </w:pPr>
      <w:r w:rsidRPr="007576C4">
        <w:rPr>
          <w:color w:val="000000" w:themeColor="text1"/>
        </w:rPr>
        <w:t>7.9.4.</w:t>
      </w:r>
      <w:r w:rsidR="009F14A3" w:rsidRPr="007576C4">
        <w:rPr>
          <w:color w:val="000000" w:themeColor="text1"/>
        </w:rPr>
        <w:t>4</w:t>
      </w:r>
      <w:r w:rsidRPr="007576C4">
        <w:rPr>
          <w:color w:val="000000" w:themeColor="text1"/>
        </w:rPr>
        <w:t xml:space="preserve"> </w:t>
      </w:r>
      <w:r w:rsidR="00ED52F3" w:rsidRPr="007576C4">
        <w:rPr>
          <w:color w:val="000000" w:themeColor="text1"/>
        </w:rPr>
        <w:t>Key Takeaways in Plain Language</w:t>
      </w:r>
    </w:p>
    <w:p w14:paraId="2ABAA30A" w14:textId="77777777" w:rsidR="00847D1C" w:rsidRPr="007576C4" w:rsidRDefault="00847D1C" w:rsidP="006B21E2">
      <w:pPr>
        <w:jc w:val="both"/>
        <w:rPr>
          <w:color w:val="000000" w:themeColor="text1"/>
        </w:rPr>
      </w:pPr>
      <w:r w:rsidRPr="007576C4">
        <w:rPr>
          <w:color w:val="000000" w:themeColor="text1"/>
        </w:rPr>
        <w:t xml:space="preserve">Before putting money into DeFi, all participants should understand a few rules that come out of the risk analysis. </w:t>
      </w:r>
    </w:p>
    <w:p w14:paraId="0207FF2E" w14:textId="77777777" w:rsidR="00847D1C" w:rsidRPr="007576C4" w:rsidRDefault="00847D1C" w:rsidP="006B21E2">
      <w:pPr>
        <w:jc w:val="both"/>
        <w:rPr>
          <w:color w:val="000000" w:themeColor="text1"/>
        </w:rPr>
      </w:pPr>
    </w:p>
    <w:p w14:paraId="429E0246" w14:textId="0AAD86DD" w:rsidR="00847D1C" w:rsidRPr="007576C4" w:rsidRDefault="00847D1C" w:rsidP="006B21E2">
      <w:pPr>
        <w:jc w:val="both"/>
        <w:rPr>
          <w:color w:val="000000" w:themeColor="text1"/>
        </w:rPr>
      </w:pPr>
      <w:r w:rsidRPr="007576C4">
        <w:rPr>
          <w:color w:val="000000" w:themeColor="text1"/>
        </w:rPr>
        <w:t xml:space="preserve">First, with the 35–45% chances of losing money every year means big losses can be expected. This does not mean avoiding them should be neglected. Traditional investing </w:t>
      </w:r>
      <w:proofErr w:type="gramStart"/>
      <w:r w:rsidRPr="007576C4">
        <w:rPr>
          <w:color w:val="000000" w:themeColor="text1"/>
        </w:rPr>
        <w:t>teaches</w:t>
      </w:r>
      <w:proofErr w:type="gramEnd"/>
      <w:r w:rsidRPr="007576C4">
        <w:rPr>
          <w:color w:val="000000" w:themeColor="text1"/>
        </w:rPr>
        <w:t xml:space="preserve"> that losses are possible but can be kept to a minimum by researching adequate positions, following the market, and spreading investments into different risk buckets and positions. For DeFi participants need a different way of thinking as losses are expected and can be dealt with by adjusting position sizes and cash reserves. If money is invested with the expectation that there will not be many losses, </w:t>
      </w:r>
      <w:proofErr w:type="gramStart"/>
      <w:r w:rsidRPr="007576C4">
        <w:rPr>
          <w:color w:val="000000" w:themeColor="text1"/>
        </w:rPr>
        <w:t>the reality</w:t>
      </w:r>
      <w:proofErr w:type="gramEnd"/>
      <w:r w:rsidRPr="007576C4">
        <w:rPr>
          <w:color w:val="000000" w:themeColor="text1"/>
        </w:rPr>
        <w:t xml:space="preserve"> will cause </w:t>
      </w:r>
      <w:proofErr w:type="gramStart"/>
      <w:r w:rsidRPr="007576C4">
        <w:rPr>
          <w:color w:val="000000" w:themeColor="text1"/>
        </w:rPr>
        <w:t>a terrible</w:t>
      </w:r>
      <w:proofErr w:type="gramEnd"/>
      <w:r w:rsidRPr="007576C4">
        <w:rPr>
          <w:color w:val="000000" w:themeColor="text1"/>
        </w:rPr>
        <w:t xml:space="preserve"> emotional and financial shock, when reality sets in. Instead, it is better to invest money planning to lose a big chunk of it in any given </w:t>
      </w:r>
      <w:proofErr w:type="gramStart"/>
      <w:r w:rsidRPr="007576C4">
        <w:rPr>
          <w:color w:val="000000" w:themeColor="text1"/>
        </w:rPr>
        <w:t>year, and</w:t>
      </w:r>
      <w:proofErr w:type="gramEnd"/>
      <w:r w:rsidRPr="007576C4">
        <w:rPr>
          <w:color w:val="000000" w:themeColor="text1"/>
        </w:rPr>
        <w:t xml:space="preserve"> </w:t>
      </w:r>
      <w:proofErr w:type="gramStart"/>
      <w:r w:rsidRPr="007576C4">
        <w:rPr>
          <w:color w:val="000000" w:themeColor="text1"/>
        </w:rPr>
        <w:t>making</w:t>
      </w:r>
      <w:proofErr w:type="gramEnd"/>
      <w:r w:rsidRPr="007576C4">
        <w:rPr>
          <w:color w:val="000000" w:themeColor="text1"/>
        </w:rPr>
        <w:t xml:space="preserve"> your investments as big as that. This technique changes losses from disasters that were not expected into expected operational/trading costs that have been accounted for financially and emotionally.</w:t>
      </w:r>
    </w:p>
    <w:p w14:paraId="42CA1E58" w14:textId="77777777" w:rsidR="00847D1C" w:rsidRPr="007576C4" w:rsidRDefault="00847D1C" w:rsidP="006B21E2">
      <w:pPr>
        <w:jc w:val="both"/>
        <w:rPr>
          <w:color w:val="000000" w:themeColor="text1"/>
        </w:rPr>
      </w:pPr>
    </w:p>
    <w:p w14:paraId="30245A47" w14:textId="2945B41B" w:rsidR="00847D1C" w:rsidRPr="007576C4" w:rsidRDefault="00847D1C" w:rsidP="006B21E2">
      <w:pPr>
        <w:jc w:val="both"/>
        <w:rPr>
          <w:color w:val="000000" w:themeColor="text1"/>
        </w:rPr>
      </w:pPr>
      <w:r w:rsidRPr="007576C4">
        <w:rPr>
          <w:color w:val="000000" w:themeColor="text1"/>
        </w:rPr>
        <w:t xml:space="preserve">Second, audits are a good way to confirm adequate security, but they do not completely remove risk. When evaluating protocols, it is critical to view multiple audits from reputable companies as a minimum requirement and not as sufficient protection. During the research time frame, 71% of big exploits happened on audited protocols. This indicated that audits catch some risks but miss others, especially economic attack vectors that aren't covered by normal code review. It also needs to be considered that audits are time-specific to when audit was performed. New risks and threats can appear any day or minute, making the third-party audit an unreliable source when looking at </w:t>
      </w:r>
      <w:proofErr w:type="spellStart"/>
      <w:proofErr w:type="gramStart"/>
      <w:r w:rsidRPr="007576C4">
        <w:rPr>
          <w:color w:val="000000" w:themeColor="text1"/>
        </w:rPr>
        <w:t>he</w:t>
      </w:r>
      <w:proofErr w:type="spellEnd"/>
      <w:proofErr w:type="gramEnd"/>
      <w:r w:rsidRPr="007576C4">
        <w:rPr>
          <w:color w:val="000000" w:themeColor="text1"/>
        </w:rPr>
        <w:t xml:space="preserve"> future. Audits should be seen as screening tools that get rid of protocols that are clearly broken, not as guarantees that protocols that have been audited are safe or will remain safe going forward. This change in standards eliminates the false sense of security that encourages excessively large positions in "safe" audited protocols. </w:t>
      </w:r>
    </w:p>
    <w:p w14:paraId="7DA82104" w14:textId="77777777" w:rsidR="00847D1C" w:rsidRPr="007576C4" w:rsidRDefault="00847D1C" w:rsidP="006B21E2">
      <w:pPr>
        <w:jc w:val="both"/>
        <w:rPr>
          <w:color w:val="000000" w:themeColor="text1"/>
        </w:rPr>
      </w:pPr>
    </w:p>
    <w:p w14:paraId="476B13D6" w14:textId="3607A4BE" w:rsidR="00CE3C5C" w:rsidRPr="007576C4" w:rsidRDefault="00847D1C" w:rsidP="006B21E2">
      <w:pPr>
        <w:jc w:val="both"/>
        <w:rPr>
          <w:color w:val="000000" w:themeColor="text1"/>
        </w:rPr>
      </w:pPr>
      <w:r w:rsidRPr="007576C4">
        <w:rPr>
          <w:color w:val="000000" w:themeColor="text1"/>
        </w:rPr>
        <w:t xml:space="preserve">Third, diversification doesn't help with regular volatility. It also does not help at all during the </w:t>
      </w:r>
      <w:proofErr w:type="gramStart"/>
      <w:r w:rsidRPr="007576C4">
        <w:rPr>
          <w:color w:val="000000" w:themeColor="text1"/>
        </w:rPr>
        <w:t>stress</w:t>
      </w:r>
      <w:proofErr w:type="gramEnd"/>
      <w:r w:rsidRPr="007576C4">
        <w:rPr>
          <w:color w:val="000000" w:themeColor="text1"/>
        </w:rPr>
        <w:t xml:space="preserve"> events as experienced during 2022-2024. When things go wrong, the correlation structure that seemed safe during normal times will fall apart. During crashes, risks that seemed to be separate suddenly move together or impact other platforms as well. This does not mean that diversity is pointless, because it works 70% of the time when markets are normal. However, it also means that diversity by itself will not protect capital during the stressful events that will determine the participants' long-term success or failure. Diversification should be paired with survival-oriented position sizing, which assumes that the association is close to one during the most important events.</w:t>
      </w:r>
    </w:p>
    <w:p w14:paraId="07148219" w14:textId="77777777" w:rsidR="00847D1C" w:rsidRPr="007576C4" w:rsidRDefault="00847D1C" w:rsidP="006B21E2">
      <w:pPr>
        <w:jc w:val="both"/>
        <w:rPr>
          <w:color w:val="000000" w:themeColor="text1"/>
        </w:rPr>
      </w:pPr>
    </w:p>
    <w:p w14:paraId="33CF4C4D" w14:textId="31CEFFD4" w:rsidR="003909B2" w:rsidRPr="007576C4" w:rsidRDefault="003909B2" w:rsidP="006B21E2">
      <w:pPr>
        <w:jc w:val="both"/>
        <w:rPr>
          <w:color w:val="000000" w:themeColor="text1"/>
        </w:rPr>
      </w:pPr>
      <w:r w:rsidRPr="007576C4">
        <w:rPr>
          <w:color w:val="000000" w:themeColor="text1"/>
        </w:rPr>
        <w:t xml:space="preserve">Fourth, diseases spread faster than you can stop them, so it's better to avoid them than to try to stop them. As we saw in the Terra/Luna case study, acute damage happens in hours, but the cascade impacts last for weeks. The crisis has already passed by the time you've thought about what's going on and chosen what to do. This leaves you with two options: either keep an eye on things all the time so you can act in real </w:t>
      </w:r>
      <w:r w:rsidR="002D49EF" w:rsidRPr="007576C4">
        <w:rPr>
          <w:color w:val="000000" w:themeColor="text1"/>
        </w:rPr>
        <w:t>time or</w:t>
      </w:r>
      <w:r w:rsidRPr="007576C4">
        <w:rPr>
          <w:color w:val="000000" w:themeColor="text1"/>
        </w:rPr>
        <w:t xml:space="preserve"> accept that things will happen that you can't avoid. Most players with limited capital don't have the means to keep an eye on things all the time, so they </w:t>
      </w:r>
      <w:proofErr w:type="gramStart"/>
      <w:r w:rsidRPr="007576C4">
        <w:rPr>
          <w:color w:val="000000" w:themeColor="text1"/>
        </w:rPr>
        <w:t>have to</w:t>
      </w:r>
      <w:proofErr w:type="gramEnd"/>
      <w:r w:rsidRPr="007576C4">
        <w:rPr>
          <w:color w:val="000000" w:themeColor="text1"/>
        </w:rPr>
        <w:t xml:space="preserve"> accept that they will be exposed to some crises as a cost of joining. Position size needs to </w:t>
      </w:r>
      <w:proofErr w:type="gramStart"/>
      <w:r w:rsidRPr="007576C4">
        <w:rPr>
          <w:color w:val="000000" w:themeColor="text1"/>
        </w:rPr>
        <w:t>take into account</w:t>
      </w:r>
      <w:proofErr w:type="gramEnd"/>
      <w:r w:rsidRPr="007576C4">
        <w:rPr>
          <w:color w:val="000000" w:themeColor="text1"/>
        </w:rPr>
        <w:t xml:space="preserve"> the fact that people can't leave quickly during contagion events. </w:t>
      </w:r>
    </w:p>
    <w:p w14:paraId="32AEE2D1" w14:textId="77777777" w:rsidR="003909B2" w:rsidRPr="007576C4" w:rsidRDefault="003909B2" w:rsidP="006B21E2">
      <w:pPr>
        <w:jc w:val="both"/>
        <w:rPr>
          <w:color w:val="000000" w:themeColor="text1"/>
        </w:rPr>
      </w:pPr>
    </w:p>
    <w:p w14:paraId="0BD5E381" w14:textId="3B728EA2" w:rsidR="003909B2" w:rsidRPr="007576C4" w:rsidRDefault="003909B2" w:rsidP="006B21E2">
      <w:pPr>
        <w:jc w:val="both"/>
        <w:rPr>
          <w:color w:val="000000" w:themeColor="text1"/>
        </w:rPr>
      </w:pPr>
      <w:r w:rsidRPr="007576C4">
        <w:rPr>
          <w:color w:val="000000" w:themeColor="text1"/>
        </w:rPr>
        <w:t xml:space="preserve">Fifth, legal risk happens more slowly than technical risk, but it hurts business models just as much over time. Smart contract exploits happen in seconds, but regulatory pressure builds over months and years, making it more expensive to comply and limiting choices until operations can't be done at all. Because regulatory risk happens slowly, it's easy to ignore it while focusing on short-term technical risks. However, my study showed that regulatory changes killed just as many businesses </w:t>
      </w:r>
      <w:r w:rsidRPr="007576C4">
        <w:rPr>
          <w:color w:val="000000" w:themeColor="text1"/>
        </w:rPr>
        <w:lastRenderedPageBreak/>
        <w:t>as technical exploits, though they did so over longer periods of time. When choosing methods and jurisdictions, think about both the long-term viability of regulations and the safety of the technology.</w:t>
      </w:r>
    </w:p>
    <w:p w14:paraId="27857C32" w14:textId="77777777" w:rsidR="003909B2" w:rsidRPr="007576C4" w:rsidRDefault="003909B2" w:rsidP="006B21E2">
      <w:pPr>
        <w:jc w:val="both"/>
        <w:rPr>
          <w:color w:val="000000" w:themeColor="text1"/>
        </w:rPr>
      </w:pPr>
    </w:p>
    <w:p w14:paraId="0831F15F" w14:textId="26CFFBFD" w:rsidR="00CE3C5C" w:rsidRPr="007576C4" w:rsidRDefault="003909B2" w:rsidP="006B21E2">
      <w:pPr>
        <w:jc w:val="both"/>
        <w:rPr>
          <w:color w:val="000000" w:themeColor="text1"/>
        </w:rPr>
      </w:pPr>
      <w:r w:rsidRPr="007576C4">
        <w:rPr>
          <w:color w:val="000000" w:themeColor="text1"/>
        </w:rPr>
        <w:t xml:space="preserve">Sixth, survival-oriented position sizing that assumes the worst is the only risk management approach that works every time. Diversification and analysis are important parts of traditional risk management that aim to maximize risk-adjusted results. For DeFi, you need to take a different approach: when you size your positions, you should assume that you will lose a big chunk of them, you should keep capital reserves to use after losses, you should accept that some risks can't be controlled through analysis, and you should plan for continuation after catastrophic events instead of stopping all losses. This changes the way we think about risk so that the goal isn't to avoid losses but to survive them </w:t>
      </w:r>
      <w:proofErr w:type="gramStart"/>
      <w:r w:rsidRPr="007576C4">
        <w:rPr>
          <w:color w:val="000000" w:themeColor="text1"/>
        </w:rPr>
        <w:t>over and over again</w:t>
      </w:r>
      <w:proofErr w:type="gramEnd"/>
      <w:r w:rsidRPr="007576C4">
        <w:rPr>
          <w:color w:val="000000" w:themeColor="text1"/>
        </w:rPr>
        <w:t>.</w:t>
      </w:r>
    </w:p>
    <w:p w14:paraId="141D19C6" w14:textId="77777777" w:rsidR="003909B2" w:rsidRPr="007576C4" w:rsidRDefault="003909B2" w:rsidP="006B21E2">
      <w:pPr>
        <w:jc w:val="both"/>
        <w:rPr>
          <w:b/>
          <w:bCs/>
          <w:color w:val="000000" w:themeColor="text1"/>
        </w:rPr>
      </w:pPr>
    </w:p>
    <w:p w14:paraId="3376408D" w14:textId="1E982E65" w:rsidR="00ED52F3" w:rsidRPr="007576C4" w:rsidRDefault="003B14C5" w:rsidP="006B21E2">
      <w:pPr>
        <w:pStyle w:val="Heading4"/>
        <w:jc w:val="both"/>
        <w:rPr>
          <w:color w:val="000000" w:themeColor="text1"/>
        </w:rPr>
      </w:pPr>
      <w:r w:rsidRPr="007576C4">
        <w:rPr>
          <w:color w:val="000000" w:themeColor="text1"/>
        </w:rPr>
        <w:t>7.9.4.</w:t>
      </w:r>
      <w:r w:rsidR="009F14A3" w:rsidRPr="007576C4">
        <w:rPr>
          <w:color w:val="000000" w:themeColor="text1"/>
        </w:rPr>
        <w:t>5</w:t>
      </w:r>
      <w:r w:rsidRPr="007576C4">
        <w:rPr>
          <w:color w:val="000000" w:themeColor="text1"/>
        </w:rPr>
        <w:t xml:space="preserve"> </w:t>
      </w:r>
      <w:r w:rsidR="00ED52F3" w:rsidRPr="007576C4">
        <w:rPr>
          <w:color w:val="000000" w:themeColor="text1"/>
        </w:rPr>
        <w:t>How Risk Architecture Affects Your Decision</w:t>
      </w:r>
    </w:p>
    <w:p w14:paraId="2C47A91A" w14:textId="1E8C8BE1" w:rsidR="00254461" w:rsidRPr="007576C4" w:rsidRDefault="00254461" w:rsidP="006B21E2">
      <w:pPr>
        <w:jc w:val="both"/>
        <w:rPr>
          <w:color w:val="000000" w:themeColor="text1"/>
        </w:rPr>
      </w:pPr>
      <w:r w:rsidRPr="007576C4">
        <w:rPr>
          <w:color w:val="000000" w:themeColor="text1"/>
        </w:rPr>
        <w:t xml:space="preserve">The risk analysis and fee structure results from the previous chapters </w:t>
      </w:r>
      <w:r w:rsidR="00866602" w:rsidRPr="007576C4">
        <w:rPr>
          <w:color w:val="000000" w:themeColor="text1"/>
        </w:rPr>
        <w:t>provide</w:t>
      </w:r>
      <w:r w:rsidRPr="007576C4">
        <w:rPr>
          <w:color w:val="000000" w:themeColor="text1"/>
        </w:rPr>
        <w:t xml:space="preserve"> a full picture of the economics of DeFi involvement. Fees indicate the potential profit in an ideal scenario, and risks indicate the ability to continue participating in the real world. </w:t>
      </w:r>
    </w:p>
    <w:p w14:paraId="542F0FC1" w14:textId="77777777" w:rsidR="00254461" w:rsidRPr="007576C4" w:rsidRDefault="00254461" w:rsidP="006B21E2">
      <w:pPr>
        <w:jc w:val="both"/>
        <w:rPr>
          <w:color w:val="000000" w:themeColor="text1"/>
        </w:rPr>
      </w:pPr>
    </w:p>
    <w:p w14:paraId="2C7C39A1" w14:textId="77777777" w:rsidR="00254461" w:rsidRPr="007576C4" w:rsidRDefault="00254461" w:rsidP="006B21E2">
      <w:pPr>
        <w:jc w:val="both"/>
        <w:rPr>
          <w:color w:val="000000" w:themeColor="text1"/>
        </w:rPr>
      </w:pPr>
      <w:r w:rsidRPr="007576C4">
        <w:rPr>
          <w:color w:val="000000" w:themeColor="text1"/>
        </w:rPr>
        <w:t xml:space="preserve">In chapters 5 and 6, it was shown that the choice of network and plan determines if fees allow for profitability. When assuming the participant made the right choice with a $10,000 investment using the </w:t>
      </w:r>
      <w:proofErr w:type="spellStart"/>
      <w:r w:rsidRPr="007576C4">
        <w:rPr>
          <w:color w:val="000000" w:themeColor="text1"/>
        </w:rPr>
        <w:t>arbitrum</w:t>
      </w:r>
      <w:proofErr w:type="spellEnd"/>
      <w:r w:rsidRPr="007576C4">
        <w:rPr>
          <w:color w:val="000000" w:themeColor="text1"/>
        </w:rPr>
        <w:t xml:space="preserve"> network, stablecoin liquidity supply, and a wide-range position to keep rebalancing to a minimum. Based on the fee study, this could work with an eight percent return, which is higher than operational costs on L2 networks at this level of capital.</w:t>
      </w:r>
    </w:p>
    <w:p w14:paraId="3FE3CA31" w14:textId="77777777" w:rsidR="00254461" w:rsidRPr="007576C4" w:rsidRDefault="00254461" w:rsidP="006B21E2">
      <w:pPr>
        <w:jc w:val="both"/>
        <w:rPr>
          <w:color w:val="000000" w:themeColor="text1"/>
        </w:rPr>
      </w:pPr>
    </w:p>
    <w:p w14:paraId="20D08C39" w14:textId="77777777" w:rsidR="00254461" w:rsidRPr="007576C4" w:rsidRDefault="00254461" w:rsidP="006B21E2">
      <w:pPr>
        <w:jc w:val="both"/>
        <w:rPr>
          <w:color w:val="000000" w:themeColor="text1"/>
        </w:rPr>
      </w:pPr>
      <w:r w:rsidRPr="007576C4">
        <w:rPr>
          <w:color w:val="000000" w:themeColor="text1"/>
        </w:rPr>
        <w:t xml:space="preserve">But </w:t>
      </w:r>
      <w:proofErr w:type="gramStart"/>
      <w:r w:rsidRPr="007576C4">
        <w:rPr>
          <w:color w:val="000000" w:themeColor="text1"/>
        </w:rPr>
        <w:t>the risk</w:t>
      </w:r>
      <w:proofErr w:type="gramEnd"/>
      <w:r w:rsidRPr="007576C4">
        <w:rPr>
          <w:color w:val="000000" w:themeColor="text1"/>
        </w:rPr>
        <w:t xml:space="preserve"> analysis makes a big difference in the same example. The expected value calculation looks different when there is a 35–45% chance of a major loss every year and an average of 50–60% position value loss when incidents happen (even in </w:t>
      </w:r>
      <w:proofErr w:type="spellStart"/>
      <w:r w:rsidRPr="007576C4">
        <w:rPr>
          <w:color w:val="000000" w:themeColor="text1"/>
        </w:rPr>
        <w:t>oyjet</w:t>
      </w:r>
      <w:proofErr w:type="spellEnd"/>
      <w:r w:rsidRPr="007576C4">
        <w:rPr>
          <w:color w:val="000000" w:themeColor="text1"/>
        </w:rPr>
        <w:t xml:space="preserve"> networks). Over time, the </w:t>
      </w:r>
      <w:proofErr w:type="gramStart"/>
      <w:r w:rsidRPr="007576C4">
        <w:rPr>
          <w:color w:val="000000" w:themeColor="text1"/>
        </w:rPr>
        <w:t>participant</w:t>
      </w:r>
      <w:proofErr w:type="gramEnd"/>
      <w:r w:rsidRPr="007576C4">
        <w:rPr>
          <w:color w:val="000000" w:themeColor="text1"/>
        </w:rPr>
        <w:t xml:space="preserve"> could lose about 20 to 25 percent of the cash each year on these kinds of investments (probability times magnitude: 0.40 × 0.55 = 0.22). After </w:t>
      </w:r>
      <w:proofErr w:type="gramStart"/>
      <w:r w:rsidRPr="007576C4">
        <w:rPr>
          <w:color w:val="000000" w:themeColor="text1"/>
        </w:rPr>
        <w:t>taking into account</w:t>
      </w:r>
      <w:proofErr w:type="gramEnd"/>
      <w:r w:rsidRPr="007576C4">
        <w:rPr>
          <w:color w:val="000000" w:themeColor="text1"/>
        </w:rPr>
        <w:t xml:space="preserve"> the chance of losses, this expected loss rate when subtracted from the 8% return gives negative 3% to -15% expected returns. Upon considering fees and risks, a seemingly profitable position often results in a loss. </w:t>
      </w:r>
    </w:p>
    <w:p w14:paraId="7BA0390D" w14:textId="77777777" w:rsidR="00254461" w:rsidRPr="007576C4" w:rsidRDefault="00254461" w:rsidP="006B21E2">
      <w:pPr>
        <w:jc w:val="both"/>
        <w:rPr>
          <w:color w:val="000000" w:themeColor="text1"/>
        </w:rPr>
      </w:pPr>
    </w:p>
    <w:p w14:paraId="38FF6475" w14:textId="778EE657" w:rsidR="00CE3C5C" w:rsidRPr="007576C4" w:rsidRDefault="00254461" w:rsidP="006B21E2">
      <w:pPr>
        <w:jc w:val="both"/>
        <w:rPr>
          <w:color w:val="000000" w:themeColor="text1"/>
        </w:rPr>
      </w:pPr>
      <w:r w:rsidRPr="007576C4">
        <w:rPr>
          <w:color w:val="000000" w:themeColor="text1"/>
        </w:rPr>
        <w:t xml:space="preserve">This doesn't mean that all DeFi involvement is irrational; it just means that sustainable participation needs a different set of rules than regular investing. Instead of risking all of their money in search of the best returns, participants must risk a fraction of it, knowing that they will probably lose some of it, keep some money in reserve to keep going after losses, accept lower returns than risk-naive calculations would suggest, and focus on staying alive through multiple events rather than trying to get the best returns on a single position. This math works for some people in some situations. But you </w:t>
      </w:r>
      <w:proofErr w:type="gramStart"/>
      <w:r w:rsidRPr="007576C4">
        <w:rPr>
          <w:color w:val="000000" w:themeColor="text1"/>
        </w:rPr>
        <w:t>have to</w:t>
      </w:r>
      <w:proofErr w:type="gramEnd"/>
      <w:r w:rsidRPr="007576C4">
        <w:rPr>
          <w:color w:val="000000" w:themeColor="text1"/>
        </w:rPr>
        <w:t xml:space="preserve"> be honest about the amount of risk you're really facing instead of assuming that standard risk profiles for investments apply.</w:t>
      </w:r>
    </w:p>
    <w:p w14:paraId="2354640C" w14:textId="77777777" w:rsidR="00254461" w:rsidRPr="007576C4" w:rsidRDefault="00254461" w:rsidP="006B21E2">
      <w:pPr>
        <w:jc w:val="both"/>
        <w:rPr>
          <w:color w:val="000000" w:themeColor="text1"/>
        </w:rPr>
      </w:pPr>
    </w:p>
    <w:p w14:paraId="46273C98" w14:textId="482C765F" w:rsidR="00ED52F3" w:rsidRPr="007576C4" w:rsidRDefault="003B14C5" w:rsidP="006B21E2">
      <w:pPr>
        <w:pStyle w:val="Heading4"/>
        <w:jc w:val="both"/>
        <w:rPr>
          <w:color w:val="000000" w:themeColor="text1"/>
        </w:rPr>
      </w:pPr>
      <w:r w:rsidRPr="007576C4">
        <w:rPr>
          <w:color w:val="000000" w:themeColor="text1"/>
        </w:rPr>
        <w:t>7.9.4.</w:t>
      </w:r>
      <w:r w:rsidR="009F14A3" w:rsidRPr="007576C4">
        <w:rPr>
          <w:color w:val="000000" w:themeColor="text1"/>
        </w:rPr>
        <w:t>6</w:t>
      </w:r>
      <w:r w:rsidRPr="007576C4">
        <w:rPr>
          <w:color w:val="000000" w:themeColor="text1"/>
        </w:rPr>
        <w:t xml:space="preserve"> </w:t>
      </w:r>
      <w:r w:rsidR="00ED52F3" w:rsidRPr="007576C4">
        <w:rPr>
          <w:color w:val="000000" w:themeColor="text1"/>
        </w:rPr>
        <w:t>Looking Ahead to Empirical Returns</w:t>
      </w:r>
    </w:p>
    <w:p w14:paraId="6A4C5CA5" w14:textId="77777777" w:rsidR="00ED52F3" w:rsidRPr="007576C4" w:rsidRDefault="00ED52F3" w:rsidP="006B21E2">
      <w:pPr>
        <w:jc w:val="both"/>
        <w:rPr>
          <w:color w:val="000000" w:themeColor="text1"/>
        </w:rPr>
      </w:pPr>
      <w:r w:rsidRPr="007576C4">
        <w:rPr>
          <w:color w:val="000000" w:themeColor="text1"/>
        </w:rPr>
        <w:t xml:space="preserve">This chapter </w:t>
      </w:r>
      <w:proofErr w:type="gramStart"/>
      <w:r w:rsidRPr="007576C4">
        <w:rPr>
          <w:color w:val="000000" w:themeColor="text1"/>
        </w:rPr>
        <w:t>examined</w:t>
      </w:r>
      <w:proofErr w:type="gramEnd"/>
      <w:r w:rsidRPr="007576C4">
        <w:rPr>
          <w:color w:val="000000" w:themeColor="text1"/>
        </w:rPr>
        <w:t xml:space="preserve"> the risk architecture that determines what can go wrong. The next chapter examines what </w:t>
      </w:r>
      <w:proofErr w:type="gramStart"/>
      <w:r w:rsidRPr="007576C4">
        <w:rPr>
          <w:color w:val="000000" w:themeColor="text1"/>
        </w:rPr>
        <w:t>actually happened</w:t>
      </w:r>
      <w:proofErr w:type="gramEnd"/>
      <w:r w:rsidRPr="007576C4">
        <w:rPr>
          <w:color w:val="000000" w:themeColor="text1"/>
        </w:rPr>
        <w:t xml:space="preserve">—the empirical returns from 156 tracked positions over 90-plus days, showing how theory translated into practice. While this risk chapter established that bad outcomes were probable, Chapter 8 documents how probable: the 73% failure </w:t>
      </w:r>
      <w:proofErr w:type="gramStart"/>
      <w:r w:rsidRPr="007576C4">
        <w:rPr>
          <w:color w:val="000000" w:themeColor="text1"/>
        </w:rPr>
        <w:t>rate that</w:t>
      </w:r>
      <w:proofErr w:type="gramEnd"/>
      <w:r w:rsidRPr="007576C4">
        <w:rPr>
          <w:color w:val="000000" w:themeColor="text1"/>
        </w:rPr>
        <w:t xml:space="preserve"> represents this dissertation's central empirical finding. Understanding why that failure rate exists requires the </w:t>
      </w:r>
      <w:r w:rsidRPr="007576C4">
        <w:rPr>
          <w:color w:val="000000" w:themeColor="text1"/>
        </w:rPr>
        <w:lastRenderedPageBreak/>
        <w:t xml:space="preserve">risk architecture framework developed here. Appreciating what it means for participants requires </w:t>
      </w:r>
      <w:proofErr w:type="gramStart"/>
      <w:r w:rsidRPr="007576C4">
        <w:rPr>
          <w:color w:val="000000" w:themeColor="text1"/>
        </w:rPr>
        <w:t>the empirical</w:t>
      </w:r>
      <w:proofErr w:type="gramEnd"/>
      <w:r w:rsidRPr="007576C4">
        <w:rPr>
          <w:color w:val="000000" w:themeColor="text1"/>
        </w:rPr>
        <w:t xml:space="preserve"> documentation that follows.</w:t>
      </w:r>
    </w:p>
    <w:p w14:paraId="6B92A53C" w14:textId="77777777" w:rsidR="00CE3C5C" w:rsidRPr="007576C4" w:rsidRDefault="00CE3C5C" w:rsidP="006B21E2">
      <w:pPr>
        <w:jc w:val="both"/>
        <w:rPr>
          <w:color w:val="000000" w:themeColor="text1"/>
        </w:rPr>
      </w:pPr>
    </w:p>
    <w:p w14:paraId="6590F3AD" w14:textId="2B742E4C" w:rsidR="005E7935" w:rsidRPr="007576C4" w:rsidRDefault="00D01724" w:rsidP="006B21E2">
      <w:pPr>
        <w:jc w:val="both"/>
        <w:rPr>
          <w:rFonts w:eastAsiaTheme="majorEastAsia"/>
          <w:color w:val="000000" w:themeColor="text1"/>
        </w:rPr>
      </w:pPr>
      <w:r w:rsidRPr="007576C4">
        <w:rPr>
          <w:color w:val="000000" w:themeColor="text1"/>
        </w:rPr>
        <w:t xml:space="preserve">From fees to risks to results, the order of events tells the whole story. Fees set the minimum amount of cash that a business needs to stay open. Risks show how likely it is that something bad will happen. The results show what happens when people with limited capital are faced with high prices and risks at the same time. Most of the players only think about the possible returns and don't think about the costs and risks. This dissertation </w:t>
      </w:r>
      <w:proofErr w:type="gramStart"/>
      <w:r w:rsidRPr="007576C4">
        <w:rPr>
          <w:color w:val="000000" w:themeColor="text1"/>
        </w:rPr>
        <w:t>makes a contribution</w:t>
      </w:r>
      <w:proofErr w:type="gramEnd"/>
      <w:r w:rsidRPr="007576C4">
        <w:rPr>
          <w:color w:val="000000" w:themeColor="text1"/>
        </w:rPr>
        <w:t xml:space="preserve"> by writing down real costs, measuring real risks, and reporting real outcomes. This gives people the information they need to make realistic decisions about DeFi involvement instead of ideal ones.</w:t>
      </w:r>
    </w:p>
    <w:p w14:paraId="286589F2" w14:textId="77777777" w:rsidR="005E7935" w:rsidRPr="007E3CD2" w:rsidRDefault="005E7935" w:rsidP="006B21E2">
      <w:pPr>
        <w:rPr>
          <w:rFonts w:eastAsiaTheme="majorEastAsia"/>
          <w:color w:val="0070C0"/>
        </w:rPr>
      </w:pPr>
    </w:p>
    <w:p w14:paraId="0017BF57" w14:textId="77777777" w:rsidR="006A21B5" w:rsidRPr="007E3CD2" w:rsidRDefault="006A21B5" w:rsidP="006B21E2">
      <w:pPr>
        <w:jc w:val="both"/>
        <w:rPr>
          <w:rFonts w:eastAsiaTheme="majorEastAsia"/>
          <w:b/>
          <w:bCs/>
          <w:color w:val="0070C0"/>
        </w:rPr>
      </w:pPr>
    </w:p>
    <w:p w14:paraId="0A62285F" w14:textId="77777777" w:rsidR="00CE3C5C" w:rsidRDefault="00CE3C5C" w:rsidP="006B21E2">
      <w:pPr>
        <w:rPr>
          <w:rFonts w:eastAsiaTheme="majorEastAsia"/>
          <w:b/>
          <w:sz w:val="32"/>
        </w:rPr>
      </w:pPr>
      <w:r>
        <w:rPr>
          <w:rFonts w:eastAsiaTheme="majorEastAsia"/>
        </w:rPr>
        <w:br w:type="page"/>
      </w:r>
    </w:p>
    <w:p w14:paraId="59C6F2A8" w14:textId="73D9ECE6" w:rsidR="00036102" w:rsidRPr="003C66A0" w:rsidRDefault="00036102" w:rsidP="006B21E2">
      <w:pPr>
        <w:pStyle w:val="Heading1"/>
        <w:jc w:val="center"/>
        <w:rPr>
          <w:rFonts w:eastAsiaTheme="majorEastAsia"/>
        </w:rPr>
      </w:pPr>
      <w:bookmarkStart w:id="185" w:name="_Toc214721991"/>
      <w:r w:rsidRPr="003C66A0">
        <w:rPr>
          <w:rFonts w:eastAsiaTheme="majorEastAsia"/>
        </w:rPr>
        <w:lastRenderedPageBreak/>
        <w:t xml:space="preserve">CHAPTER </w:t>
      </w:r>
      <w:r w:rsidR="008D6F57" w:rsidRPr="003C66A0">
        <w:rPr>
          <w:rFonts w:eastAsiaTheme="majorEastAsia"/>
        </w:rPr>
        <w:t>8</w:t>
      </w:r>
      <w:r w:rsidRPr="003C66A0">
        <w:rPr>
          <w:rFonts w:eastAsiaTheme="majorEastAsia"/>
        </w:rPr>
        <w:t xml:space="preserve">: </w:t>
      </w:r>
      <w:r w:rsidR="00F50482" w:rsidRPr="003C66A0">
        <w:rPr>
          <w:rFonts w:eastAsiaTheme="majorEastAsia"/>
        </w:rPr>
        <w:t>EMPIRICAL ANALYSIS OF PASSIVE INCOME MECHANISMS</w:t>
      </w:r>
      <w:r w:rsidR="00FC3DF4" w:rsidRPr="003C66A0">
        <w:rPr>
          <w:rFonts w:eastAsiaTheme="majorEastAsia"/>
        </w:rPr>
        <w:t xml:space="preserve"> AND RETURNS</w:t>
      </w:r>
      <w:bookmarkEnd w:id="185"/>
    </w:p>
    <w:p w14:paraId="1C109EC0" w14:textId="77777777" w:rsidR="00172233" w:rsidRDefault="00172233" w:rsidP="006B21E2">
      <w:pPr>
        <w:jc w:val="both"/>
        <w:rPr>
          <w:rFonts w:eastAsiaTheme="majorEastAsia"/>
          <w:b/>
          <w:bCs/>
          <w:color w:val="000000" w:themeColor="text1"/>
        </w:rPr>
      </w:pPr>
    </w:p>
    <w:p w14:paraId="774ED595" w14:textId="77777777" w:rsidR="000D7EE2" w:rsidRPr="003C66A0" w:rsidRDefault="000D7EE2" w:rsidP="006B21E2">
      <w:pPr>
        <w:jc w:val="both"/>
        <w:rPr>
          <w:rFonts w:eastAsiaTheme="majorEastAsia"/>
          <w:b/>
          <w:bCs/>
          <w:color w:val="000000" w:themeColor="text1"/>
        </w:rPr>
      </w:pPr>
    </w:p>
    <w:p w14:paraId="1464A70C" w14:textId="54914503" w:rsidR="00FC3DF4" w:rsidRPr="003C66A0" w:rsidRDefault="008D6F57" w:rsidP="006B21E2">
      <w:pPr>
        <w:pStyle w:val="Heading2"/>
        <w:rPr>
          <w:rFonts w:eastAsiaTheme="majorEastAsia"/>
        </w:rPr>
      </w:pPr>
      <w:bookmarkStart w:id="186" w:name="_Toc214721992"/>
      <w:r w:rsidRPr="003C66A0">
        <w:rPr>
          <w:rFonts w:eastAsiaTheme="majorEastAsia"/>
        </w:rPr>
        <w:t>8</w:t>
      </w:r>
      <w:r w:rsidR="00FC3DF4" w:rsidRPr="003C66A0">
        <w:rPr>
          <w:rFonts w:eastAsiaTheme="majorEastAsia"/>
        </w:rPr>
        <w:t>.1 Introduction: What Actually Happened to Real Positions</w:t>
      </w:r>
      <w:bookmarkEnd w:id="186"/>
    </w:p>
    <w:p w14:paraId="21EF95D4" w14:textId="77777777" w:rsidR="00BC3A12" w:rsidRPr="00866602" w:rsidRDefault="00BC3A12" w:rsidP="006B21E2">
      <w:pPr>
        <w:jc w:val="both"/>
        <w:rPr>
          <w:rFonts w:eastAsiaTheme="majorEastAsia"/>
          <w:color w:val="000000" w:themeColor="text1"/>
        </w:rPr>
      </w:pPr>
      <w:r w:rsidRPr="003C66A0">
        <w:rPr>
          <w:rFonts w:eastAsiaTheme="majorEastAsia"/>
          <w:color w:val="000000" w:themeColor="text1"/>
        </w:rPr>
        <w:t xml:space="preserve">This chapter presents the empirical reality of cryptocurrency passive income mechanisms - based on the tracking of 156 actual positions over 90+ days and interviewing 27 practitioners. The findings reveal a significant gap between advertised opportunities and actual outcomes. But genuine opportunities exist for properly equipped participants despite the 73% failure rate (95% </w:t>
      </w:r>
      <w:r w:rsidRPr="00866602">
        <w:rPr>
          <w:rFonts w:eastAsiaTheme="majorEastAsia"/>
          <w:color w:val="000000" w:themeColor="text1"/>
        </w:rPr>
        <w:t>CI: 65%-80%) that represents my core empirical finding.</w:t>
      </w:r>
    </w:p>
    <w:p w14:paraId="7F53BB21" w14:textId="77777777" w:rsidR="00BC3A12" w:rsidRPr="00866602" w:rsidRDefault="00BC3A12" w:rsidP="006B21E2">
      <w:pPr>
        <w:jc w:val="both"/>
        <w:rPr>
          <w:rFonts w:eastAsiaTheme="majorEastAsia"/>
          <w:color w:val="000000" w:themeColor="text1"/>
        </w:rPr>
      </w:pPr>
    </w:p>
    <w:p w14:paraId="6B6AB747" w14:textId="1C5AA665" w:rsidR="00743F03" w:rsidRPr="00866602" w:rsidRDefault="00743F03" w:rsidP="006B21E2">
      <w:pPr>
        <w:jc w:val="both"/>
        <w:rPr>
          <w:b/>
          <w:bCs/>
          <w:color w:val="000000" w:themeColor="text1"/>
        </w:rPr>
      </w:pPr>
      <w:r w:rsidRPr="00866602">
        <w:rPr>
          <w:b/>
          <w:bCs/>
          <w:color w:val="000000" w:themeColor="text1"/>
        </w:rPr>
        <w:t>Interpreting the 15-Percentage-Point Confidence Interval</w:t>
      </w:r>
    </w:p>
    <w:p w14:paraId="780617B9" w14:textId="77777777" w:rsidR="00743F03" w:rsidRPr="00866602" w:rsidRDefault="00743F03" w:rsidP="006B21E2">
      <w:pPr>
        <w:jc w:val="both"/>
        <w:rPr>
          <w:color w:val="000000" w:themeColor="text1"/>
        </w:rPr>
      </w:pPr>
      <w:r w:rsidRPr="00866602">
        <w:rPr>
          <w:color w:val="000000" w:themeColor="text1"/>
        </w:rPr>
        <w:t> </w:t>
      </w:r>
    </w:p>
    <w:p w14:paraId="1CC91ADB" w14:textId="77777777" w:rsidR="00743F03" w:rsidRPr="00866602" w:rsidRDefault="00743F03" w:rsidP="006B21E2">
      <w:pPr>
        <w:jc w:val="both"/>
        <w:rPr>
          <w:color w:val="000000" w:themeColor="text1"/>
        </w:rPr>
      </w:pPr>
      <w:r w:rsidRPr="00866602">
        <w:rPr>
          <w:color w:val="000000" w:themeColor="text1"/>
        </w:rPr>
        <w:t>The 95% CI spanning 65% to 80% represents substantial uncertainty that merits careful interpretation beyond statistical convention:</w:t>
      </w:r>
    </w:p>
    <w:p w14:paraId="6A1806C4" w14:textId="77777777" w:rsidR="00743F03" w:rsidRPr="00866602" w:rsidRDefault="00743F03" w:rsidP="006B21E2">
      <w:pPr>
        <w:jc w:val="both"/>
        <w:rPr>
          <w:color w:val="000000" w:themeColor="text1"/>
        </w:rPr>
      </w:pPr>
      <w:r w:rsidRPr="00866602">
        <w:rPr>
          <w:color w:val="000000" w:themeColor="text1"/>
        </w:rPr>
        <w:t> </w:t>
      </w:r>
    </w:p>
    <w:p w14:paraId="36C88AC9" w14:textId="4C4D9762" w:rsidR="00743F03" w:rsidRPr="00866602" w:rsidRDefault="00743F03" w:rsidP="006B21E2">
      <w:pPr>
        <w:jc w:val="both"/>
        <w:rPr>
          <w:b/>
          <w:bCs/>
          <w:color w:val="000000" w:themeColor="text1"/>
        </w:rPr>
      </w:pPr>
      <w:r w:rsidRPr="00866602">
        <w:rPr>
          <w:b/>
          <w:bCs/>
          <w:color w:val="000000" w:themeColor="text1"/>
        </w:rPr>
        <w:t>Scenario Analysis:</w:t>
      </w:r>
    </w:p>
    <w:p w14:paraId="468104FB" w14:textId="77777777" w:rsidR="00743F03" w:rsidRPr="00866602" w:rsidRDefault="00743F03" w:rsidP="006B21E2">
      <w:pPr>
        <w:jc w:val="both"/>
        <w:rPr>
          <w:color w:val="000000" w:themeColor="text1"/>
        </w:rPr>
      </w:pPr>
      <w:r w:rsidRPr="00866602">
        <w:rPr>
          <w:color w:val="000000" w:themeColor="text1"/>
        </w:rPr>
        <w:t> </w:t>
      </w:r>
    </w:p>
    <w:p w14:paraId="5EA8E15B" w14:textId="77777777" w:rsidR="00743F03" w:rsidRPr="00866602" w:rsidRDefault="00743F03" w:rsidP="006B21E2">
      <w:pPr>
        <w:jc w:val="both"/>
        <w:rPr>
          <w:color w:val="000000" w:themeColor="text1"/>
        </w:rPr>
      </w:pPr>
      <w:r w:rsidRPr="00866602">
        <w:rPr>
          <w:color w:val="000000" w:themeColor="text1"/>
        </w:rPr>
        <w:t>If true failure rate = 65% (lower bound):</w:t>
      </w:r>
    </w:p>
    <w:p w14:paraId="0FDA478A" w14:textId="1B9072D9" w:rsidR="00743F03" w:rsidRPr="00866602" w:rsidRDefault="00743F03" w:rsidP="006B21E2">
      <w:pPr>
        <w:pStyle w:val="ListParagraph"/>
        <w:numPr>
          <w:ilvl w:val="0"/>
          <w:numId w:val="215"/>
        </w:numPr>
        <w:jc w:val="both"/>
        <w:outlineLvl w:val="9"/>
        <w:rPr>
          <w:color w:val="000000" w:themeColor="text1"/>
          <w:kern w:val="0"/>
        </w:rPr>
      </w:pPr>
      <w:r w:rsidRPr="00866602">
        <w:rPr>
          <w:color w:val="000000" w:themeColor="text1"/>
          <w:kern w:val="0"/>
        </w:rPr>
        <w:t xml:space="preserve">In a cohort of 100 participants: 65 </w:t>
      </w:r>
      <w:proofErr w:type="gramStart"/>
      <w:r w:rsidRPr="00866602">
        <w:rPr>
          <w:color w:val="000000" w:themeColor="text1"/>
          <w:kern w:val="0"/>
        </w:rPr>
        <w:t>fail</w:t>
      </w:r>
      <w:proofErr w:type="gramEnd"/>
      <w:r w:rsidRPr="00866602">
        <w:rPr>
          <w:color w:val="000000" w:themeColor="text1"/>
          <w:kern w:val="0"/>
        </w:rPr>
        <w:t>, 35 succeed</w:t>
      </w:r>
    </w:p>
    <w:p w14:paraId="43F726B0" w14:textId="1E0452FA" w:rsidR="00743F03" w:rsidRPr="00866602" w:rsidRDefault="00743F03" w:rsidP="006B21E2">
      <w:pPr>
        <w:pStyle w:val="ListParagraph"/>
        <w:numPr>
          <w:ilvl w:val="0"/>
          <w:numId w:val="215"/>
        </w:numPr>
        <w:jc w:val="both"/>
        <w:outlineLvl w:val="9"/>
        <w:rPr>
          <w:color w:val="000000" w:themeColor="text1"/>
          <w:kern w:val="0"/>
        </w:rPr>
      </w:pPr>
      <w:r w:rsidRPr="00866602">
        <w:rPr>
          <w:color w:val="000000" w:themeColor="text1"/>
          <w:kern w:val="0"/>
        </w:rPr>
        <w:t>Success rate: 35% (vs. observed 27%)</w:t>
      </w:r>
    </w:p>
    <w:p w14:paraId="7B94188F" w14:textId="77CDD210" w:rsidR="00743F03" w:rsidRPr="00866602" w:rsidRDefault="00743F03" w:rsidP="006B21E2">
      <w:pPr>
        <w:pStyle w:val="ListParagraph"/>
        <w:numPr>
          <w:ilvl w:val="0"/>
          <w:numId w:val="215"/>
        </w:numPr>
        <w:jc w:val="both"/>
        <w:outlineLvl w:val="9"/>
        <w:rPr>
          <w:color w:val="000000" w:themeColor="text1"/>
          <w:kern w:val="0"/>
        </w:rPr>
      </w:pPr>
      <w:r w:rsidRPr="00866602">
        <w:rPr>
          <w:color w:val="000000" w:themeColor="text1"/>
          <w:kern w:val="0"/>
        </w:rPr>
        <w:t>Implication: DeFi is more viable than central estimate suggests</w:t>
      </w:r>
    </w:p>
    <w:p w14:paraId="7B7F11FE" w14:textId="67971A40" w:rsidR="00743F03" w:rsidRPr="00866602" w:rsidRDefault="00743F03" w:rsidP="006B21E2">
      <w:pPr>
        <w:pStyle w:val="ListParagraph"/>
        <w:numPr>
          <w:ilvl w:val="0"/>
          <w:numId w:val="215"/>
        </w:numPr>
        <w:jc w:val="both"/>
        <w:outlineLvl w:val="9"/>
        <w:rPr>
          <w:color w:val="000000" w:themeColor="text1"/>
          <w:kern w:val="0"/>
        </w:rPr>
      </w:pPr>
      <w:r w:rsidRPr="00866602">
        <w:rPr>
          <w:color w:val="000000" w:themeColor="text1"/>
          <w:kern w:val="0"/>
        </w:rPr>
        <w:t>Practical difference: ~8 additional successes per 100 participants</w:t>
      </w:r>
    </w:p>
    <w:p w14:paraId="54E23AA1" w14:textId="77777777" w:rsidR="00743F03" w:rsidRPr="00866602" w:rsidRDefault="00743F03" w:rsidP="006B21E2">
      <w:pPr>
        <w:jc w:val="both"/>
        <w:rPr>
          <w:color w:val="000000" w:themeColor="text1"/>
        </w:rPr>
      </w:pPr>
      <w:r w:rsidRPr="00866602">
        <w:rPr>
          <w:color w:val="000000" w:themeColor="text1"/>
        </w:rPr>
        <w:t> </w:t>
      </w:r>
    </w:p>
    <w:p w14:paraId="05F007FC" w14:textId="77777777" w:rsidR="00743F03" w:rsidRPr="00866602" w:rsidRDefault="00743F03" w:rsidP="006B21E2">
      <w:pPr>
        <w:jc w:val="both"/>
        <w:rPr>
          <w:color w:val="000000" w:themeColor="text1"/>
        </w:rPr>
      </w:pPr>
      <w:r w:rsidRPr="00866602">
        <w:rPr>
          <w:color w:val="000000" w:themeColor="text1"/>
        </w:rPr>
        <w:t>If true failure rate = 73% (point estimate):</w:t>
      </w:r>
    </w:p>
    <w:p w14:paraId="646F0BB0" w14:textId="77777777" w:rsidR="00743F03" w:rsidRPr="00866602" w:rsidRDefault="00743F03" w:rsidP="006B21E2">
      <w:pPr>
        <w:jc w:val="both"/>
        <w:rPr>
          <w:color w:val="000000" w:themeColor="text1"/>
        </w:rPr>
      </w:pPr>
      <w:r w:rsidRPr="00866602">
        <w:rPr>
          <w:color w:val="000000" w:themeColor="text1"/>
        </w:rPr>
        <w:t xml:space="preserve">- In a cohort of 100 participants: 73 </w:t>
      </w:r>
      <w:proofErr w:type="gramStart"/>
      <w:r w:rsidRPr="00866602">
        <w:rPr>
          <w:color w:val="000000" w:themeColor="text1"/>
        </w:rPr>
        <w:t>fail</w:t>
      </w:r>
      <w:proofErr w:type="gramEnd"/>
      <w:r w:rsidRPr="00866602">
        <w:rPr>
          <w:color w:val="000000" w:themeColor="text1"/>
        </w:rPr>
        <w:t xml:space="preserve">, 27 </w:t>
      </w:r>
      <w:proofErr w:type="gramStart"/>
      <w:r w:rsidRPr="00866602">
        <w:rPr>
          <w:color w:val="000000" w:themeColor="text1"/>
        </w:rPr>
        <w:t>succeed</w:t>
      </w:r>
      <w:proofErr w:type="gramEnd"/>
      <w:r w:rsidRPr="00866602">
        <w:rPr>
          <w:color w:val="000000" w:themeColor="text1"/>
        </w:rPr>
        <w:t xml:space="preserve">  </w:t>
      </w:r>
    </w:p>
    <w:p w14:paraId="1320412C" w14:textId="4E7DBC96" w:rsidR="00743F03" w:rsidRPr="00866602" w:rsidRDefault="00743F03" w:rsidP="006B21E2">
      <w:pPr>
        <w:pStyle w:val="ListParagraph"/>
        <w:numPr>
          <w:ilvl w:val="0"/>
          <w:numId w:val="216"/>
        </w:numPr>
        <w:jc w:val="both"/>
        <w:outlineLvl w:val="9"/>
        <w:rPr>
          <w:color w:val="000000" w:themeColor="text1"/>
          <w:kern w:val="0"/>
        </w:rPr>
      </w:pPr>
      <w:r w:rsidRPr="00866602">
        <w:rPr>
          <w:color w:val="000000" w:themeColor="text1"/>
          <w:kern w:val="0"/>
        </w:rPr>
        <w:t>Success rate: 27% (matches observation)</w:t>
      </w:r>
    </w:p>
    <w:p w14:paraId="5770ED7B" w14:textId="2650058B" w:rsidR="00743F03" w:rsidRPr="00866602" w:rsidRDefault="00743F03" w:rsidP="006B21E2">
      <w:pPr>
        <w:pStyle w:val="ListParagraph"/>
        <w:numPr>
          <w:ilvl w:val="0"/>
          <w:numId w:val="216"/>
        </w:numPr>
        <w:jc w:val="both"/>
        <w:outlineLvl w:val="9"/>
        <w:rPr>
          <w:color w:val="000000" w:themeColor="text1"/>
          <w:kern w:val="0"/>
        </w:rPr>
      </w:pPr>
      <w:r w:rsidRPr="00866602">
        <w:rPr>
          <w:color w:val="000000" w:themeColor="text1"/>
          <w:kern w:val="0"/>
        </w:rPr>
        <w:t>Implication: Central estimate is accurate</w:t>
      </w:r>
    </w:p>
    <w:p w14:paraId="22535FE0" w14:textId="6ECBFB28" w:rsidR="00743F03" w:rsidRPr="00866602" w:rsidRDefault="00743F03" w:rsidP="006B21E2">
      <w:pPr>
        <w:pStyle w:val="ListParagraph"/>
        <w:numPr>
          <w:ilvl w:val="0"/>
          <w:numId w:val="216"/>
        </w:numPr>
        <w:jc w:val="both"/>
        <w:outlineLvl w:val="9"/>
        <w:rPr>
          <w:color w:val="000000" w:themeColor="text1"/>
          <w:kern w:val="0"/>
        </w:rPr>
      </w:pPr>
      <w:r w:rsidRPr="00866602">
        <w:rPr>
          <w:color w:val="000000" w:themeColor="text1"/>
          <w:kern w:val="0"/>
        </w:rPr>
        <w:t>Practical difference: Baseline scenario</w:t>
      </w:r>
    </w:p>
    <w:p w14:paraId="7391E632" w14:textId="77777777" w:rsidR="00743F03" w:rsidRPr="00866602" w:rsidRDefault="00743F03" w:rsidP="006B21E2">
      <w:pPr>
        <w:jc w:val="both"/>
        <w:rPr>
          <w:color w:val="000000" w:themeColor="text1"/>
        </w:rPr>
      </w:pPr>
      <w:r w:rsidRPr="00866602">
        <w:rPr>
          <w:color w:val="000000" w:themeColor="text1"/>
        </w:rPr>
        <w:t> </w:t>
      </w:r>
    </w:p>
    <w:p w14:paraId="3F38F37E" w14:textId="77777777" w:rsidR="00743F03" w:rsidRPr="00866602" w:rsidRDefault="00743F03" w:rsidP="006B21E2">
      <w:pPr>
        <w:jc w:val="both"/>
        <w:rPr>
          <w:color w:val="000000" w:themeColor="text1"/>
        </w:rPr>
      </w:pPr>
      <w:r w:rsidRPr="00866602">
        <w:rPr>
          <w:color w:val="000000" w:themeColor="text1"/>
        </w:rPr>
        <w:t>If true failure rate = 80% (upper bound):</w:t>
      </w:r>
    </w:p>
    <w:p w14:paraId="06E1EED6" w14:textId="2804236F" w:rsidR="00743F03" w:rsidRPr="00866602" w:rsidRDefault="00743F03" w:rsidP="006B21E2">
      <w:pPr>
        <w:pStyle w:val="ListParagraph"/>
        <w:numPr>
          <w:ilvl w:val="0"/>
          <w:numId w:val="217"/>
        </w:numPr>
        <w:jc w:val="both"/>
        <w:outlineLvl w:val="9"/>
        <w:rPr>
          <w:color w:val="000000" w:themeColor="text1"/>
          <w:kern w:val="0"/>
        </w:rPr>
      </w:pPr>
      <w:r w:rsidRPr="00866602">
        <w:rPr>
          <w:color w:val="000000" w:themeColor="text1"/>
          <w:kern w:val="0"/>
        </w:rPr>
        <w:t xml:space="preserve">In a cohort of 100 participants: 80 </w:t>
      </w:r>
      <w:proofErr w:type="gramStart"/>
      <w:r w:rsidRPr="00866602">
        <w:rPr>
          <w:color w:val="000000" w:themeColor="text1"/>
          <w:kern w:val="0"/>
        </w:rPr>
        <w:t>fail</w:t>
      </w:r>
      <w:proofErr w:type="gramEnd"/>
      <w:r w:rsidRPr="00866602">
        <w:rPr>
          <w:color w:val="000000" w:themeColor="text1"/>
          <w:kern w:val="0"/>
        </w:rPr>
        <w:t xml:space="preserve">, 20 </w:t>
      </w:r>
      <w:proofErr w:type="gramStart"/>
      <w:r w:rsidRPr="00866602">
        <w:rPr>
          <w:color w:val="000000" w:themeColor="text1"/>
          <w:kern w:val="0"/>
        </w:rPr>
        <w:t>succeed</w:t>
      </w:r>
      <w:proofErr w:type="gramEnd"/>
    </w:p>
    <w:p w14:paraId="249434DA" w14:textId="36AC83F0" w:rsidR="00743F03" w:rsidRPr="00866602" w:rsidRDefault="00743F03" w:rsidP="006B21E2">
      <w:pPr>
        <w:pStyle w:val="ListParagraph"/>
        <w:numPr>
          <w:ilvl w:val="0"/>
          <w:numId w:val="217"/>
        </w:numPr>
        <w:jc w:val="both"/>
        <w:outlineLvl w:val="9"/>
        <w:rPr>
          <w:color w:val="000000" w:themeColor="text1"/>
          <w:kern w:val="0"/>
        </w:rPr>
      </w:pPr>
      <w:r w:rsidRPr="00866602">
        <w:rPr>
          <w:color w:val="000000" w:themeColor="text1"/>
          <w:kern w:val="0"/>
        </w:rPr>
        <w:t>Success rate: 20% (vs. observed 27%)</w:t>
      </w:r>
    </w:p>
    <w:p w14:paraId="64BC5002" w14:textId="25DF3AF7" w:rsidR="00743F03" w:rsidRPr="00866602" w:rsidRDefault="00743F03" w:rsidP="006B21E2">
      <w:pPr>
        <w:pStyle w:val="ListParagraph"/>
        <w:numPr>
          <w:ilvl w:val="0"/>
          <w:numId w:val="217"/>
        </w:numPr>
        <w:jc w:val="both"/>
        <w:outlineLvl w:val="9"/>
        <w:rPr>
          <w:color w:val="000000" w:themeColor="text1"/>
          <w:kern w:val="0"/>
        </w:rPr>
      </w:pPr>
      <w:r w:rsidRPr="00866602">
        <w:rPr>
          <w:color w:val="000000" w:themeColor="text1"/>
          <w:kern w:val="0"/>
        </w:rPr>
        <w:t>Implication: DeFi is less viable than central estimate</w:t>
      </w:r>
    </w:p>
    <w:p w14:paraId="27563B23" w14:textId="3E5E5564" w:rsidR="00743F03" w:rsidRPr="00866602" w:rsidRDefault="00743F03" w:rsidP="006B21E2">
      <w:pPr>
        <w:pStyle w:val="ListParagraph"/>
        <w:numPr>
          <w:ilvl w:val="0"/>
          <w:numId w:val="217"/>
        </w:numPr>
        <w:jc w:val="both"/>
        <w:outlineLvl w:val="9"/>
        <w:rPr>
          <w:color w:val="000000" w:themeColor="text1"/>
          <w:kern w:val="0"/>
        </w:rPr>
      </w:pPr>
      <w:r w:rsidRPr="00866602">
        <w:rPr>
          <w:color w:val="000000" w:themeColor="text1"/>
          <w:kern w:val="0"/>
        </w:rPr>
        <w:t>Practical difference: ~7 fewer successes per 100 participants</w:t>
      </w:r>
    </w:p>
    <w:p w14:paraId="32278276" w14:textId="77777777" w:rsidR="00743F03" w:rsidRPr="00EA4904" w:rsidRDefault="00743F03" w:rsidP="006B21E2">
      <w:pPr>
        <w:jc w:val="both"/>
        <w:rPr>
          <w:color w:val="000000" w:themeColor="text1"/>
        </w:rPr>
      </w:pPr>
      <w:r w:rsidRPr="00EA4904">
        <w:rPr>
          <w:color w:val="000000" w:themeColor="text1"/>
        </w:rPr>
        <w:t> </w:t>
      </w:r>
    </w:p>
    <w:p w14:paraId="30C4AD0E" w14:textId="386D8EEF" w:rsidR="00743F03" w:rsidRPr="00EA4904" w:rsidRDefault="00743F03" w:rsidP="006B21E2">
      <w:pPr>
        <w:jc w:val="both"/>
        <w:rPr>
          <w:b/>
          <w:bCs/>
          <w:color w:val="000000" w:themeColor="text1"/>
        </w:rPr>
      </w:pPr>
      <w:r w:rsidRPr="000242D0">
        <w:rPr>
          <w:b/>
          <w:bCs/>
          <w:color w:val="000000" w:themeColor="text1"/>
        </w:rPr>
        <w:t>Why is this 15-point range important?</w:t>
      </w:r>
    </w:p>
    <w:p w14:paraId="042FB0CE" w14:textId="77777777" w:rsidR="00743F03" w:rsidRPr="00EA4904" w:rsidRDefault="00743F03" w:rsidP="006B21E2">
      <w:pPr>
        <w:jc w:val="both"/>
        <w:rPr>
          <w:color w:val="000000" w:themeColor="text1"/>
        </w:rPr>
      </w:pPr>
      <w:r w:rsidRPr="00EA4904">
        <w:rPr>
          <w:color w:val="000000" w:themeColor="text1"/>
        </w:rPr>
        <w:t> </w:t>
      </w:r>
    </w:p>
    <w:p w14:paraId="349E8396" w14:textId="549347BE" w:rsidR="00743F03" w:rsidRPr="00EA4904" w:rsidRDefault="00743F03" w:rsidP="006B21E2">
      <w:pPr>
        <w:pStyle w:val="ListParagraph"/>
        <w:numPr>
          <w:ilvl w:val="0"/>
          <w:numId w:val="211"/>
        </w:numPr>
        <w:jc w:val="both"/>
        <w:outlineLvl w:val="9"/>
        <w:rPr>
          <w:color w:val="000000" w:themeColor="text1"/>
          <w:kern w:val="0"/>
        </w:rPr>
      </w:pPr>
      <w:r w:rsidRPr="00EA4904">
        <w:rPr>
          <w:color w:val="000000" w:themeColor="text1"/>
          <w:kern w:val="0"/>
        </w:rPr>
        <w:t>Decision-making threshold effects:</w:t>
      </w:r>
    </w:p>
    <w:p w14:paraId="402AE689" w14:textId="74229A3B" w:rsidR="00743F03" w:rsidRPr="00EA4904" w:rsidRDefault="00743F03" w:rsidP="006B21E2">
      <w:pPr>
        <w:pStyle w:val="ListParagraph"/>
        <w:numPr>
          <w:ilvl w:val="2"/>
          <w:numId w:val="212"/>
        </w:numPr>
        <w:jc w:val="both"/>
        <w:outlineLvl w:val="9"/>
        <w:rPr>
          <w:color w:val="000000" w:themeColor="text1"/>
          <w:kern w:val="0"/>
        </w:rPr>
      </w:pPr>
      <w:r w:rsidRPr="00EA4904">
        <w:rPr>
          <w:color w:val="000000" w:themeColor="text1"/>
          <w:kern w:val="0"/>
        </w:rPr>
        <w:t xml:space="preserve">At 65% failure, some </w:t>
      </w:r>
      <w:proofErr w:type="gramStart"/>
      <w:r w:rsidRPr="00EA4904">
        <w:rPr>
          <w:color w:val="000000" w:themeColor="text1"/>
          <w:kern w:val="0"/>
        </w:rPr>
        <w:t>marginally-prepared</w:t>
      </w:r>
      <w:proofErr w:type="gramEnd"/>
      <w:r w:rsidRPr="00EA4904">
        <w:rPr>
          <w:color w:val="000000" w:themeColor="text1"/>
          <w:kern w:val="0"/>
        </w:rPr>
        <w:t xml:space="preserve"> participants might reasonably attempt participation</w:t>
      </w:r>
    </w:p>
    <w:p w14:paraId="48DAF5D4" w14:textId="532F03F6" w:rsidR="00743F03" w:rsidRPr="00EA4904" w:rsidRDefault="00743F03" w:rsidP="006B21E2">
      <w:pPr>
        <w:pStyle w:val="ListParagraph"/>
        <w:numPr>
          <w:ilvl w:val="2"/>
          <w:numId w:val="212"/>
        </w:numPr>
        <w:jc w:val="both"/>
        <w:outlineLvl w:val="9"/>
        <w:rPr>
          <w:color w:val="000000" w:themeColor="text1"/>
          <w:kern w:val="0"/>
        </w:rPr>
      </w:pPr>
      <w:r w:rsidRPr="00EA4904">
        <w:rPr>
          <w:color w:val="000000" w:themeColor="text1"/>
          <w:kern w:val="0"/>
        </w:rPr>
        <w:t>At 80% failure, only exceptionally well-resourced participants should consider it</w:t>
      </w:r>
    </w:p>
    <w:p w14:paraId="13159A9D" w14:textId="0446410A" w:rsidR="00743F03" w:rsidRPr="00EA4904" w:rsidRDefault="00743F03" w:rsidP="006B21E2">
      <w:pPr>
        <w:pStyle w:val="ListParagraph"/>
        <w:numPr>
          <w:ilvl w:val="2"/>
          <w:numId w:val="212"/>
        </w:numPr>
        <w:jc w:val="both"/>
        <w:outlineLvl w:val="9"/>
        <w:rPr>
          <w:color w:val="000000" w:themeColor="text1"/>
          <w:kern w:val="0"/>
        </w:rPr>
      </w:pPr>
      <w:r w:rsidRPr="00EA4904">
        <w:rPr>
          <w:color w:val="000000" w:themeColor="text1"/>
          <w:kern w:val="0"/>
        </w:rPr>
        <w:t>The uncertainty spans this threshold</w:t>
      </w:r>
    </w:p>
    <w:p w14:paraId="3ED92F49" w14:textId="29065377" w:rsidR="00743F03" w:rsidRPr="00EA4904" w:rsidRDefault="00743F03" w:rsidP="006B21E2">
      <w:pPr>
        <w:ind w:left="-1760"/>
        <w:jc w:val="both"/>
        <w:rPr>
          <w:color w:val="000000" w:themeColor="text1"/>
        </w:rPr>
      </w:pPr>
    </w:p>
    <w:p w14:paraId="2CF7CA7A" w14:textId="13D44565" w:rsidR="00743F03" w:rsidRPr="00EA4904" w:rsidRDefault="00743F03" w:rsidP="006B21E2">
      <w:pPr>
        <w:pStyle w:val="ListParagraph"/>
        <w:numPr>
          <w:ilvl w:val="0"/>
          <w:numId w:val="211"/>
        </w:numPr>
        <w:jc w:val="both"/>
        <w:outlineLvl w:val="9"/>
        <w:rPr>
          <w:color w:val="000000" w:themeColor="text1"/>
          <w:kern w:val="0"/>
        </w:rPr>
      </w:pPr>
      <w:r w:rsidRPr="00EA4904">
        <w:rPr>
          <w:color w:val="000000" w:themeColor="text1"/>
          <w:kern w:val="0"/>
        </w:rPr>
        <w:t>Expected value calculations:</w:t>
      </w:r>
    </w:p>
    <w:p w14:paraId="391F84AF" w14:textId="6807BC54" w:rsidR="00743F03" w:rsidRPr="00EA4904" w:rsidRDefault="00743F03" w:rsidP="006B21E2">
      <w:pPr>
        <w:pStyle w:val="ListParagraph"/>
        <w:numPr>
          <w:ilvl w:val="0"/>
          <w:numId w:val="214"/>
        </w:numPr>
        <w:jc w:val="both"/>
        <w:outlineLvl w:val="9"/>
        <w:rPr>
          <w:color w:val="000000" w:themeColor="text1"/>
          <w:kern w:val="0"/>
        </w:rPr>
      </w:pPr>
      <w:r w:rsidRPr="00EA4904">
        <w:rPr>
          <w:color w:val="000000" w:themeColor="text1"/>
          <w:kern w:val="0"/>
        </w:rPr>
        <w:t>Lower bound (65% failure): EV = 0.35(+7%) + 0.65(-8.1%) ≈ -2.8%</w:t>
      </w:r>
    </w:p>
    <w:p w14:paraId="093209AA" w14:textId="499FF084" w:rsidR="00743F03" w:rsidRPr="00EA4904" w:rsidRDefault="00743F03" w:rsidP="006B21E2">
      <w:pPr>
        <w:pStyle w:val="ListParagraph"/>
        <w:numPr>
          <w:ilvl w:val="0"/>
          <w:numId w:val="214"/>
        </w:numPr>
        <w:jc w:val="both"/>
        <w:outlineLvl w:val="9"/>
        <w:rPr>
          <w:color w:val="000000" w:themeColor="text1"/>
          <w:kern w:val="0"/>
        </w:rPr>
      </w:pPr>
      <w:r w:rsidRPr="00EA4904">
        <w:rPr>
          <w:color w:val="000000" w:themeColor="text1"/>
          <w:kern w:val="0"/>
        </w:rPr>
        <w:lastRenderedPageBreak/>
        <w:t>Point estimate (73% failure): EV = 0.27(+7%) + 0.73(-8.1%) ≈ -4.0%</w:t>
      </w:r>
    </w:p>
    <w:p w14:paraId="5FA97B4C" w14:textId="2EA079B7" w:rsidR="00743F03" w:rsidRPr="00EA4904" w:rsidRDefault="00743F03" w:rsidP="006B21E2">
      <w:pPr>
        <w:pStyle w:val="ListParagraph"/>
        <w:numPr>
          <w:ilvl w:val="0"/>
          <w:numId w:val="214"/>
        </w:numPr>
        <w:jc w:val="both"/>
        <w:outlineLvl w:val="9"/>
        <w:rPr>
          <w:color w:val="000000" w:themeColor="text1"/>
          <w:kern w:val="0"/>
        </w:rPr>
      </w:pPr>
      <w:r w:rsidRPr="00EA4904">
        <w:rPr>
          <w:color w:val="000000" w:themeColor="text1"/>
          <w:kern w:val="0"/>
        </w:rPr>
        <w:t>Upper bound (80% failure): EV = 0.20(+7%) + 0.80(-8.1%) ≈ -5.1%</w:t>
      </w:r>
    </w:p>
    <w:p w14:paraId="03EC09D3" w14:textId="713EA9FC" w:rsidR="00743F03" w:rsidRPr="00EA4904" w:rsidRDefault="00743F03" w:rsidP="006B21E2">
      <w:pPr>
        <w:pStyle w:val="ListParagraph"/>
        <w:numPr>
          <w:ilvl w:val="0"/>
          <w:numId w:val="214"/>
        </w:numPr>
        <w:jc w:val="both"/>
        <w:outlineLvl w:val="9"/>
        <w:rPr>
          <w:color w:val="000000" w:themeColor="text1"/>
          <w:kern w:val="0"/>
        </w:rPr>
      </w:pPr>
      <w:r w:rsidRPr="00EA4904">
        <w:rPr>
          <w:color w:val="000000" w:themeColor="text1"/>
          <w:kern w:val="0"/>
        </w:rPr>
        <w:t>Range: -2.8% to -5.1% (negative across entire CI)</w:t>
      </w:r>
    </w:p>
    <w:p w14:paraId="114196C2" w14:textId="7B0F9352" w:rsidR="00743F03" w:rsidRPr="00EA4904" w:rsidRDefault="00743F03" w:rsidP="006B21E2">
      <w:pPr>
        <w:ind w:left="-1760"/>
        <w:jc w:val="both"/>
        <w:rPr>
          <w:color w:val="000000" w:themeColor="text1"/>
        </w:rPr>
      </w:pPr>
    </w:p>
    <w:p w14:paraId="1C413F4F" w14:textId="1F93B843" w:rsidR="00743F03" w:rsidRPr="00EA4904" w:rsidRDefault="00743F03" w:rsidP="006B21E2">
      <w:pPr>
        <w:pStyle w:val="ListParagraph"/>
        <w:numPr>
          <w:ilvl w:val="0"/>
          <w:numId w:val="211"/>
        </w:numPr>
        <w:jc w:val="both"/>
        <w:outlineLvl w:val="9"/>
        <w:rPr>
          <w:color w:val="000000" w:themeColor="text1"/>
          <w:kern w:val="0"/>
        </w:rPr>
      </w:pPr>
      <w:r w:rsidRPr="00EA4904">
        <w:rPr>
          <w:color w:val="000000" w:themeColor="text1"/>
          <w:kern w:val="0"/>
        </w:rPr>
        <w:t>Cohort sizing implications:</w:t>
      </w:r>
    </w:p>
    <w:p w14:paraId="0E268156" w14:textId="1BD4CB13" w:rsidR="00743F03" w:rsidRPr="00EA4904" w:rsidRDefault="00743F03" w:rsidP="006B21E2">
      <w:pPr>
        <w:pStyle w:val="ListParagraph"/>
        <w:numPr>
          <w:ilvl w:val="0"/>
          <w:numId w:val="213"/>
        </w:numPr>
        <w:jc w:val="both"/>
        <w:outlineLvl w:val="9"/>
        <w:rPr>
          <w:color w:val="000000" w:themeColor="text1"/>
          <w:kern w:val="0"/>
        </w:rPr>
      </w:pPr>
      <w:r w:rsidRPr="00EA4904">
        <w:rPr>
          <w:color w:val="000000" w:themeColor="text1"/>
          <w:kern w:val="0"/>
        </w:rPr>
        <w:t>For a 100-person cohort, uncertainty equals ±8 successes</w:t>
      </w:r>
    </w:p>
    <w:p w14:paraId="763C663A" w14:textId="0B146F8C" w:rsidR="00743F03" w:rsidRPr="00EA4904" w:rsidRDefault="00743F03" w:rsidP="006B21E2">
      <w:pPr>
        <w:pStyle w:val="ListParagraph"/>
        <w:numPr>
          <w:ilvl w:val="0"/>
          <w:numId w:val="213"/>
        </w:numPr>
        <w:jc w:val="both"/>
        <w:outlineLvl w:val="9"/>
        <w:rPr>
          <w:color w:val="000000" w:themeColor="text1"/>
          <w:kern w:val="0"/>
        </w:rPr>
      </w:pPr>
      <w:r w:rsidRPr="00EA4904">
        <w:rPr>
          <w:color w:val="000000" w:themeColor="text1"/>
          <w:kern w:val="0"/>
        </w:rPr>
        <w:t>For institutional/policy planning, this represents meaningful variability</w:t>
      </w:r>
    </w:p>
    <w:p w14:paraId="062AC2CC" w14:textId="2A7D0F3C" w:rsidR="00743F03" w:rsidRPr="00EA4904" w:rsidRDefault="00743F03" w:rsidP="006B21E2">
      <w:pPr>
        <w:pStyle w:val="ListParagraph"/>
        <w:numPr>
          <w:ilvl w:val="0"/>
          <w:numId w:val="213"/>
        </w:numPr>
        <w:jc w:val="both"/>
        <w:outlineLvl w:val="9"/>
        <w:rPr>
          <w:color w:val="000000" w:themeColor="text1"/>
          <w:kern w:val="0"/>
        </w:rPr>
      </w:pPr>
      <w:r w:rsidRPr="00EA4904">
        <w:rPr>
          <w:color w:val="000000" w:themeColor="text1"/>
          <w:kern w:val="0"/>
        </w:rPr>
        <w:t>Individual participants face binary outcome (succeed or fail), not this range</w:t>
      </w:r>
    </w:p>
    <w:p w14:paraId="582880B2" w14:textId="4D8E7F13" w:rsidR="00743F03" w:rsidRPr="00EA4904" w:rsidRDefault="00743F03" w:rsidP="006B21E2">
      <w:pPr>
        <w:jc w:val="both"/>
        <w:rPr>
          <w:color w:val="000000" w:themeColor="text1"/>
        </w:rPr>
      </w:pPr>
      <w:r w:rsidRPr="00EA4904">
        <w:rPr>
          <w:color w:val="000000" w:themeColor="text1"/>
        </w:rPr>
        <w:t> </w:t>
      </w:r>
    </w:p>
    <w:p w14:paraId="7707F960" w14:textId="59A6EC9A" w:rsidR="00743F03" w:rsidRPr="00FC2391" w:rsidRDefault="00743F03" w:rsidP="006B21E2">
      <w:pPr>
        <w:jc w:val="both"/>
        <w:rPr>
          <w:b/>
          <w:bCs/>
          <w:color w:val="000000" w:themeColor="text1"/>
        </w:rPr>
      </w:pPr>
      <w:r w:rsidRPr="00EA4904">
        <w:rPr>
          <w:b/>
          <w:bCs/>
          <w:color w:val="000000" w:themeColor="text1"/>
        </w:rPr>
        <w:t>Practical interpretation guidance:</w:t>
      </w:r>
    </w:p>
    <w:p w14:paraId="2084EEC7" w14:textId="3F80CC5F" w:rsidR="00743F03" w:rsidRPr="00EA4904" w:rsidRDefault="00743F03" w:rsidP="006B21E2">
      <w:pPr>
        <w:pStyle w:val="ListParagraph"/>
        <w:numPr>
          <w:ilvl w:val="0"/>
          <w:numId w:val="209"/>
        </w:numPr>
        <w:jc w:val="both"/>
        <w:outlineLvl w:val="9"/>
        <w:rPr>
          <w:color w:val="000000" w:themeColor="text1"/>
          <w:kern w:val="0"/>
        </w:rPr>
      </w:pPr>
      <w:r w:rsidRPr="00EA4904">
        <w:rPr>
          <w:color w:val="000000" w:themeColor="text1"/>
          <w:kern w:val="0"/>
        </w:rPr>
        <w:t>For participants: "Between 2 in 3 and 4 in 5 of similar participants failed. Even the most optimistic scenario (65% failure) represents unfavorable odds."</w:t>
      </w:r>
    </w:p>
    <w:p w14:paraId="0A8602AD" w14:textId="05DD9263" w:rsidR="00743F03" w:rsidRPr="00EA4904" w:rsidRDefault="00743F03" w:rsidP="006B21E2">
      <w:pPr>
        <w:pStyle w:val="ListParagraph"/>
        <w:numPr>
          <w:ilvl w:val="0"/>
          <w:numId w:val="209"/>
        </w:numPr>
        <w:jc w:val="both"/>
        <w:outlineLvl w:val="9"/>
        <w:rPr>
          <w:color w:val="000000" w:themeColor="text1"/>
          <w:kern w:val="0"/>
        </w:rPr>
      </w:pPr>
      <w:r w:rsidRPr="00EA4904">
        <w:rPr>
          <w:color w:val="000000" w:themeColor="text1"/>
          <w:kern w:val="0"/>
        </w:rPr>
        <w:t xml:space="preserve">For researchers: "The point estimate (73%) is our best </w:t>
      </w:r>
      <w:proofErr w:type="gramStart"/>
      <w:r w:rsidRPr="00EA4904">
        <w:rPr>
          <w:color w:val="000000" w:themeColor="text1"/>
          <w:kern w:val="0"/>
        </w:rPr>
        <w:t>estimate, but</w:t>
      </w:r>
      <w:proofErr w:type="gramEnd"/>
      <w:r w:rsidRPr="00EA4904">
        <w:rPr>
          <w:color w:val="000000" w:themeColor="text1"/>
          <w:kern w:val="0"/>
        </w:rPr>
        <w:t xml:space="preserve"> acknowledge the range (65%-80%) when comparing to other studies or making predictions."</w:t>
      </w:r>
    </w:p>
    <w:p w14:paraId="52216B7B" w14:textId="77777777" w:rsidR="00743F03" w:rsidRPr="00EA4904" w:rsidRDefault="00743F03" w:rsidP="006B21E2">
      <w:pPr>
        <w:pStyle w:val="ListParagraph"/>
        <w:numPr>
          <w:ilvl w:val="0"/>
          <w:numId w:val="209"/>
        </w:numPr>
        <w:jc w:val="both"/>
        <w:outlineLvl w:val="9"/>
        <w:rPr>
          <w:color w:val="000000" w:themeColor="text1"/>
          <w:kern w:val="0"/>
        </w:rPr>
      </w:pPr>
      <w:r w:rsidRPr="00EA4904">
        <w:rPr>
          <w:color w:val="000000" w:themeColor="text1"/>
          <w:kern w:val="0"/>
        </w:rPr>
        <w:t>For policymakers: "The lower bound (65%) still indicates majority failure, suggesting intervention may be warranted regardless of where in the CI the true rate falls."</w:t>
      </w:r>
    </w:p>
    <w:p w14:paraId="67253635" w14:textId="77777777" w:rsidR="00743F03" w:rsidRPr="00EA4904" w:rsidRDefault="00743F03" w:rsidP="006B21E2">
      <w:pPr>
        <w:jc w:val="both"/>
        <w:rPr>
          <w:color w:val="000000" w:themeColor="text1"/>
        </w:rPr>
      </w:pPr>
      <w:r w:rsidRPr="00EA4904">
        <w:rPr>
          <w:color w:val="000000" w:themeColor="text1"/>
        </w:rPr>
        <w:t> </w:t>
      </w:r>
    </w:p>
    <w:p w14:paraId="199D7802" w14:textId="050F2739" w:rsidR="00743F03" w:rsidRPr="00EA4904" w:rsidRDefault="00743F03" w:rsidP="006B21E2">
      <w:pPr>
        <w:jc w:val="both"/>
        <w:rPr>
          <w:b/>
          <w:bCs/>
          <w:color w:val="000000" w:themeColor="text1"/>
        </w:rPr>
      </w:pPr>
      <w:r w:rsidRPr="00EA4904">
        <w:rPr>
          <w:b/>
          <w:bCs/>
          <w:color w:val="000000" w:themeColor="text1"/>
        </w:rPr>
        <w:t>Comparison to traditional investment:</w:t>
      </w:r>
    </w:p>
    <w:p w14:paraId="491195A8" w14:textId="12574AED" w:rsidR="00743F03" w:rsidRPr="00EA4904" w:rsidRDefault="00743F03" w:rsidP="006B21E2">
      <w:pPr>
        <w:pStyle w:val="ListParagraph"/>
        <w:numPr>
          <w:ilvl w:val="0"/>
          <w:numId w:val="210"/>
        </w:numPr>
        <w:jc w:val="both"/>
        <w:outlineLvl w:val="9"/>
        <w:rPr>
          <w:color w:val="000000" w:themeColor="text1"/>
          <w:kern w:val="0"/>
        </w:rPr>
      </w:pPr>
      <w:r w:rsidRPr="00EA4904">
        <w:rPr>
          <w:color w:val="000000" w:themeColor="text1"/>
          <w:kern w:val="0"/>
        </w:rPr>
        <w:t>Stock market (90-day holding): ~12% loss rate (2020-2024)</w:t>
      </w:r>
    </w:p>
    <w:p w14:paraId="42A718F6" w14:textId="53116D07" w:rsidR="00743F03" w:rsidRPr="00EA4904" w:rsidRDefault="00743F03" w:rsidP="006B21E2">
      <w:pPr>
        <w:pStyle w:val="ListParagraph"/>
        <w:numPr>
          <w:ilvl w:val="0"/>
          <w:numId w:val="210"/>
        </w:numPr>
        <w:jc w:val="both"/>
        <w:outlineLvl w:val="9"/>
        <w:rPr>
          <w:color w:val="000000" w:themeColor="text1"/>
          <w:kern w:val="0"/>
        </w:rPr>
      </w:pPr>
      <w:r w:rsidRPr="00EA4904">
        <w:rPr>
          <w:color w:val="000000" w:themeColor="text1"/>
          <w:kern w:val="0"/>
        </w:rPr>
        <w:t>High-yield bonds: ~4.5% annual default rate</w:t>
      </w:r>
    </w:p>
    <w:p w14:paraId="1F75616C" w14:textId="3C4C5661" w:rsidR="00743F03" w:rsidRPr="00EA4904" w:rsidRDefault="00743F03" w:rsidP="006B21E2">
      <w:pPr>
        <w:pStyle w:val="ListParagraph"/>
        <w:numPr>
          <w:ilvl w:val="0"/>
          <w:numId w:val="210"/>
        </w:numPr>
        <w:jc w:val="both"/>
        <w:outlineLvl w:val="9"/>
        <w:rPr>
          <w:color w:val="000000" w:themeColor="text1"/>
          <w:kern w:val="0"/>
        </w:rPr>
      </w:pPr>
      <w:r w:rsidRPr="00EA4904">
        <w:rPr>
          <w:color w:val="000000" w:themeColor="text1"/>
          <w:kern w:val="0"/>
        </w:rPr>
        <w:t>Investment-grade bonds: ~0.1% annual default rate</w:t>
      </w:r>
    </w:p>
    <w:p w14:paraId="75272DB8" w14:textId="380CA515" w:rsidR="00743F03" w:rsidRPr="00EA4904" w:rsidRDefault="00743F03" w:rsidP="006B21E2">
      <w:pPr>
        <w:pStyle w:val="ListParagraph"/>
        <w:numPr>
          <w:ilvl w:val="0"/>
          <w:numId w:val="210"/>
        </w:numPr>
        <w:jc w:val="both"/>
        <w:outlineLvl w:val="9"/>
        <w:rPr>
          <w:color w:val="000000" w:themeColor="text1"/>
          <w:kern w:val="0"/>
        </w:rPr>
      </w:pPr>
      <w:r w:rsidRPr="00EA4904">
        <w:rPr>
          <w:color w:val="000000" w:themeColor="text1"/>
          <w:kern w:val="0"/>
        </w:rPr>
        <w:t>DeFi (this study): 73% (65%-80%) failure rate</w:t>
      </w:r>
    </w:p>
    <w:p w14:paraId="7B11E29A" w14:textId="77777777" w:rsidR="00743F03" w:rsidRPr="00EA4904" w:rsidRDefault="00743F03" w:rsidP="006B21E2">
      <w:pPr>
        <w:jc w:val="both"/>
        <w:rPr>
          <w:color w:val="000000" w:themeColor="text1"/>
        </w:rPr>
      </w:pPr>
      <w:r w:rsidRPr="00EA4904">
        <w:rPr>
          <w:color w:val="000000" w:themeColor="text1"/>
        </w:rPr>
        <w:t> </w:t>
      </w:r>
    </w:p>
    <w:p w14:paraId="782F2A66" w14:textId="77777777" w:rsidR="00743F03" w:rsidRPr="00EA4904" w:rsidRDefault="00743F03" w:rsidP="006B21E2">
      <w:pPr>
        <w:jc w:val="both"/>
        <w:rPr>
          <w:color w:val="000000" w:themeColor="text1"/>
        </w:rPr>
      </w:pPr>
      <w:r w:rsidRPr="00EA4904">
        <w:rPr>
          <w:color w:val="000000" w:themeColor="text1"/>
        </w:rPr>
        <w:t xml:space="preserve">Even the lower bound (65%) exceeds traditional investment failure rates by an order of magnitude, confirming that DeFi represents fundamentally different risk </w:t>
      </w:r>
      <w:proofErr w:type="gramStart"/>
      <w:r w:rsidRPr="00EA4904">
        <w:rPr>
          <w:color w:val="000000" w:themeColor="text1"/>
        </w:rPr>
        <w:t>profile</w:t>
      </w:r>
      <w:proofErr w:type="gramEnd"/>
      <w:r w:rsidRPr="00EA4904">
        <w:rPr>
          <w:color w:val="000000" w:themeColor="text1"/>
        </w:rPr>
        <w:t>.</w:t>
      </w:r>
    </w:p>
    <w:p w14:paraId="74A5FB65" w14:textId="77777777" w:rsidR="00743F03" w:rsidRPr="00EA4904" w:rsidRDefault="00743F03" w:rsidP="006B21E2">
      <w:pPr>
        <w:jc w:val="both"/>
        <w:rPr>
          <w:rFonts w:eastAsiaTheme="majorEastAsia"/>
          <w:color w:val="000000" w:themeColor="text1"/>
        </w:rPr>
      </w:pPr>
    </w:p>
    <w:p w14:paraId="731B668E" w14:textId="77777777" w:rsidR="00D070AF" w:rsidRPr="00EA4904" w:rsidRDefault="00882E98" w:rsidP="006B21E2">
      <w:pPr>
        <w:jc w:val="both"/>
        <w:rPr>
          <w:rFonts w:eastAsiaTheme="majorEastAsia"/>
          <w:b/>
          <w:bCs/>
          <w:color w:val="000000" w:themeColor="text1"/>
        </w:rPr>
      </w:pPr>
      <w:r w:rsidRPr="00EA4904">
        <w:rPr>
          <w:rFonts w:eastAsiaTheme="majorEastAsia"/>
          <w:b/>
          <w:bCs/>
          <w:color w:val="000000" w:themeColor="text1"/>
        </w:rPr>
        <w:t xml:space="preserve">Understanding the uncertainty in this failure rate: </w:t>
      </w:r>
    </w:p>
    <w:p w14:paraId="321D6A1A" w14:textId="75BF8ED2" w:rsidR="00882E98" w:rsidRPr="00EA4904" w:rsidRDefault="00882E98" w:rsidP="006B21E2">
      <w:pPr>
        <w:jc w:val="both"/>
        <w:rPr>
          <w:rFonts w:eastAsiaTheme="majorEastAsia"/>
          <w:color w:val="000000" w:themeColor="text1"/>
        </w:rPr>
      </w:pPr>
      <w:r w:rsidRPr="00EA4904">
        <w:rPr>
          <w:rFonts w:eastAsiaTheme="majorEastAsia"/>
          <w:color w:val="000000" w:themeColor="text1"/>
        </w:rPr>
        <w:t xml:space="preserve">The 95% confidence interval (65%-80%) captures only statistical sampling uncertainty—the variation we'd expect from randomly selecting 156 positions from a larger population. However, this does not account for systematic survivorship bias: positions that failed so catastrophically that </w:t>
      </w:r>
      <w:proofErr w:type="gramStart"/>
      <w:r w:rsidRPr="00EA4904">
        <w:rPr>
          <w:rFonts w:eastAsiaTheme="majorEastAsia"/>
          <w:color w:val="000000" w:themeColor="text1"/>
        </w:rPr>
        <w:t>they</w:t>
      </w:r>
      <w:proofErr w:type="gramEnd"/>
      <w:r w:rsidRPr="00EA4904">
        <w:rPr>
          <w:rFonts w:eastAsiaTheme="majorEastAsia"/>
          <w:color w:val="000000" w:themeColor="text1"/>
        </w:rPr>
        <w:t xml:space="preserve"> left no observable trace.</w:t>
      </w:r>
    </w:p>
    <w:p w14:paraId="2D7C24AA" w14:textId="77777777" w:rsidR="00882E98" w:rsidRPr="00EA4904" w:rsidRDefault="00882E98" w:rsidP="006B21E2">
      <w:pPr>
        <w:jc w:val="both"/>
        <w:rPr>
          <w:rFonts w:eastAsiaTheme="majorEastAsia"/>
          <w:color w:val="000000" w:themeColor="text1"/>
        </w:rPr>
      </w:pPr>
    </w:p>
    <w:p w14:paraId="0E975099" w14:textId="77777777" w:rsidR="00882E98" w:rsidRPr="00EA4904" w:rsidRDefault="00882E98" w:rsidP="006B21E2">
      <w:pPr>
        <w:jc w:val="both"/>
        <w:rPr>
          <w:rFonts w:eastAsiaTheme="majorEastAsia"/>
          <w:color w:val="000000" w:themeColor="text1"/>
        </w:rPr>
      </w:pPr>
      <w:proofErr w:type="spellStart"/>
      <w:r w:rsidRPr="00EA4904">
        <w:rPr>
          <w:rFonts w:eastAsiaTheme="majorEastAsia"/>
          <w:color w:val="000000" w:themeColor="text1"/>
        </w:rPr>
        <w:t>Chainalysis</w:t>
      </w:r>
      <w:proofErr w:type="spellEnd"/>
      <w:r w:rsidRPr="00EA4904">
        <w:rPr>
          <w:rFonts w:eastAsiaTheme="majorEastAsia"/>
          <w:color w:val="000000" w:themeColor="text1"/>
        </w:rPr>
        <w:t xml:space="preserve"> (2024) estimates $1.2 billion in "lost" DeFi positions—abandoned wallets, </w:t>
      </w:r>
    </w:p>
    <w:p w14:paraId="5DFBB1F5" w14:textId="77777777" w:rsidR="00882E98" w:rsidRPr="00EA4904" w:rsidRDefault="00882E98" w:rsidP="006B21E2">
      <w:pPr>
        <w:jc w:val="both"/>
        <w:rPr>
          <w:rFonts w:eastAsiaTheme="majorEastAsia"/>
          <w:color w:val="000000" w:themeColor="text1"/>
        </w:rPr>
      </w:pPr>
      <w:r w:rsidRPr="00EA4904">
        <w:rPr>
          <w:rFonts w:eastAsiaTheme="majorEastAsia"/>
          <w:color w:val="000000" w:themeColor="text1"/>
        </w:rPr>
        <w:t xml:space="preserve">deleted accounts, rage-quits without withdrawal. These complete failures never appear in </w:t>
      </w:r>
    </w:p>
    <w:p w14:paraId="1BE6DC92" w14:textId="77777777" w:rsidR="00882E98" w:rsidRPr="00EA4904" w:rsidRDefault="00882E98" w:rsidP="006B21E2">
      <w:pPr>
        <w:jc w:val="both"/>
        <w:rPr>
          <w:rFonts w:eastAsiaTheme="majorEastAsia"/>
          <w:color w:val="000000" w:themeColor="text1"/>
        </w:rPr>
      </w:pPr>
      <w:r w:rsidRPr="00EA4904">
        <w:rPr>
          <w:rFonts w:eastAsiaTheme="majorEastAsia"/>
          <w:color w:val="000000" w:themeColor="text1"/>
        </w:rPr>
        <w:t xml:space="preserve">any dataset. If we conservatively estimate that 10-15% of all DeFi attempts result in </w:t>
      </w:r>
    </w:p>
    <w:p w14:paraId="02A89B58" w14:textId="77777777" w:rsidR="00882E98" w:rsidRPr="00EA4904" w:rsidRDefault="00882E98" w:rsidP="006B21E2">
      <w:pPr>
        <w:jc w:val="both"/>
        <w:rPr>
          <w:rFonts w:eastAsiaTheme="majorEastAsia"/>
          <w:color w:val="000000" w:themeColor="text1"/>
        </w:rPr>
      </w:pPr>
      <w:r w:rsidRPr="00EA4904">
        <w:rPr>
          <w:rFonts w:eastAsiaTheme="majorEastAsia"/>
          <w:color w:val="000000" w:themeColor="text1"/>
        </w:rPr>
        <w:t>such unobservable failures, the true population failure rate likely ranges from 73-90%.</w:t>
      </w:r>
    </w:p>
    <w:p w14:paraId="195C2B54" w14:textId="77777777" w:rsidR="00882E98" w:rsidRPr="00EA4904" w:rsidRDefault="00882E98" w:rsidP="006B21E2">
      <w:pPr>
        <w:jc w:val="both"/>
        <w:rPr>
          <w:rFonts w:eastAsiaTheme="majorEastAsia"/>
          <w:color w:val="000000" w:themeColor="text1"/>
        </w:rPr>
      </w:pPr>
    </w:p>
    <w:p w14:paraId="7FF6FD5F" w14:textId="1A9B8773" w:rsidR="00882E98" w:rsidRPr="00EA4904" w:rsidRDefault="00882E98" w:rsidP="006B21E2">
      <w:pPr>
        <w:jc w:val="both"/>
        <w:rPr>
          <w:rFonts w:eastAsiaTheme="majorEastAsia"/>
          <w:b/>
          <w:bCs/>
          <w:color w:val="000000" w:themeColor="text1"/>
        </w:rPr>
      </w:pPr>
      <w:r w:rsidRPr="00EA4904">
        <w:rPr>
          <w:rFonts w:eastAsiaTheme="majorEastAsia"/>
          <w:b/>
          <w:bCs/>
          <w:color w:val="000000" w:themeColor="text1"/>
        </w:rPr>
        <w:t>Types of uncertainty:</w:t>
      </w:r>
    </w:p>
    <w:p w14:paraId="41631DC6" w14:textId="5DC94230" w:rsidR="00882E98" w:rsidRPr="00EA4904" w:rsidRDefault="00882E98" w:rsidP="006B21E2">
      <w:pPr>
        <w:pStyle w:val="ListParagraph"/>
        <w:numPr>
          <w:ilvl w:val="0"/>
          <w:numId w:val="208"/>
        </w:numPr>
        <w:jc w:val="both"/>
        <w:rPr>
          <w:rFonts w:eastAsiaTheme="majorEastAsia"/>
          <w:color w:val="000000" w:themeColor="text1"/>
        </w:rPr>
      </w:pPr>
      <w:r w:rsidRPr="00EA4904">
        <w:rPr>
          <w:rFonts w:eastAsiaTheme="majorEastAsia"/>
          <w:color w:val="000000" w:themeColor="text1"/>
        </w:rPr>
        <w:t>Sampling uncertainty (captured by 95% CI): ±7 percentage points (65-80%)</w:t>
      </w:r>
    </w:p>
    <w:p w14:paraId="1279FCF0" w14:textId="0CFD0F65" w:rsidR="00882E98" w:rsidRPr="00EA4904" w:rsidRDefault="00882E98" w:rsidP="006B21E2">
      <w:pPr>
        <w:pStyle w:val="ListParagraph"/>
        <w:numPr>
          <w:ilvl w:val="0"/>
          <w:numId w:val="208"/>
        </w:numPr>
        <w:jc w:val="both"/>
        <w:rPr>
          <w:rFonts w:eastAsiaTheme="majorEastAsia"/>
          <w:color w:val="000000" w:themeColor="text1"/>
        </w:rPr>
      </w:pPr>
      <w:r w:rsidRPr="00EA4904">
        <w:rPr>
          <w:rFonts w:eastAsiaTheme="majorEastAsia"/>
          <w:color w:val="000000" w:themeColor="text1"/>
        </w:rPr>
        <w:t>Systematic bias (survivorship): +0 to +17 percentage points</w:t>
      </w:r>
    </w:p>
    <w:p w14:paraId="6CE94C04" w14:textId="63445501" w:rsidR="00882E98" w:rsidRPr="00EA4904" w:rsidRDefault="00882E98" w:rsidP="006B21E2">
      <w:pPr>
        <w:pStyle w:val="ListParagraph"/>
        <w:numPr>
          <w:ilvl w:val="0"/>
          <w:numId w:val="208"/>
        </w:numPr>
        <w:jc w:val="both"/>
        <w:rPr>
          <w:rFonts w:eastAsiaTheme="majorEastAsia"/>
          <w:color w:val="000000" w:themeColor="text1"/>
        </w:rPr>
      </w:pPr>
      <w:r w:rsidRPr="00EA4904">
        <w:rPr>
          <w:rFonts w:eastAsiaTheme="majorEastAsia"/>
          <w:color w:val="000000" w:themeColor="text1"/>
        </w:rPr>
        <w:t>Combined uncertainty: True population failure rate likely 73-90%</w:t>
      </w:r>
    </w:p>
    <w:p w14:paraId="4D162492" w14:textId="77777777" w:rsidR="00882E98" w:rsidRPr="00EA4904" w:rsidRDefault="00882E98" w:rsidP="006B21E2">
      <w:pPr>
        <w:jc w:val="both"/>
        <w:rPr>
          <w:rFonts w:eastAsiaTheme="majorEastAsia"/>
          <w:color w:val="000000" w:themeColor="text1"/>
        </w:rPr>
      </w:pPr>
    </w:p>
    <w:p w14:paraId="6585DD43" w14:textId="76006E25" w:rsidR="00882E98" w:rsidRPr="00EA4904" w:rsidRDefault="00882E98" w:rsidP="006B21E2">
      <w:pPr>
        <w:jc w:val="both"/>
        <w:rPr>
          <w:rFonts w:eastAsiaTheme="majorEastAsia"/>
          <w:color w:val="000000" w:themeColor="text1"/>
        </w:rPr>
      </w:pPr>
      <w:r w:rsidRPr="00EA4904">
        <w:rPr>
          <w:rFonts w:eastAsiaTheme="majorEastAsia"/>
          <w:color w:val="000000" w:themeColor="text1"/>
        </w:rPr>
        <w:t xml:space="preserve">The observed 73% should be interpreted as a </w:t>
      </w:r>
      <w:r w:rsidR="00D070AF" w:rsidRPr="00EA4904">
        <w:rPr>
          <w:rFonts w:eastAsiaTheme="majorEastAsia"/>
          <w:color w:val="000000" w:themeColor="text1"/>
        </w:rPr>
        <w:t>l</w:t>
      </w:r>
      <w:r w:rsidRPr="00EA4904">
        <w:rPr>
          <w:rFonts w:eastAsiaTheme="majorEastAsia"/>
          <w:color w:val="000000" w:themeColor="text1"/>
        </w:rPr>
        <w:t>ower bound</w:t>
      </w:r>
      <w:r w:rsidR="00A91537" w:rsidRPr="00EA4904">
        <w:rPr>
          <w:rFonts w:eastAsiaTheme="majorEastAsia"/>
          <w:color w:val="000000" w:themeColor="text1"/>
        </w:rPr>
        <w:t>, indicating the</w:t>
      </w:r>
      <w:r w:rsidRPr="00EA4904">
        <w:rPr>
          <w:rFonts w:eastAsiaTheme="majorEastAsia"/>
          <w:color w:val="000000" w:themeColor="text1"/>
        </w:rPr>
        <w:t xml:space="preserve"> minimum failure rate </w:t>
      </w:r>
    </w:p>
    <w:p w14:paraId="5B864694" w14:textId="0D44D014" w:rsidR="00882E98" w:rsidRPr="00EA4904" w:rsidRDefault="00882E98" w:rsidP="006B21E2">
      <w:pPr>
        <w:jc w:val="both"/>
        <w:rPr>
          <w:rFonts w:eastAsiaTheme="majorEastAsia"/>
          <w:color w:val="000000" w:themeColor="text1"/>
        </w:rPr>
      </w:pPr>
      <w:r w:rsidRPr="00EA4904">
        <w:rPr>
          <w:rFonts w:eastAsiaTheme="majorEastAsia"/>
          <w:color w:val="000000" w:themeColor="text1"/>
        </w:rPr>
        <w:t xml:space="preserve">among </w:t>
      </w:r>
      <w:r w:rsidR="00A91537" w:rsidRPr="00EA4904">
        <w:rPr>
          <w:rFonts w:eastAsiaTheme="majorEastAsia"/>
          <w:color w:val="000000" w:themeColor="text1"/>
        </w:rPr>
        <w:t xml:space="preserve">the </w:t>
      </w:r>
      <w:r w:rsidRPr="00EA4904">
        <w:rPr>
          <w:rFonts w:eastAsiaTheme="majorEastAsia"/>
          <w:color w:val="000000" w:themeColor="text1"/>
        </w:rPr>
        <w:t xml:space="preserve">positions that survived long enough to generate observable data. Throughout this </w:t>
      </w:r>
    </w:p>
    <w:p w14:paraId="12C7FCE0" w14:textId="35FD0896" w:rsidR="00882E98" w:rsidRPr="00EA4904" w:rsidRDefault="00A91537" w:rsidP="006B21E2">
      <w:pPr>
        <w:jc w:val="both"/>
        <w:rPr>
          <w:rFonts w:eastAsiaTheme="majorEastAsia"/>
          <w:color w:val="000000" w:themeColor="text1"/>
        </w:rPr>
      </w:pPr>
      <w:r w:rsidRPr="00EA4904">
        <w:rPr>
          <w:rFonts w:eastAsiaTheme="majorEastAsia"/>
          <w:color w:val="000000" w:themeColor="text1"/>
        </w:rPr>
        <w:t>research</w:t>
      </w:r>
      <w:r w:rsidR="00882E98" w:rsidRPr="00EA4904">
        <w:rPr>
          <w:rFonts w:eastAsiaTheme="majorEastAsia"/>
          <w:color w:val="000000" w:themeColor="text1"/>
        </w:rPr>
        <w:t xml:space="preserve"> "73%" refers to this lower bound, with the understanding that actual population-level failure rates may be substantially higher.</w:t>
      </w:r>
    </w:p>
    <w:p w14:paraId="29512ACA" w14:textId="77777777" w:rsidR="00882E98" w:rsidRPr="00EA4904" w:rsidRDefault="00882E98" w:rsidP="006B21E2">
      <w:pPr>
        <w:jc w:val="both"/>
        <w:rPr>
          <w:rFonts w:eastAsiaTheme="majorEastAsia"/>
          <w:color w:val="000000" w:themeColor="text1"/>
        </w:rPr>
      </w:pPr>
    </w:p>
    <w:p w14:paraId="4A3EEE61" w14:textId="53456C1B" w:rsidR="00BC3A12" w:rsidRPr="00EA4904" w:rsidRDefault="00BC3A12" w:rsidP="006B21E2">
      <w:pPr>
        <w:jc w:val="both"/>
        <w:rPr>
          <w:rFonts w:eastAsiaTheme="majorEastAsia"/>
          <w:color w:val="000000" w:themeColor="text1"/>
        </w:rPr>
      </w:pPr>
      <w:r w:rsidRPr="00EA4904">
        <w:rPr>
          <w:rFonts w:eastAsiaTheme="majorEastAsia"/>
          <w:color w:val="000000" w:themeColor="text1"/>
        </w:rPr>
        <w:lastRenderedPageBreak/>
        <w:t xml:space="preserve">This is not because DeFi is a scam or the technology does not work, but the failures came from three sources: </w:t>
      </w:r>
    </w:p>
    <w:p w14:paraId="6B4BCFC9" w14:textId="77777777" w:rsidR="00BC3A12" w:rsidRPr="00EA4904" w:rsidRDefault="00BC3A12" w:rsidP="006B21E2">
      <w:pPr>
        <w:numPr>
          <w:ilvl w:val="0"/>
          <w:numId w:val="104"/>
        </w:numPr>
        <w:jc w:val="both"/>
        <w:rPr>
          <w:rFonts w:eastAsiaTheme="majorEastAsia"/>
          <w:color w:val="000000" w:themeColor="text1"/>
        </w:rPr>
      </w:pPr>
      <w:r w:rsidRPr="00EA4904">
        <w:rPr>
          <w:rFonts w:eastAsiaTheme="majorEastAsia"/>
          <w:color w:val="000000" w:themeColor="text1"/>
        </w:rPr>
        <w:t>operational costs that exceeded returns for small positions</w:t>
      </w:r>
    </w:p>
    <w:p w14:paraId="566F35F9" w14:textId="77777777" w:rsidR="00BC3A12" w:rsidRPr="00EA4904" w:rsidRDefault="00BC3A12" w:rsidP="006B21E2">
      <w:pPr>
        <w:numPr>
          <w:ilvl w:val="0"/>
          <w:numId w:val="104"/>
        </w:numPr>
        <w:jc w:val="both"/>
        <w:rPr>
          <w:rFonts w:eastAsiaTheme="majorEastAsia"/>
          <w:color w:val="000000" w:themeColor="text1"/>
        </w:rPr>
      </w:pPr>
      <w:r w:rsidRPr="00EA4904">
        <w:rPr>
          <w:rFonts w:eastAsiaTheme="majorEastAsia"/>
          <w:color w:val="000000" w:themeColor="text1"/>
        </w:rPr>
        <w:t xml:space="preserve">risks that materialized more frequently than expected, and </w:t>
      </w:r>
    </w:p>
    <w:p w14:paraId="0376774A" w14:textId="77777777" w:rsidR="00BC3A12" w:rsidRPr="00EA4904" w:rsidRDefault="00BC3A12" w:rsidP="006B21E2">
      <w:pPr>
        <w:numPr>
          <w:ilvl w:val="0"/>
          <w:numId w:val="104"/>
        </w:numPr>
        <w:jc w:val="both"/>
        <w:rPr>
          <w:rFonts w:eastAsiaTheme="majorEastAsia"/>
          <w:color w:val="000000" w:themeColor="text1"/>
        </w:rPr>
      </w:pPr>
      <w:r w:rsidRPr="00EA4904">
        <w:rPr>
          <w:rFonts w:eastAsiaTheme="majorEastAsia"/>
          <w:color w:val="000000" w:themeColor="text1"/>
        </w:rPr>
        <w:t>time requirements that participants couldn't sustain.</w:t>
      </w:r>
    </w:p>
    <w:p w14:paraId="72CAFF96" w14:textId="77777777" w:rsidR="00BC3A12" w:rsidRPr="00EA4904" w:rsidRDefault="00BC3A12" w:rsidP="006B21E2">
      <w:pPr>
        <w:jc w:val="both"/>
        <w:rPr>
          <w:rFonts w:eastAsiaTheme="majorEastAsia"/>
          <w:color w:val="000000" w:themeColor="text1"/>
        </w:rPr>
      </w:pPr>
    </w:p>
    <w:p w14:paraId="70BC160D" w14:textId="77777777" w:rsidR="00BC3A12" w:rsidRPr="00EA4904" w:rsidRDefault="00BC3A12" w:rsidP="006B21E2">
      <w:pPr>
        <w:jc w:val="both"/>
        <w:rPr>
          <w:rFonts w:eastAsiaTheme="majorEastAsia"/>
          <w:color w:val="000000" w:themeColor="text1"/>
        </w:rPr>
      </w:pPr>
      <w:r w:rsidRPr="00EA4904">
        <w:rPr>
          <w:rFonts w:eastAsiaTheme="majorEastAsia"/>
          <w:color w:val="000000" w:themeColor="text1"/>
        </w:rPr>
        <w:t xml:space="preserve">But within this generally disappointing picture, clear patterns of success were identified. About 27% of positions achieved their objectives. This was not achieved randomly, as </w:t>
      </w:r>
      <w:proofErr w:type="gramStart"/>
      <w:r w:rsidRPr="00EA4904">
        <w:rPr>
          <w:rFonts w:eastAsiaTheme="majorEastAsia"/>
          <w:color w:val="000000" w:themeColor="text1"/>
        </w:rPr>
        <w:t>all of</w:t>
      </w:r>
      <w:proofErr w:type="gramEnd"/>
      <w:r w:rsidRPr="00EA4904">
        <w:rPr>
          <w:rFonts w:eastAsiaTheme="majorEastAsia"/>
          <w:color w:val="000000" w:themeColor="text1"/>
        </w:rPr>
        <w:t xml:space="preserve"> </w:t>
      </w:r>
      <w:proofErr w:type="gramStart"/>
      <w:r w:rsidRPr="00EA4904">
        <w:rPr>
          <w:rFonts w:eastAsiaTheme="majorEastAsia"/>
          <w:color w:val="000000" w:themeColor="text1"/>
        </w:rPr>
        <w:t>the</w:t>
      </w:r>
      <w:proofErr w:type="gramEnd"/>
      <w:r w:rsidRPr="00EA4904">
        <w:rPr>
          <w:rFonts w:eastAsiaTheme="majorEastAsia"/>
          <w:color w:val="000000" w:themeColor="text1"/>
        </w:rPr>
        <w:t xml:space="preserve"> share these characteristics: </w:t>
      </w:r>
    </w:p>
    <w:p w14:paraId="7AA6D499" w14:textId="77777777" w:rsidR="00BC3A12" w:rsidRPr="00EA4904" w:rsidRDefault="00BC3A12" w:rsidP="006B21E2">
      <w:pPr>
        <w:numPr>
          <w:ilvl w:val="0"/>
          <w:numId w:val="105"/>
        </w:numPr>
        <w:jc w:val="both"/>
        <w:rPr>
          <w:rFonts w:eastAsiaTheme="majorEastAsia"/>
          <w:color w:val="000000" w:themeColor="text1"/>
        </w:rPr>
      </w:pPr>
      <w:r w:rsidRPr="00EA4904">
        <w:rPr>
          <w:rFonts w:eastAsiaTheme="majorEastAsia"/>
          <w:color w:val="000000" w:themeColor="text1"/>
        </w:rPr>
        <w:t>sufficient capital relative to their chosen strategy</w:t>
      </w:r>
    </w:p>
    <w:p w14:paraId="6D36F6BA" w14:textId="77777777" w:rsidR="00BC3A12" w:rsidRPr="00EA4904" w:rsidRDefault="00BC3A12" w:rsidP="006B21E2">
      <w:pPr>
        <w:numPr>
          <w:ilvl w:val="0"/>
          <w:numId w:val="105"/>
        </w:numPr>
        <w:jc w:val="both"/>
        <w:rPr>
          <w:rFonts w:eastAsiaTheme="majorEastAsia"/>
          <w:color w:val="000000" w:themeColor="text1"/>
        </w:rPr>
      </w:pPr>
      <w:r w:rsidRPr="00EA4904">
        <w:rPr>
          <w:rFonts w:eastAsiaTheme="majorEastAsia"/>
          <w:color w:val="000000" w:themeColor="text1"/>
        </w:rPr>
        <w:t xml:space="preserve">technical competence matched to complexity, and </w:t>
      </w:r>
    </w:p>
    <w:p w14:paraId="70A4353A" w14:textId="77777777" w:rsidR="00BC3A12" w:rsidRPr="00EA4904" w:rsidRDefault="00BC3A12" w:rsidP="006B21E2">
      <w:pPr>
        <w:numPr>
          <w:ilvl w:val="0"/>
          <w:numId w:val="105"/>
        </w:numPr>
        <w:jc w:val="both"/>
        <w:rPr>
          <w:rFonts w:eastAsiaTheme="majorEastAsia"/>
          <w:color w:val="000000" w:themeColor="text1"/>
        </w:rPr>
      </w:pPr>
      <w:r w:rsidRPr="00EA4904">
        <w:rPr>
          <w:rFonts w:eastAsiaTheme="majorEastAsia"/>
          <w:color w:val="000000" w:themeColor="text1"/>
        </w:rPr>
        <w:t xml:space="preserve">realistic expectations about returns. </w:t>
      </w:r>
    </w:p>
    <w:p w14:paraId="669AF56B" w14:textId="77777777" w:rsidR="00BC3A12" w:rsidRPr="00EA4904" w:rsidRDefault="00BC3A12" w:rsidP="006B21E2">
      <w:pPr>
        <w:jc w:val="both"/>
        <w:rPr>
          <w:rFonts w:eastAsiaTheme="majorEastAsia"/>
          <w:color w:val="000000" w:themeColor="text1"/>
        </w:rPr>
      </w:pPr>
    </w:p>
    <w:p w14:paraId="61C5F3BE" w14:textId="77777777" w:rsidR="00BC3A12" w:rsidRPr="00EA4904" w:rsidRDefault="00BC3A12" w:rsidP="006B21E2">
      <w:pPr>
        <w:jc w:val="both"/>
        <w:rPr>
          <w:rFonts w:eastAsiaTheme="majorEastAsia"/>
          <w:color w:val="000000" w:themeColor="text1"/>
        </w:rPr>
      </w:pPr>
      <w:r w:rsidRPr="00EA4904">
        <w:rPr>
          <w:rFonts w:eastAsiaTheme="majorEastAsia"/>
          <w:color w:val="000000" w:themeColor="text1"/>
        </w:rPr>
        <w:t>When participants aligned their resources with the appropriate strategies, success became probable rather than lucky.</w:t>
      </w:r>
    </w:p>
    <w:p w14:paraId="2B24A0FF" w14:textId="77777777" w:rsidR="00F6370B" w:rsidRPr="00EA4904" w:rsidRDefault="00F6370B" w:rsidP="006B21E2">
      <w:pPr>
        <w:jc w:val="both"/>
        <w:rPr>
          <w:rFonts w:eastAsiaTheme="majorEastAsia"/>
          <w:color w:val="000000" w:themeColor="text1"/>
        </w:rPr>
      </w:pPr>
    </w:p>
    <w:p w14:paraId="58E26187" w14:textId="4E53E4A9" w:rsidR="00F6370B" w:rsidRPr="00EA4904" w:rsidRDefault="00F6370B" w:rsidP="006B2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color w:val="000000" w:themeColor="text1"/>
        </w:rPr>
      </w:pPr>
      <w:r w:rsidRPr="00EA4904">
        <w:rPr>
          <w:i/>
          <w:iCs/>
          <w:color w:val="000000" w:themeColor="text1"/>
        </w:rPr>
        <w:t>Important Note on Return Figures Throughout This Dissertation:</w:t>
      </w:r>
      <w:r w:rsidR="001A395C" w:rsidRPr="00EA4904">
        <w:rPr>
          <w:i/>
          <w:iCs/>
          <w:color w:val="000000" w:themeColor="text1"/>
        </w:rPr>
        <w:t xml:space="preserve"> </w:t>
      </w:r>
      <w:r w:rsidR="002206AE" w:rsidRPr="00EA4904">
        <w:rPr>
          <w:color w:val="000000" w:themeColor="text1"/>
        </w:rPr>
        <w:t xml:space="preserve">The return percentages change from chapter to chapter depending on the analytical context. The return discussed in Chapter 1 and here in Chapter 8 only applies to the 27% of positions that made money. This is a very important survivorship adjustment. The median return for all 156 tracked positions was about -2%, and the mean return was about -1.2% (which was mostly due to huge losses in the bottom quartile). Returns that are specific to a strategy (4–8% for stablecoins and 6–12% for correlated pairs) show subsets of successful positions that meet certain criteria. Capital-stratified returns (3–5% for less than $3,500, 8–14% for $25,000–$100,000) show that there are different opportunities at different scales, not that there are different strategies for the same amount of capital. Table 1.0 in Section 1.3.0 gives </w:t>
      </w:r>
      <w:proofErr w:type="gramStart"/>
      <w:r w:rsidR="002206AE" w:rsidRPr="00EA4904">
        <w:rPr>
          <w:color w:val="000000" w:themeColor="text1"/>
        </w:rPr>
        <w:t>a full</w:t>
      </w:r>
      <w:proofErr w:type="gramEnd"/>
      <w:r w:rsidR="002206AE" w:rsidRPr="00EA4904">
        <w:rPr>
          <w:color w:val="000000" w:themeColor="text1"/>
        </w:rPr>
        <w:t xml:space="preserve"> reconciliation. All returns are net of gas costs unless otherwise stated. Time value is not included, which is an important difference discussed in Section 8.5.</w:t>
      </w:r>
    </w:p>
    <w:p w14:paraId="529F15C1" w14:textId="77777777" w:rsidR="005C21FD" w:rsidRPr="00EA4904" w:rsidRDefault="005C21FD" w:rsidP="006B21E2">
      <w:pPr>
        <w:jc w:val="both"/>
        <w:rPr>
          <w:rFonts w:eastAsiaTheme="majorEastAsia"/>
          <w:color w:val="000000" w:themeColor="text1"/>
        </w:rPr>
      </w:pPr>
    </w:p>
    <w:p w14:paraId="4EA50BD8" w14:textId="0CD6BC66" w:rsidR="00FC3DF4" w:rsidRPr="00EA4904" w:rsidRDefault="008D6F57" w:rsidP="006B21E2">
      <w:pPr>
        <w:pStyle w:val="Heading2"/>
        <w:rPr>
          <w:rFonts w:eastAsiaTheme="majorEastAsia"/>
          <w:sz w:val="24"/>
        </w:rPr>
      </w:pPr>
      <w:bookmarkStart w:id="187" w:name="_Toc214721993"/>
      <w:r w:rsidRPr="00EA4904">
        <w:rPr>
          <w:rFonts w:eastAsiaTheme="majorEastAsia"/>
          <w:sz w:val="24"/>
        </w:rPr>
        <w:t>8</w:t>
      </w:r>
      <w:r w:rsidR="00FC3DF4" w:rsidRPr="00EA4904">
        <w:rPr>
          <w:rFonts w:eastAsiaTheme="majorEastAsia"/>
          <w:sz w:val="24"/>
        </w:rPr>
        <w:t>.2 Staking: The Volatility Problem</w:t>
      </w:r>
      <w:bookmarkEnd w:id="187"/>
    </w:p>
    <w:p w14:paraId="56D733B6" w14:textId="7A654F97" w:rsidR="00FD5560" w:rsidRPr="00EA4904" w:rsidRDefault="00FD5560" w:rsidP="006B21E2">
      <w:pPr>
        <w:jc w:val="both"/>
        <w:rPr>
          <w:rFonts w:eastAsiaTheme="majorEastAsia"/>
          <w:color w:val="000000" w:themeColor="text1"/>
        </w:rPr>
      </w:pPr>
      <w:r w:rsidRPr="00EA4904">
        <w:rPr>
          <w:rFonts w:eastAsiaTheme="majorEastAsia"/>
          <w:color w:val="000000" w:themeColor="text1"/>
        </w:rPr>
        <w:t xml:space="preserve">Staking - as passive </w:t>
      </w:r>
      <w:r w:rsidR="00605BFE" w:rsidRPr="00EA4904">
        <w:rPr>
          <w:rFonts w:eastAsiaTheme="majorEastAsia"/>
          <w:color w:val="000000" w:themeColor="text1"/>
        </w:rPr>
        <w:t>income - appears</w:t>
      </w:r>
      <w:r w:rsidRPr="00EA4904">
        <w:rPr>
          <w:rFonts w:eastAsiaTheme="majorEastAsia"/>
          <w:color w:val="000000" w:themeColor="text1"/>
        </w:rPr>
        <w:t xml:space="preserve"> to be </w:t>
      </w:r>
      <w:proofErr w:type="gramStart"/>
      <w:r w:rsidRPr="00EA4904">
        <w:rPr>
          <w:rFonts w:eastAsiaTheme="majorEastAsia"/>
          <w:color w:val="000000" w:themeColor="text1"/>
        </w:rPr>
        <w:t>really simple</w:t>
      </w:r>
      <w:proofErr w:type="gramEnd"/>
      <w:r w:rsidRPr="00EA4904">
        <w:rPr>
          <w:rFonts w:eastAsiaTheme="majorEastAsia"/>
          <w:color w:val="000000" w:themeColor="text1"/>
        </w:rPr>
        <w:t xml:space="preserve">: </w:t>
      </w:r>
      <w:r w:rsidR="00605BFE" w:rsidRPr="00EA4904">
        <w:rPr>
          <w:rFonts w:eastAsiaTheme="majorEastAsia"/>
          <w:color w:val="000000" w:themeColor="text1"/>
        </w:rPr>
        <w:t>locking</w:t>
      </w:r>
      <w:r w:rsidRPr="00EA4904">
        <w:rPr>
          <w:rFonts w:eastAsiaTheme="majorEastAsia"/>
          <w:color w:val="000000" w:themeColor="text1"/>
        </w:rPr>
        <w:t xml:space="preserve"> tokens, </w:t>
      </w:r>
      <w:r w:rsidR="00A73722" w:rsidRPr="00EA4904">
        <w:rPr>
          <w:rFonts w:eastAsiaTheme="majorEastAsia"/>
          <w:color w:val="000000" w:themeColor="text1"/>
        </w:rPr>
        <w:t>sitting</w:t>
      </w:r>
      <w:r w:rsidRPr="00EA4904">
        <w:rPr>
          <w:rFonts w:eastAsiaTheme="majorEastAsia"/>
          <w:color w:val="000000" w:themeColor="text1"/>
        </w:rPr>
        <w:t xml:space="preserve"> back and earn</w:t>
      </w:r>
      <w:r w:rsidR="00605BFE" w:rsidRPr="00EA4904">
        <w:rPr>
          <w:rFonts w:eastAsiaTheme="majorEastAsia"/>
          <w:color w:val="000000" w:themeColor="text1"/>
        </w:rPr>
        <w:t>ing</w:t>
      </w:r>
      <w:r w:rsidRPr="00EA4904">
        <w:rPr>
          <w:rFonts w:eastAsiaTheme="majorEastAsia"/>
          <w:color w:val="000000" w:themeColor="text1"/>
        </w:rPr>
        <w:t xml:space="preserve"> rewards. </w:t>
      </w:r>
      <w:r w:rsidR="00A73722" w:rsidRPr="00EA4904">
        <w:rPr>
          <w:rFonts w:eastAsiaTheme="majorEastAsia"/>
          <w:color w:val="000000" w:themeColor="text1"/>
        </w:rPr>
        <w:t>But</w:t>
      </w:r>
      <w:r w:rsidRPr="00EA4904">
        <w:rPr>
          <w:rFonts w:eastAsiaTheme="majorEastAsia"/>
          <w:color w:val="000000" w:themeColor="text1"/>
        </w:rPr>
        <w:t xml:space="preserve"> as the </w:t>
      </w:r>
      <w:r w:rsidR="00913601" w:rsidRPr="00EA4904">
        <w:rPr>
          <w:rFonts w:eastAsiaTheme="majorEastAsia"/>
          <w:color w:val="000000" w:themeColor="text1"/>
        </w:rPr>
        <w:t>research</w:t>
      </w:r>
      <w:r w:rsidRPr="00EA4904">
        <w:rPr>
          <w:rFonts w:eastAsiaTheme="majorEastAsia"/>
          <w:color w:val="000000" w:themeColor="text1"/>
        </w:rPr>
        <w:t xml:space="preserve"> showed </w:t>
      </w:r>
      <w:proofErr w:type="gramStart"/>
      <w:r w:rsidRPr="00EA4904">
        <w:rPr>
          <w:rFonts w:eastAsiaTheme="majorEastAsia"/>
          <w:color w:val="000000" w:themeColor="text1"/>
        </w:rPr>
        <w:t>here</w:t>
      </w:r>
      <w:proofErr w:type="gramEnd"/>
      <w:r w:rsidRPr="00EA4904">
        <w:rPr>
          <w:rFonts w:eastAsiaTheme="majorEastAsia"/>
          <w:color w:val="000000" w:themeColor="text1"/>
        </w:rPr>
        <w:t xml:space="preserve"> the reality is a lot more difficult and complex. The 47 staking positions tracked through this study showed that nominal yields meant almost nothing when compared to token price movements.</w:t>
      </w:r>
    </w:p>
    <w:p w14:paraId="18E7AE87" w14:textId="77777777" w:rsidR="00FD5560" w:rsidRPr="00EA4904" w:rsidRDefault="00FD5560" w:rsidP="006B21E2">
      <w:pPr>
        <w:jc w:val="both"/>
        <w:rPr>
          <w:rFonts w:eastAsiaTheme="majorEastAsia"/>
          <w:color w:val="000000" w:themeColor="text1"/>
        </w:rPr>
      </w:pPr>
    </w:p>
    <w:p w14:paraId="0B1F299E" w14:textId="2587946D" w:rsidR="00FD5560" w:rsidRPr="00EA4904" w:rsidRDefault="007744D8" w:rsidP="006B21E2">
      <w:pPr>
        <w:jc w:val="both"/>
        <w:rPr>
          <w:rFonts w:eastAsiaTheme="majorEastAsia"/>
          <w:color w:val="EE0000"/>
        </w:rPr>
      </w:pPr>
      <w:r w:rsidRPr="00EA4904">
        <w:rPr>
          <w:rFonts w:eastAsiaTheme="majorEastAsia"/>
          <w:color w:val="000000" w:themeColor="text1"/>
        </w:rPr>
        <w:t xml:space="preserve">When analyzing the numbers, it </w:t>
      </w:r>
      <w:r w:rsidR="00512F7C" w:rsidRPr="00EA4904">
        <w:rPr>
          <w:rFonts w:eastAsiaTheme="majorEastAsia"/>
          <w:color w:val="000000" w:themeColor="text1"/>
        </w:rPr>
        <w:t>became</w:t>
      </w:r>
      <w:r w:rsidRPr="00EA4904">
        <w:rPr>
          <w:rFonts w:eastAsiaTheme="majorEastAsia"/>
          <w:color w:val="000000" w:themeColor="text1"/>
        </w:rPr>
        <w:t xml:space="preserve"> </w:t>
      </w:r>
      <w:r w:rsidR="00605BFE" w:rsidRPr="00EA4904">
        <w:rPr>
          <w:rFonts w:eastAsiaTheme="majorEastAsia"/>
          <w:color w:val="000000" w:themeColor="text1"/>
        </w:rPr>
        <w:t>obvious</w:t>
      </w:r>
      <w:r w:rsidRPr="00EA4904">
        <w:rPr>
          <w:rFonts w:eastAsiaTheme="majorEastAsia"/>
          <w:color w:val="000000" w:themeColor="text1"/>
        </w:rPr>
        <w:t xml:space="preserve"> that staking is not the best passive income given the market fluctuations. </w:t>
      </w:r>
      <w:r w:rsidR="00605BFE" w:rsidRPr="00EA4904">
        <w:rPr>
          <w:rFonts w:eastAsiaTheme="majorEastAsia"/>
          <w:color w:val="000000" w:themeColor="text1"/>
        </w:rPr>
        <w:t>When l</w:t>
      </w:r>
      <w:r w:rsidRPr="00EA4904">
        <w:rPr>
          <w:rFonts w:eastAsiaTheme="majorEastAsia"/>
          <w:color w:val="000000" w:themeColor="text1"/>
        </w:rPr>
        <w:t xml:space="preserve">ooking at Ethereum </w:t>
      </w:r>
      <w:proofErr w:type="spellStart"/>
      <w:r w:rsidRPr="00EA4904">
        <w:rPr>
          <w:rFonts w:eastAsiaTheme="majorEastAsia"/>
          <w:color w:val="000000" w:themeColor="text1"/>
        </w:rPr>
        <w:t>stakers</w:t>
      </w:r>
      <w:proofErr w:type="spellEnd"/>
      <w:r w:rsidRPr="00EA4904">
        <w:rPr>
          <w:rFonts w:eastAsiaTheme="majorEastAsia"/>
          <w:color w:val="000000" w:themeColor="text1"/>
        </w:rPr>
        <w:t xml:space="preserve"> through </w:t>
      </w:r>
      <w:r w:rsidR="00605BFE" w:rsidRPr="00EA4904">
        <w:rPr>
          <w:rFonts w:eastAsiaTheme="majorEastAsia"/>
          <w:color w:val="000000" w:themeColor="text1"/>
        </w:rPr>
        <w:t>the</w:t>
      </w:r>
      <w:r w:rsidRPr="00EA4904">
        <w:rPr>
          <w:rFonts w:eastAsiaTheme="majorEastAsia"/>
          <w:color w:val="000000" w:themeColor="text1"/>
        </w:rPr>
        <w:t xml:space="preserve"> research period, they earned 4.8% in ETH terms consistently. But in USD terms, and that is how most people measure wealth, the returns varied wildly. In 2022, ETH </w:t>
      </w:r>
      <w:proofErr w:type="spellStart"/>
      <w:r w:rsidRPr="00EA4904">
        <w:rPr>
          <w:rFonts w:eastAsiaTheme="majorEastAsia"/>
          <w:color w:val="000000" w:themeColor="text1"/>
        </w:rPr>
        <w:t>stakers</w:t>
      </w:r>
      <w:proofErr w:type="spellEnd"/>
      <w:r w:rsidRPr="00EA4904">
        <w:rPr>
          <w:rFonts w:eastAsiaTheme="majorEastAsia"/>
          <w:color w:val="000000" w:themeColor="text1"/>
        </w:rPr>
        <w:t xml:space="preserve"> lost 6</w:t>
      </w:r>
      <w:r w:rsidR="00C21E18" w:rsidRPr="00EA4904">
        <w:rPr>
          <w:rFonts w:eastAsiaTheme="majorEastAsia"/>
          <w:color w:val="000000" w:themeColor="text1"/>
        </w:rPr>
        <w:t>6</w:t>
      </w:r>
      <w:r w:rsidRPr="00EA4904">
        <w:rPr>
          <w:rFonts w:eastAsiaTheme="majorEastAsia"/>
          <w:color w:val="000000" w:themeColor="text1"/>
        </w:rPr>
        <w:t>.</w:t>
      </w:r>
      <w:r w:rsidR="00C21E18" w:rsidRPr="00EA4904">
        <w:rPr>
          <w:rFonts w:eastAsiaTheme="majorEastAsia"/>
          <w:color w:val="000000" w:themeColor="text1"/>
        </w:rPr>
        <w:t>9</w:t>
      </w:r>
      <w:r w:rsidRPr="00EA4904">
        <w:rPr>
          <w:rFonts w:eastAsiaTheme="majorEastAsia"/>
          <w:color w:val="000000" w:themeColor="text1"/>
        </w:rPr>
        <w:t xml:space="preserve">% in real terms despite earning their 4.8% yield because ETH dropped from $3,800 to $1,200—a 68.4% price decline that completely overwhelmed the staking rewards. In 2023, they made 47.2% more money, but 91% </w:t>
      </w:r>
      <w:r w:rsidR="00605BFE" w:rsidRPr="00EA4904">
        <w:rPr>
          <w:rFonts w:eastAsiaTheme="majorEastAsia"/>
          <w:color w:val="000000" w:themeColor="text1"/>
        </w:rPr>
        <w:t>of that</w:t>
      </w:r>
      <w:r w:rsidRPr="00EA4904">
        <w:rPr>
          <w:rFonts w:eastAsiaTheme="majorEastAsia"/>
          <w:color w:val="000000" w:themeColor="text1"/>
        </w:rPr>
        <w:t xml:space="preserve"> came from the price going up, not from staking rewards. P</w:t>
      </w:r>
      <w:r w:rsidR="00FD5560" w:rsidRPr="00EA4904">
        <w:rPr>
          <w:rFonts w:eastAsiaTheme="majorEastAsia"/>
          <w:color w:val="000000" w:themeColor="text1"/>
        </w:rPr>
        <w:t>rice changes were much more important than the staking yield. Please keep in mind that these return numbers are based on my specific sample period (2020–2024), which had a lot of ups and downs. As market conditions return to normal, future returns may be very different.</w:t>
      </w:r>
    </w:p>
    <w:p w14:paraId="458C4B32" w14:textId="77777777" w:rsidR="00FD5560" w:rsidRPr="00EA4904" w:rsidRDefault="00FD5560" w:rsidP="006B21E2">
      <w:pPr>
        <w:jc w:val="both"/>
        <w:rPr>
          <w:rFonts w:eastAsiaTheme="majorEastAsia"/>
          <w:color w:val="000000" w:themeColor="text1"/>
        </w:rPr>
      </w:pPr>
    </w:p>
    <w:p w14:paraId="322D8ADE" w14:textId="0495121B" w:rsidR="00FD5560" w:rsidRPr="00EA4904" w:rsidRDefault="00FD5560" w:rsidP="006B21E2">
      <w:pPr>
        <w:jc w:val="both"/>
        <w:rPr>
          <w:rFonts w:eastAsiaTheme="majorEastAsia"/>
          <w:color w:val="000000" w:themeColor="text1"/>
        </w:rPr>
      </w:pPr>
      <w:r w:rsidRPr="00EA4904">
        <w:rPr>
          <w:rFonts w:eastAsiaTheme="majorEastAsia"/>
          <w:color w:val="000000" w:themeColor="text1"/>
        </w:rPr>
        <w:t xml:space="preserve">Direct staking showed prohibitive barriers for most participants. </w:t>
      </w:r>
      <w:r w:rsidR="00913601" w:rsidRPr="00EA4904">
        <w:rPr>
          <w:rFonts w:eastAsiaTheme="majorEastAsia"/>
          <w:color w:val="000000" w:themeColor="text1"/>
        </w:rPr>
        <w:t>This</w:t>
      </w:r>
      <w:r w:rsidRPr="00EA4904">
        <w:rPr>
          <w:rFonts w:eastAsiaTheme="majorEastAsia"/>
          <w:color w:val="000000" w:themeColor="text1"/>
        </w:rPr>
        <w:t xml:space="preserve"> was </w:t>
      </w:r>
      <w:proofErr w:type="gramStart"/>
      <w:r w:rsidRPr="00EA4904">
        <w:rPr>
          <w:rFonts w:eastAsiaTheme="majorEastAsia"/>
          <w:color w:val="000000" w:themeColor="text1"/>
        </w:rPr>
        <w:t>due to the fact that</w:t>
      </w:r>
      <w:proofErr w:type="gramEnd"/>
      <w:r w:rsidRPr="00EA4904">
        <w:rPr>
          <w:rFonts w:eastAsiaTheme="majorEastAsia"/>
          <w:color w:val="000000" w:themeColor="text1"/>
        </w:rPr>
        <w:t xml:space="preserve"> Ethereum requires at least 32 ETH (approximately $96,000), and that basically excludes majority of potential participants. </w:t>
      </w:r>
      <w:proofErr w:type="spellStart"/>
      <w:r w:rsidRPr="00EA4904">
        <w:rPr>
          <w:rFonts w:eastAsiaTheme="majorEastAsia"/>
          <w:color w:val="000000" w:themeColor="text1"/>
        </w:rPr>
        <w:t>Polkadot's</w:t>
      </w:r>
      <w:proofErr w:type="spellEnd"/>
      <w:r w:rsidRPr="00EA4904">
        <w:rPr>
          <w:rFonts w:eastAsiaTheme="majorEastAsia"/>
          <w:color w:val="000000" w:themeColor="text1"/>
        </w:rPr>
        <w:t xml:space="preserve"> - on the other </w:t>
      </w:r>
      <w:proofErr w:type="gramStart"/>
      <w:r w:rsidRPr="00EA4904">
        <w:rPr>
          <w:rFonts w:eastAsiaTheme="majorEastAsia"/>
          <w:color w:val="000000" w:themeColor="text1"/>
        </w:rPr>
        <w:t>hand only</w:t>
      </w:r>
      <w:proofErr w:type="gramEnd"/>
      <w:r w:rsidRPr="00EA4904">
        <w:rPr>
          <w:rFonts w:eastAsiaTheme="majorEastAsia"/>
          <w:color w:val="000000" w:themeColor="text1"/>
        </w:rPr>
        <w:t xml:space="preserve"> has a 120 DOT minimum ($1,200) </w:t>
      </w:r>
      <w:r w:rsidRPr="00EA4904">
        <w:rPr>
          <w:rFonts w:eastAsiaTheme="majorEastAsia"/>
          <w:color w:val="000000" w:themeColor="text1"/>
        </w:rPr>
        <w:lastRenderedPageBreak/>
        <w:t xml:space="preserve">and is </w:t>
      </w:r>
      <w:r w:rsidR="00913601" w:rsidRPr="00EA4904">
        <w:rPr>
          <w:rFonts w:eastAsiaTheme="majorEastAsia"/>
          <w:color w:val="000000" w:themeColor="text1"/>
        </w:rPr>
        <w:t>therefore</w:t>
      </w:r>
      <w:r w:rsidRPr="00EA4904">
        <w:rPr>
          <w:rFonts w:eastAsiaTheme="majorEastAsia"/>
          <w:color w:val="000000" w:themeColor="text1"/>
        </w:rPr>
        <w:t xml:space="preserve"> bit more accessible. My tracking however revealed that stakes below 1,000 DOT ($10,000) frequently went un-nominated, earning absolutely nothing. The advertised minimums were technically accurate but practically meaningless when it comes to passive income generation.</w:t>
      </w:r>
    </w:p>
    <w:p w14:paraId="183527FD" w14:textId="77777777" w:rsidR="00FD5560" w:rsidRPr="00EA4904" w:rsidRDefault="00FD5560" w:rsidP="006B21E2">
      <w:pPr>
        <w:jc w:val="both"/>
        <w:rPr>
          <w:rFonts w:eastAsiaTheme="majorEastAsia"/>
          <w:color w:val="000000" w:themeColor="text1"/>
        </w:rPr>
      </w:pPr>
    </w:p>
    <w:p w14:paraId="4A4BD75F" w14:textId="77777777" w:rsidR="00FD5560" w:rsidRPr="00EA4904" w:rsidRDefault="00FD5560" w:rsidP="006B21E2">
      <w:pPr>
        <w:jc w:val="both"/>
        <w:rPr>
          <w:rFonts w:eastAsiaTheme="majorEastAsia"/>
          <w:color w:val="000000" w:themeColor="text1"/>
        </w:rPr>
      </w:pPr>
      <w:r w:rsidRPr="00EA4904">
        <w:rPr>
          <w:rFonts w:eastAsiaTheme="majorEastAsia"/>
          <w:color w:val="000000" w:themeColor="text1"/>
        </w:rPr>
        <w:t xml:space="preserve">Liquid staking through services like Lido enabled smaller participants to access staking yields, but at a heavy cost. After Lido's 10% fee, </w:t>
      </w:r>
      <w:proofErr w:type="spellStart"/>
      <w:r w:rsidRPr="00EA4904">
        <w:rPr>
          <w:rFonts w:eastAsiaTheme="majorEastAsia"/>
          <w:color w:val="000000" w:themeColor="text1"/>
        </w:rPr>
        <w:t>stakers</w:t>
      </w:r>
      <w:proofErr w:type="spellEnd"/>
      <w:r w:rsidRPr="00EA4904">
        <w:rPr>
          <w:rFonts w:eastAsiaTheme="majorEastAsia"/>
          <w:color w:val="000000" w:themeColor="text1"/>
        </w:rPr>
        <w:t xml:space="preserve"> earned about 4.3% on Ethereum. During my study period, U.S. Treasuries yielded 4.5%. Participants were accepting cryptocurrency volatility risk for lower returns than risk-free government bonds. This violates fundamental investment principles, however thousands of people did it anyway, attracted by the "passive income" narrative and not really understanding the risk associated with this.</w:t>
      </w:r>
    </w:p>
    <w:p w14:paraId="5A9235C5" w14:textId="77777777" w:rsidR="00FD5560" w:rsidRPr="00EA4904" w:rsidRDefault="00FD5560" w:rsidP="006B21E2">
      <w:pPr>
        <w:jc w:val="both"/>
        <w:rPr>
          <w:rFonts w:eastAsiaTheme="majorEastAsia"/>
          <w:color w:val="000000" w:themeColor="text1"/>
        </w:rPr>
      </w:pPr>
    </w:p>
    <w:p w14:paraId="3625B3BD" w14:textId="65E44696" w:rsidR="00FD5560" w:rsidRPr="00EA4904" w:rsidRDefault="00FD5560" w:rsidP="006B21E2">
      <w:pPr>
        <w:jc w:val="both"/>
        <w:rPr>
          <w:rFonts w:eastAsiaTheme="majorEastAsia"/>
          <w:color w:val="000000" w:themeColor="text1"/>
        </w:rPr>
      </w:pPr>
      <w:r w:rsidRPr="00EA4904">
        <w:rPr>
          <w:rFonts w:eastAsiaTheme="majorEastAsia"/>
          <w:color w:val="000000" w:themeColor="text1"/>
        </w:rPr>
        <w:t xml:space="preserve">The successful staking positions in my sample were not trying to generate income. They were staked long-term holders earning a small yield on assets they planned to keep anyway. For them, 4.8% was better than 0%. But for all others seeking real passive income, staking proved to be leveraged speculation on token prices. </w:t>
      </w:r>
    </w:p>
    <w:p w14:paraId="24EE8FFD" w14:textId="77777777" w:rsidR="005C21FD" w:rsidRPr="003C66A0" w:rsidRDefault="005C21FD" w:rsidP="006B21E2">
      <w:pPr>
        <w:jc w:val="both"/>
        <w:rPr>
          <w:rFonts w:eastAsiaTheme="majorEastAsia"/>
          <w:color w:val="000000" w:themeColor="text1"/>
        </w:rPr>
      </w:pPr>
    </w:p>
    <w:p w14:paraId="538B6310" w14:textId="7DF6B11E" w:rsidR="00FC3DF4" w:rsidRPr="003C66A0" w:rsidRDefault="008D6F57" w:rsidP="006B21E2">
      <w:pPr>
        <w:pStyle w:val="Heading2"/>
        <w:rPr>
          <w:rFonts w:eastAsiaTheme="majorEastAsia"/>
        </w:rPr>
      </w:pPr>
      <w:bookmarkStart w:id="188" w:name="_Toc214721994"/>
      <w:r w:rsidRPr="003C66A0">
        <w:rPr>
          <w:rFonts w:eastAsiaTheme="majorEastAsia"/>
        </w:rPr>
        <w:t>8</w:t>
      </w:r>
      <w:r w:rsidR="00FC3DF4" w:rsidRPr="003C66A0">
        <w:rPr>
          <w:rFonts w:eastAsiaTheme="majorEastAsia"/>
        </w:rPr>
        <w:t>.3 Yield Farming: The Compression Problem</w:t>
      </w:r>
      <w:bookmarkEnd w:id="188"/>
    </w:p>
    <w:p w14:paraId="5E1FCD1B" w14:textId="77777777" w:rsidR="00F01D28" w:rsidRPr="003C66A0" w:rsidRDefault="00F01D28" w:rsidP="006B21E2">
      <w:pPr>
        <w:jc w:val="both"/>
        <w:rPr>
          <w:rFonts w:eastAsiaTheme="majorEastAsia"/>
          <w:color w:val="000000" w:themeColor="text1"/>
        </w:rPr>
      </w:pPr>
      <w:r w:rsidRPr="003C66A0">
        <w:rPr>
          <w:rFonts w:eastAsiaTheme="majorEastAsia"/>
          <w:color w:val="000000" w:themeColor="text1"/>
        </w:rPr>
        <w:t>Yield farming showcased DeFi's most aggressive marketing claims and at the same time the most disappointing realities. I tracked 89 yield farming positions through complete lifecycles, from launch euphoria to inevitable compression in this research, and a pattern repeated itself with remarkable consistency across the different protocols. Weeks 1-4 saw APYs of 100-10,000% as protocols bootstrapped liquidity with aggressive token incentives. Weeks 5-12 brought a decline to 50-500% as capital flooded in. Weeks 13-52 saw further drops to 10-50% as emissions decreased and after one year, yields typically were at 5-20%. This was often below simpler alternatives.</w:t>
      </w:r>
    </w:p>
    <w:p w14:paraId="050C6BB0" w14:textId="77777777" w:rsidR="00F01D28" w:rsidRPr="003C66A0" w:rsidRDefault="00F01D28" w:rsidP="006B21E2">
      <w:pPr>
        <w:jc w:val="both"/>
        <w:rPr>
          <w:rFonts w:eastAsiaTheme="majorEastAsia"/>
          <w:color w:val="000000" w:themeColor="text1"/>
        </w:rPr>
      </w:pPr>
    </w:p>
    <w:p w14:paraId="488C0179" w14:textId="77777777" w:rsidR="00F01D28" w:rsidRPr="003C66A0" w:rsidRDefault="00F01D28" w:rsidP="006B21E2">
      <w:pPr>
        <w:jc w:val="both"/>
        <w:rPr>
          <w:rFonts w:eastAsiaTheme="majorEastAsia"/>
          <w:color w:val="000000" w:themeColor="text1"/>
        </w:rPr>
      </w:pPr>
      <w:r w:rsidRPr="003C66A0">
        <w:rPr>
          <w:rFonts w:eastAsiaTheme="majorEastAsia"/>
          <w:color w:val="000000" w:themeColor="text1"/>
        </w:rPr>
        <w:t xml:space="preserve">The hidden costs that were associated with yield farming changed the theoretical profits into real losses. Looking at gas fees alone, they averaged $847 per position per quarter on Ethereum </w:t>
      </w:r>
      <w:proofErr w:type="spellStart"/>
      <w:r w:rsidRPr="003C66A0">
        <w:rPr>
          <w:rFonts w:eastAsiaTheme="majorEastAsia"/>
          <w:color w:val="000000" w:themeColor="text1"/>
        </w:rPr>
        <w:t>mainnet</w:t>
      </w:r>
      <w:proofErr w:type="spellEnd"/>
      <w:r w:rsidRPr="003C66A0">
        <w:rPr>
          <w:rFonts w:eastAsiaTheme="majorEastAsia"/>
          <w:color w:val="000000" w:themeColor="text1"/>
        </w:rPr>
        <w:t xml:space="preserve">. For positions that were under $10,000, gas fees alone consumed 8.5% quarterly, which is 34% </w:t>
      </w:r>
      <w:proofErr w:type="gramStart"/>
      <w:r w:rsidRPr="003C66A0">
        <w:rPr>
          <w:rFonts w:eastAsiaTheme="majorEastAsia"/>
          <w:color w:val="000000" w:themeColor="text1"/>
        </w:rPr>
        <w:t>annualized</w:t>
      </w:r>
      <w:proofErr w:type="gramEnd"/>
      <w:r w:rsidRPr="003C66A0">
        <w:rPr>
          <w:rFonts w:eastAsiaTheme="majorEastAsia"/>
          <w:color w:val="000000" w:themeColor="text1"/>
        </w:rPr>
        <w:t>. This single cost exceeded many yields. Impermanent loss proved to be even more destructive with 67% IL among volatile pair positions. The mathematical relationship between price divergence and IL meant that significant price movements—exactly what creates high volumes and fees—also created losses exceeding those gas fees.</w:t>
      </w:r>
    </w:p>
    <w:p w14:paraId="3E216430" w14:textId="77777777" w:rsidR="00F01D28" w:rsidRPr="003C66A0" w:rsidRDefault="00F01D28" w:rsidP="006B21E2">
      <w:pPr>
        <w:jc w:val="both"/>
        <w:rPr>
          <w:rFonts w:eastAsiaTheme="majorEastAsia"/>
          <w:color w:val="000000" w:themeColor="text1"/>
        </w:rPr>
      </w:pPr>
    </w:p>
    <w:p w14:paraId="220D4820" w14:textId="77777777" w:rsidR="00F01D28" w:rsidRPr="003C66A0" w:rsidRDefault="00F01D28" w:rsidP="006B21E2">
      <w:pPr>
        <w:jc w:val="both"/>
        <w:rPr>
          <w:rFonts w:eastAsiaTheme="majorEastAsia"/>
          <w:color w:val="000000" w:themeColor="text1"/>
        </w:rPr>
      </w:pPr>
      <w:r w:rsidRPr="003C66A0">
        <w:rPr>
          <w:rFonts w:eastAsiaTheme="majorEastAsia"/>
          <w:color w:val="000000" w:themeColor="text1"/>
        </w:rPr>
        <w:t>Smart contract risk wasn't theoretical and can be traced regularly. Among tracked positions, 12% experienced exploits during my observation period. The average losses of 67% of position value occurred when this happened. This translates to expected value destruction of 8.8% from smart contract risk alone. Translating that into traditional investment, this would not be considered viable with such risk levels.</w:t>
      </w:r>
    </w:p>
    <w:p w14:paraId="7294C06C" w14:textId="77777777" w:rsidR="00F01D28" w:rsidRPr="003C66A0" w:rsidRDefault="00F01D28" w:rsidP="006B21E2">
      <w:pPr>
        <w:jc w:val="both"/>
        <w:rPr>
          <w:rFonts w:eastAsiaTheme="majorEastAsia"/>
          <w:color w:val="000000" w:themeColor="text1"/>
        </w:rPr>
      </w:pPr>
    </w:p>
    <w:p w14:paraId="4FA6F668" w14:textId="77777777" w:rsidR="00F01D28" w:rsidRPr="003C66A0" w:rsidRDefault="00F01D28" w:rsidP="006B21E2">
      <w:pPr>
        <w:jc w:val="both"/>
        <w:rPr>
          <w:rFonts w:eastAsiaTheme="majorEastAsia"/>
          <w:color w:val="000000" w:themeColor="text1"/>
        </w:rPr>
      </w:pPr>
      <w:r w:rsidRPr="003C66A0">
        <w:rPr>
          <w:rFonts w:eastAsiaTheme="majorEastAsia"/>
          <w:color w:val="000000" w:themeColor="text1"/>
        </w:rPr>
        <w:t xml:space="preserve">The successful yield farmers treated it as what it </w:t>
      </w:r>
      <w:proofErr w:type="gramStart"/>
      <w:r w:rsidRPr="003C66A0">
        <w:rPr>
          <w:rFonts w:eastAsiaTheme="majorEastAsia"/>
          <w:color w:val="000000" w:themeColor="text1"/>
        </w:rPr>
        <w:t>was</w:t>
      </w:r>
      <w:proofErr w:type="gramEnd"/>
      <w:r w:rsidRPr="003C66A0">
        <w:rPr>
          <w:rFonts w:eastAsiaTheme="majorEastAsia"/>
          <w:color w:val="000000" w:themeColor="text1"/>
        </w:rPr>
        <w:t xml:space="preserve"> which is a short-term speculation requiring constant attention. They entered new protocols during launch, extracted value during the high-APY period, and exited before the compression started. This could be profitable but required 20–30 hours a week of active management. Besides the time commitment, a deep understanding of </w:t>
      </w:r>
      <w:proofErr w:type="spellStart"/>
      <w:r w:rsidRPr="003C66A0">
        <w:rPr>
          <w:rFonts w:eastAsiaTheme="majorEastAsia"/>
          <w:color w:val="000000" w:themeColor="text1"/>
        </w:rPr>
        <w:t>tokenomics</w:t>
      </w:r>
      <w:proofErr w:type="spellEnd"/>
      <w:r w:rsidRPr="003C66A0">
        <w:rPr>
          <w:rFonts w:eastAsiaTheme="majorEastAsia"/>
          <w:color w:val="000000" w:themeColor="text1"/>
        </w:rPr>
        <w:t xml:space="preserve"> and a strong emotional discipline to exit winning positions were key in </w:t>
      </w:r>
      <w:proofErr w:type="gramStart"/>
      <w:r w:rsidRPr="003C66A0">
        <w:rPr>
          <w:rFonts w:eastAsiaTheme="majorEastAsia"/>
          <w:color w:val="000000" w:themeColor="text1"/>
        </w:rPr>
        <w:t>the success</w:t>
      </w:r>
      <w:proofErr w:type="gramEnd"/>
      <w:r w:rsidRPr="003C66A0">
        <w:rPr>
          <w:rFonts w:eastAsiaTheme="majorEastAsia"/>
          <w:color w:val="000000" w:themeColor="text1"/>
        </w:rPr>
        <w:t xml:space="preserve">. This approach certainly was not passive, nor stable, </w:t>
      </w:r>
      <w:proofErr w:type="gramStart"/>
      <w:r w:rsidRPr="003C66A0">
        <w:rPr>
          <w:rFonts w:eastAsiaTheme="majorEastAsia"/>
          <w:color w:val="000000" w:themeColor="text1"/>
        </w:rPr>
        <w:t>and also</w:t>
      </w:r>
      <w:proofErr w:type="gramEnd"/>
      <w:r w:rsidRPr="003C66A0">
        <w:rPr>
          <w:rFonts w:eastAsiaTheme="majorEastAsia"/>
          <w:color w:val="000000" w:themeColor="text1"/>
        </w:rPr>
        <w:t xml:space="preserve"> was not accessible to anyone unable to dedicate significant time and expertise to these activities.</w:t>
      </w:r>
    </w:p>
    <w:p w14:paraId="67B26CF0" w14:textId="77777777" w:rsidR="005C21FD" w:rsidRPr="003C66A0" w:rsidRDefault="005C21FD" w:rsidP="006B21E2">
      <w:pPr>
        <w:jc w:val="both"/>
        <w:rPr>
          <w:rFonts w:eastAsiaTheme="majorEastAsia"/>
          <w:color w:val="000000" w:themeColor="text1"/>
        </w:rPr>
      </w:pPr>
    </w:p>
    <w:p w14:paraId="0D48821B" w14:textId="1E030606" w:rsidR="00FC3DF4" w:rsidRPr="003C66A0" w:rsidRDefault="008D6F57" w:rsidP="006B21E2">
      <w:pPr>
        <w:pStyle w:val="Heading2"/>
        <w:rPr>
          <w:rFonts w:eastAsiaTheme="majorEastAsia"/>
        </w:rPr>
      </w:pPr>
      <w:bookmarkStart w:id="189" w:name="_Toc214721995"/>
      <w:r w:rsidRPr="003C66A0">
        <w:rPr>
          <w:rFonts w:eastAsiaTheme="majorEastAsia"/>
        </w:rPr>
        <w:lastRenderedPageBreak/>
        <w:t>8</w:t>
      </w:r>
      <w:r w:rsidR="00FC3DF4" w:rsidRPr="003C66A0">
        <w:rPr>
          <w:rFonts w:eastAsiaTheme="majorEastAsia"/>
        </w:rPr>
        <w:t>.4 Liquidity Provision: The Only Real Income Mechanism</w:t>
      </w:r>
      <w:bookmarkEnd w:id="189"/>
    </w:p>
    <w:p w14:paraId="10219436" w14:textId="39CE22F4" w:rsidR="00D414B2" w:rsidRPr="003C66A0" w:rsidRDefault="00D414B2" w:rsidP="006B21E2">
      <w:pPr>
        <w:jc w:val="both"/>
        <w:rPr>
          <w:rFonts w:eastAsiaTheme="majorEastAsia"/>
          <w:color w:val="000000" w:themeColor="text1"/>
        </w:rPr>
      </w:pPr>
      <w:r w:rsidRPr="003C66A0">
        <w:rPr>
          <w:rFonts w:eastAsiaTheme="majorEastAsia"/>
          <w:color w:val="000000" w:themeColor="text1"/>
        </w:rPr>
        <w:t xml:space="preserve">Liquidity provision turned out to be the only mechanism that </w:t>
      </w:r>
      <w:r w:rsidR="00702CA4" w:rsidRPr="003C66A0">
        <w:rPr>
          <w:rFonts w:eastAsiaTheme="majorEastAsia"/>
          <w:color w:val="000000" w:themeColor="text1"/>
        </w:rPr>
        <w:t>is generating</w:t>
      </w:r>
      <w:r w:rsidRPr="003C66A0">
        <w:rPr>
          <w:rFonts w:eastAsiaTheme="majorEastAsia"/>
          <w:color w:val="000000" w:themeColor="text1"/>
        </w:rPr>
        <w:t xml:space="preserve"> genuine income from economic activity rather than token emissions or speculation. When traders swap tokens, they </w:t>
      </w:r>
      <w:proofErr w:type="gramStart"/>
      <w:r w:rsidRPr="003C66A0">
        <w:rPr>
          <w:rFonts w:eastAsiaTheme="majorEastAsia"/>
          <w:color w:val="000000" w:themeColor="text1"/>
        </w:rPr>
        <w:t>have to</w:t>
      </w:r>
      <w:proofErr w:type="gramEnd"/>
      <w:r w:rsidRPr="003C66A0">
        <w:rPr>
          <w:rFonts w:eastAsiaTheme="majorEastAsia"/>
          <w:color w:val="000000" w:themeColor="text1"/>
        </w:rPr>
        <w:t xml:space="preserve"> pay fees to liquidity providers. There are no printing or no subsidy </w:t>
      </w:r>
      <w:r w:rsidR="00702CA4" w:rsidRPr="003C66A0">
        <w:rPr>
          <w:rFonts w:eastAsiaTheme="majorEastAsia"/>
          <w:color w:val="000000" w:themeColor="text1"/>
        </w:rPr>
        <w:t>activities</w:t>
      </w:r>
      <w:r w:rsidRPr="003C66A0">
        <w:rPr>
          <w:rFonts w:eastAsiaTheme="majorEastAsia"/>
          <w:color w:val="000000" w:themeColor="text1"/>
        </w:rPr>
        <w:t xml:space="preserve"> --just fee income from facilitating trades.</w:t>
      </w:r>
    </w:p>
    <w:p w14:paraId="733F8F77" w14:textId="77777777" w:rsidR="00D414B2" w:rsidRPr="003C66A0" w:rsidRDefault="00D414B2" w:rsidP="006B21E2">
      <w:pPr>
        <w:jc w:val="both"/>
        <w:rPr>
          <w:rFonts w:eastAsiaTheme="majorEastAsia"/>
          <w:color w:val="000000" w:themeColor="text1"/>
        </w:rPr>
      </w:pPr>
    </w:p>
    <w:p w14:paraId="686FBCBE" w14:textId="0184B171" w:rsidR="00D414B2" w:rsidRPr="003C66A0" w:rsidRDefault="00D414B2" w:rsidP="006B21E2">
      <w:pPr>
        <w:jc w:val="both"/>
        <w:rPr>
          <w:rFonts w:eastAsiaTheme="majorEastAsia"/>
          <w:color w:val="000000" w:themeColor="text1"/>
        </w:rPr>
      </w:pPr>
      <w:r w:rsidRPr="003C66A0">
        <w:rPr>
          <w:rFonts w:eastAsiaTheme="majorEastAsia"/>
          <w:color w:val="000000" w:themeColor="text1"/>
        </w:rPr>
        <w:t xml:space="preserve">The performance </w:t>
      </w:r>
      <w:r w:rsidR="00702CA4" w:rsidRPr="003C66A0">
        <w:rPr>
          <w:rFonts w:eastAsiaTheme="majorEastAsia"/>
          <w:color w:val="000000" w:themeColor="text1"/>
        </w:rPr>
        <w:t>varies significantly</w:t>
      </w:r>
      <w:r w:rsidRPr="003C66A0">
        <w:rPr>
          <w:rFonts w:eastAsiaTheme="majorEastAsia"/>
          <w:color w:val="000000" w:themeColor="text1"/>
        </w:rPr>
        <w:t xml:space="preserve"> by the pair type and the management approach</w:t>
      </w:r>
      <w:r w:rsidR="00913601">
        <w:rPr>
          <w:rFonts w:eastAsiaTheme="majorEastAsia"/>
          <w:color w:val="000000" w:themeColor="text1"/>
        </w:rPr>
        <w:t xml:space="preserve"> used</w:t>
      </w:r>
      <w:r w:rsidRPr="003C66A0">
        <w:rPr>
          <w:rFonts w:eastAsiaTheme="majorEastAsia"/>
          <w:color w:val="000000" w:themeColor="text1"/>
        </w:rPr>
        <w:t>. Stablecoin pairs (USDC/USDT, DAI/USDC) delivered the most consistent results, generating between 4-8% annual returns with minimal impermanent loss. Since both assets are</w:t>
      </w:r>
      <w:r w:rsidR="00913601">
        <w:rPr>
          <w:rFonts w:eastAsiaTheme="majorEastAsia"/>
          <w:color w:val="000000" w:themeColor="text1"/>
        </w:rPr>
        <w:t xml:space="preserve"> </w:t>
      </w:r>
      <w:r w:rsidR="00702CA4">
        <w:rPr>
          <w:rFonts w:eastAsiaTheme="majorEastAsia"/>
          <w:color w:val="000000" w:themeColor="text1"/>
        </w:rPr>
        <w:t>pegged</w:t>
      </w:r>
      <w:r w:rsidRPr="003C66A0">
        <w:rPr>
          <w:rFonts w:eastAsiaTheme="majorEastAsia"/>
          <w:color w:val="000000" w:themeColor="text1"/>
        </w:rPr>
        <w:t xml:space="preserve"> against the US dollar, the price divergence risk essentially disappeared. These positions required also minimal management. Once wide ranges were set, it was time to collect fees and rebalance quarterly.</w:t>
      </w:r>
    </w:p>
    <w:p w14:paraId="21A8B03F" w14:textId="77777777" w:rsidR="00D414B2" w:rsidRPr="003C66A0" w:rsidRDefault="00D414B2" w:rsidP="006B21E2">
      <w:pPr>
        <w:jc w:val="both"/>
        <w:rPr>
          <w:rFonts w:eastAsiaTheme="majorEastAsia"/>
          <w:color w:val="000000" w:themeColor="text1"/>
        </w:rPr>
      </w:pPr>
    </w:p>
    <w:p w14:paraId="5F7E37F4" w14:textId="77777777" w:rsidR="00D414B2" w:rsidRPr="003C66A0" w:rsidRDefault="00D414B2" w:rsidP="006B21E2">
      <w:pPr>
        <w:jc w:val="both"/>
        <w:rPr>
          <w:rFonts w:eastAsiaTheme="majorEastAsia"/>
          <w:color w:val="000000" w:themeColor="text1"/>
        </w:rPr>
      </w:pPr>
      <w:r w:rsidRPr="003C66A0">
        <w:rPr>
          <w:rFonts w:eastAsiaTheme="majorEastAsia"/>
          <w:color w:val="000000" w:themeColor="text1"/>
        </w:rPr>
        <w:t>However, correlated asset pairs (ETH/</w:t>
      </w:r>
      <w:proofErr w:type="spellStart"/>
      <w:r w:rsidRPr="003C66A0">
        <w:rPr>
          <w:rFonts w:eastAsiaTheme="majorEastAsia"/>
          <w:color w:val="000000" w:themeColor="text1"/>
        </w:rPr>
        <w:t>stETH</w:t>
      </w:r>
      <w:proofErr w:type="spellEnd"/>
      <w:r w:rsidRPr="003C66A0">
        <w:rPr>
          <w:rFonts w:eastAsiaTheme="majorEastAsia"/>
          <w:color w:val="000000" w:themeColor="text1"/>
        </w:rPr>
        <w:t xml:space="preserve">, WBTC/BTC) produced higher but more variable returns between 6-12% annually. The correlation wasn't perfect as during </w:t>
      </w:r>
      <w:proofErr w:type="gramStart"/>
      <w:r w:rsidRPr="003C66A0">
        <w:rPr>
          <w:rFonts w:eastAsiaTheme="majorEastAsia"/>
          <w:color w:val="000000" w:themeColor="text1"/>
        </w:rPr>
        <w:t>stress</w:t>
      </w:r>
      <w:proofErr w:type="gramEnd"/>
      <w:r w:rsidRPr="003C66A0">
        <w:rPr>
          <w:rFonts w:eastAsiaTheme="majorEastAsia"/>
          <w:color w:val="000000" w:themeColor="text1"/>
        </w:rPr>
        <w:t xml:space="preserve"> events, ETH/</w:t>
      </w:r>
      <w:proofErr w:type="spellStart"/>
      <w:r w:rsidRPr="003C66A0">
        <w:rPr>
          <w:rFonts w:eastAsiaTheme="majorEastAsia"/>
          <w:color w:val="000000" w:themeColor="text1"/>
        </w:rPr>
        <w:t>stETH</w:t>
      </w:r>
      <w:proofErr w:type="spellEnd"/>
      <w:r w:rsidRPr="003C66A0">
        <w:rPr>
          <w:rFonts w:eastAsiaTheme="majorEastAsia"/>
          <w:color w:val="000000" w:themeColor="text1"/>
        </w:rPr>
        <w:t xml:space="preserve"> divergence reached 8% and created a temporary but significant IL. Successful positions required more active management, typically rebalancing monthly.</w:t>
      </w:r>
    </w:p>
    <w:p w14:paraId="08356808" w14:textId="77777777" w:rsidR="00D414B2" w:rsidRPr="003C66A0" w:rsidRDefault="00D414B2" w:rsidP="006B21E2">
      <w:pPr>
        <w:jc w:val="both"/>
        <w:rPr>
          <w:rFonts w:eastAsiaTheme="majorEastAsia"/>
          <w:color w:val="000000" w:themeColor="text1"/>
        </w:rPr>
      </w:pPr>
    </w:p>
    <w:p w14:paraId="76CC19BA" w14:textId="7FDDCCCD" w:rsidR="00D414B2" w:rsidRPr="003C66A0" w:rsidRDefault="00D414B2" w:rsidP="006B21E2">
      <w:pPr>
        <w:jc w:val="both"/>
        <w:rPr>
          <w:rFonts w:eastAsiaTheme="majorEastAsia"/>
          <w:color w:val="000000" w:themeColor="text1"/>
        </w:rPr>
      </w:pPr>
      <w:r w:rsidRPr="003C66A0">
        <w:rPr>
          <w:rFonts w:eastAsiaTheme="majorEastAsia"/>
          <w:color w:val="000000" w:themeColor="text1"/>
        </w:rPr>
        <w:t xml:space="preserve">Volatile pairs showed extreme variance. This ranges from -50% to +100% annual returns, with the distribution being highly skewed. In most cases the median volatile pair position lost money, but the top quartile generated spectacular returns. To achieve </w:t>
      </w:r>
      <w:r w:rsidR="000D7EE2" w:rsidRPr="003C66A0">
        <w:rPr>
          <w:rFonts w:eastAsiaTheme="majorEastAsia"/>
          <w:color w:val="000000" w:themeColor="text1"/>
        </w:rPr>
        <w:t>success,</w:t>
      </w:r>
      <w:r w:rsidRPr="003C66A0">
        <w:rPr>
          <w:rFonts w:eastAsiaTheme="majorEastAsia"/>
          <w:color w:val="000000" w:themeColor="text1"/>
        </w:rPr>
        <w:t xml:space="preserve"> it required sophisticated understanding of range management, rebalancing triggers, and IL dynamics. Most participants lacked these skills and </w:t>
      </w:r>
      <w:r w:rsidR="000D7EE2" w:rsidRPr="003C66A0">
        <w:rPr>
          <w:rFonts w:eastAsiaTheme="majorEastAsia"/>
          <w:color w:val="000000" w:themeColor="text1"/>
        </w:rPr>
        <w:t>time,</w:t>
      </w:r>
      <w:r w:rsidRPr="003C66A0">
        <w:rPr>
          <w:rFonts w:eastAsiaTheme="majorEastAsia"/>
          <w:color w:val="000000" w:themeColor="text1"/>
        </w:rPr>
        <w:t xml:space="preserve"> and this explained the poor median performance.</w:t>
      </w:r>
    </w:p>
    <w:p w14:paraId="0F03F5E6" w14:textId="77777777" w:rsidR="00D414B2" w:rsidRPr="003C66A0" w:rsidRDefault="00D414B2" w:rsidP="006B21E2">
      <w:pPr>
        <w:jc w:val="both"/>
        <w:rPr>
          <w:rFonts w:eastAsiaTheme="majorEastAsia"/>
          <w:color w:val="000000" w:themeColor="text1"/>
        </w:rPr>
      </w:pPr>
    </w:p>
    <w:p w14:paraId="25FD3FD0" w14:textId="7CA441A8" w:rsidR="00D414B2" w:rsidRPr="003C66A0" w:rsidRDefault="00D414B2" w:rsidP="006B21E2">
      <w:pPr>
        <w:jc w:val="both"/>
        <w:rPr>
          <w:rFonts w:eastAsiaTheme="majorEastAsia"/>
          <w:color w:val="000000" w:themeColor="text1"/>
        </w:rPr>
      </w:pPr>
      <w:r w:rsidRPr="003C66A0">
        <w:rPr>
          <w:rFonts w:eastAsiaTheme="majorEastAsia"/>
          <w:color w:val="000000" w:themeColor="text1"/>
        </w:rPr>
        <w:t xml:space="preserve">Concentrated liquidity (Uniswap v3) multiplied both opportunities and challenges. Professional market makers with custom infrastructure were able to </w:t>
      </w:r>
      <w:r w:rsidR="00913601" w:rsidRPr="003C66A0">
        <w:rPr>
          <w:rFonts w:eastAsiaTheme="majorEastAsia"/>
          <w:color w:val="000000" w:themeColor="text1"/>
        </w:rPr>
        <w:t>achieve</w:t>
      </w:r>
      <w:r w:rsidRPr="003C66A0">
        <w:rPr>
          <w:rFonts w:eastAsiaTheme="majorEastAsia"/>
          <w:color w:val="000000" w:themeColor="text1"/>
        </w:rPr>
        <w:t xml:space="preserve"> between 23-47% returns by maintaining tight ranges that captured maximum fees. But </w:t>
      </w:r>
      <w:proofErr w:type="gramStart"/>
      <w:r w:rsidRPr="003C66A0">
        <w:rPr>
          <w:rFonts w:eastAsiaTheme="majorEastAsia"/>
          <w:color w:val="000000" w:themeColor="text1"/>
        </w:rPr>
        <w:t>the casual</w:t>
      </w:r>
      <w:proofErr w:type="gramEnd"/>
      <w:r w:rsidRPr="003C66A0">
        <w:rPr>
          <w:rFonts w:eastAsiaTheme="majorEastAsia"/>
          <w:color w:val="000000" w:themeColor="text1"/>
        </w:rPr>
        <w:t xml:space="preserve"> participants typically lost money as positions went out of range, stopped earning fees, and continued suffering IL. This </w:t>
      </w:r>
      <w:r w:rsidR="00913601" w:rsidRPr="003C66A0">
        <w:rPr>
          <w:rFonts w:eastAsiaTheme="majorEastAsia"/>
          <w:color w:val="000000" w:themeColor="text1"/>
        </w:rPr>
        <w:t>indicated</w:t>
      </w:r>
      <w:r w:rsidRPr="003C66A0">
        <w:rPr>
          <w:rFonts w:eastAsiaTheme="majorEastAsia"/>
          <w:color w:val="000000" w:themeColor="text1"/>
        </w:rPr>
        <w:t xml:space="preserve"> that innovation didn't democratize liquidity provision--it professionalized it to give participants with skills the upper hand.</w:t>
      </w:r>
    </w:p>
    <w:p w14:paraId="7F85DE6F" w14:textId="77777777" w:rsidR="00D414B2" w:rsidRPr="003C66A0" w:rsidRDefault="00D414B2" w:rsidP="006B21E2">
      <w:pPr>
        <w:jc w:val="both"/>
        <w:rPr>
          <w:rFonts w:eastAsiaTheme="majorEastAsia"/>
          <w:color w:val="000000" w:themeColor="text1"/>
        </w:rPr>
      </w:pPr>
    </w:p>
    <w:p w14:paraId="4DB33A4A" w14:textId="77777777" w:rsidR="00D414B2" w:rsidRPr="003C66A0" w:rsidRDefault="00D414B2" w:rsidP="006B21E2">
      <w:pPr>
        <w:jc w:val="both"/>
        <w:rPr>
          <w:rFonts w:eastAsiaTheme="majorEastAsia"/>
          <w:color w:val="000000" w:themeColor="text1"/>
        </w:rPr>
      </w:pPr>
      <w:r w:rsidRPr="003C66A0">
        <w:rPr>
          <w:rFonts w:eastAsiaTheme="majorEastAsia"/>
          <w:color w:val="000000" w:themeColor="text1"/>
        </w:rPr>
        <w:t xml:space="preserve">Minimum viable scales were identified from mathematical relationships between position size and costs. On Ethereum </w:t>
      </w:r>
      <w:proofErr w:type="spellStart"/>
      <w:r w:rsidRPr="003C66A0">
        <w:rPr>
          <w:rFonts w:eastAsiaTheme="majorEastAsia"/>
          <w:color w:val="000000" w:themeColor="text1"/>
        </w:rPr>
        <w:t>mainnet</w:t>
      </w:r>
      <w:proofErr w:type="spellEnd"/>
      <w:r w:rsidRPr="003C66A0">
        <w:rPr>
          <w:rFonts w:eastAsiaTheme="majorEastAsia"/>
          <w:color w:val="000000" w:themeColor="text1"/>
        </w:rPr>
        <w:t xml:space="preserve">, the break-even aligned with the viability threshold identified in my fee analysis in this study. Everything below this, gas costs exceeded fee income regardless of chosen strategy quality. The L2 solutions reduced this to $3,500. The alternative chains like Polygon enabled profitability from $750 onwards. All these findings are not to be seen as recommendations but are simply mathematical realities based on </w:t>
      </w:r>
      <w:proofErr w:type="gramStart"/>
      <w:r w:rsidRPr="003C66A0">
        <w:rPr>
          <w:rFonts w:eastAsiaTheme="majorEastAsia"/>
          <w:color w:val="000000" w:themeColor="text1"/>
        </w:rPr>
        <w:t>observed costs</w:t>
      </w:r>
      <w:proofErr w:type="gramEnd"/>
      <w:r w:rsidRPr="003C66A0">
        <w:rPr>
          <w:rFonts w:eastAsiaTheme="majorEastAsia"/>
          <w:color w:val="000000" w:themeColor="text1"/>
        </w:rPr>
        <w:t xml:space="preserve"> during my study period.</w:t>
      </w:r>
    </w:p>
    <w:p w14:paraId="1908EBCC" w14:textId="77777777" w:rsidR="00537CAE" w:rsidRPr="003C66A0" w:rsidRDefault="00537CAE" w:rsidP="006B21E2">
      <w:pPr>
        <w:jc w:val="both"/>
        <w:rPr>
          <w:rFonts w:eastAsiaTheme="majorEastAsia"/>
          <w:b/>
          <w:bCs/>
          <w:color w:val="000000" w:themeColor="text1"/>
        </w:rPr>
      </w:pPr>
    </w:p>
    <w:p w14:paraId="7D49049E" w14:textId="0420DA54" w:rsidR="00FC3DF4" w:rsidRPr="003C66A0" w:rsidRDefault="008D6F57" w:rsidP="006B21E2">
      <w:pPr>
        <w:pStyle w:val="Heading2"/>
        <w:rPr>
          <w:rFonts w:eastAsiaTheme="majorEastAsia"/>
        </w:rPr>
      </w:pPr>
      <w:bookmarkStart w:id="190" w:name="_Toc214721996"/>
      <w:r w:rsidRPr="003C66A0">
        <w:rPr>
          <w:rFonts w:eastAsiaTheme="majorEastAsia"/>
        </w:rPr>
        <w:t>8</w:t>
      </w:r>
      <w:r w:rsidR="00FC3DF4" w:rsidRPr="003C66A0">
        <w:rPr>
          <w:rFonts w:eastAsiaTheme="majorEastAsia"/>
        </w:rPr>
        <w:t>.5 Operational Reality: Why "Passive" Required 20 Hours Weekly</w:t>
      </w:r>
      <w:bookmarkEnd w:id="190"/>
    </w:p>
    <w:p w14:paraId="68B4089C" w14:textId="500E431C" w:rsidR="009912DF" w:rsidRPr="003C66A0" w:rsidRDefault="009912DF" w:rsidP="006B21E2">
      <w:pPr>
        <w:jc w:val="both"/>
        <w:rPr>
          <w:rFonts w:eastAsiaTheme="majorEastAsia"/>
          <w:color w:val="000000" w:themeColor="text1"/>
        </w:rPr>
      </w:pPr>
      <w:r w:rsidRPr="003C66A0">
        <w:rPr>
          <w:rFonts w:eastAsiaTheme="majorEastAsia"/>
          <w:color w:val="000000" w:themeColor="text1"/>
        </w:rPr>
        <w:t xml:space="preserve">Even though it was advertised as "passive income," my interviewees who were successful had to put </w:t>
      </w:r>
      <w:proofErr w:type="gramStart"/>
      <w:r w:rsidRPr="003C66A0">
        <w:rPr>
          <w:rFonts w:eastAsiaTheme="majorEastAsia"/>
          <w:color w:val="000000" w:themeColor="text1"/>
        </w:rPr>
        <w:t>in</w:t>
      </w:r>
      <w:proofErr w:type="gramEnd"/>
      <w:r w:rsidRPr="003C66A0">
        <w:rPr>
          <w:rFonts w:eastAsiaTheme="majorEastAsia"/>
          <w:color w:val="000000" w:themeColor="text1"/>
        </w:rPr>
        <w:t xml:space="preserve"> an average of 15 to 20 hours of work each week. This was not extra work but </w:t>
      </w:r>
      <w:r w:rsidR="000D7EE2" w:rsidRPr="003C66A0">
        <w:rPr>
          <w:rFonts w:eastAsiaTheme="majorEastAsia"/>
          <w:color w:val="000000" w:themeColor="text1"/>
        </w:rPr>
        <w:t>was simply</w:t>
      </w:r>
      <w:r w:rsidRPr="003C66A0">
        <w:rPr>
          <w:rFonts w:eastAsiaTheme="majorEastAsia"/>
          <w:color w:val="000000" w:themeColor="text1"/>
        </w:rPr>
        <w:t xml:space="preserve"> necessary to generate profit.</w:t>
      </w:r>
    </w:p>
    <w:p w14:paraId="5DBB28CE" w14:textId="77777777" w:rsidR="009912DF" w:rsidRPr="003C66A0" w:rsidRDefault="009912DF" w:rsidP="006B21E2">
      <w:pPr>
        <w:jc w:val="both"/>
        <w:rPr>
          <w:rFonts w:eastAsiaTheme="majorEastAsia"/>
          <w:color w:val="000000" w:themeColor="text1"/>
        </w:rPr>
      </w:pPr>
    </w:p>
    <w:p w14:paraId="70194265" w14:textId="77777777" w:rsidR="009912DF" w:rsidRPr="003C66A0" w:rsidRDefault="009912DF" w:rsidP="006B21E2">
      <w:pPr>
        <w:jc w:val="both"/>
        <w:rPr>
          <w:rFonts w:eastAsiaTheme="majorEastAsia"/>
          <w:color w:val="000000" w:themeColor="text1"/>
        </w:rPr>
      </w:pPr>
      <w:r w:rsidRPr="003C66A0">
        <w:rPr>
          <w:rFonts w:eastAsiaTheme="majorEastAsia"/>
          <w:color w:val="000000" w:themeColor="text1"/>
        </w:rPr>
        <w:t>Position monitoring took up to 5-8 hours weekly and required the participants to check range positioning, calculating impermanent loss, assessing rebalancing needs, and monitoring protocol governance. This also was not casual checking but a key requirement to understanding the complex dynamics and making decisions about when to act versus when to wait.</w:t>
      </w:r>
    </w:p>
    <w:p w14:paraId="14151B8C" w14:textId="77777777" w:rsidR="009912DF" w:rsidRPr="003C66A0" w:rsidRDefault="009912DF" w:rsidP="006B21E2">
      <w:pPr>
        <w:jc w:val="both"/>
        <w:rPr>
          <w:rFonts w:eastAsiaTheme="majorEastAsia"/>
          <w:color w:val="000000" w:themeColor="text1"/>
        </w:rPr>
      </w:pPr>
    </w:p>
    <w:p w14:paraId="08CE9145" w14:textId="4384C6E2" w:rsidR="009912DF" w:rsidRPr="003C66A0" w:rsidRDefault="009912DF" w:rsidP="006B21E2">
      <w:pPr>
        <w:jc w:val="both"/>
        <w:rPr>
          <w:rFonts w:eastAsiaTheme="majorEastAsia"/>
          <w:color w:val="000000" w:themeColor="text1"/>
        </w:rPr>
      </w:pPr>
      <w:r w:rsidRPr="003C66A0">
        <w:rPr>
          <w:rFonts w:eastAsiaTheme="majorEastAsia"/>
          <w:color w:val="000000" w:themeColor="text1"/>
        </w:rPr>
        <w:t xml:space="preserve">To stay competent, participants had to spend 4 to 6 hours a week on research and education. Every day, new protocols are put into place while governance </w:t>
      </w:r>
      <w:proofErr w:type="gramStart"/>
      <w:r w:rsidRPr="003C66A0">
        <w:rPr>
          <w:rFonts w:eastAsiaTheme="majorEastAsia"/>
          <w:color w:val="000000" w:themeColor="text1"/>
        </w:rPr>
        <w:t>changed</w:t>
      </w:r>
      <w:proofErr w:type="gramEnd"/>
      <w:r w:rsidRPr="003C66A0">
        <w:rPr>
          <w:rFonts w:eastAsiaTheme="majorEastAsia"/>
          <w:color w:val="000000" w:themeColor="text1"/>
        </w:rPr>
        <w:t xml:space="preserve"> the parameters of existing protocols. Last month's plans did not work anymore and if </w:t>
      </w:r>
      <w:r w:rsidR="00913601" w:rsidRPr="003C66A0">
        <w:rPr>
          <w:rFonts w:eastAsiaTheme="majorEastAsia"/>
          <w:color w:val="000000" w:themeColor="text1"/>
        </w:rPr>
        <w:t>participants</w:t>
      </w:r>
      <w:r w:rsidRPr="003C66A0">
        <w:rPr>
          <w:rFonts w:eastAsiaTheme="majorEastAsia"/>
          <w:color w:val="000000" w:themeColor="text1"/>
        </w:rPr>
        <w:t xml:space="preserve"> stood still, they fell behind as others found ways to make things better.</w:t>
      </w:r>
    </w:p>
    <w:p w14:paraId="77A7BB83" w14:textId="77777777" w:rsidR="009912DF" w:rsidRPr="003C66A0" w:rsidRDefault="009912DF" w:rsidP="006B21E2">
      <w:pPr>
        <w:jc w:val="both"/>
        <w:rPr>
          <w:rFonts w:eastAsiaTheme="majorEastAsia"/>
          <w:color w:val="000000" w:themeColor="text1"/>
        </w:rPr>
      </w:pPr>
    </w:p>
    <w:p w14:paraId="78D17A4F" w14:textId="77777777" w:rsidR="009912DF" w:rsidRPr="003C66A0" w:rsidRDefault="009912DF" w:rsidP="006B21E2">
      <w:pPr>
        <w:jc w:val="both"/>
        <w:rPr>
          <w:rFonts w:eastAsiaTheme="majorEastAsia"/>
          <w:color w:val="000000" w:themeColor="text1"/>
        </w:rPr>
      </w:pPr>
      <w:r w:rsidRPr="003C66A0">
        <w:rPr>
          <w:rFonts w:eastAsiaTheme="majorEastAsia"/>
          <w:color w:val="000000" w:themeColor="text1"/>
        </w:rPr>
        <w:t xml:space="preserve">Transaction execution and administration added 3-5 hours weekly. Every transaction </w:t>
      </w:r>
      <w:proofErr w:type="gramStart"/>
      <w:r w:rsidRPr="003C66A0">
        <w:rPr>
          <w:rFonts w:eastAsiaTheme="majorEastAsia"/>
          <w:color w:val="000000" w:themeColor="text1"/>
        </w:rPr>
        <w:t>required</w:t>
      </w:r>
      <w:proofErr w:type="gramEnd"/>
      <w:r w:rsidRPr="003C66A0">
        <w:rPr>
          <w:rFonts w:eastAsiaTheme="majorEastAsia"/>
          <w:color w:val="000000" w:themeColor="text1"/>
        </w:rPr>
        <w:t xml:space="preserve"> recording for taxes. Complex strategies generated hundreds of taxable events monthly. Gas optimization meant timing transactions carefully. Failed transactions—which happened to 23% of attempts during congestion—still cost gas and required retry.</w:t>
      </w:r>
    </w:p>
    <w:p w14:paraId="174E344B" w14:textId="77777777" w:rsidR="009912DF" w:rsidRPr="003C66A0" w:rsidRDefault="009912DF" w:rsidP="006B21E2">
      <w:pPr>
        <w:jc w:val="both"/>
        <w:rPr>
          <w:rFonts w:eastAsiaTheme="majorEastAsia"/>
          <w:color w:val="000000" w:themeColor="text1"/>
        </w:rPr>
      </w:pPr>
    </w:p>
    <w:p w14:paraId="2E38E402" w14:textId="77777777" w:rsidR="009912DF" w:rsidRPr="003C66A0" w:rsidRDefault="009912DF" w:rsidP="006B21E2">
      <w:pPr>
        <w:jc w:val="both"/>
        <w:rPr>
          <w:rFonts w:eastAsiaTheme="majorEastAsia"/>
          <w:color w:val="000000" w:themeColor="text1"/>
        </w:rPr>
      </w:pPr>
      <w:r w:rsidRPr="003C66A0">
        <w:rPr>
          <w:rFonts w:eastAsiaTheme="majorEastAsia"/>
          <w:color w:val="000000" w:themeColor="text1"/>
        </w:rPr>
        <w:t xml:space="preserve">Managing and carrying out the different transactions took an extra 3 to 5 hours a week. Further, for tax purposes, every transaction had to be recorded as complicated strategies caused hundreds of taxable events. Gas optimization meant being careful about when to make transactions. The </w:t>
      </w:r>
      <w:proofErr w:type="gramStart"/>
      <w:r w:rsidRPr="003C66A0">
        <w:rPr>
          <w:rFonts w:eastAsiaTheme="majorEastAsia"/>
          <w:color w:val="000000" w:themeColor="text1"/>
        </w:rPr>
        <w:t>transaction</w:t>
      </w:r>
      <w:proofErr w:type="gramEnd"/>
      <w:r w:rsidRPr="003C66A0">
        <w:rPr>
          <w:rFonts w:eastAsiaTheme="majorEastAsia"/>
          <w:color w:val="000000" w:themeColor="text1"/>
        </w:rPr>
        <w:t xml:space="preserve"> that failed during </w:t>
      </w:r>
      <w:proofErr w:type="gramStart"/>
      <w:r w:rsidRPr="003C66A0">
        <w:rPr>
          <w:rFonts w:eastAsiaTheme="majorEastAsia"/>
          <w:color w:val="000000" w:themeColor="text1"/>
        </w:rPr>
        <w:t>congestion,</w:t>
      </w:r>
      <w:proofErr w:type="gramEnd"/>
      <w:r w:rsidRPr="003C66A0">
        <w:rPr>
          <w:rFonts w:eastAsiaTheme="majorEastAsia"/>
          <w:color w:val="000000" w:themeColor="text1"/>
        </w:rPr>
        <w:t xml:space="preserve"> were still generating </w:t>
      </w:r>
      <w:proofErr w:type="gramStart"/>
      <w:r w:rsidRPr="003C66A0">
        <w:rPr>
          <w:rFonts w:eastAsiaTheme="majorEastAsia"/>
          <w:color w:val="000000" w:themeColor="text1"/>
        </w:rPr>
        <w:t>cost</w:t>
      </w:r>
      <w:proofErr w:type="gramEnd"/>
      <w:r w:rsidRPr="003C66A0">
        <w:rPr>
          <w:rFonts w:eastAsiaTheme="majorEastAsia"/>
          <w:color w:val="000000" w:themeColor="text1"/>
        </w:rPr>
        <w:t xml:space="preserve"> and needed to be tried again - doubling the gas costs.</w:t>
      </w:r>
    </w:p>
    <w:p w14:paraId="578FF47F" w14:textId="77777777" w:rsidR="009912DF" w:rsidRPr="003C66A0" w:rsidRDefault="009912DF" w:rsidP="006B21E2">
      <w:pPr>
        <w:jc w:val="both"/>
        <w:rPr>
          <w:rFonts w:eastAsiaTheme="majorEastAsia"/>
          <w:color w:val="000000" w:themeColor="text1"/>
        </w:rPr>
      </w:pPr>
    </w:p>
    <w:p w14:paraId="48A388D3" w14:textId="77777777" w:rsidR="009912DF" w:rsidRPr="003C66A0" w:rsidRDefault="009912DF" w:rsidP="006B21E2">
      <w:pPr>
        <w:jc w:val="both"/>
        <w:rPr>
          <w:rFonts w:eastAsiaTheme="majorEastAsia"/>
          <w:color w:val="000000" w:themeColor="text1"/>
        </w:rPr>
      </w:pPr>
      <w:r w:rsidRPr="003C66A0">
        <w:rPr>
          <w:rFonts w:eastAsiaTheme="majorEastAsia"/>
          <w:color w:val="000000" w:themeColor="text1"/>
        </w:rPr>
        <w:t>Those who thought of this as real work did better than those who thought of it as real passive income. They set aside certain times for management, came up with systematic ways to do things, and kept detailed records. People who thought they could "set and forget" their income usually forgot to keep an eye on positions that lost value through IL, went out of range, or were affected by changes in protocol.</w:t>
      </w:r>
    </w:p>
    <w:p w14:paraId="1E2E9519" w14:textId="77777777" w:rsidR="00537CAE" w:rsidRPr="003C66A0" w:rsidRDefault="00537CAE" w:rsidP="006B21E2">
      <w:pPr>
        <w:jc w:val="both"/>
        <w:rPr>
          <w:rFonts w:eastAsiaTheme="majorEastAsia"/>
          <w:color w:val="000000" w:themeColor="text1"/>
        </w:rPr>
      </w:pPr>
    </w:p>
    <w:p w14:paraId="1447E5B8" w14:textId="5763230D" w:rsidR="00FC3DF4" w:rsidRPr="003C66A0" w:rsidRDefault="008D6F57" w:rsidP="006B21E2">
      <w:pPr>
        <w:pStyle w:val="Heading2"/>
        <w:rPr>
          <w:rFonts w:eastAsiaTheme="majorEastAsia"/>
        </w:rPr>
      </w:pPr>
      <w:bookmarkStart w:id="191" w:name="_Toc214721997"/>
      <w:r w:rsidRPr="003C66A0">
        <w:rPr>
          <w:rFonts w:eastAsiaTheme="majorEastAsia"/>
        </w:rPr>
        <w:t>8</w:t>
      </w:r>
      <w:r w:rsidR="00FC3DF4" w:rsidRPr="003C66A0">
        <w:rPr>
          <w:rFonts w:eastAsiaTheme="majorEastAsia"/>
        </w:rPr>
        <w:t xml:space="preserve">.6 </w:t>
      </w:r>
      <w:r w:rsidR="00C803D1" w:rsidRPr="003C66A0">
        <w:rPr>
          <w:rFonts w:eastAsiaTheme="majorEastAsia"/>
        </w:rPr>
        <w:t>Capital Requirements: Empirical Thresholds and Opportunity Zones</w:t>
      </w:r>
      <w:bookmarkEnd w:id="191"/>
    </w:p>
    <w:p w14:paraId="5B9418BA" w14:textId="08853950" w:rsidR="00184C91" w:rsidRPr="003C66A0" w:rsidRDefault="00184C91" w:rsidP="006B21E2">
      <w:pPr>
        <w:jc w:val="both"/>
        <w:rPr>
          <w:rFonts w:eastAsiaTheme="majorEastAsia"/>
          <w:color w:val="000000" w:themeColor="text1"/>
        </w:rPr>
      </w:pPr>
      <w:r w:rsidRPr="003C66A0">
        <w:rPr>
          <w:rFonts w:eastAsiaTheme="majorEastAsia"/>
          <w:color w:val="000000" w:themeColor="text1"/>
        </w:rPr>
        <w:t xml:space="preserve">The </w:t>
      </w:r>
      <w:r w:rsidR="00702CA4" w:rsidRPr="003C66A0">
        <w:rPr>
          <w:rFonts w:eastAsiaTheme="majorEastAsia"/>
          <w:color w:val="000000" w:themeColor="text1"/>
        </w:rPr>
        <w:t>research</w:t>
      </w:r>
      <w:r w:rsidRPr="003C66A0">
        <w:rPr>
          <w:rFonts w:eastAsiaTheme="majorEastAsia"/>
          <w:color w:val="000000" w:themeColor="text1"/>
        </w:rPr>
        <w:t xml:space="preserve"> data shows four distinct capital zones, each with its own characteristics, opportunities and constraints. Below $3,500, only Polygon and BSC offered any profitable positions in the sample used here. </w:t>
      </w:r>
      <w:r w:rsidR="00702CA4" w:rsidRPr="003C66A0">
        <w:rPr>
          <w:rFonts w:eastAsiaTheme="majorEastAsia"/>
          <w:color w:val="000000" w:themeColor="text1"/>
        </w:rPr>
        <w:t>However</w:t>
      </w:r>
      <w:r w:rsidRPr="003C66A0">
        <w:rPr>
          <w:rFonts w:eastAsiaTheme="majorEastAsia"/>
          <w:color w:val="000000" w:themeColor="text1"/>
        </w:rPr>
        <w:t xml:space="preserve">, even then, returns averaged just 4-6% annually. This may be useful for participants with $1,000 earning 6% (generating $60 yearly) but most likely only in some economic contexts. But it is unlikely to justify the 15-20 hours weekly time investment that </w:t>
      </w:r>
      <w:r w:rsidR="00702CA4" w:rsidRPr="003C66A0">
        <w:rPr>
          <w:rFonts w:eastAsiaTheme="majorEastAsia"/>
          <w:color w:val="000000" w:themeColor="text1"/>
        </w:rPr>
        <w:t>successful</w:t>
      </w:r>
      <w:r w:rsidRPr="003C66A0">
        <w:rPr>
          <w:rFonts w:eastAsiaTheme="majorEastAsia"/>
          <w:color w:val="000000" w:themeColor="text1"/>
        </w:rPr>
        <w:t xml:space="preserve"> participants reported.</w:t>
      </w:r>
    </w:p>
    <w:p w14:paraId="5B857993" w14:textId="77777777" w:rsidR="00184C91" w:rsidRPr="003C66A0" w:rsidRDefault="00184C91" w:rsidP="006B21E2">
      <w:pPr>
        <w:jc w:val="both"/>
        <w:rPr>
          <w:rFonts w:eastAsiaTheme="majorEastAsia"/>
          <w:color w:val="000000" w:themeColor="text1"/>
        </w:rPr>
      </w:pPr>
    </w:p>
    <w:p w14:paraId="2A95ECB9" w14:textId="0B3FA162" w:rsidR="00184C91" w:rsidRPr="003C66A0" w:rsidRDefault="00184C91" w:rsidP="006B21E2">
      <w:pPr>
        <w:jc w:val="both"/>
        <w:rPr>
          <w:rFonts w:eastAsiaTheme="majorEastAsia"/>
          <w:color w:val="000000" w:themeColor="text1"/>
        </w:rPr>
      </w:pPr>
      <w:r w:rsidRPr="003C66A0">
        <w:rPr>
          <w:rFonts w:eastAsiaTheme="majorEastAsia"/>
          <w:color w:val="000000" w:themeColor="text1"/>
        </w:rPr>
        <w:t xml:space="preserve">The $3,500 to $25,000 range opened L2 opportunities with between 6-10% typical returns and proved to be important beyond just financial returns. Participants could survive small mistakes without devastating </w:t>
      </w:r>
      <w:r w:rsidR="00702CA4" w:rsidRPr="003C66A0">
        <w:rPr>
          <w:rFonts w:eastAsiaTheme="majorEastAsia"/>
          <w:color w:val="000000" w:themeColor="text1"/>
        </w:rPr>
        <w:t>losses while</w:t>
      </w:r>
      <w:r w:rsidRPr="003C66A0">
        <w:rPr>
          <w:rFonts w:eastAsiaTheme="majorEastAsia"/>
          <w:color w:val="000000" w:themeColor="text1"/>
        </w:rPr>
        <w:t xml:space="preserve"> having room to learn through minor errors rather than catastrophic failures. Among the interviewed participants, those starting with at least $10,000 reported significantly less stress and better decision-making than those operating near minimum thresholds.</w:t>
      </w:r>
    </w:p>
    <w:p w14:paraId="54A73366" w14:textId="77777777" w:rsidR="00184C91" w:rsidRPr="003C66A0" w:rsidRDefault="00184C91" w:rsidP="006B21E2">
      <w:pPr>
        <w:jc w:val="both"/>
        <w:rPr>
          <w:rFonts w:eastAsiaTheme="majorEastAsia"/>
          <w:color w:val="000000" w:themeColor="text1"/>
        </w:rPr>
      </w:pPr>
    </w:p>
    <w:p w14:paraId="2D6BA0C1" w14:textId="70B865C2" w:rsidR="00184C91" w:rsidRPr="003C66A0" w:rsidRDefault="00184C91" w:rsidP="006B21E2">
      <w:pPr>
        <w:jc w:val="both"/>
        <w:rPr>
          <w:rFonts w:eastAsiaTheme="majorEastAsia"/>
          <w:color w:val="000000" w:themeColor="text1"/>
        </w:rPr>
      </w:pPr>
      <w:r w:rsidRPr="003C66A0">
        <w:rPr>
          <w:rFonts w:eastAsiaTheme="majorEastAsia"/>
          <w:color w:val="000000" w:themeColor="text1"/>
        </w:rPr>
        <w:t xml:space="preserve">Ethereum </w:t>
      </w:r>
      <w:proofErr w:type="spellStart"/>
      <w:r w:rsidRPr="003C66A0">
        <w:rPr>
          <w:rFonts w:eastAsiaTheme="majorEastAsia"/>
          <w:color w:val="000000" w:themeColor="text1"/>
        </w:rPr>
        <w:t>mainnet</w:t>
      </w:r>
      <w:proofErr w:type="spellEnd"/>
      <w:r w:rsidRPr="003C66A0">
        <w:rPr>
          <w:rFonts w:eastAsiaTheme="majorEastAsia"/>
          <w:color w:val="000000" w:themeColor="text1"/>
        </w:rPr>
        <w:t xml:space="preserve"> became a real thing when it went from $25,000 to $100,000 and started giving returns of 8% to 14%. But more importantly, this amount of money made real diversification possible. The participants in this case were able to spread the risks across several protocols while keeping their reserves for new opportunities. They </w:t>
      </w:r>
      <w:r w:rsidR="00702CA4" w:rsidRPr="003C66A0">
        <w:rPr>
          <w:rFonts w:eastAsiaTheme="majorEastAsia"/>
          <w:color w:val="000000" w:themeColor="text1"/>
        </w:rPr>
        <w:t>were</w:t>
      </w:r>
      <w:r w:rsidRPr="003C66A0">
        <w:rPr>
          <w:rFonts w:eastAsiaTheme="majorEastAsia"/>
          <w:color w:val="000000" w:themeColor="text1"/>
        </w:rPr>
        <w:t xml:space="preserve"> also able to survive 50% drawdowns without having to sell their assets. The difference wasn't just higher returns; it was also the ability to keep going.</w:t>
      </w:r>
    </w:p>
    <w:p w14:paraId="1502D7A5" w14:textId="77777777" w:rsidR="00184C91" w:rsidRPr="003C66A0" w:rsidRDefault="00184C91" w:rsidP="006B21E2">
      <w:pPr>
        <w:jc w:val="both"/>
        <w:rPr>
          <w:rFonts w:eastAsiaTheme="majorEastAsia"/>
          <w:color w:val="000000" w:themeColor="text1"/>
        </w:rPr>
      </w:pPr>
    </w:p>
    <w:p w14:paraId="29178C04" w14:textId="77777777" w:rsidR="00184C91" w:rsidRPr="003C66A0" w:rsidRDefault="00184C91" w:rsidP="006B21E2">
      <w:pPr>
        <w:jc w:val="both"/>
        <w:rPr>
          <w:rFonts w:eastAsiaTheme="majorEastAsia"/>
          <w:color w:val="000000" w:themeColor="text1"/>
        </w:rPr>
      </w:pPr>
      <w:r w:rsidRPr="003C66A0">
        <w:rPr>
          <w:rFonts w:eastAsiaTheme="majorEastAsia"/>
          <w:color w:val="000000" w:themeColor="text1"/>
        </w:rPr>
        <w:t xml:space="preserve">When the amount went over $100,000, complex strategies like automated concentrated liquidity management started to make profit. But this area also drew competition from institutions. Individuals with $100,000 competed against companies with $10 million and teams of people who </w:t>
      </w:r>
      <w:r w:rsidRPr="003C66A0">
        <w:rPr>
          <w:rFonts w:eastAsiaTheme="majorEastAsia"/>
          <w:color w:val="000000" w:themeColor="text1"/>
        </w:rPr>
        <w:lastRenderedPageBreak/>
        <w:t>worked full-time. Success required not just capital but infrastructure, expertise, and often privileged order flow access.</w:t>
      </w:r>
    </w:p>
    <w:p w14:paraId="07633C57" w14:textId="77777777" w:rsidR="00184C91" w:rsidRPr="003C66A0" w:rsidRDefault="00184C91" w:rsidP="006B21E2">
      <w:pPr>
        <w:jc w:val="both"/>
        <w:rPr>
          <w:rFonts w:eastAsiaTheme="majorEastAsia"/>
          <w:color w:val="000000" w:themeColor="text1"/>
        </w:rPr>
      </w:pPr>
    </w:p>
    <w:p w14:paraId="050E82A4" w14:textId="4E317A17" w:rsidR="00184C91" w:rsidRPr="003C66A0" w:rsidRDefault="00184C91" w:rsidP="006B21E2">
      <w:pPr>
        <w:jc w:val="both"/>
        <w:rPr>
          <w:rFonts w:eastAsiaTheme="majorEastAsia"/>
          <w:color w:val="000000" w:themeColor="text1"/>
        </w:rPr>
      </w:pPr>
      <w:r w:rsidRPr="003C66A0">
        <w:rPr>
          <w:rFonts w:eastAsiaTheme="majorEastAsia"/>
          <w:color w:val="000000" w:themeColor="text1"/>
        </w:rPr>
        <w:t xml:space="preserve">The fee structure analysis in this paper explains how these thresholds come from the math behind the relationship between position size and operational costs. The network viability thresholds—$25,000 for Ethereum </w:t>
      </w:r>
      <w:proofErr w:type="spellStart"/>
      <w:r w:rsidRPr="003C66A0">
        <w:rPr>
          <w:rFonts w:eastAsiaTheme="majorEastAsia"/>
          <w:color w:val="000000" w:themeColor="text1"/>
        </w:rPr>
        <w:t>mainnet</w:t>
      </w:r>
      <w:proofErr w:type="spellEnd"/>
      <w:r w:rsidRPr="003C66A0">
        <w:rPr>
          <w:rFonts w:eastAsiaTheme="majorEastAsia"/>
          <w:color w:val="000000" w:themeColor="text1"/>
        </w:rPr>
        <w:t>, $3,500 for L2 solutions, and $750 for alternative chains like Polygon—are the points at which fees start to cover gas costs and other operational costs.</w:t>
      </w:r>
    </w:p>
    <w:p w14:paraId="18B6876D" w14:textId="77777777" w:rsidR="00184C91" w:rsidRPr="003C66A0" w:rsidRDefault="00184C91" w:rsidP="006B21E2">
      <w:pPr>
        <w:jc w:val="both"/>
        <w:rPr>
          <w:rFonts w:eastAsiaTheme="majorEastAsia"/>
          <w:color w:val="000000" w:themeColor="text1"/>
        </w:rPr>
      </w:pPr>
    </w:p>
    <w:p w14:paraId="2D761CC4" w14:textId="29C8011D" w:rsidR="00184C91" w:rsidRPr="00A73722" w:rsidRDefault="00184C91" w:rsidP="006B21E2">
      <w:pPr>
        <w:jc w:val="both"/>
        <w:rPr>
          <w:rFonts w:eastAsiaTheme="majorEastAsia"/>
          <w:color w:val="000000" w:themeColor="text1"/>
        </w:rPr>
      </w:pPr>
      <w:r w:rsidRPr="003C66A0">
        <w:rPr>
          <w:rFonts w:eastAsiaTheme="majorEastAsia"/>
          <w:color w:val="000000" w:themeColor="text1"/>
        </w:rPr>
        <w:t xml:space="preserve">The gradient shows both progress and problems that won't go away. In traditional finance, you </w:t>
      </w:r>
      <w:r w:rsidRPr="00A73722">
        <w:rPr>
          <w:rFonts w:eastAsiaTheme="majorEastAsia"/>
          <w:color w:val="000000" w:themeColor="text1"/>
        </w:rPr>
        <w:t xml:space="preserve">need millions of dollars to be a market </w:t>
      </w:r>
      <w:r w:rsidR="000D7EE2" w:rsidRPr="00A73722">
        <w:rPr>
          <w:rFonts w:eastAsiaTheme="majorEastAsia"/>
          <w:color w:val="000000" w:themeColor="text1"/>
        </w:rPr>
        <w:t>maker,</w:t>
      </w:r>
      <w:r w:rsidRPr="00A73722">
        <w:rPr>
          <w:rFonts w:eastAsiaTheme="majorEastAsia"/>
          <w:color w:val="000000" w:themeColor="text1"/>
        </w:rPr>
        <w:t xml:space="preserve"> or you can't participate at all. In DeFi, there are many ways to get in. Even if the returns are small, someone with $5,000 can still take part in a meaningful way. That's real democratization. But the idea that anyone with $100 can make a lot of passive income is wrong; the way things work means that there are natural minimum scales that marketing can't change.</w:t>
      </w:r>
    </w:p>
    <w:p w14:paraId="78382D44" w14:textId="77777777" w:rsidR="00997251" w:rsidRPr="00A73722" w:rsidRDefault="00997251" w:rsidP="006B21E2">
      <w:pPr>
        <w:jc w:val="both"/>
        <w:rPr>
          <w:rFonts w:eastAsiaTheme="majorEastAsia"/>
          <w:color w:val="000000" w:themeColor="text1"/>
        </w:rPr>
      </w:pPr>
    </w:p>
    <w:p w14:paraId="0AC93104" w14:textId="77777777" w:rsidR="003A16A1" w:rsidRPr="00A73722" w:rsidRDefault="003A16A1" w:rsidP="006B21E2">
      <w:pPr>
        <w:pStyle w:val="Heading3"/>
        <w:jc w:val="both"/>
        <w:rPr>
          <w:color w:val="000000" w:themeColor="text1"/>
        </w:rPr>
      </w:pPr>
      <w:bookmarkStart w:id="192" w:name="_Toc214721998"/>
      <w:r w:rsidRPr="00A73722">
        <w:rPr>
          <w:color w:val="000000" w:themeColor="text1"/>
        </w:rPr>
        <w:t>8.6.1 Statistical Comparison of Strategy Performance Across Capital Levels</w:t>
      </w:r>
      <w:bookmarkEnd w:id="192"/>
    </w:p>
    <w:p w14:paraId="636A2218" w14:textId="7AD6DE53" w:rsidR="003A16A1" w:rsidRPr="00A73722" w:rsidRDefault="003A16A1" w:rsidP="006B21E2">
      <w:pPr>
        <w:pStyle w:val="whitespace-normal"/>
        <w:spacing w:before="0" w:beforeAutospacing="0" w:after="0" w:afterAutospacing="0"/>
        <w:jc w:val="both"/>
        <w:rPr>
          <w:color w:val="000000" w:themeColor="text1"/>
        </w:rPr>
      </w:pPr>
      <w:r w:rsidRPr="00A73722">
        <w:rPr>
          <w:color w:val="000000" w:themeColor="text1"/>
        </w:rPr>
        <w:t xml:space="preserve">While </w:t>
      </w:r>
      <w:r w:rsidR="00317666" w:rsidRPr="00A73722">
        <w:rPr>
          <w:color w:val="000000" w:themeColor="text1"/>
        </w:rPr>
        <w:t xml:space="preserve">the </w:t>
      </w:r>
      <w:r w:rsidRPr="00A73722">
        <w:rPr>
          <w:color w:val="000000" w:themeColor="text1"/>
        </w:rPr>
        <w:t xml:space="preserve">sections </w:t>
      </w:r>
      <w:r w:rsidR="00317666" w:rsidRPr="00A73722">
        <w:rPr>
          <w:color w:val="000000" w:themeColor="text1"/>
        </w:rPr>
        <w:t xml:space="preserve">above </w:t>
      </w:r>
      <w:r w:rsidRPr="00A73722">
        <w:rPr>
          <w:color w:val="000000" w:themeColor="text1"/>
        </w:rPr>
        <w:t xml:space="preserve">describe performance patterns for different strategies, </w:t>
      </w:r>
      <w:r w:rsidR="00317666" w:rsidRPr="00A73722">
        <w:rPr>
          <w:color w:val="000000" w:themeColor="text1"/>
        </w:rPr>
        <w:t xml:space="preserve">the </w:t>
      </w:r>
      <w:r w:rsidRPr="00A73722">
        <w:rPr>
          <w:color w:val="000000" w:themeColor="text1"/>
        </w:rPr>
        <w:t xml:space="preserve">formal statistical testing clarifies </w:t>
      </w:r>
      <w:r w:rsidR="00317666" w:rsidRPr="00A73722">
        <w:rPr>
          <w:color w:val="000000" w:themeColor="text1"/>
        </w:rPr>
        <w:t xml:space="preserve">if the </w:t>
      </w:r>
      <w:r w:rsidRPr="00A73722">
        <w:rPr>
          <w:color w:val="000000" w:themeColor="text1"/>
        </w:rPr>
        <w:t xml:space="preserve">observed differences represent genuine effects or sampling variation. </w:t>
      </w:r>
      <w:r w:rsidR="00D01594" w:rsidRPr="00A73722">
        <w:rPr>
          <w:color w:val="000000" w:themeColor="text1"/>
        </w:rPr>
        <w:t xml:space="preserve">For this </w:t>
      </w:r>
      <w:r w:rsidRPr="00A73722">
        <w:rPr>
          <w:color w:val="000000" w:themeColor="text1"/>
        </w:rPr>
        <w:t xml:space="preserve">I conducted </w:t>
      </w:r>
      <w:r w:rsidR="00D01594" w:rsidRPr="00A73722">
        <w:rPr>
          <w:color w:val="000000" w:themeColor="text1"/>
        </w:rPr>
        <w:t xml:space="preserve">a </w:t>
      </w:r>
      <w:r w:rsidR="00FA797E" w:rsidRPr="00A73722">
        <w:rPr>
          <w:color w:val="000000" w:themeColor="text1"/>
        </w:rPr>
        <w:t>comparative analysis</w:t>
      </w:r>
      <w:r w:rsidRPr="00A73722">
        <w:rPr>
          <w:color w:val="000000" w:themeColor="text1"/>
        </w:rPr>
        <w:t xml:space="preserve"> using non-parametric methods due to severe departures from normality (Shapiro-Wilk test p &lt; 0.001 for all return distributions, documented in Appendix E).</w:t>
      </w:r>
    </w:p>
    <w:p w14:paraId="7E90E709" w14:textId="77777777" w:rsidR="00B35E24" w:rsidRDefault="00B35E24" w:rsidP="006B21E2">
      <w:pPr>
        <w:pStyle w:val="Heading4"/>
        <w:jc w:val="both"/>
        <w:rPr>
          <w:color w:val="000000" w:themeColor="text1"/>
        </w:rPr>
      </w:pPr>
    </w:p>
    <w:p w14:paraId="79AAE308" w14:textId="0F244C54" w:rsidR="003A16A1" w:rsidRPr="00A73722" w:rsidRDefault="00ED3A34" w:rsidP="006B21E2">
      <w:pPr>
        <w:pStyle w:val="Heading4"/>
        <w:jc w:val="both"/>
        <w:rPr>
          <w:color w:val="000000" w:themeColor="text1"/>
        </w:rPr>
      </w:pPr>
      <w:r w:rsidRPr="00A73722">
        <w:rPr>
          <w:color w:val="000000" w:themeColor="text1"/>
        </w:rPr>
        <w:t xml:space="preserve">8.6.1.1 </w:t>
      </w:r>
      <w:r w:rsidR="003A16A1" w:rsidRPr="00A73722">
        <w:rPr>
          <w:rStyle w:val="Strong"/>
          <w:b/>
          <w:bCs w:val="0"/>
          <w:color w:val="000000" w:themeColor="text1"/>
        </w:rPr>
        <w:t>Primary Strategy Comparison</w:t>
      </w:r>
    </w:p>
    <w:p w14:paraId="2BD4B4D3" w14:textId="307DD8D7" w:rsidR="003A16A1" w:rsidRPr="00A73722" w:rsidRDefault="003A16A1" w:rsidP="006B21E2">
      <w:pPr>
        <w:pStyle w:val="whitespace-normal"/>
        <w:spacing w:before="0" w:beforeAutospacing="0" w:after="0" w:afterAutospacing="0"/>
        <w:jc w:val="both"/>
        <w:rPr>
          <w:color w:val="000000" w:themeColor="text1"/>
        </w:rPr>
      </w:pPr>
      <w:r w:rsidRPr="00A73722">
        <w:rPr>
          <w:color w:val="000000" w:themeColor="text1"/>
        </w:rPr>
        <w:t xml:space="preserve">A Kruskal-Wallis H test </w:t>
      </w:r>
      <w:r w:rsidR="00D01594" w:rsidRPr="00A73722">
        <w:rPr>
          <w:color w:val="000000" w:themeColor="text1"/>
        </w:rPr>
        <w:t>showed</w:t>
      </w:r>
      <w:r w:rsidRPr="00A73722">
        <w:rPr>
          <w:color w:val="000000" w:themeColor="text1"/>
        </w:rPr>
        <w:t xml:space="preserve"> statistically significant differences in net annual returns across primary strategy types (staking, yield farming</w:t>
      </w:r>
      <w:r w:rsidR="00D01594" w:rsidRPr="00A73722">
        <w:rPr>
          <w:color w:val="000000" w:themeColor="text1"/>
        </w:rPr>
        <w:t xml:space="preserve"> and</w:t>
      </w:r>
      <w:r w:rsidRPr="00A73722">
        <w:rPr>
          <w:color w:val="000000" w:themeColor="text1"/>
        </w:rPr>
        <w:t xml:space="preserve"> liquidity provision), </w:t>
      </w:r>
      <w:proofErr w:type="gramStart"/>
      <w:r w:rsidRPr="00A73722">
        <w:rPr>
          <w:color w:val="000000" w:themeColor="text1"/>
        </w:rPr>
        <w:t>H(</w:t>
      </w:r>
      <w:proofErr w:type="gramEnd"/>
      <w:r w:rsidRPr="00A73722">
        <w:rPr>
          <w:color w:val="000000" w:themeColor="text1"/>
        </w:rPr>
        <w:t>2) = 47.3, p &lt; 0.001, with a moderate effect size (ε² = 0.31). Post-hoc Dunn's tests with Bonferroni correction showed:</w:t>
      </w:r>
    </w:p>
    <w:p w14:paraId="1A29D35A" w14:textId="77777777" w:rsidR="003A16A1" w:rsidRPr="00A73722" w:rsidRDefault="003A16A1" w:rsidP="006B21E2">
      <w:pPr>
        <w:pStyle w:val="whitespace-normal"/>
        <w:numPr>
          <w:ilvl w:val="0"/>
          <w:numId w:val="150"/>
        </w:numPr>
        <w:spacing w:before="0" w:beforeAutospacing="0" w:after="0" w:afterAutospacing="0"/>
        <w:jc w:val="both"/>
        <w:outlineLvl w:val="9"/>
        <w:rPr>
          <w:color w:val="000000" w:themeColor="text1"/>
        </w:rPr>
      </w:pPr>
      <w:r w:rsidRPr="00A73722">
        <w:rPr>
          <w:color w:val="000000" w:themeColor="text1"/>
        </w:rPr>
        <w:t>Liquidity provision (</w:t>
      </w:r>
      <w:proofErr w:type="spellStart"/>
      <w:r w:rsidRPr="00A73722">
        <w:rPr>
          <w:color w:val="000000" w:themeColor="text1"/>
        </w:rPr>
        <w:t>Mdn</w:t>
      </w:r>
      <w:proofErr w:type="spellEnd"/>
      <w:r w:rsidRPr="00A73722">
        <w:rPr>
          <w:color w:val="000000" w:themeColor="text1"/>
        </w:rPr>
        <w:t xml:space="preserve"> = 7.0%) significantly outperformed staking (</w:t>
      </w:r>
      <w:proofErr w:type="spellStart"/>
      <w:r w:rsidRPr="00A73722">
        <w:rPr>
          <w:color w:val="000000" w:themeColor="text1"/>
        </w:rPr>
        <w:t>Mdn</w:t>
      </w:r>
      <w:proofErr w:type="spellEnd"/>
      <w:r w:rsidRPr="00A73722">
        <w:rPr>
          <w:color w:val="000000" w:themeColor="text1"/>
        </w:rPr>
        <w:t xml:space="preserve"> = -2.1%), z = 5.9, p &lt; 0.001, r = 0.47</w:t>
      </w:r>
    </w:p>
    <w:p w14:paraId="519DEF39" w14:textId="77777777" w:rsidR="003A16A1" w:rsidRPr="00A73722" w:rsidRDefault="003A16A1" w:rsidP="006B21E2">
      <w:pPr>
        <w:pStyle w:val="whitespace-normal"/>
        <w:numPr>
          <w:ilvl w:val="0"/>
          <w:numId w:val="150"/>
        </w:numPr>
        <w:spacing w:before="0" w:beforeAutospacing="0" w:after="0" w:afterAutospacing="0"/>
        <w:jc w:val="both"/>
        <w:outlineLvl w:val="9"/>
        <w:rPr>
          <w:color w:val="000000" w:themeColor="text1"/>
        </w:rPr>
      </w:pPr>
      <w:r w:rsidRPr="00A73722">
        <w:rPr>
          <w:color w:val="000000" w:themeColor="text1"/>
        </w:rPr>
        <w:t>Liquidity provision significantly outperformed yield farming (</w:t>
      </w:r>
      <w:proofErr w:type="spellStart"/>
      <w:r w:rsidRPr="00A73722">
        <w:rPr>
          <w:color w:val="000000" w:themeColor="text1"/>
        </w:rPr>
        <w:t>Mdn</w:t>
      </w:r>
      <w:proofErr w:type="spellEnd"/>
      <w:r w:rsidRPr="00A73722">
        <w:rPr>
          <w:color w:val="000000" w:themeColor="text1"/>
        </w:rPr>
        <w:t xml:space="preserve"> = 1.3%), z = 4.2, p &lt; 0.001, r = 0.34</w:t>
      </w:r>
    </w:p>
    <w:p w14:paraId="32EF3B25" w14:textId="77777777" w:rsidR="003A16A1" w:rsidRPr="00A73722" w:rsidRDefault="003A16A1" w:rsidP="006B21E2">
      <w:pPr>
        <w:pStyle w:val="whitespace-normal"/>
        <w:numPr>
          <w:ilvl w:val="0"/>
          <w:numId w:val="150"/>
        </w:numPr>
        <w:spacing w:before="0" w:beforeAutospacing="0" w:after="0" w:afterAutospacing="0"/>
        <w:jc w:val="both"/>
        <w:outlineLvl w:val="9"/>
        <w:rPr>
          <w:color w:val="000000" w:themeColor="text1"/>
        </w:rPr>
      </w:pPr>
      <w:r w:rsidRPr="00A73722">
        <w:rPr>
          <w:color w:val="000000" w:themeColor="text1"/>
        </w:rPr>
        <w:t>Yield farming and staking showed no significant difference, z = 1.8, p = 0.21, r = 0.14</w:t>
      </w:r>
    </w:p>
    <w:p w14:paraId="45C171C6" w14:textId="77777777" w:rsidR="00B35E24" w:rsidRDefault="00B35E24" w:rsidP="006B21E2">
      <w:pPr>
        <w:pStyle w:val="whitespace-normal"/>
        <w:spacing w:before="0" w:beforeAutospacing="0" w:after="0" w:afterAutospacing="0"/>
        <w:jc w:val="both"/>
        <w:rPr>
          <w:color w:val="000000" w:themeColor="text1"/>
        </w:rPr>
      </w:pPr>
    </w:p>
    <w:p w14:paraId="1EBCC153" w14:textId="17FC5123" w:rsidR="003A16A1" w:rsidRPr="00A73722" w:rsidRDefault="003A16A1" w:rsidP="006B21E2">
      <w:pPr>
        <w:pStyle w:val="whitespace-normal"/>
        <w:spacing w:before="0" w:beforeAutospacing="0" w:after="0" w:afterAutospacing="0"/>
        <w:jc w:val="both"/>
        <w:rPr>
          <w:color w:val="000000" w:themeColor="text1"/>
        </w:rPr>
      </w:pPr>
      <w:r w:rsidRPr="00A73722">
        <w:rPr>
          <w:color w:val="000000" w:themeColor="text1"/>
        </w:rPr>
        <w:t>These findings confirm that liquidity provision generated superior returns within my sample</w:t>
      </w:r>
      <w:r w:rsidR="00856BD9" w:rsidRPr="00A73722">
        <w:rPr>
          <w:color w:val="000000" w:themeColor="text1"/>
        </w:rPr>
        <w:t xml:space="preserve"> and is</w:t>
      </w:r>
      <w:r w:rsidRPr="00A73722">
        <w:rPr>
          <w:color w:val="000000" w:themeColor="text1"/>
        </w:rPr>
        <w:t xml:space="preserve"> consistent with the patterns described in Section 8</w:t>
      </w:r>
      <w:r w:rsidR="00856BD9" w:rsidRPr="00A73722">
        <w:rPr>
          <w:color w:val="000000" w:themeColor="text1"/>
        </w:rPr>
        <w:t>.</w:t>
      </w:r>
      <w:r w:rsidRPr="00A73722">
        <w:rPr>
          <w:color w:val="000000" w:themeColor="text1"/>
        </w:rPr>
        <w:t xml:space="preserve"> The lack of difference between staking and yield </w:t>
      </w:r>
      <w:proofErr w:type="gramStart"/>
      <w:r w:rsidRPr="00A73722">
        <w:rPr>
          <w:color w:val="000000" w:themeColor="text1"/>
        </w:rPr>
        <w:t xml:space="preserve">farming </w:t>
      </w:r>
      <w:r w:rsidR="00856BD9" w:rsidRPr="00A73722">
        <w:rPr>
          <w:color w:val="000000" w:themeColor="text1"/>
        </w:rPr>
        <w:t>however</w:t>
      </w:r>
      <w:proofErr w:type="gramEnd"/>
      <w:r w:rsidR="00856BD9" w:rsidRPr="00A73722">
        <w:rPr>
          <w:color w:val="000000" w:themeColor="text1"/>
        </w:rPr>
        <w:t xml:space="preserve"> challenges the assumptions</w:t>
      </w:r>
      <w:r w:rsidRPr="00A73722">
        <w:rPr>
          <w:color w:val="000000" w:themeColor="text1"/>
        </w:rPr>
        <w:t xml:space="preserve"> that yield farming's complexity translate</w:t>
      </w:r>
      <w:r w:rsidR="00856BD9" w:rsidRPr="00A73722">
        <w:rPr>
          <w:color w:val="000000" w:themeColor="text1"/>
        </w:rPr>
        <w:t>s</w:t>
      </w:r>
      <w:r w:rsidRPr="00A73722">
        <w:rPr>
          <w:color w:val="000000" w:themeColor="text1"/>
        </w:rPr>
        <w:t xml:space="preserve"> to better outcomes</w:t>
      </w:r>
      <w:r w:rsidR="00856BD9" w:rsidRPr="00A73722">
        <w:rPr>
          <w:color w:val="000000" w:themeColor="text1"/>
        </w:rPr>
        <w:t>. B</w:t>
      </w:r>
      <w:r w:rsidRPr="00A73722">
        <w:rPr>
          <w:color w:val="000000" w:themeColor="text1"/>
        </w:rPr>
        <w:t xml:space="preserve">oth generated comparable (and generally poor) risk-adjusted returns after accounting for all </w:t>
      </w:r>
      <w:r w:rsidR="00856BD9" w:rsidRPr="00A73722">
        <w:rPr>
          <w:color w:val="000000" w:themeColor="text1"/>
        </w:rPr>
        <w:t xml:space="preserve">technical and operational </w:t>
      </w:r>
      <w:r w:rsidRPr="00A73722">
        <w:rPr>
          <w:color w:val="000000" w:themeColor="text1"/>
        </w:rPr>
        <w:t>costs.</w:t>
      </w:r>
    </w:p>
    <w:p w14:paraId="00DC97F4" w14:textId="77777777" w:rsidR="00B35E24" w:rsidRDefault="00B35E24" w:rsidP="006B21E2">
      <w:pPr>
        <w:pStyle w:val="Heading4"/>
        <w:jc w:val="both"/>
        <w:rPr>
          <w:color w:val="000000" w:themeColor="text1"/>
        </w:rPr>
      </w:pPr>
    </w:p>
    <w:p w14:paraId="4A51608C" w14:textId="3D4AFD1A" w:rsidR="003A16A1" w:rsidRPr="00A73722" w:rsidRDefault="00ED3A34" w:rsidP="006B21E2">
      <w:pPr>
        <w:pStyle w:val="Heading4"/>
        <w:jc w:val="both"/>
        <w:rPr>
          <w:color w:val="000000" w:themeColor="text1"/>
        </w:rPr>
      </w:pPr>
      <w:r w:rsidRPr="00A73722">
        <w:rPr>
          <w:color w:val="000000" w:themeColor="text1"/>
        </w:rPr>
        <w:t xml:space="preserve">8.6.1.2 </w:t>
      </w:r>
      <w:r w:rsidR="003A16A1" w:rsidRPr="00A73722">
        <w:rPr>
          <w:rStyle w:val="Strong"/>
          <w:b/>
          <w:bCs w:val="0"/>
          <w:color w:val="000000" w:themeColor="text1"/>
        </w:rPr>
        <w:t>Network-Level Performance Analysis</w:t>
      </w:r>
    </w:p>
    <w:p w14:paraId="55980018" w14:textId="20C4FD94" w:rsidR="003A16A1" w:rsidRPr="00A73722" w:rsidRDefault="003A16A1" w:rsidP="006B21E2">
      <w:pPr>
        <w:jc w:val="both"/>
        <w:rPr>
          <w:color w:val="000000" w:themeColor="text1"/>
        </w:rPr>
      </w:pPr>
      <w:r w:rsidRPr="00A73722">
        <w:rPr>
          <w:color w:val="000000" w:themeColor="text1"/>
        </w:rPr>
        <w:t xml:space="preserve">To test whether the network viability thresholds identified in Chapter 5 corresponded to </w:t>
      </w:r>
      <w:r w:rsidR="0010101C" w:rsidRPr="00A73722">
        <w:rPr>
          <w:color w:val="000000" w:themeColor="text1"/>
        </w:rPr>
        <w:t xml:space="preserve">the </w:t>
      </w:r>
      <w:r w:rsidRPr="00A73722">
        <w:rPr>
          <w:color w:val="000000" w:themeColor="text1"/>
        </w:rPr>
        <w:t>measurable performance differences</w:t>
      </w:r>
      <w:r w:rsidR="0010101C" w:rsidRPr="00A73722">
        <w:rPr>
          <w:color w:val="000000" w:themeColor="text1"/>
        </w:rPr>
        <w:t>.</w:t>
      </w:r>
      <w:r w:rsidRPr="00A73722">
        <w:rPr>
          <w:color w:val="000000" w:themeColor="text1"/>
        </w:rPr>
        <w:t xml:space="preserve"> I compared </w:t>
      </w:r>
      <w:r w:rsidR="0010101C" w:rsidRPr="00A73722">
        <w:rPr>
          <w:color w:val="000000" w:themeColor="text1"/>
        </w:rPr>
        <w:t xml:space="preserve">the </w:t>
      </w:r>
      <w:r w:rsidRPr="00A73722">
        <w:rPr>
          <w:color w:val="000000" w:themeColor="text1"/>
        </w:rPr>
        <w:t xml:space="preserve">returns within </w:t>
      </w:r>
      <w:r w:rsidR="0010101C" w:rsidRPr="00A73722">
        <w:rPr>
          <w:color w:val="000000" w:themeColor="text1"/>
        </w:rPr>
        <w:t xml:space="preserve">the </w:t>
      </w:r>
      <w:r w:rsidRPr="00A73722">
        <w:rPr>
          <w:color w:val="000000" w:themeColor="text1"/>
        </w:rPr>
        <w:t>capital ranges where multiple networks were viable.</w:t>
      </w:r>
    </w:p>
    <w:p w14:paraId="7ED36706" w14:textId="77777777" w:rsidR="00B35E24" w:rsidRDefault="00B35E24" w:rsidP="006B21E2">
      <w:pPr>
        <w:jc w:val="both"/>
        <w:rPr>
          <w:color w:val="000000" w:themeColor="text1"/>
        </w:rPr>
      </w:pPr>
    </w:p>
    <w:p w14:paraId="43486E5D" w14:textId="29BE2663" w:rsidR="003A16A1" w:rsidRPr="00A73722" w:rsidRDefault="003A16A1" w:rsidP="006B21E2">
      <w:pPr>
        <w:jc w:val="both"/>
        <w:rPr>
          <w:color w:val="000000" w:themeColor="text1"/>
        </w:rPr>
      </w:pPr>
      <w:r w:rsidRPr="00A73722">
        <w:rPr>
          <w:color w:val="000000" w:themeColor="text1"/>
        </w:rPr>
        <w:t>For positions between $3,500-$10,000 (where both L2 and alternative L1 networks were viable):</w:t>
      </w:r>
    </w:p>
    <w:p w14:paraId="4CBEB0DD" w14:textId="77777777" w:rsidR="003A16A1" w:rsidRPr="00A73722" w:rsidRDefault="003A16A1" w:rsidP="006B21E2">
      <w:pPr>
        <w:numPr>
          <w:ilvl w:val="0"/>
          <w:numId w:val="151"/>
        </w:numPr>
        <w:jc w:val="both"/>
        <w:rPr>
          <w:color w:val="000000" w:themeColor="text1"/>
        </w:rPr>
      </w:pPr>
      <w:r w:rsidRPr="00A73722">
        <w:rPr>
          <w:color w:val="000000" w:themeColor="text1"/>
        </w:rPr>
        <w:t>L2 solutions (</w:t>
      </w:r>
      <w:proofErr w:type="spellStart"/>
      <w:r w:rsidRPr="00A73722">
        <w:rPr>
          <w:color w:val="000000" w:themeColor="text1"/>
        </w:rPr>
        <w:t>Arbitrum</w:t>
      </w:r>
      <w:proofErr w:type="spellEnd"/>
      <w:r w:rsidRPr="00A73722">
        <w:rPr>
          <w:color w:val="000000" w:themeColor="text1"/>
        </w:rPr>
        <w:t xml:space="preserve">/Optimism): </w:t>
      </w:r>
      <w:proofErr w:type="spellStart"/>
      <w:r w:rsidRPr="00A73722">
        <w:rPr>
          <w:color w:val="000000" w:themeColor="text1"/>
        </w:rPr>
        <w:t>Mdn</w:t>
      </w:r>
      <w:proofErr w:type="spellEnd"/>
      <w:r w:rsidRPr="00A73722">
        <w:rPr>
          <w:color w:val="000000" w:themeColor="text1"/>
        </w:rPr>
        <w:t xml:space="preserve"> = 6.8%, IQR = 4.2%-9.7%</w:t>
      </w:r>
    </w:p>
    <w:p w14:paraId="7E76D01E" w14:textId="77777777" w:rsidR="002D11BA" w:rsidRPr="00A73722" w:rsidRDefault="003A16A1" w:rsidP="006B21E2">
      <w:pPr>
        <w:numPr>
          <w:ilvl w:val="0"/>
          <w:numId w:val="151"/>
        </w:numPr>
        <w:jc w:val="both"/>
        <w:rPr>
          <w:color w:val="000000" w:themeColor="text1"/>
        </w:rPr>
      </w:pPr>
      <w:r w:rsidRPr="00A73722">
        <w:rPr>
          <w:color w:val="000000" w:themeColor="text1"/>
        </w:rPr>
        <w:t xml:space="preserve">Alternative L1 (Polygon/BSC): </w:t>
      </w:r>
      <w:proofErr w:type="spellStart"/>
      <w:r w:rsidRPr="00A73722">
        <w:rPr>
          <w:color w:val="000000" w:themeColor="text1"/>
        </w:rPr>
        <w:t>Mdn</w:t>
      </w:r>
      <w:proofErr w:type="spellEnd"/>
      <w:r w:rsidRPr="00A73722">
        <w:rPr>
          <w:color w:val="000000" w:themeColor="text1"/>
        </w:rPr>
        <w:t xml:space="preserve"> = 5.1%, IQR = 3.1%-7.4%</w:t>
      </w:r>
    </w:p>
    <w:p w14:paraId="4A629178" w14:textId="373B7150" w:rsidR="002D11BA" w:rsidRPr="00A73722" w:rsidRDefault="002D11BA" w:rsidP="006B21E2">
      <w:pPr>
        <w:numPr>
          <w:ilvl w:val="0"/>
          <w:numId w:val="151"/>
        </w:numPr>
        <w:jc w:val="both"/>
        <w:rPr>
          <w:color w:val="000000" w:themeColor="text1"/>
        </w:rPr>
      </w:pPr>
      <w:r w:rsidRPr="00A73722">
        <w:rPr>
          <w:color w:val="000000" w:themeColor="text1"/>
        </w:rPr>
        <w:t xml:space="preserve">Mann-Whitney U = 347, p = 0.018, r = 0.28 (small effect, approaching medium threshold) </w:t>
      </w:r>
    </w:p>
    <w:p w14:paraId="316264A2" w14:textId="77777777" w:rsidR="003A16A1" w:rsidRPr="00A73722" w:rsidRDefault="003A16A1" w:rsidP="006B21E2">
      <w:pPr>
        <w:jc w:val="both"/>
        <w:rPr>
          <w:color w:val="000000" w:themeColor="text1"/>
        </w:rPr>
      </w:pPr>
      <w:r w:rsidRPr="00A73722">
        <w:rPr>
          <w:color w:val="000000" w:themeColor="text1"/>
        </w:rPr>
        <w:t xml:space="preserve">For positions between $25,000-$100,000 (where </w:t>
      </w:r>
      <w:proofErr w:type="spellStart"/>
      <w:r w:rsidRPr="00A73722">
        <w:rPr>
          <w:color w:val="000000" w:themeColor="text1"/>
        </w:rPr>
        <w:t>mainnet</w:t>
      </w:r>
      <w:proofErr w:type="spellEnd"/>
      <w:r w:rsidRPr="00A73722">
        <w:rPr>
          <w:color w:val="000000" w:themeColor="text1"/>
        </w:rPr>
        <w:t xml:space="preserve"> became viable):</w:t>
      </w:r>
    </w:p>
    <w:p w14:paraId="26BB5F90" w14:textId="77777777" w:rsidR="003A16A1" w:rsidRPr="00A73722" w:rsidRDefault="003A16A1" w:rsidP="006B21E2">
      <w:pPr>
        <w:numPr>
          <w:ilvl w:val="0"/>
          <w:numId w:val="152"/>
        </w:numPr>
        <w:jc w:val="both"/>
        <w:rPr>
          <w:color w:val="000000" w:themeColor="text1"/>
        </w:rPr>
      </w:pPr>
      <w:r w:rsidRPr="00A73722">
        <w:rPr>
          <w:color w:val="000000" w:themeColor="text1"/>
        </w:rPr>
        <w:lastRenderedPageBreak/>
        <w:t xml:space="preserve">Ethereum </w:t>
      </w:r>
      <w:proofErr w:type="spellStart"/>
      <w:r w:rsidRPr="00A73722">
        <w:rPr>
          <w:color w:val="000000" w:themeColor="text1"/>
        </w:rPr>
        <w:t>mainnet</w:t>
      </w:r>
      <w:proofErr w:type="spellEnd"/>
      <w:r w:rsidRPr="00A73722">
        <w:rPr>
          <w:color w:val="000000" w:themeColor="text1"/>
        </w:rPr>
        <w:t xml:space="preserve">: </w:t>
      </w:r>
      <w:proofErr w:type="spellStart"/>
      <w:r w:rsidRPr="00A73722">
        <w:rPr>
          <w:color w:val="000000" w:themeColor="text1"/>
        </w:rPr>
        <w:t>Mdn</w:t>
      </w:r>
      <w:proofErr w:type="spellEnd"/>
      <w:r w:rsidRPr="00A73722">
        <w:rPr>
          <w:color w:val="000000" w:themeColor="text1"/>
        </w:rPr>
        <w:t xml:space="preserve"> = 11.2%, IQR = 7.8%-15.3%</w:t>
      </w:r>
    </w:p>
    <w:p w14:paraId="06B41FDA" w14:textId="77777777" w:rsidR="002D11BA" w:rsidRPr="00A73722" w:rsidRDefault="003A16A1" w:rsidP="006B21E2">
      <w:pPr>
        <w:numPr>
          <w:ilvl w:val="0"/>
          <w:numId w:val="152"/>
        </w:numPr>
        <w:jc w:val="both"/>
        <w:rPr>
          <w:color w:val="000000" w:themeColor="text1"/>
        </w:rPr>
      </w:pPr>
      <w:r w:rsidRPr="00A73722">
        <w:rPr>
          <w:color w:val="000000" w:themeColor="text1"/>
        </w:rPr>
        <w:t xml:space="preserve">L2 solutions: </w:t>
      </w:r>
      <w:proofErr w:type="spellStart"/>
      <w:r w:rsidRPr="00A73722">
        <w:rPr>
          <w:color w:val="000000" w:themeColor="text1"/>
        </w:rPr>
        <w:t>Mdn</w:t>
      </w:r>
      <w:proofErr w:type="spellEnd"/>
      <w:r w:rsidRPr="00A73722">
        <w:rPr>
          <w:color w:val="000000" w:themeColor="text1"/>
        </w:rPr>
        <w:t xml:space="preserve"> = 8.4%, IQR = 5.9%-11.7%</w:t>
      </w:r>
    </w:p>
    <w:p w14:paraId="2C3AB0FA" w14:textId="7210B9C8" w:rsidR="002D11BA" w:rsidRPr="00A73722" w:rsidRDefault="002D11BA" w:rsidP="006B21E2">
      <w:pPr>
        <w:numPr>
          <w:ilvl w:val="0"/>
          <w:numId w:val="152"/>
        </w:numPr>
        <w:jc w:val="both"/>
        <w:rPr>
          <w:color w:val="000000" w:themeColor="text1"/>
        </w:rPr>
      </w:pPr>
      <w:r w:rsidRPr="00A73722">
        <w:rPr>
          <w:color w:val="000000" w:themeColor="text1"/>
        </w:rPr>
        <w:t xml:space="preserve">Mann-Whitney U = 289, p = 0.031, r = 0.24 (small effect) </w:t>
      </w:r>
    </w:p>
    <w:p w14:paraId="3A9218F8" w14:textId="77777777" w:rsidR="00B35E24" w:rsidRDefault="00B35E24" w:rsidP="006B21E2">
      <w:pPr>
        <w:pStyle w:val="Heading4"/>
        <w:jc w:val="both"/>
        <w:rPr>
          <w:color w:val="000000" w:themeColor="text1"/>
        </w:rPr>
      </w:pPr>
    </w:p>
    <w:p w14:paraId="64C76C04" w14:textId="0E0A41FC" w:rsidR="003A16A1" w:rsidRPr="00A73722" w:rsidRDefault="00ED3A34" w:rsidP="006B21E2">
      <w:pPr>
        <w:pStyle w:val="Heading4"/>
        <w:jc w:val="both"/>
        <w:rPr>
          <w:color w:val="000000" w:themeColor="text1"/>
        </w:rPr>
      </w:pPr>
      <w:r w:rsidRPr="00A73722">
        <w:rPr>
          <w:color w:val="000000" w:themeColor="text1"/>
        </w:rPr>
        <w:t xml:space="preserve">8.6.1.3 </w:t>
      </w:r>
      <w:r w:rsidR="003A16A1" w:rsidRPr="00A73722">
        <w:rPr>
          <w:color w:val="000000" w:themeColor="text1"/>
        </w:rPr>
        <w:t>Capital Level and Strategy Interaction</w:t>
      </w:r>
    </w:p>
    <w:p w14:paraId="5187AF24" w14:textId="42D02FBF" w:rsidR="003A16A1" w:rsidRPr="00A73722" w:rsidRDefault="003A16A1" w:rsidP="006B21E2">
      <w:pPr>
        <w:jc w:val="both"/>
        <w:rPr>
          <w:color w:val="000000" w:themeColor="text1"/>
        </w:rPr>
      </w:pPr>
      <w:r w:rsidRPr="00A73722">
        <w:rPr>
          <w:color w:val="000000" w:themeColor="text1"/>
        </w:rPr>
        <w:t xml:space="preserve">To examine whether strategy effectiveness varied by capital level, I tested for interaction effects using stratified analysis across the three capital tiers documented in </w:t>
      </w:r>
      <w:r w:rsidR="00327B6B" w:rsidRPr="00A73722">
        <w:rPr>
          <w:color w:val="000000" w:themeColor="text1"/>
        </w:rPr>
        <w:t>this chapter</w:t>
      </w:r>
      <w:r w:rsidRPr="00A73722">
        <w:rPr>
          <w:color w:val="000000" w:themeColor="text1"/>
        </w:rPr>
        <w:t>:</w:t>
      </w:r>
    </w:p>
    <w:p w14:paraId="27F0005F" w14:textId="77777777" w:rsidR="00B35E24" w:rsidRDefault="00B35E24" w:rsidP="006B21E2">
      <w:pPr>
        <w:jc w:val="both"/>
        <w:rPr>
          <w:b/>
          <w:bCs/>
          <w:color w:val="000000" w:themeColor="text1"/>
        </w:rPr>
      </w:pPr>
    </w:p>
    <w:p w14:paraId="23EB3E8F" w14:textId="11D4B352" w:rsidR="00BF7414" w:rsidRPr="00A73722" w:rsidRDefault="003A16A1" w:rsidP="006B21E2">
      <w:pPr>
        <w:jc w:val="both"/>
        <w:rPr>
          <w:b/>
          <w:bCs/>
          <w:color w:val="000000" w:themeColor="text1"/>
        </w:rPr>
      </w:pPr>
      <w:r w:rsidRPr="00A73722">
        <w:rPr>
          <w:b/>
          <w:bCs/>
          <w:color w:val="000000" w:themeColor="text1"/>
        </w:rPr>
        <w:t xml:space="preserve">Micro capital (&lt;$3,500, n=52): </w:t>
      </w:r>
    </w:p>
    <w:p w14:paraId="47D4AED4" w14:textId="3E0D10D8" w:rsidR="003A16A1" w:rsidRPr="00A73722" w:rsidRDefault="003A16A1" w:rsidP="006B21E2">
      <w:pPr>
        <w:jc w:val="both"/>
        <w:rPr>
          <w:color w:val="000000" w:themeColor="text1"/>
        </w:rPr>
      </w:pPr>
      <w:r w:rsidRPr="00A73722">
        <w:rPr>
          <w:color w:val="000000" w:themeColor="text1"/>
        </w:rPr>
        <w:t xml:space="preserve">Within this tier, stablecoin wide-range positions on Polygon/BSC generated median returns of 4.2% (IQR: 2.8%-5.9%). </w:t>
      </w:r>
      <w:r w:rsidR="00D15E53" w:rsidRPr="00A73722">
        <w:rPr>
          <w:color w:val="000000" w:themeColor="text1"/>
        </w:rPr>
        <w:t>The p</w:t>
      </w:r>
      <w:r w:rsidRPr="00A73722">
        <w:rPr>
          <w:color w:val="000000" w:themeColor="text1"/>
        </w:rPr>
        <w:t>ositions attempting correlated pairs or concentrated liquidity showed median returns of -1.8% (IQR: -8.2%-3.1%). The difference was significant, U = 89, p = 0.002, r = 0.43.</w:t>
      </w:r>
    </w:p>
    <w:p w14:paraId="7E3DCC7D" w14:textId="77777777" w:rsidR="00D15E53" w:rsidRPr="00A73722" w:rsidRDefault="00D15E53" w:rsidP="006B21E2">
      <w:pPr>
        <w:jc w:val="both"/>
        <w:rPr>
          <w:color w:val="000000" w:themeColor="text1"/>
        </w:rPr>
      </w:pPr>
    </w:p>
    <w:p w14:paraId="4543CE09" w14:textId="654453D8" w:rsidR="003A16A1" w:rsidRPr="00A73722" w:rsidRDefault="003A16A1" w:rsidP="006B21E2">
      <w:pPr>
        <w:jc w:val="both"/>
        <w:rPr>
          <w:color w:val="000000" w:themeColor="text1"/>
        </w:rPr>
      </w:pPr>
      <w:r w:rsidRPr="00A73722">
        <w:rPr>
          <w:color w:val="000000" w:themeColor="text1"/>
        </w:rPr>
        <w:t xml:space="preserve">Notably, 89% (95% CI: 78%-96%) of micro-capital positions </w:t>
      </w:r>
      <w:r w:rsidR="00226901" w:rsidRPr="00A73722">
        <w:rPr>
          <w:color w:val="000000" w:themeColor="text1"/>
        </w:rPr>
        <w:t xml:space="preserve">that executed </w:t>
      </w:r>
      <w:r w:rsidRPr="00A73722">
        <w:rPr>
          <w:color w:val="000000" w:themeColor="text1"/>
        </w:rPr>
        <w:t xml:space="preserve">strategies beyond simple stablecoin LP failed to achieve positive returns. This empirical finding validates the decision framework </w:t>
      </w:r>
      <w:r w:rsidR="00226901" w:rsidRPr="00A73722">
        <w:rPr>
          <w:color w:val="000000" w:themeColor="text1"/>
        </w:rPr>
        <w:t>in this paper</w:t>
      </w:r>
      <w:r w:rsidRPr="00A73722">
        <w:rPr>
          <w:color w:val="000000" w:themeColor="text1"/>
        </w:rPr>
        <w:t xml:space="preserve"> which </w:t>
      </w:r>
      <w:r w:rsidR="00226901" w:rsidRPr="00A73722">
        <w:rPr>
          <w:color w:val="000000" w:themeColor="text1"/>
        </w:rPr>
        <w:t>is pointing</w:t>
      </w:r>
      <w:r w:rsidRPr="00A73722">
        <w:rPr>
          <w:color w:val="000000" w:themeColor="text1"/>
        </w:rPr>
        <w:t xml:space="preserve"> micro-capital participants exclusively toward </w:t>
      </w:r>
      <w:proofErr w:type="gramStart"/>
      <w:r w:rsidRPr="00A73722">
        <w:rPr>
          <w:color w:val="000000" w:themeColor="text1"/>
        </w:rPr>
        <w:t>stablecoin</w:t>
      </w:r>
      <w:proofErr w:type="gramEnd"/>
      <w:r w:rsidRPr="00A73722">
        <w:rPr>
          <w:color w:val="000000" w:themeColor="text1"/>
        </w:rPr>
        <w:t xml:space="preserve"> strategies</w:t>
      </w:r>
      <w:r w:rsidR="00226901" w:rsidRPr="00A73722">
        <w:rPr>
          <w:color w:val="000000" w:themeColor="text1"/>
        </w:rPr>
        <w:t xml:space="preserve"> for investment purposes</w:t>
      </w:r>
      <w:r w:rsidRPr="00A73722">
        <w:rPr>
          <w:color w:val="000000" w:themeColor="text1"/>
        </w:rPr>
        <w:t>.</w:t>
      </w:r>
    </w:p>
    <w:p w14:paraId="6C21B420" w14:textId="77777777" w:rsidR="00BF7414" w:rsidRPr="00A73722" w:rsidRDefault="00BF7414" w:rsidP="006B21E2">
      <w:pPr>
        <w:jc w:val="both"/>
        <w:rPr>
          <w:color w:val="000000" w:themeColor="text1"/>
        </w:rPr>
      </w:pPr>
    </w:p>
    <w:p w14:paraId="1C35834E" w14:textId="77777777" w:rsidR="00D15E53" w:rsidRPr="00A73722" w:rsidRDefault="003A16A1" w:rsidP="006B21E2">
      <w:pPr>
        <w:jc w:val="both"/>
        <w:rPr>
          <w:b/>
          <w:bCs/>
          <w:color w:val="000000" w:themeColor="text1"/>
        </w:rPr>
      </w:pPr>
      <w:r w:rsidRPr="00A73722">
        <w:rPr>
          <w:b/>
          <w:bCs/>
          <w:color w:val="000000" w:themeColor="text1"/>
        </w:rPr>
        <w:t xml:space="preserve">Small-modest capital ($3,500-$25,000, n=59): </w:t>
      </w:r>
    </w:p>
    <w:p w14:paraId="55441300" w14:textId="7D3E0471" w:rsidR="003A16A1" w:rsidRPr="00A73722" w:rsidRDefault="003A16A1" w:rsidP="006B21E2">
      <w:pPr>
        <w:jc w:val="both"/>
        <w:rPr>
          <w:color w:val="000000" w:themeColor="text1"/>
        </w:rPr>
      </w:pPr>
      <w:r w:rsidRPr="00A73722">
        <w:rPr>
          <w:color w:val="000000" w:themeColor="text1"/>
        </w:rPr>
        <w:t xml:space="preserve">Within this </w:t>
      </w:r>
      <w:proofErr w:type="gramStart"/>
      <w:r w:rsidRPr="00A73722">
        <w:rPr>
          <w:color w:val="000000" w:themeColor="text1"/>
        </w:rPr>
        <w:t>tier</w:t>
      </w:r>
      <w:proofErr w:type="gramEnd"/>
      <w:r w:rsidRPr="00A73722">
        <w:rPr>
          <w:color w:val="000000" w:themeColor="text1"/>
        </w:rPr>
        <w:t xml:space="preserve">, </w:t>
      </w:r>
      <w:r w:rsidR="00264A76" w:rsidRPr="00A73722">
        <w:rPr>
          <w:color w:val="000000" w:themeColor="text1"/>
        </w:rPr>
        <w:t xml:space="preserve">the </w:t>
      </w:r>
      <w:r w:rsidRPr="00A73722">
        <w:rPr>
          <w:color w:val="000000" w:themeColor="text1"/>
        </w:rPr>
        <w:t>strategy selection showed less deterministic outcomes. Stablecoin LP generated median returns of 6.1% (IQR: 4.3%-8.2%)</w:t>
      </w:r>
      <w:r w:rsidR="00264A76" w:rsidRPr="00A73722">
        <w:rPr>
          <w:color w:val="000000" w:themeColor="text1"/>
        </w:rPr>
        <w:t xml:space="preserve">. And </w:t>
      </w:r>
      <w:r w:rsidRPr="00A73722">
        <w:rPr>
          <w:color w:val="000000" w:themeColor="text1"/>
        </w:rPr>
        <w:t>correlated pair positions achieved 7.8% (IQR: 3.9%-11.7%). The distributions overlapped substantially, with no significant difference, U = 421, p = 0.19.</w:t>
      </w:r>
    </w:p>
    <w:p w14:paraId="6EBD5274" w14:textId="77777777" w:rsidR="00B60AA1" w:rsidRPr="00A73722" w:rsidRDefault="00B60AA1" w:rsidP="006B21E2">
      <w:pPr>
        <w:jc w:val="both"/>
        <w:rPr>
          <w:color w:val="000000" w:themeColor="text1"/>
        </w:rPr>
      </w:pPr>
    </w:p>
    <w:p w14:paraId="2F99B7C6" w14:textId="79A222A3" w:rsidR="003A16A1" w:rsidRPr="00A73722" w:rsidRDefault="003A16A1" w:rsidP="006B21E2">
      <w:pPr>
        <w:jc w:val="both"/>
        <w:rPr>
          <w:color w:val="000000" w:themeColor="text1"/>
        </w:rPr>
      </w:pPr>
      <w:r w:rsidRPr="00A73722">
        <w:rPr>
          <w:color w:val="000000" w:themeColor="text1"/>
        </w:rPr>
        <w:t>However, variance differed significantly (Levene's F = 6.8, p = 0.011)</w:t>
      </w:r>
      <w:r w:rsidR="00F64B09" w:rsidRPr="00A73722">
        <w:rPr>
          <w:color w:val="000000" w:themeColor="text1"/>
        </w:rPr>
        <w:t xml:space="preserve"> showing that correlated</w:t>
      </w:r>
      <w:r w:rsidRPr="00A73722">
        <w:rPr>
          <w:color w:val="000000" w:themeColor="text1"/>
        </w:rPr>
        <w:t xml:space="preserve"> pair positions </w:t>
      </w:r>
      <w:r w:rsidR="00F64B09" w:rsidRPr="00A73722">
        <w:rPr>
          <w:color w:val="000000" w:themeColor="text1"/>
        </w:rPr>
        <w:t>had a</w:t>
      </w:r>
      <w:r w:rsidRPr="00A73722">
        <w:rPr>
          <w:color w:val="000000" w:themeColor="text1"/>
        </w:rPr>
        <w:t xml:space="preserve"> higher potential upside but also higher failure rates (41% unprofitable versus 23% for </w:t>
      </w:r>
      <w:proofErr w:type="gramStart"/>
      <w:r w:rsidRPr="00A73722">
        <w:rPr>
          <w:color w:val="000000" w:themeColor="text1"/>
        </w:rPr>
        <w:t>stablecoins</w:t>
      </w:r>
      <w:proofErr w:type="gramEnd"/>
      <w:r w:rsidRPr="00A73722">
        <w:rPr>
          <w:color w:val="000000" w:themeColor="text1"/>
        </w:rPr>
        <w:t>). This risk-return tradeoff created participant-specific strategies based on risk tolerance rather than universal recommendations.</w:t>
      </w:r>
    </w:p>
    <w:p w14:paraId="28A9CEFE" w14:textId="77777777" w:rsidR="00BF7414" w:rsidRPr="00A73722" w:rsidRDefault="00BF7414" w:rsidP="006B21E2">
      <w:pPr>
        <w:jc w:val="both"/>
        <w:rPr>
          <w:color w:val="000000" w:themeColor="text1"/>
        </w:rPr>
      </w:pPr>
    </w:p>
    <w:p w14:paraId="76CDEB39" w14:textId="77777777" w:rsidR="00D15E53" w:rsidRPr="00A73722" w:rsidRDefault="003A16A1" w:rsidP="006B21E2">
      <w:pPr>
        <w:jc w:val="both"/>
        <w:rPr>
          <w:b/>
          <w:bCs/>
          <w:color w:val="000000" w:themeColor="text1"/>
        </w:rPr>
      </w:pPr>
      <w:r w:rsidRPr="00A73722">
        <w:rPr>
          <w:b/>
          <w:bCs/>
          <w:color w:val="000000" w:themeColor="text1"/>
        </w:rPr>
        <w:t xml:space="preserve">Substantial capital (&gt;$25,000, n=45): </w:t>
      </w:r>
    </w:p>
    <w:p w14:paraId="372BF96D" w14:textId="7E0A6C8B" w:rsidR="003A16A1" w:rsidRDefault="00F64B09" w:rsidP="006B21E2">
      <w:pPr>
        <w:jc w:val="both"/>
        <w:rPr>
          <w:color w:val="000000" w:themeColor="text1"/>
        </w:rPr>
      </w:pPr>
      <w:r w:rsidRPr="00A73722">
        <w:rPr>
          <w:color w:val="000000" w:themeColor="text1"/>
        </w:rPr>
        <w:t>In this</w:t>
      </w:r>
      <w:r w:rsidR="003A16A1" w:rsidRPr="00A73722">
        <w:rPr>
          <w:color w:val="000000" w:themeColor="text1"/>
        </w:rPr>
        <w:t xml:space="preserve"> tier, </w:t>
      </w:r>
      <w:r w:rsidRPr="00A73722">
        <w:rPr>
          <w:color w:val="000000" w:themeColor="text1"/>
        </w:rPr>
        <w:t xml:space="preserve">the </w:t>
      </w:r>
      <w:r w:rsidR="003A16A1" w:rsidRPr="00A73722">
        <w:rPr>
          <w:color w:val="000000" w:themeColor="text1"/>
        </w:rPr>
        <w:t>concentrated liquidity management generated median returns of 12.7% (IQR: 6.4%-19.3%)</w:t>
      </w:r>
      <w:r w:rsidRPr="00A73722">
        <w:rPr>
          <w:color w:val="000000" w:themeColor="text1"/>
        </w:rPr>
        <w:t xml:space="preserve">. </w:t>
      </w:r>
      <w:r w:rsidR="003A16A1" w:rsidRPr="00A73722">
        <w:rPr>
          <w:color w:val="000000" w:themeColor="text1"/>
        </w:rPr>
        <w:t xml:space="preserve">31% of participants </w:t>
      </w:r>
      <w:r w:rsidRPr="00A73722">
        <w:rPr>
          <w:color w:val="000000" w:themeColor="text1"/>
        </w:rPr>
        <w:t>that</w:t>
      </w:r>
      <w:r w:rsidR="003A16A1" w:rsidRPr="00A73722">
        <w:rPr>
          <w:color w:val="000000" w:themeColor="text1"/>
        </w:rPr>
        <w:t xml:space="preserve"> implemented it</w:t>
      </w:r>
      <w:r w:rsidRPr="00A73722">
        <w:rPr>
          <w:color w:val="000000" w:themeColor="text1"/>
        </w:rPr>
        <w:t xml:space="preserve"> were </w:t>
      </w:r>
      <w:r w:rsidR="007171CB" w:rsidRPr="00A73722">
        <w:rPr>
          <w:color w:val="000000" w:themeColor="text1"/>
        </w:rPr>
        <w:t>successful</w:t>
      </w:r>
      <w:r w:rsidR="003A16A1" w:rsidRPr="00A73722">
        <w:rPr>
          <w:color w:val="000000" w:themeColor="text1"/>
        </w:rPr>
        <w:t xml:space="preserve">. However, 69% of </w:t>
      </w:r>
      <w:r w:rsidRPr="00A73722">
        <w:rPr>
          <w:color w:val="000000" w:themeColor="text1"/>
        </w:rPr>
        <w:t xml:space="preserve">the </w:t>
      </w:r>
      <w:r w:rsidR="003A16A1" w:rsidRPr="00A73722">
        <w:rPr>
          <w:color w:val="000000" w:themeColor="text1"/>
        </w:rPr>
        <w:t xml:space="preserve">concentrated liquidity attempts </w:t>
      </w:r>
      <w:r w:rsidRPr="00A73722">
        <w:rPr>
          <w:color w:val="000000" w:themeColor="text1"/>
        </w:rPr>
        <w:t xml:space="preserve">overall </w:t>
      </w:r>
      <w:r w:rsidR="003A16A1" w:rsidRPr="00A73722">
        <w:rPr>
          <w:color w:val="000000" w:themeColor="text1"/>
        </w:rPr>
        <w:t xml:space="preserve">resulted in returns below </w:t>
      </w:r>
      <w:r w:rsidRPr="00A73722">
        <w:rPr>
          <w:color w:val="000000" w:themeColor="text1"/>
        </w:rPr>
        <w:t xml:space="preserve">the </w:t>
      </w:r>
      <w:r w:rsidR="003A16A1" w:rsidRPr="00A73722">
        <w:rPr>
          <w:color w:val="000000" w:themeColor="text1"/>
        </w:rPr>
        <w:t>simple wide-range alternatives (</w:t>
      </w:r>
      <w:proofErr w:type="spellStart"/>
      <w:r w:rsidR="003A16A1" w:rsidRPr="00A73722">
        <w:rPr>
          <w:color w:val="000000" w:themeColor="text1"/>
        </w:rPr>
        <w:t>Mdn</w:t>
      </w:r>
      <w:proofErr w:type="spellEnd"/>
      <w:r w:rsidR="003A16A1" w:rsidRPr="00A73722">
        <w:rPr>
          <w:color w:val="000000" w:themeColor="text1"/>
        </w:rPr>
        <w:t xml:space="preserve"> = 8.1%).</w:t>
      </w:r>
    </w:p>
    <w:p w14:paraId="0CBB71D2" w14:textId="77777777" w:rsidR="00B35E24" w:rsidRPr="00A73722" w:rsidRDefault="00B35E24" w:rsidP="006B21E2">
      <w:pPr>
        <w:jc w:val="both"/>
        <w:rPr>
          <w:color w:val="000000" w:themeColor="text1"/>
        </w:rPr>
      </w:pPr>
    </w:p>
    <w:p w14:paraId="5B984A15" w14:textId="58C1D3B2" w:rsidR="00795290" w:rsidRPr="00A73722" w:rsidRDefault="003A16A1" w:rsidP="006B21E2">
      <w:pPr>
        <w:pStyle w:val="NormalWeb"/>
        <w:spacing w:before="0" w:beforeAutospacing="0" w:after="0" w:afterAutospacing="0"/>
        <w:jc w:val="both"/>
        <w:rPr>
          <w:color w:val="000000" w:themeColor="text1"/>
          <w:kern w:val="0"/>
        </w:rPr>
      </w:pPr>
      <w:r w:rsidRPr="00A73722">
        <w:rPr>
          <w:color w:val="000000" w:themeColor="text1"/>
          <w:kern w:val="0"/>
        </w:rPr>
        <w:t>The critical factor di</w:t>
      </w:r>
      <w:r w:rsidR="00C719CB" w:rsidRPr="00A73722">
        <w:rPr>
          <w:color w:val="000000" w:themeColor="text1"/>
          <w:kern w:val="0"/>
        </w:rPr>
        <w:t>fferentiating</w:t>
      </w:r>
      <w:r w:rsidRPr="00A73722">
        <w:rPr>
          <w:color w:val="000000" w:themeColor="text1"/>
          <w:kern w:val="0"/>
        </w:rPr>
        <w:t xml:space="preserve"> success from failure was not </w:t>
      </w:r>
      <w:r w:rsidR="00C719CB" w:rsidRPr="00A73722">
        <w:rPr>
          <w:color w:val="000000" w:themeColor="text1"/>
          <w:kern w:val="0"/>
        </w:rPr>
        <w:t xml:space="preserve">the </w:t>
      </w:r>
      <w:r w:rsidRPr="00A73722">
        <w:rPr>
          <w:color w:val="000000" w:themeColor="text1"/>
          <w:kern w:val="0"/>
        </w:rPr>
        <w:t xml:space="preserve">capital amount </w:t>
      </w:r>
      <w:r w:rsidR="00C719CB" w:rsidRPr="00A73722">
        <w:rPr>
          <w:color w:val="000000" w:themeColor="text1"/>
          <w:kern w:val="0"/>
        </w:rPr>
        <w:t xml:space="preserve">invested </w:t>
      </w:r>
      <w:r w:rsidRPr="00A73722">
        <w:rPr>
          <w:color w:val="000000" w:themeColor="text1"/>
          <w:kern w:val="0"/>
        </w:rPr>
        <w:t xml:space="preserve">but </w:t>
      </w:r>
      <w:r w:rsidR="00C719CB" w:rsidRPr="00A73722">
        <w:rPr>
          <w:color w:val="000000" w:themeColor="text1"/>
          <w:kern w:val="0"/>
        </w:rPr>
        <w:t>the capability to technically execute</w:t>
      </w:r>
      <w:r w:rsidRPr="00A73722">
        <w:rPr>
          <w:color w:val="000000" w:themeColor="text1"/>
          <w:kern w:val="0"/>
        </w:rPr>
        <w:t xml:space="preserve">. </w:t>
      </w:r>
      <w:r w:rsidR="00795290" w:rsidRPr="00A73722">
        <w:rPr>
          <w:color w:val="000000" w:themeColor="text1"/>
          <w:kern w:val="0"/>
        </w:rPr>
        <w:t xml:space="preserve">Among </w:t>
      </w:r>
      <w:r w:rsidR="00C719CB" w:rsidRPr="00A73722">
        <w:rPr>
          <w:color w:val="000000" w:themeColor="text1"/>
          <w:kern w:val="0"/>
        </w:rPr>
        <w:t xml:space="preserve">the </w:t>
      </w:r>
      <w:r w:rsidR="00795290" w:rsidRPr="00A73722">
        <w:rPr>
          <w:color w:val="000000" w:themeColor="text1"/>
          <w:kern w:val="0"/>
        </w:rPr>
        <w:t xml:space="preserve">participants with programming backgrounds (n=8), </w:t>
      </w:r>
      <w:r w:rsidR="00C719CB" w:rsidRPr="00A73722">
        <w:rPr>
          <w:color w:val="000000" w:themeColor="text1"/>
          <w:kern w:val="0"/>
        </w:rPr>
        <w:t xml:space="preserve">the </w:t>
      </w:r>
      <w:r w:rsidR="00795290" w:rsidRPr="00A73722">
        <w:rPr>
          <w:color w:val="000000" w:themeColor="text1"/>
          <w:kern w:val="0"/>
        </w:rPr>
        <w:t>concentrated liquidity success rate was 75%. Among those without (n=37)</w:t>
      </w:r>
      <w:r w:rsidR="00C719CB" w:rsidRPr="00A73722">
        <w:rPr>
          <w:color w:val="000000" w:themeColor="text1"/>
          <w:kern w:val="0"/>
        </w:rPr>
        <w:t xml:space="preserve"> the </w:t>
      </w:r>
      <w:r w:rsidR="00795290" w:rsidRPr="00A73722">
        <w:rPr>
          <w:color w:val="000000" w:themeColor="text1"/>
          <w:kern w:val="0"/>
        </w:rPr>
        <w:t>success rate fell to 24%, χ</w:t>
      </w:r>
      <w:proofErr w:type="gramStart"/>
      <w:r w:rsidR="00795290" w:rsidRPr="00A73722">
        <w:rPr>
          <w:color w:val="000000" w:themeColor="text1"/>
          <w:kern w:val="0"/>
        </w:rPr>
        <w:t>²(</w:t>
      </w:r>
      <w:proofErr w:type="gramEnd"/>
      <w:r w:rsidR="00795290" w:rsidRPr="00A73722">
        <w:rPr>
          <w:color w:val="000000" w:themeColor="text1"/>
          <w:kern w:val="0"/>
        </w:rPr>
        <w:t>1) = 8.9, p = 0.003, φ = 0.44.</w:t>
      </w:r>
    </w:p>
    <w:p w14:paraId="7C5EE07E" w14:textId="77777777" w:rsidR="00795290" w:rsidRPr="00A73722" w:rsidRDefault="00795290" w:rsidP="006B21E2">
      <w:pPr>
        <w:jc w:val="both"/>
        <w:rPr>
          <w:color w:val="000000" w:themeColor="text1"/>
        </w:rPr>
      </w:pPr>
      <w:r w:rsidRPr="00A73722">
        <w:rPr>
          <w:color w:val="000000" w:themeColor="text1"/>
        </w:rPr>
        <w:t> </w:t>
      </w:r>
    </w:p>
    <w:p w14:paraId="5ED72BF2" w14:textId="609CDCEB" w:rsidR="00795290" w:rsidRPr="00A73722" w:rsidRDefault="00795290" w:rsidP="006B21E2">
      <w:pPr>
        <w:jc w:val="both"/>
        <w:rPr>
          <w:b/>
          <w:bCs/>
          <w:color w:val="000000" w:themeColor="text1"/>
        </w:rPr>
      </w:pPr>
      <w:r w:rsidRPr="00A73722">
        <w:rPr>
          <w:b/>
          <w:bCs/>
          <w:color w:val="000000" w:themeColor="text1"/>
        </w:rPr>
        <w:t>Critical Statistical Caveat:</w:t>
      </w:r>
    </w:p>
    <w:p w14:paraId="7FBDCB96" w14:textId="2F0B66B5" w:rsidR="00795290" w:rsidRPr="00A73722" w:rsidRDefault="00795290" w:rsidP="006B21E2">
      <w:pPr>
        <w:jc w:val="both"/>
        <w:rPr>
          <w:color w:val="000000" w:themeColor="text1"/>
        </w:rPr>
      </w:pPr>
      <w:r w:rsidRPr="00A73722">
        <w:rPr>
          <w:color w:val="000000" w:themeColor="text1"/>
        </w:rPr>
        <w:t xml:space="preserve">This finding rests on a very small sample (n=8 with programming skills). While statistically significant, the small n creates </w:t>
      </w:r>
      <w:r w:rsidR="003056AE" w:rsidRPr="00A73722">
        <w:rPr>
          <w:color w:val="000000" w:themeColor="text1"/>
        </w:rPr>
        <w:t>a large</w:t>
      </w:r>
      <w:r w:rsidRPr="00A73722">
        <w:rPr>
          <w:color w:val="000000" w:themeColor="text1"/>
        </w:rPr>
        <w:t xml:space="preserve"> uncertainty about effect magnitude:</w:t>
      </w:r>
    </w:p>
    <w:p w14:paraId="2F38302E" w14:textId="77777777" w:rsidR="00795290" w:rsidRPr="00A73722" w:rsidRDefault="00795290" w:rsidP="006B21E2">
      <w:pPr>
        <w:jc w:val="both"/>
        <w:rPr>
          <w:color w:val="000000" w:themeColor="text1"/>
        </w:rPr>
      </w:pPr>
      <w:r w:rsidRPr="00A73722">
        <w:rPr>
          <w:color w:val="000000" w:themeColor="text1"/>
        </w:rPr>
        <w:t> </w:t>
      </w:r>
    </w:p>
    <w:p w14:paraId="199D23C3" w14:textId="77777777" w:rsidR="00795290" w:rsidRPr="00A73722" w:rsidRDefault="00795290" w:rsidP="006B21E2">
      <w:pPr>
        <w:jc w:val="both"/>
        <w:rPr>
          <w:color w:val="000000" w:themeColor="text1"/>
        </w:rPr>
      </w:pPr>
      <w:r w:rsidRPr="00A73722">
        <w:rPr>
          <w:color w:val="000000" w:themeColor="text1"/>
        </w:rPr>
        <w:t>Power analysis:</w:t>
      </w:r>
    </w:p>
    <w:p w14:paraId="3C71BB85" w14:textId="693A6D25" w:rsidR="00795290" w:rsidRPr="00A73722" w:rsidRDefault="00795290" w:rsidP="006B21E2">
      <w:pPr>
        <w:pStyle w:val="ListParagraph"/>
        <w:numPr>
          <w:ilvl w:val="0"/>
          <w:numId w:val="199"/>
        </w:numPr>
        <w:jc w:val="both"/>
        <w:outlineLvl w:val="9"/>
        <w:rPr>
          <w:color w:val="000000" w:themeColor="text1"/>
          <w:kern w:val="0"/>
        </w:rPr>
      </w:pPr>
      <w:proofErr w:type="gramStart"/>
      <w:r w:rsidRPr="00A73722">
        <w:rPr>
          <w:color w:val="000000" w:themeColor="text1"/>
          <w:kern w:val="0"/>
        </w:rPr>
        <w:t>Achieved power</w:t>
      </w:r>
      <w:proofErr w:type="gramEnd"/>
      <w:r w:rsidRPr="00A73722">
        <w:rPr>
          <w:color w:val="000000" w:themeColor="text1"/>
          <w:kern w:val="0"/>
        </w:rPr>
        <w:t>: 0.61 (below conventional 0.80 threshold)</w:t>
      </w:r>
    </w:p>
    <w:p w14:paraId="7233A253" w14:textId="15EDA366" w:rsidR="00795290" w:rsidRPr="00A73722" w:rsidRDefault="00795290" w:rsidP="006B21E2">
      <w:pPr>
        <w:pStyle w:val="ListParagraph"/>
        <w:numPr>
          <w:ilvl w:val="0"/>
          <w:numId w:val="199"/>
        </w:numPr>
        <w:jc w:val="both"/>
        <w:outlineLvl w:val="9"/>
        <w:rPr>
          <w:color w:val="000000" w:themeColor="text1"/>
          <w:kern w:val="0"/>
        </w:rPr>
      </w:pPr>
      <w:r w:rsidRPr="00A73722">
        <w:rPr>
          <w:color w:val="000000" w:themeColor="text1"/>
          <w:kern w:val="0"/>
        </w:rPr>
        <w:t>Required sample for 80% power at this effect size: n=34 total (17 per group)</w:t>
      </w:r>
    </w:p>
    <w:p w14:paraId="41E72F28" w14:textId="58A761F6" w:rsidR="00795290" w:rsidRPr="00A73722" w:rsidRDefault="00795290" w:rsidP="006B21E2">
      <w:pPr>
        <w:pStyle w:val="ListParagraph"/>
        <w:numPr>
          <w:ilvl w:val="0"/>
          <w:numId w:val="199"/>
        </w:numPr>
        <w:jc w:val="both"/>
        <w:outlineLvl w:val="9"/>
        <w:rPr>
          <w:color w:val="000000" w:themeColor="text1"/>
          <w:kern w:val="0"/>
        </w:rPr>
      </w:pPr>
      <w:r w:rsidRPr="00A73722">
        <w:rPr>
          <w:color w:val="000000" w:themeColor="text1"/>
          <w:kern w:val="0"/>
        </w:rPr>
        <w:lastRenderedPageBreak/>
        <w:t>Actual sample: n=45 total (8 + 37, ratio 1:4.6)</w:t>
      </w:r>
    </w:p>
    <w:p w14:paraId="5D08E5AD" w14:textId="77777777" w:rsidR="00795290" w:rsidRPr="00A73722" w:rsidRDefault="00795290" w:rsidP="006B21E2">
      <w:pPr>
        <w:jc w:val="both"/>
        <w:rPr>
          <w:color w:val="000000" w:themeColor="text1"/>
        </w:rPr>
      </w:pPr>
      <w:r w:rsidRPr="00A73722">
        <w:rPr>
          <w:color w:val="000000" w:themeColor="text1"/>
        </w:rPr>
        <w:t> </w:t>
      </w:r>
    </w:p>
    <w:p w14:paraId="395FF703" w14:textId="77777777" w:rsidR="00795290" w:rsidRPr="00A73722" w:rsidRDefault="00795290" w:rsidP="006B21E2">
      <w:pPr>
        <w:jc w:val="both"/>
        <w:rPr>
          <w:color w:val="000000" w:themeColor="text1"/>
        </w:rPr>
      </w:pPr>
      <w:r w:rsidRPr="00A73722">
        <w:rPr>
          <w:color w:val="000000" w:themeColor="text1"/>
        </w:rPr>
        <w:t>Confidence intervals (Wilson score method for small proportions):</w:t>
      </w:r>
    </w:p>
    <w:p w14:paraId="31940DC6" w14:textId="4ACA0789" w:rsidR="00795290" w:rsidRPr="00A73722" w:rsidRDefault="00795290" w:rsidP="006B21E2">
      <w:pPr>
        <w:pStyle w:val="ListParagraph"/>
        <w:numPr>
          <w:ilvl w:val="0"/>
          <w:numId w:val="200"/>
        </w:numPr>
        <w:jc w:val="both"/>
        <w:outlineLvl w:val="9"/>
        <w:rPr>
          <w:color w:val="000000" w:themeColor="text1"/>
          <w:kern w:val="0"/>
        </w:rPr>
      </w:pPr>
      <w:r w:rsidRPr="00A73722">
        <w:rPr>
          <w:color w:val="000000" w:themeColor="text1"/>
          <w:kern w:val="0"/>
        </w:rPr>
        <w:t>With programming: 75% (95% CI: 35%-97%)</w:t>
      </w:r>
    </w:p>
    <w:p w14:paraId="17E13D0C" w14:textId="31CEACB1" w:rsidR="00795290" w:rsidRPr="00A73722" w:rsidRDefault="00795290" w:rsidP="006B21E2">
      <w:pPr>
        <w:pStyle w:val="ListParagraph"/>
        <w:numPr>
          <w:ilvl w:val="1"/>
          <w:numId w:val="200"/>
        </w:numPr>
        <w:jc w:val="both"/>
        <w:outlineLvl w:val="9"/>
        <w:rPr>
          <w:color w:val="000000" w:themeColor="text1"/>
          <w:kern w:val="0"/>
        </w:rPr>
      </w:pPr>
      <w:r w:rsidRPr="00A73722">
        <w:rPr>
          <w:color w:val="000000" w:themeColor="text1"/>
          <w:kern w:val="0"/>
        </w:rPr>
        <w:t>Width: 62 percentage points</w:t>
      </w:r>
    </w:p>
    <w:p w14:paraId="36EFC037" w14:textId="6231926A" w:rsidR="00795290" w:rsidRPr="00A73722" w:rsidRDefault="00795290" w:rsidP="006B21E2">
      <w:pPr>
        <w:pStyle w:val="ListParagraph"/>
        <w:numPr>
          <w:ilvl w:val="0"/>
          <w:numId w:val="200"/>
        </w:numPr>
        <w:jc w:val="both"/>
        <w:outlineLvl w:val="9"/>
        <w:rPr>
          <w:color w:val="000000" w:themeColor="text1"/>
          <w:kern w:val="0"/>
        </w:rPr>
      </w:pPr>
      <w:r w:rsidRPr="00A73722">
        <w:rPr>
          <w:color w:val="000000" w:themeColor="text1"/>
          <w:kern w:val="0"/>
        </w:rPr>
        <w:t>Without programming: 24% (95% CI: 12%-41%)</w:t>
      </w:r>
    </w:p>
    <w:p w14:paraId="26ADC311" w14:textId="44169447" w:rsidR="00795290" w:rsidRPr="00A73722" w:rsidRDefault="00795290" w:rsidP="006B21E2">
      <w:pPr>
        <w:pStyle w:val="ListParagraph"/>
        <w:numPr>
          <w:ilvl w:val="1"/>
          <w:numId w:val="200"/>
        </w:numPr>
        <w:jc w:val="both"/>
        <w:outlineLvl w:val="9"/>
        <w:rPr>
          <w:color w:val="000000" w:themeColor="text1"/>
          <w:kern w:val="0"/>
        </w:rPr>
      </w:pPr>
      <w:r w:rsidRPr="00A73722">
        <w:rPr>
          <w:color w:val="000000" w:themeColor="text1"/>
          <w:kern w:val="0"/>
        </w:rPr>
        <w:t>Width: 29 percentage points</w:t>
      </w:r>
    </w:p>
    <w:p w14:paraId="732128C8" w14:textId="11EF3334" w:rsidR="00795290" w:rsidRPr="00A73722" w:rsidRDefault="00795290" w:rsidP="006B21E2">
      <w:pPr>
        <w:pStyle w:val="ListParagraph"/>
        <w:numPr>
          <w:ilvl w:val="0"/>
          <w:numId w:val="200"/>
        </w:numPr>
        <w:jc w:val="both"/>
        <w:outlineLvl w:val="9"/>
        <w:rPr>
          <w:color w:val="000000" w:themeColor="text1"/>
          <w:kern w:val="0"/>
        </w:rPr>
      </w:pPr>
      <w:r w:rsidRPr="00A73722">
        <w:rPr>
          <w:color w:val="000000" w:themeColor="text1"/>
          <w:kern w:val="0"/>
        </w:rPr>
        <w:t>Difference: 51 percentage points (95% CI: 9%-79%)</w:t>
      </w:r>
    </w:p>
    <w:p w14:paraId="5A26770B" w14:textId="1C7DCAE2" w:rsidR="00795290" w:rsidRPr="00A73722" w:rsidRDefault="00795290" w:rsidP="006B21E2">
      <w:pPr>
        <w:pStyle w:val="ListParagraph"/>
        <w:numPr>
          <w:ilvl w:val="1"/>
          <w:numId w:val="200"/>
        </w:numPr>
        <w:jc w:val="both"/>
        <w:outlineLvl w:val="9"/>
        <w:rPr>
          <w:color w:val="000000" w:themeColor="text1"/>
          <w:kern w:val="0"/>
        </w:rPr>
      </w:pPr>
      <w:r w:rsidRPr="00A73722">
        <w:rPr>
          <w:color w:val="000000" w:themeColor="text1"/>
          <w:kern w:val="0"/>
        </w:rPr>
        <w:t>Width: 70 percentage points</w:t>
      </w:r>
    </w:p>
    <w:p w14:paraId="10B1BA8A" w14:textId="77777777" w:rsidR="00795290" w:rsidRPr="00A73722" w:rsidRDefault="00795290" w:rsidP="006B21E2">
      <w:pPr>
        <w:jc w:val="both"/>
        <w:rPr>
          <w:color w:val="000000" w:themeColor="text1"/>
        </w:rPr>
      </w:pPr>
      <w:r w:rsidRPr="00A73722">
        <w:rPr>
          <w:color w:val="000000" w:themeColor="text1"/>
        </w:rPr>
        <w:t> </w:t>
      </w:r>
    </w:p>
    <w:p w14:paraId="0D4DF5EF" w14:textId="4583F95E" w:rsidR="00795290" w:rsidRPr="00A73722" w:rsidRDefault="00795290" w:rsidP="006B21E2">
      <w:pPr>
        <w:jc w:val="both"/>
        <w:rPr>
          <w:b/>
          <w:bCs/>
          <w:color w:val="000000" w:themeColor="text1"/>
        </w:rPr>
      </w:pPr>
      <w:r w:rsidRPr="00A73722">
        <w:rPr>
          <w:b/>
          <w:bCs/>
          <w:color w:val="000000" w:themeColor="text1"/>
        </w:rPr>
        <w:t>Interpretation limitations:</w:t>
      </w:r>
    </w:p>
    <w:p w14:paraId="02E09557" w14:textId="64B1C443" w:rsidR="00795290" w:rsidRPr="00A73722" w:rsidRDefault="00795290" w:rsidP="006B21E2">
      <w:pPr>
        <w:jc w:val="both"/>
        <w:rPr>
          <w:color w:val="000000" w:themeColor="text1"/>
        </w:rPr>
      </w:pPr>
      <w:r w:rsidRPr="00A73722">
        <w:rPr>
          <w:color w:val="000000" w:themeColor="text1"/>
        </w:rPr>
        <w:t>The effect could range from 9</w:t>
      </w:r>
      <w:r w:rsidR="00C96F28" w:rsidRPr="00A73722">
        <w:rPr>
          <w:color w:val="000000" w:themeColor="text1"/>
        </w:rPr>
        <w:t xml:space="preserve">% </w:t>
      </w:r>
      <w:r w:rsidRPr="00A73722">
        <w:rPr>
          <w:color w:val="000000" w:themeColor="text1"/>
        </w:rPr>
        <w:t>(minimal practical importance) to 79</w:t>
      </w:r>
      <w:r w:rsidR="00C96F28" w:rsidRPr="00A73722">
        <w:rPr>
          <w:color w:val="000000" w:themeColor="text1"/>
        </w:rPr>
        <w:t xml:space="preserve">% </w:t>
      </w:r>
      <w:r w:rsidRPr="00A73722">
        <w:rPr>
          <w:color w:val="000000" w:themeColor="text1"/>
        </w:rPr>
        <w:t>(decisive factor). The point estimate (51 points) should not be interpreted as precise.</w:t>
      </w:r>
    </w:p>
    <w:p w14:paraId="7CCDD0F7" w14:textId="77777777" w:rsidR="00795290" w:rsidRPr="00A73722" w:rsidRDefault="00795290" w:rsidP="006B21E2">
      <w:pPr>
        <w:jc w:val="both"/>
        <w:rPr>
          <w:color w:val="000000" w:themeColor="text1"/>
        </w:rPr>
      </w:pPr>
      <w:r w:rsidRPr="00A73722">
        <w:rPr>
          <w:color w:val="000000" w:themeColor="text1"/>
        </w:rPr>
        <w:t> </w:t>
      </w:r>
    </w:p>
    <w:p w14:paraId="7ED693EE" w14:textId="04B8AF5C" w:rsidR="00795290" w:rsidRPr="00A73722" w:rsidRDefault="00795290" w:rsidP="006B21E2">
      <w:pPr>
        <w:jc w:val="both"/>
        <w:rPr>
          <w:b/>
          <w:bCs/>
          <w:color w:val="000000" w:themeColor="text1"/>
        </w:rPr>
      </w:pPr>
      <w:r w:rsidRPr="00A73722">
        <w:rPr>
          <w:b/>
          <w:bCs/>
          <w:color w:val="000000" w:themeColor="text1"/>
        </w:rPr>
        <w:t>Classification:</w:t>
      </w:r>
    </w:p>
    <w:p w14:paraId="08F62081" w14:textId="1A6E4086" w:rsidR="00795290" w:rsidRPr="00A73722" w:rsidRDefault="00795290" w:rsidP="006B21E2">
      <w:pPr>
        <w:jc w:val="both"/>
        <w:rPr>
          <w:color w:val="000000" w:themeColor="text1"/>
        </w:rPr>
      </w:pPr>
      <w:r w:rsidRPr="00A73722">
        <w:rPr>
          <w:color w:val="000000" w:themeColor="text1"/>
        </w:rPr>
        <w:t>This represents a hypothesis-generating finding suitable for:</w:t>
      </w:r>
    </w:p>
    <w:p w14:paraId="65499EE5" w14:textId="2C025898" w:rsidR="00795290" w:rsidRPr="00A73722" w:rsidRDefault="00795290" w:rsidP="006B21E2">
      <w:pPr>
        <w:pStyle w:val="ListParagraph"/>
        <w:numPr>
          <w:ilvl w:val="0"/>
          <w:numId w:val="198"/>
        </w:numPr>
        <w:jc w:val="both"/>
        <w:outlineLvl w:val="9"/>
        <w:rPr>
          <w:color w:val="000000" w:themeColor="text1"/>
          <w:kern w:val="0"/>
        </w:rPr>
      </w:pPr>
      <w:r w:rsidRPr="00A73722">
        <w:rPr>
          <w:color w:val="000000" w:themeColor="text1"/>
          <w:kern w:val="0"/>
        </w:rPr>
        <w:t xml:space="preserve">Suggesting programming </w:t>
      </w:r>
      <w:proofErr w:type="gramStart"/>
      <w:r w:rsidRPr="00A73722">
        <w:rPr>
          <w:color w:val="000000" w:themeColor="text1"/>
          <w:kern w:val="0"/>
        </w:rPr>
        <w:t>skill</w:t>
      </w:r>
      <w:proofErr w:type="gramEnd"/>
      <w:r w:rsidRPr="00A73722">
        <w:rPr>
          <w:color w:val="000000" w:themeColor="text1"/>
          <w:kern w:val="0"/>
        </w:rPr>
        <w:t xml:space="preserve"> as potential success factor</w:t>
      </w:r>
    </w:p>
    <w:p w14:paraId="5461B392" w14:textId="31E0C42F" w:rsidR="00795290" w:rsidRPr="00A73722" w:rsidRDefault="00795290" w:rsidP="006B21E2">
      <w:pPr>
        <w:pStyle w:val="ListParagraph"/>
        <w:numPr>
          <w:ilvl w:val="0"/>
          <w:numId w:val="198"/>
        </w:numPr>
        <w:jc w:val="both"/>
        <w:outlineLvl w:val="9"/>
        <w:rPr>
          <w:color w:val="000000" w:themeColor="text1"/>
          <w:kern w:val="0"/>
        </w:rPr>
      </w:pPr>
      <w:r w:rsidRPr="00A73722">
        <w:rPr>
          <w:color w:val="000000" w:themeColor="text1"/>
          <w:kern w:val="0"/>
        </w:rPr>
        <w:t>Motivating future research with larger samples</w:t>
      </w:r>
    </w:p>
    <w:p w14:paraId="4332D5F6" w14:textId="37DD83CE" w:rsidR="00795290" w:rsidRPr="00A73722" w:rsidRDefault="00795290" w:rsidP="006B21E2">
      <w:pPr>
        <w:pStyle w:val="ListParagraph"/>
        <w:numPr>
          <w:ilvl w:val="0"/>
          <w:numId w:val="198"/>
        </w:numPr>
        <w:jc w:val="both"/>
        <w:outlineLvl w:val="9"/>
        <w:rPr>
          <w:color w:val="000000" w:themeColor="text1"/>
          <w:kern w:val="0"/>
        </w:rPr>
      </w:pPr>
      <w:r w:rsidRPr="00A73722">
        <w:rPr>
          <w:color w:val="000000" w:themeColor="text1"/>
          <w:kern w:val="0"/>
        </w:rPr>
        <w:t>Informing participant screening criteria</w:t>
      </w:r>
    </w:p>
    <w:p w14:paraId="104703C1" w14:textId="77777777" w:rsidR="00795290" w:rsidRPr="00A73722" w:rsidRDefault="00795290" w:rsidP="006B21E2">
      <w:pPr>
        <w:jc w:val="both"/>
        <w:rPr>
          <w:color w:val="000000" w:themeColor="text1"/>
        </w:rPr>
      </w:pPr>
      <w:r w:rsidRPr="00A73722">
        <w:rPr>
          <w:color w:val="000000" w:themeColor="text1"/>
        </w:rPr>
        <w:t> </w:t>
      </w:r>
    </w:p>
    <w:p w14:paraId="0F67BE3C" w14:textId="77777777" w:rsidR="00795290" w:rsidRPr="00A73722" w:rsidRDefault="00795290" w:rsidP="006B21E2">
      <w:pPr>
        <w:jc w:val="both"/>
        <w:rPr>
          <w:color w:val="000000" w:themeColor="text1"/>
        </w:rPr>
      </w:pPr>
      <w:r w:rsidRPr="00A73722">
        <w:rPr>
          <w:color w:val="000000" w:themeColor="text1"/>
        </w:rPr>
        <w:t>This does NOT establish:</w:t>
      </w:r>
    </w:p>
    <w:p w14:paraId="19F9C357" w14:textId="00605274" w:rsidR="00795290" w:rsidRPr="00A73722" w:rsidRDefault="00795290" w:rsidP="006B21E2">
      <w:pPr>
        <w:pStyle w:val="ListParagraph"/>
        <w:numPr>
          <w:ilvl w:val="0"/>
          <w:numId w:val="197"/>
        </w:numPr>
        <w:jc w:val="both"/>
        <w:outlineLvl w:val="9"/>
        <w:rPr>
          <w:color w:val="000000" w:themeColor="text1"/>
          <w:kern w:val="0"/>
        </w:rPr>
      </w:pPr>
      <w:r w:rsidRPr="00A73722">
        <w:rPr>
          <w:color w:val="000000" w:themeColor="text1"/>
          <w:kern w:val="0"/>
        </w:rPr>
        <w:t>Precise magnitude of programming skill effect</w:t>
      </w:r>
    </w:p>
    <w:p w14:paraId="1DC79548" w14:textId="025A8213" w:rsidR="00795290" w:rsidRPr="00A73722" w:rsidRDefault="00795290" w:rsidP="006B21E2">
      <w:pPr>
        <w:pStyle w:val="ListParagraph"/>
        <w:numPr>
          <w:ilvl w:val="0"/>
          <w:numId w:val="196"/>
        </w:numPr>
        <w:jc w:val="both"/>
        <w:outlineLvl w:val="9"/>
        <w:rPr>
          <w:color w:val="000000" w:themeColor="text1"/>
          <w:kern w:val="0"/>
        </w:rPr>
      </w:pPr>
      <w:r w:rsidRPr="00A73722">
        <w:rPr>
          <w:color w:val="000000" w:themeColor="text1"/>
          <w:kern w:val="0"/>
        </w:rPr>
        <w:t>Causal mechanism (correlation ≠ causation)</w:t>
      </w:r>
    </w:p>
    <w:p w14:paraId="0CB6B93C" w14:textId="69A994DF" w:rsidR="00795290" w:rsidRPr="00A73722" w:rsidRDefault="00795290" w:rsidP="006B21E2">
      <w:pPr>
        <w:pStyle w:val="ListParagraph"/>
        <w:numPr>
          <w:ilvl w:val="0"/>
          <w:numId w:val="196"/>
        </w:numPr>
        <w:jc w:val="both"/>
        <w:outlineLvl w:val="9"/>
        <w:rPr>
          <w:color w:val="000000" w:themeColor="text1"/>
          <w:kern w:val="0"/>
        </w:rPr>
      </w:pPr>
      <w:r w:rsidRPr="00A73722">
        <w:rPr>
          <w:color w:val="000000" w:themeColor="text1"/>
          <w:kern w:val="0"/>
        </w:rPr>
        <w:t>Generalizable threshold effect applicable to all contexts</w:t>
      </w:r>
    </w:p>
    <w:p w14:paraId="58ECF09D" w14:textId="77777777" w:rsidR="00795290" w:rsidRPr="00A73722" w:rsidRDefault="00795290" w:rsidP="006B21E2">
      <w:pPr>
        <w:jc w:val="both"/>
        <w:rPr>
          <w:color w:val="000000" w:themeColor="text1"/>
        </w:rPr>
      </w:pPr>
      <w:r w:rsidRPr="00A73722">
        <w:rPr>
          <w:color w:val="000000" w:themeColor="text1"/>
        </w:rPr>
        <w:t> </w:t>
      </w:r>
    </w:p>
    <w:p w14:paraId="14D78B42" w14:textId="78024792" w:rsidR="00795290" w:rsidRPr="00A73722" w:rsidRDefault="00795290" w:rsidP="006B21E2">
      <w:pPr>
        <w:jc w:val="both"/>
        <w:rPr>
          <w:b/>
          <w:bCs/>
          <w:color w:val="000000" w:themeColor="text1"/>
        </w:rPr>
      </w:pPr>
      <w:r w:rsidRPr="00A73722">
        <w:rPr>
          <w:b/>
          <w:bCs/>
          <w:color w:val="000000" w:themeColor="text1"/>
        </w:rPr>
        <w:t>Recommendation:</w:t>
      </w:r>
    </w:p>
    <w:p w14:paraId="2C061CBF" w14:textId="61C6004E" w:rsidR="00795290" w:rsidRPr="00A73722" w:rsidRDefault="00795290" w:rsidP="006B21E2">
      <w:pPr>
        <w:jc w:val="both"/>
        <w:rPr>
          <w:color w:val="000000" w:themeColor="text1"/>
        </w:rPr>
      </w:pPr>
      <w:r w:rsidRPr="00A73722">
        <w:rPr>
          <w:color w:val="000000" w:themeColor="text1"/>
        </w:rPr>
        <w:t xml:space="preserve">Future research should </w:t>
      </w:r>
      <w:r w:rsidR="00A202C1" w:rsidRPr="00A73722">
        <w:rPr>
          <w:color w:val="000000" w:themeColor="text1"/>
        </w:rPr>
        <w:t>collect more</w:t>
      </w:r>
      <w:r w:rsidRPr="00A73722">
        <w:rPr>
          <w:color w:val="000000" w:themeColor="text1"/>
        </w:rPr>
        <w:t xml:space="preserve"> balanced samples (n≥30 per group) of technical and non-technical participants to validate this relationship. Until</w:t>
      </w:r>
      <w:r w:rsidR="00A202C1" w:rsidRPr="00A73722">
        <w:rPr>
          <w:color w:val="000000" w:themeColor="text1"/>
        </w:rPr>
        <w:t xml:space="preserve"> a</w:t>
      </w:r>
      <w:r w:rsidRPr="00A73722">
        <w:rPr>
          <w:color w:val="000000" w:themeColor="text1"/>
        </w:rPr>
        <w:t xml:space="preserve"> replication</w:t>
      </w:r>
      <w:r w:rsidR="00A202C1" w:rsidRPr="00A73722">
        <w:rPr>
          <w:color w:val="000000" w:themeColor="text1"/>
        </w:rPr>
        <w:t xml:space="preserve"> is performed</w:t>
      </w:r>
      <w:r w:rsidRPr="00A73722">
        <w:rPr>
          <w:color w:val="000000" w:themeColor="text1"/>
        </w:rPr>
        <w:t xml:space="preserve">, </w:t>
      </w:r>
      <w:r w:rsidR="00A202C1" w:rsidRPr="00A73722">
        <w:rPr>
          <w:color w:val="000000" w:themeColor="text1"/>
        </w:rPr>
        <w:t xml:space="preserve">the results should be </w:t>
      </w:r>
      <w:r w:rsidRPr="00A73722">
        <w:rPr>
          <w:color w:val="000000" w:themeColor="text1"/>
        </w:rPr>
        <w:t>treat</w:t>
      </w:r>
      <w:r w:rsidR="00A202C1" w:rsidRPr="00A73722">
        <w:rPr>
          <w:color w:val="000000" w:themeColor="text1"/>
        </w:rPr>
        <w:t>ed</w:t>
      </w:r>
      <w:r w:rsidRPr="00A73722">
        <w:rPr>
          <w:color w:val="000000" w:themeColor="text1"/>
        </w:rPr>
        <w:t xml:space="preserve"> as suggestive rather than conclusive </w:t>
      </w:r>
      <w:r w:rsidR="00B35E24" w:rsidRPr="00A73722">
        <w:rPr>
          <w:color w:val="000000" w:themeColor="text1"/>
        </w:rPr>
        <w:t>evidence</w:t>
      </w:r>
      <w:r w:rsidRPr="00A73722">
        <w:rPr>
          <w:color w:val="000000" w:themeColor="text1"/>
        </w:rPr>
        <w:t>.</w:t>
      </w:r>
    </w:p>
    <w:p w14:paraId="029CD7C9" w14:textId="77777777" w:rsidR="005D778F" w:rsidRPr="00A73722" w:rsidRDefault="005D778F" w:rsidP="006B21E2">
      <w:pPr>
        <w:jc w:val="both"/>
        <w:rPr>
          <w:color w:val="000000" w:themeColor="text1"/>
        </w:rPr>
      </w:pPr>
    </w:p>
    <w:p w14:paraId="4CEBDD32" w14:textId="64018B3F" w:rsidR="005D778F" w:rsidRPr="00A73722" w:rsidRDefault="005D778F" w:rsidP="006B21E2">
      <w:pPr>
        <w:jc w:val="both"/>
        <w:rPr>
          <w:b/>
          <w:bCs/>
          <w:color w:val="000000" w:themeColor="text1"/>
        </w:rPr>
      </w:pPr>
      <w:r w:rsidRPr="00A73722">
        <w:rPr>
          <w:b/>
          <w:bCs/>
          <w:color w:val="000000" w:themeColor="text1"/>
        </w:rPr>
        <w:t>Small Sample Warning (n=11):</w:t>
      </w:r>
    </w:p>
    <w:p w14:paraId="0F919DC9" w14:textId="77777777" w:rsidR="005D778F" w:rsidRPr="00A73722" w:rsidRDefault="005D778F" w:rsidP="006B21E2">
      <w:pPr>
        <w:jc w:val="both"/>
        <w:rPr>
          <w:color w:val="000000" w:themeColor="text1"/>
        </w:rPr>
      </w:pPr>
      <w:r w:rsidRPr="00A73722">
        <w:rPr>
          <w:color w:val="000000" w:themeColor="text1"/>
        </w:rPr>
        <w:t>The daily rebalancing group contains only 11 positions, creating high uncertainty:</w:t>
      </w:r>
    </w:p>
    <w:p w14:paraId="605EDA98" w14:textId="77777777" w:rsidR="005D778F" w:rsidRPr="00A73722" w:rsidRDefault="005D778F" w:rsidP="006B21E2">
      <w:pPr>
        <w:jc w:val="both"/>
        <w:rPr>
          <w:color w:val="000000" w:themeColor="text1"/>
        </w:rPr>
      </w:pPr>
      <w:r w:rsidRPr="00A73722">
        <w:rPr>
          <w:color w:val="000000" w:themeColor="text1"/>
        </w:rPr>
        <w:t> </w:t>
      </w:r>
    </w:p>
    <w:p w14:paraId="31F4EA5D" w14:textId="4C597A00" w:rsidR="005D778F" w:rsidRPr="00A73722" w:rsidRDefault="005D778F" w:rsidP="006B21E2">
      <w:pPr>
        <w:pStyle w:val="ListParagraph"/>
        <w:numPr>
          <w:ilvl w:val="0"/>
          <w:numId w:val="104"/>
        </w:numPr>
        <w:jc w:val="both"/>
        <w:outlineLvl w:val="9"/>
        <w:rPr>
          <w:color w:val="000000" w:themeColor="text1"/>
          <w:kern w:val="0"/>
        </w:rPr>
      </w:pPr>
      <w:r w:rsidRPr="00A73722">
        <w:rPr>
          <w:color w:val="000000" w:themeColor="text1"/>
          <w:kern w:val="0"/>
        </w:rPr>
        <w:t>Mean: -18.3% (influenced by one extreme outlier at -78%)</w:t>
      </w:r>
    </w:p>
    <w:p w14:paraId="1BCFAFE7" w14:textId="0DC9107A" w:rsidR="005D778F" w:rsidRPr="00A73722" w:rsidRDefault="005D778F" w:rsidP="006B21E2">
      <w:pPr>
        <w:pStyle w:val="ListParagraph"/>
        <w:numPr>
          <w:ilvl w:val="0"/>
          <w:numId w:val="201"/>
        </w:numPr>
        <w:jc w:val="both"/>
        <w:outlineLvl w:val="9"/>
        <w:rPr>
          <w:color w:val="000000" w:themeColor="text1"/>
          <w:kern w:val="0"/>
        </w:rPr>
      </w:pPr>
      <w:r w:rsidRPr="00A73722">
        <w:rPr>
          <w:color w:val="000000" w:themeColor="text1"/>
          <w:kern w:val="0"/>
        </w:rPr>
        <w:t>Median: -3.2% (more representative of typical case)</w:t>
      </w:r>
    </w:p>
    <w:p w14:paraId="099BFAA7" w14:textId="1E52B143" w:rsidR="005D778F" w:rsidRPr="00A73722" w:rsidRDefault="005D778F" w:rsidP="006B21E2">
      <w:pPr>
        <w:pStyle w:val="ListParagraph"/>
        <w:numPr>
          <w:ilvl w:val="0"/>
          <w:numId w:val="201"/>
        </w:numPr>
        <w:jc w:val="both"/>
        <w:outlineLvl w:val="9"/>
        <w:rPr>
          <w:color w:val="000000" w:themeColor="text1"/>
          <w:kern w:val="0"/>
        </w:rPr>
      </w:pPr>
      <w:r w:rsidRPr="00A73722">
        <w:rPr>
          <w:color w:val="000000" w:themeColor="text1"/>
          <w:kern w:val="0"/>
        </w:rPr>
        <w:t>95% CI for median: -12.1% to +2.8% (spans zero)</w:t>
      </w:r>
    </w:p>
    <w:p w14:paraId="3FEB81F4" w14:textId="7C332736" w:rsidR="005D778F" w:rsidRPr="00A73722" w:rsidRDefault="005D778F" w:rsidP="006B21E2">
      <w:pPr>
        <w:pStyle w:val="ListParagraph"/>
        <w:numPr>
          <w:ilvl w:val="0"/>
          <w:numId w:val="201"/>
        </w:numPr>
        <w:jc w:val="both"/>
        <w:outlineLvl w:val="9"/>
        <w:rPr>
          <w:color w:val="000000" w:themeColor="text1"/>
          <w:kern w:val="0"/>
        </w:rPr>
      </w:pPr>
      <w:r w:rsidRPr="00A73722">
        <w:rPr>
          <w:color w:val="000000" w:themeColor="text1"/>
          <w:kern w:val="0"/>
        </w:rPr>
        <w:t>IQR: -8.4% to +1.3%</w:t>
      </w:r>
    </w:p>
    <w:p w14:paraId="48E54AB4" w14:textId="77777777" w:rsidR="005D778F" w:rsidRPr="00A73722" w:rsidRDefault="005D778F" w:rsidP="006B21E2">
      <w:pPr>
        <w:jc w:val="both"/>
        <w:rPr>
          <w:color w:val="000000" w:themeColor="text1"/>
        </w:rPr>
      </w:pPr>
      <w:r w:rsidRPr="00A73722">
        <w:rPr>
          <w:color w:val="000000" w:themeColor="text1"/>
        </w:rPr>
        <w:t> </w:t>
      </w:r>
    </w:p>
    <w:p w14:paraId="1F6FA5CC" w14:textId="77777777" w:rsidR="005D778F" w:rsidRPr="00A73722" w:rsidRDefault="005D778F" w:rsidP="006B21E2">
      <w:pPr>
        <w:jc w:val="both"/>
        <w:rPr>
          <w:color w:val="000000" w:themeColor="text1"/>
        </w:rPr>
      </w:pPr>
      <w:r w:rsidRPr="00A73722">
        <w:rPr>
          <w:color w:val="000000" w:themeColor="text1"/>
        </w:rPr>
        <w:t>The dramatically negative mean (-18.3%) is driven by a single outlier:</w:t>
      </w:r>
    </w:p>
    <w:p w14:paraId="193844C0" w14:textId="3DD05745" w:rsidR="005D778F" w:rsidRPr="00A73722" w:rsidRDefault="005D778F" w:rsidP="006B21E2">
      <w:pPr>
        <w:pStyle w:val="ListParagraph"/>
        <w:numPr>
          <w:ilvl w:val="0"/>
          <w:numId w:val="202"/>
        </w:numPr>
        <w:jc w:val="both"/>
        <w:outlineLvl w:val="9"/>
        <w:rPr>
          <w:color w:val="000000" w:themeColor="text1"/>
          <w:kern w:val="0"/>
        </w:rPr>
      </w:pPr>
      <w:r w:rsidRPr="00A73722">
        <w:rPr>
          <w:color w:val="000000" w:themeColor="text1"/>
          <w:kern w:val="0"/>
        </w:rPr>
        <w:t>Position #143: -78% return</w:t>
      </w:r>
    </w:p>
    <w:p w14:paraId="1EB231B9" w14:textId="543A3636" w:rsidR="005D778F" w:rsidRPr="00A73722" w:rsidRDefault="005D778F" w:rsidP="006B21E2">
      <w:pPr>
        <w:pStyle w:val="ListParagraph"/>
        <w:numPr>
          <w:ilvl w:val="0"/>
          <w:numId w:val="202"/>
        </w:numPr>
        <w:jc w:val="both"/>
        <w:outlineLvl w:val="9"/>
        <w:rPr>
          <w:color w:val="000000" w:themeColor="text1"/>
          <w:kern w:val="0"/>
        </w:rPr>
      </w:pPr>
      <w:r w:rsidRPr="00A73722">
        <w:rPr>
          <w:color w:val="000000" w:themeColor="text1"/>
          <w:kern w:val="0"/>
        </w:rPr>
        <w:t>Cause: 427 daily rebalances on $8,200 position</w:t>
      </w:r>
    </w:p>
    <w:p w14:paraId="352A53FC" w14:textId="58E28A96" w:rsidR="005D778F" w:rsidRPr="00A73722" w:rsidRDefault="005D778F" w:rsidP="006B21E2">
      <w:pPr>
        <w:pStyle w:val="ListParagraph"/>
        <w:numPr>
          <w:ilvl w:val="0"/>
          <w:numId w:val="202"/>
        </w:numPr>
        <w:jc w:val="both"/>
        <w:outlineLvl w:val="9"/>
        <w:rPr>
          <w:color w:val="000000" w:themeColor="text1"/>
          <w:kern w:val="0"/>
        </w:rPr>
      </w:pPr>
      <w:r w:rsidRPr="00A73722">
        <w:rPr>
          <w:color w:val="000000" w:themeColor="text1"/>
          <w:kern w:val="0"/>
        </w:rPr>
        <w:t>Gas costs: $23,400 (exceeding position value)</w:t>
      </w:r>
    </w:p>
    <w:p w14:paraId="33E4B2DB" w14:textId="79ED7102" w:rsidR="005D778F" w:rsidRPr="00A73722" w:rsidRDefault="005D778F" w:rsidP="006B21E2">
      <w:pPr>
        <w:pStyle w:val="ListParagraph"/>
        <w:numPr>
          <w:ilvl w:val="0"/>
          <w:numId w:val="202"/>
        </w:numPr>
        <w:jc w:val="both"/>
        <w:outlineLvl w:val="9"/>
        <w:rPr>
          <w:color w:val="000000" w:themeColor="text1"/>
          <w:kern w:val="0"/>
        </w:rPr>
      </w:pPr>
      <w:r w:rsidRPr="00A73722">
        <w:rPr>
          <w:color w:val="000000" w:themeColor="text1"/>
          <w:kern w:val="0"/>
        </w:rPr>
        <w:t>This is an execution error, not representative outcome</w:t>
      </w:r>
    </w:p>
    <w:p w14:paraId="67AE39E6" w14:textId="77777777" w:rsidR="005D778F" w:rsidRPr="00A73722" w:rsidRDefault="005D778F" w:rsidP="006B21E2">
      <w:pPr>
        <w:jc w:val="both"/>
        <w:rPr>
          <w:color w:val="000000" w:themeColor="text1"/>
        </w:rPr>
      </w:pPr>
      <w:r w:rsidRPr="00A73722">
        <w:rPr>
          <w:color w:val="000000" w:themeColor="text1"/>
        </w:rPr>
        <w:t> </w:t>
      </w:r>
    </w:p>
    <w:p w14:paraId="21F00B31" w14:textId="60C54F59" w:rsidR="005D778F" w:rsidRPr="00A73722" w:rsidRDefault="005D778F" w:rsidP="006B21E2">
      <w:pPr>
        <w:jc w:val="both"/>
        <w:rPr>
          <w:b/>
          <w:bCs/>
          <w:color w:val="000000" w:themeColor="text1"/>
        </w:rPr>
      </w:pPr>
      <w:r w:rsidRPr="00A73722">
        <w:rPr>
          <w:b/>
          <w:bCs/>
          <w:color w:val="000000" w:themeColor="text1"/>
        </w:rPr>
        <w:t>Excluding the outlier (n=10):</w:t>
      </w:r>
    </w:p>
    <w:p w14:paraId="10EA1A17" w14:textId="1BCCEB44" w:rsidR="005D778F" w:rsidRPr="00A73722" w:rsidRDefault="005D778F" w:rsidP="006B21E2">
      <w:pPr>
        <w:pStyle w:val="ListParagraph"/>
        <w:numPr>
          <w:ilvl w:val="0"/>
          <w:numId w:val="204"/>
        </w:numPr>
        <w:jc w:val="both"/>
        <w:outlineLvl w:val="9"/>
        <w:rPr>
          <w:color w:val="000000" w:themeColor="text1"/>
          <w:kern w:val="0"/>
        </w:rPr>
      </w:pPr>
      <w:r w:rsidRPr="00A73722">
        <w:rPr>
          <w:color w:val="000000" w:themeColor="text1"/>
          <w:kern w:val="0"/>
        </w:rPr>
        <w:t>Mean: -4.2%</w:t>
      </w:r>
    </w:p>
    <w:p w14:paraId="7FF79C2C" w14:textId="73ECB36C" w:rsidR="005D778F" w:rsidRPr="00A73722" w:rsidRDefault="005D778F" w:rsidP="006B21E2">
      <w:pPr>
        <w:pStyle w:val="ListParagraph"/>
        <w:numPr>
          <w:ilvl w:val="0"/>
          <w:numId w:val="204"/>
        </w:numPr>
        <w:jc w:val="both"/>
        <w:outlineLvl w:val="9"/>
        <w:rPr>
          <w:color w:val="000000" w:themeColor="text1"/>
          <w:kern w:val="0"/>
        </w:rPr>
      </w:pPr>
      <w:r w:rsidRPr="00A73722">
        <w:rPr>
          <w:color w:val="000000" w:themeColor="text1"/>
          <w:kern w:val="0"/>
        </w:rPr>
        <w:t>Median: -3.2%</w:t>
      </w:r>
    </w:p>
    <w:p w14:paraId="592F508C" w14:textId="054E8C10" w:rsidR="005D778F" w:rsidRPr="00A73722" w:rsidRDefault="005D778F" w:rsidP="006B21E2">
      <w:pPr>
        <w:pStyle w:val="ListParagraph"/>
        <w:numPr>
          <w:ilvl w:val="0"/>
          <w:numId w:val="204"/>
        </w:numPr>
        <w:jc w:val="both"/>
        <w:outlineLvl w:val="9"/>
        <w:rPr>
          <w:color w:val="000000" w:themeColor="text1"/>
          <w:kern w:val="0"/>
        </w:rPr>
      </w:pPr>
      <w:r w:rsidRPr="00A73722">
        <w:rPr>
          <w:color w:val="000000" w:themeColor="text1"/>
          <w:kern w:val="0"/>
        </w:rPr>
        <w:lastRenderedPageBreak/>
        <w:t>Still negative, but less dramatically so</w:t>
      </w:r>
    </w:p>
    <w:p w14:paraId="248E28A4" w14:textId="77777777" w:rsidR="005D778F" w:rsidRPr="00A73722" w:rsidRDefault="005D778F" w:rsidP="006B21E2">
      <w:pPr>
        <w:jc w:val="both"/>
        <w:rPr>
          <w:color w:val="000000" w:themeColor="text1"/>
        </w:rPr>
      </w:pPr>
    </w:p>
    <w:p w14:paraId="247AC686" w14:textId="04D51DE0" w:rsidR="005D778F" w:rsidRPr="00A73722" w:rsidRDefault="005D778F" w:rsidP="006B21E2">
      <w:pPr>
        <w:jc w:val="both"/>
        <w:rPr>
          <w:b/>
          <w:bCs/>
          <w:color w:val="000000" w:themeColor="text1"/>
        </w:rPr>
      </w:pPr>
      <w:r w:rsidRPr="00A73722">
        <w:rPr>
          <w:b/>
          <w:bCs/>
          <w:color w:val="000000" w:themeColor="text1"/>
        </w:rPr>
        <w:t>Statistical power:</w:t>
      </w:r>
    </w:p>
    <w:p w14:paraId="151EC1FF" w14:textId="09A3A4FE" w:rsidR="005D778F" w:rsidRPr="00A73722" w:rsidRDefault="005D778F" w:rsidP="006B21E2">
      <w:pPr>
        <w:pStyle w:val="ListParagraph"/>
        <w:numPr>
          <w:ilvl w:val="0"/>
          <w:numId w:val="203"/>
        </w:numPr>
        <w:jc w:val="both"/>
        <w:outlineLvl w:val="9"/>
        <w:rPr>
          <w:color w:val="000000" w:themeColor="text1"/>
          <w:kern w:val="0"/>
        </w:rPr>
      </w:pPr>
      <w:r w:rsidRPr="00A73722">
        <w:rPr>
          <w:color w:val="000000" w:themeColor="text1"/>
          <w:kern w:val="0"/>
        </w:rPr>
        <w:t>n=11 provides only 35% power to detect even large effects (d=0.8)</w:t>
      </w:r>
    </w:p>
    <w:p w14:paraId="580519C5" w14:textId="15AFE92E" w:rsidR="005D778F" w:rsidRPr="00A73722" w:rsidRDefault="005D778F" w:rsidP="006B21E2">
      <w:pPr>
        <w:pStyle w:val="ListParagraph"/>
        <w:numPr>
          <w:ilvl w:val="0"/>
          <w:numId w:val="203"/>
        </w:numPr>
        <w:jc w:val="both"/>
        <w:outlineLvl w:val="9"/>
        <w:rPr>
          <w:color w:val="000000" w:themeColor="text1"/>
          <w:kern w:val="0"/>
        </w:rPr>
      </w:pPr>
      <w:r w:rsidRPr="00A73722">
        <w:rPr>
          <w:color w:val="000000" w:themeColor="text1"/>
          <w:kern w:val="0"/>
        </w:rPr>
        <w:t xml:space="preserve">CI </w:t>
      </w:r>
      <w:proofErr w:type="gramStart"/>
      <w:r w:rsidRPr="00A73722">
        <w:rPr>
          <w:color w:val="000000" w:themeColor="text1"/>
          <w:kern w:val="0"/>
        </w:rPr>
        <w:t>width of</w:t>
      </w:r>
      <w:proofErr w:type="gramEnd"/>
      <w:r w:rsidRPr="00A73722">
        <w:rPr>
          <w:color w:val="000000" w:themeColor="text1"/>
          <w:kern w:val="0"/>
        </w:rPr>
        <w:t xml:space="preserve"> 14.9 percentage points indicates high uncertainty</w:t>
      </w:r>
    </w:p>
    <w:p w14:paraId="56BA7501" w14:textId="73D03595" w:rsidR="005D778F" w:rsidRPr="00A73722" w:rsidRDefault="005D778F" w:rsidP="006B21E2">
      <w:pPr>
        <w:pStyle w:val="ListParagraph"/>
        <w:numPr>
          <w:ilvl w:val="0"/>
          <w:numId w:val="203"/>
        </w:numPr>
        <w:jc w:val="both"/>
        <w:outlineLvl w:val="9"/>
        <w:rPr>
          <w:color w:val="000000" w:themeColor="text1"/>
          <w:kern w:val="0"/>
        </w:rPr>
      </w:pPr>
      <w:r w:rsidRPr="00A73722">
        <w:rPr>
          <w:color w:val="000000" w:themeColor="text1"/>
          <w:kern w:val="0"/>
        </w:rPr>
        <w:t xml:space="preserve">Cannot conclusively determine if daily rebalancing is systematically harmful vs. high-variance strategy attracting </w:t>
      </w:r>
      <w:r w:rsidR="00B35E24" w:rsidRPr="00A73722">
        <w:rPr>
          <w:color w:val="000000" w:themeColor="text1"/>
          <w:kern w:val="0"/>
        </w:rPr>
        <w:t>poorly capitalized</w:t>
      </w:r>
      <w:r w:rsidRPr="00A73722">
        <w:rPr>
          <w:color w:val="000000" w:themeColor="text1"/>
          <w:kern w:val="0"/>
        </w:rPr>
        <w:t xml:space="preserve"> attempts</w:t>
      </w:r>
    </w:p>
    <w:p w14:paraId="16FBE454" w14:textId="6DE50F77" w:rsidR="005D778F" w:rsidRPr="00A73722" w:rsidRDefault="005D778F" w:rsidP="006B21E2">
      <w:pPr>
        <w:jc w:val="both"/>
        <w:rPr>
          <w:color w:val="000000" w:themeColor="text1"/>
        </w:rPr>
      </w:pPr>
      <w:r w:rsidRPr="00A73722">
        <w:rPr>
          <w:color w:val="000000" w:themeColor="text1"/>
        </w:rPr>
        <w:t> </w:t>
      </w:r>
    </w:p>
    <w:p w14:paraId="58F90F43" w14:textId="1770F66C" w:rsidR="003A16A1" w:rsidRPr="00A73722" w:rsidRDefault="00ED3A34" w:rsidP="006B21E2">
      <w:pPr>
        <w:pStyle w:val="Heading4"/>
        <w:jc w:val="both"/>
        <w:rPr>
          <w:color w:val="000000" w:themeColor="text1"/>
        </w:rPr>
      </w:pPr>
      <w:r w:rsidRPr="00A73722">
        <w:rPr>
          <w:color w:val="000000" w:themeColor="text1"/>
        </w:rPr>
        <w:t xml:space="preserve">8.6.1.4 </w:t>
      </w:r>
      <w:r w:rsidR="003A16A1" w:rsidRPr="00A73722">
        <w:rPr>
          <w:color w:val="000000" w:themeColor="text1"/>
        </w:rPr>
        <w:t>Time Investment and Diminishing Returns</w:t>
      </w:r>
    </w:p>
    <w:p w14:paraId="592A8614" w14:textId="77777777" w:rsidR="003A16A1" w:rsidRPr="00A73722" w:rsidRDefault="003A16A1" w:rsidP="006B21E2">
      <w:pPr>
        <w:jc w:val="both"/>
        <w:rPr>
          <w:color w:val="000000" w:themeColor="text1"/>
        </w:rPr>
      </w:pPr>
      <w:r w:rsidRPr="00A73722">
        <w:rPr>
          <w:color w:val="000000" w:themeColor="text1"/>
        </w:rPr>
        <w:t>Spearman's rank correlation between weekly time investment and net returns showed capital-dependent patterns:</w:t>
      </w:r>
    </w:p>
    <w:p w14:paraId="4F66A227" w14:textId="77777777" w:rsidR="003A16A1" w:rsidRPr="00A73722" w:rsidRDefault="003A16A1" w:rsidP="006B21E2">
      <w:pPr>
        <w:numPr>
          <w:ilvl w:val="0"/>
          <w:numId w:val="153"/>
        </w:numPr>
        <w:jc w:val="both"/>
        <w:rPr>
          <w:color w:val="000000" w:themeColor="text1"/>
        </w:rPr>
      </w:pPr>
      <w:r w:rsidRPr="00A73722">
        <w:rPr>
          <w:color w:val="000000" w:themeColor="text1"/>
        </w:rPr>
        <w:t>Micro capital: ρ = -0.18, p = 0.19 (no significant relationship)</w:t>
      </w:r>
    </w:p>
    <w:p w14:paraId="2F6799CC" w14:textId="77777777" w:rsidR="003A16A1" w:rsidRPr="00A73722" w:rsidRDefault="003A16A1" w:rsidP="006B21E2">
      <w:pPr>
        <w:numPr>
          <w:ilvl w:val="0"/>
          <w:numId w:val="153"/>
        </w:numPr>
        <w:jc w:val="both"/>
        <w:rPr>
          <w:color w:val="000000" w:themeColor="text1"/>
        </w:rPr>
      </w:pPr>
      <w:r w:rsidRPr="00A73722">
        <w:rPr>
          <w:color w:val="000000" w:themeColor="text1"/>
        </w:rPr>
        <w:t>Small-modest: ρ = 0.23, p = 0.08 (marginally positive)</w:t>
      </w:r>
    </w:p>
    <w:p w14:paraId="3483E29A" w14:textId="77777777" w:rsidR="003A16A1" w:rsidRPr="00A73722" w:rsidRDefault="003A16A1" w:rsidP="006B21E2">
      <w:pPr>
        <w:numPr>
          <w:ilvl w:val="0"/>
          <w:numId w:val="153"/>
        </w:numPr>
        <w:jc w:val="both"/>
        <w:rPr>
          <w:color w:val="000000" w:themeColor="text1"/>
        </w:rPr>
      </w:pPr>
      <w:r w:rsidRPr="00A73722">
        <w:rPr>
          <w:color w:val="000000" w:themeColor="text1"/>
        </w:rPr>
        <w:t>Substantial: ρ = 0.41, p = 0.006 (significant positive relationship)</w:t>
      </w:r>
    </w:p>
    <w:p w14:paraId="7598205E" w14:textId="77777777" w:rsidR="00B35E24" w:rsidRDefault="00B35E24" w:rsidP="006B21E2">
      <w:pPr>
        <w:jc w:val="both"/>
        <w:rPr>
          <w:color w:val="000000" w:themeColor="text1"/>
        </w:rPr>
      </w:pPr>
    </w:p>
    <w:p w14:paraId="42991054" w14:textId="59E30733" w:rsidR="003A16A1" w:rsidRDefault="003A16A1" w:rsidP="006B21E2">
      <w:pPr>
        <w:jc w:val="both"/>
        <w:rPr>
          <w:color w:val="000000" w:themeColor="text1"/>
        </w:rPr>
      </w:pPr>
      <w:r w:rsidRPr="00A73722">
        <w:rPr>
          <w:color w:val="000000" w:themeColor="text1"/>
        </w:rPr>
        <w:t xml:space="preserve">This pattern suggests time investment </w:t>
      </w:r>
      <w:proofErr w:type="gramStart"/>
      <w:r w:rsidRPr="00A73722">
        <w:rPr>
          <w:color w:val="000000" w:themeColor="text1"/>
        </w:rPr>
        <w:t>only</w:t>
      </w:r>
      <w:proofErr w:type="gramEnd"/>
      <w:r w:rsidRPr="00A73722">
        <w:rPr>
          <w:color w:val="000000" w:themeColor="text1"/>
        </w:rPr>
        <w:t xml:space="preserve"> translated to improved returns when capital exceeded operational cost. Below $3,500</w:t>
      </w:r>
      <w:r w:rsidR="00157E1C" w:rsidRPr="00A73722">
        <w:rPr>
          <w:color w:val="000000" w:themeColor="text1"/>
        </w:rPr>
        <w:t xml:space="preserve"> the </w:t>
      </w:r>
      <w:r w:rsidRPr="00A73722">
        <w:rPr>
          <w:color w:val="000000" w:themeColor="text1"/>
        </w:rPr>
        <w:t>additional effort often represented optimization attempts that consumed more in transaction costs than they generated in returns</w:t>
      </w:r>
      <w:r w:rsidR="00157E1C" w:rsidRPr="00A73722">
        <w:rPr>
          <w:color w:val="000000" w:themeColor="text1"/>
        </w:rPr>
        <w:t xml:space="preserve">. This finding is </w:t>
      </w:r>
      <w:r w:rsidRPr="00A73722">
        <w:rPr>
          <w:color w:val="000000" w:themeColor="text1"/>
        </w:rPr>
        <w:t>consistent with the "optimization trap" documented in Chapter 10.</w:t>
      </w:r>
    </w:p>
    <w:p w14:paraId="7AB14A2F" w14:textId="77777777" w:rsidR="00B35E24" w:rsidRPr="00A73722" w:rsidRDefault="00B35E24" w:rsidP="006B21E2">
      <w:pPr>
        <w:jc w:val="both"/>
        <w:rPr>
          <w:color w:val="000000" w:themeColor="text1"/>
        </w:rPr>
      </w:pPr>
    </w:p>
    <w:p w14:paraId="05142CF4" w14:textId="7E77E88D" w:rsidR="003A16A1" w:rsidRPr="00A73722" w:rsidRDefault="00157E1C" w:rsidP="006B21E2">
      <w:pPr>
        <w:jc w:val="both"/>
        <w:rPr>
          <w:color w:val="000000" w:themeColor="text1"/>
        </w:rPr>
      </w:pPr>
      <w:r w:rsidRPr="00A73722">
        <w:rPr>
          <w:color w:val="000000" w:themeColor="text1"/>
        </w:rPr>
        <w:t>However, for time investment</w:t>
      </w:r>
      <w:r w:rsidR="003A16A1" w:rsidRPr="00A73722">
        <w:rPr>
          <w:color w:val="000000" w:themeColor="text1"/>
        </w:rPr>
        <w:t xml:space="preserve"> above 20 hours weekly, the correlation weakened (ρ = 0.11, p = 0.38 among n=23 positions with &gt;20 </w:t>
      </w:r>
      <w:proofErr w:type="spellStart"/>
      <w:r w:rsidR="003A16A1" w:rsidRPr="00A73722">
        <w:rPr>
          <w:color w:val="000000" w:themeColor="text1"/>
        </w:rPr>
        <w:t>hr</w:t>
      </w:r>
      <w:r w:rsidR="00B35E24">
        <w:rPr>
          <w:color w:val="000000" w:themeColor="text1"/>
        </w:rPr>
        <w:t>s</w:t>
      </w:r>
      <w:proofErr w:type="spellEnd"/>
      <w:r w:rsidR="003A16A1" w:rsidRPr="00A73722">
        <w:rPr>
          <w:color w:val="000000" w:themeColor="text1"/>
        </w:rPr>
        <w:t>/week)</w:t>
      </w:r>
      <w:r w:rsidRPr="00A73722">
        <w:rPr>
          <w:color w:val="000000" w:themeColor="text1"/>
        </w:rPr>
        <w:t>. This</w:t>
      </w:r>
      <w:r w:rsidR="003A16A1" w:rsidRPr="00A73722">
        <w:rPr>
          <w:color w:val="000000" w:themeColor="text1"/>
        </w:rPr>
        <w:t xml:space="preserve"> suggest</w:t>
      </w:r>
      <w:r w:rsidRPr="00A73722">
        <w:rPr>
          <w:color w:val="000000" w:themeColor="text1"/>
        </w:rPr>
        <w:t>s</w:t>
      </w:r>
      <w:r w:rsidR="003A16A1" w:rsidRPr="00A73722">
        <w:rPr>
          <w:color w:val="000000" w:themeColor="text1"/>
        </w:rPr>
        <w:t xml:space="preserve"> diminishing or negative marginal returns to time investment beyond the </w:t>
      </w:r>
      <w:proofErr w:type="gramStart"/>
      <w:r w:rsidR="003A16A1" w:rsidRPr="00A73722">
        <w:rPr>
          <w:color w:val="000000" w:themeColor="text1"/>
        </w:rPr>
        <w:t>15-20 hour</w:t>
      </w:r>
      <w:proofErr w:type="gramEnd"/>
      <w:r w:rsidR="003A16A1" w:rsidRPr="00A73722">
        <w:rPr>
          <w:color w:val="000000" w:themeColor="text1"/>
        </w:rPr>
        <w:t xml:space="preserve"> range identified </w:t>
      </w:r>
      <w:r w:rsidRPr="00A73722">
        <w:rPr>
          <w:color w:val="000000" w:themeColor="text1"/>
        </w:rPr>
        <w:t>earlier.</w:t>
      </w:r>
    </w:p>
    <w:p w14:paraId="4A4D377D" w14:textId="77777777" w:rsidR="00A73722" w:rsidRDefault="00A73722" w:rsidP="006B21E2">
      <w:pPr>
        <w:pStyle w:val="Heading4"/>
        <w:jc w:val="both"/>
        <w:rPr>
          <w:color w:val="000000" w:themeColor="text1"/>
        </w:rPr>
      </w:pPr>
    </w:p>
    <w:p w14:paraId="77E7917E" w14:textId="0674CF9C" w:rsidR="003A16A1" w:rsidRPr="00A73722" w:rsidRDefault="00ED3A34" w:rsidP="006B21E2">
      <w:pPr>
        <w:pStyle w:val="Heading4"/>
        <w:jc w:val="both"/>
        <w:rPr>
          <w:color w:val="000000" w:themeColor="text1"/>
        </w:rPr>
      </w:pPr>
      <w:r w:rsidRPr="00A73722">
        <w:rPr>
          <w:color w:val="000000" w:themeColor="text1"/>
        </w:rPr>
        <w:t xml:space="preserve">8.6.1.5 </w:t>
      </w:r>
      <w:r w:rsidR="003A16A1" w:rsidRPr="00A73722">
        <w:rPr>
          <w:color w:val="000000" w:themeColor="text1"/>
        </w:rPr>
        <w:t>Synthesis with Descriptive Findings</w:t>
      </w:r>
    </w:p>
    <w:p w14:paraId="1CC61047" w14:textId="77777777" w:rsidR="003A16A1" w:rsidRPr="00A73722" w:rsidRDefault="003A16A1" w:rsidP="006B21E2">
      <w:pPr>
        <w:jc w:val="both"/>
        <w:rPr>
          <w:color w:val="000000" w:themeColor="text1"/>
        </w:rPr>
      </w:pPr>
      <w:r w:rsidRPr="00A73722">
        <w:rPr>
          <w:color w:val="000000" w:themeColor="text1"/>
        </w:rPr>
        <w:t>These inferential statistics confirm and quantify the descriptive patterns documented in Sections 8.2-8.6:</w:t>
      </w:r>
    </w:p>
    <w:p w14:paraId="756B28EA" w14:textId="77777777" w:rsidR="003A16A1" w:rsidRPr="00A73722" w:rsidRDefault="003A16A1" w:rsidP="006B21E2">
      <w:pPr>
        <w:numPr>
          <w:ilvl w:val="0"/>
          <w:numId w:val="234"/>
        </w:numPr>
        <w:jc w:val="both"/>
        <w:rPr>
          <w:color w:val="000000" w:themeColor="text1"/>
        </w:rPr>
      </w:pPr>
      <w:r w:rsidRPr="00A73722">
        <w:rPr>
          <w:color w:val="000000" w:themeColor="text1"/>
        </w:rPr>
        <w:t>Liquidity provision significantly outperformed other mechanisms (supporting Section 8.4's characterization as "the only real income mechanism")</w:t>
      </w:r>
    </w:p>
    <w:p w14:paraId="2B0D90E5" w14:textId="77777777" w:rsidR="003A16A1" w:rsidRPr="00A73722" w:rsidRDefault="003A16A1" w:rsidP="006B21E2">
      <w:pPr>
        <w:numPr>
          <w:ilvl w:val="0"/>
          <w:numId w:val="234"/>
        </w:numPr>
        <w:jc w:val="both"/>
        <w:rPr>
          <w:color w:val="000000" w:themeColor="text1"/>
        </w:rPr>
      </w:pPr>
      <w:r w:rsidRPr="00A73722">
        <w:rPr>
          <w:color w:val="000000" w:themeColor="text1"/>
        </w:rPr>
        <w:t>Capital level created sharp thresholds determining strategy viability (validating the network viability thresholds from Chapter 5)</w:t>
      </w:r>
    </w:p>
    <w:p w14:paraId="427C6CA5" w14:textId="77777777" w:rsidR="003A16A1" w:rsidRPr="00A73722" w:rsidRDefault="003A16A1" w:rsidP="006B21E2">
      <w:pPr>
        <w:numPr>
          <w:ilvl w:val="0"/>
          <w:numId w:val="234"/>
        </w:numPr>
        <w:jc w:val="both"/>
        <w:rPr>
          <w:color w:val="000000" w:themeColor="text1"/>
        </w:rPr>
      </w:pPr>
      <w:r w:rsidRPr="00A73722">
        <w:rPr>
          <w:color w:val="000000" w:themeColor="text1"/>
        </w:rPr>
        <w:t>Time investment showed non-linear returns with optimal range 15-20 hours weekly (confirming Section 8.5's operational reality documentation)</w:t>
      </w:r>
    </w:p>
    <w:p w14:paraId="3A60CC69" w14:textId="77777777" w:rsidR="003A16A1" w:rsidRPr="00A73722" w:rsidRDefault="003A16A1" w:rsidP="006B21E2">
      <w:pPr>
        <w:numPr>
          <w:ilvl w:val="0"/>
          <w:numId w:val="234"/>
        </w:numPr>
        <w:jc w:val="both"/>
        <w:rPr>
          <w:color w:val="000000" w:themeColor="text1"/>
        </w:rPr>
      </w:pPr>
      <w:r w:rsidRPr="00A73722">
        <w:rPr>
          <w:color w:val="000000" w:themeColor="text1"/>
        </w:rPr>
        <w:t>Strategy-capital matching proved more important than optimization within strategies (supporting the decision framework's sequential filtering approach)</w:t>
      </w:r>
    </w:p>
    <w:p w14:paraId="05E60491" w14:textId="77777777" w:rsidR="00A73722" w:rsidRDefault="00A73722" w:rsidP="006B21E2">
      <w:pPr>
        <w:jc w:val="both"/>
        <w:rPr>
          <w:color w:val="000000" w:themeColor="text1"/>
        </w:rPr>
      </w:pPr>
    </w:p>
    <w:p w14:paraId="716D9F12" w14:textId="0F568982" w:rsidR="00537CAE" w:rsidRDefault="003A16A1" w:rsidP="006B21E2">
      <w:pPr>
        <w:jc w:val="both"/>
        <w:rPr>
          <w:color w:val="000000" w:themeColor="text1"/>
        </w:rPr>
      </w:pPr>
      <w:r w:rsidRPr="00A73722">
        <w:rPr>
          <w:color w:val="000000" w:themeColor="text1"/>
        </w:rPr>
        <w:t>The statistical analyses add confidence that the patterns observed in my sample represent genuine effects rather than random variation, while acknowledging the limited generalizability inherent in purposive sampling.</w:t>
      </w:r>
    </w:p>
    <w:p w14:paraId="4FAA5C70" w14:textId="77777777" w:rsidR="00A73722" w:rsidRPr="00A73722" w:rsidRDefault="00A73722" w:rsidP="006B21E2">
      <w:pPr>
        <w:jc w:val="both"/>
        <w:rPr>
          <w:color w:val="000000" w:themeColor="text1"/>
        </w:rPr>
      </w:pPr>
    </w:p>
    <w:p w14:paraId="09E3F14F" w14:textId="0A412D0D" w:rsidR="002D11BA" w:rsidRPr="00A73722" w:rsidRDefault="002D11BA" w:rsidP="006B21E2">
      <w:pPr>
        <w:jc w:val="both"/>
        <w:rPr>
          <w:color w:val="000000" w:themeColor="text1"/>
        </w:rPr>
      </w:pPr>
      <w:r w:rsidRPr="00A73722">
        <w:rPr>
          <w:color w:val="000000" w:themeColor="text1"/>
        </w:rPr>
        <w:t>Effect sizes throughout this analysis follow Cohen's (1988) conventions: r = 0.10 (small), r = 0.30 (medium), r = 0.50 (large). Values between thresholds (e.g., r = 0.24-0.28) are reported as "approaching" the next threshold to avoid creating intermediate categories</w:t>
      </w:r>
      <w:r w:rsidR="001E20C0" w:rsidRPr="00A73722">
        <w:rPr>
          <w:color w:val="000000" w:themeColor="text1"/>
        </w:rPr>
        <w:t>.</w:t>
      </w:r>
    </w:p>
    <w:p w14:paraId="766663BF" w14:textId="77777777" w:rsidR="00A73722" w:rsidRDefault="00A73722" w:rsidP="006B21E2">
      <w:pPr>
        <w:pStyle w:val="Heading2"/>
        <w:jc w:val="both"/>
        <w:rPr>
          <w:rFonts w:eastAsiaTheme="majorEastAsia"/>
          <w:color w:val="000000" w:themeColor="text1"/>
        </w:rPr>
      </w:pPr>
    </w:p>
    <w:p w14:paraId="6DCA2178" w14:textId="568CE628" w:rsidR="00C4187D" w:rsidRPr="00A73722" w:rsidRDefault="008D6F57" w:rsidP="006B21E2">
      <w:pPr>
        <w:pStyle w:val="Heading2"/>
        <w:jc w:val="both"/>
        <w:rPr>
          <w:rFonts w:eastAsiaTheme="majorEastAsia"/>
          <w:color w:val="000000" w:themeColor="text1"/>
        </w:rPr>
      </w:pPr>
      <w:bookmarkStart w:id="193" w:name="_Toc214721999"/>
      <w:r w:rsidRPr="00A73722">
        <w:rPr>
          <w:rFonts w:eastAsiaTheme="majorEastAsia"/>
          <w:color w:val="000000" w:themeColor="text1"/>
        </w:rPr>
        <w:t>8</w:t>
      </w:r>
      <w:r w:rsidR="00FC3DF4" w:rsidRPr="00A73722">
        <w:rPr>
          <w:rFonts w:eastAsiaTheme="majorEastAsia"/>
          <w:color w:val="000000" w:themeColor="text1"/>
        </w:rPr>
        <w:t>.7 Risk Materialization: What Actually Killed Positions</w:t>
      </w:r>
      <w:bookmarkEnd w:id="193"/>
    </w:p>
    <w:p w14:paraId="7FDAAA68" w14:textId="77777777" w:rsidR="00F5135C" w:rsidRPr="00A73722" w:rsidRDefault="006A34AA" w:rsidP="006B21E2">
      <w:pPr>
        <w:jc w:val="both"/>
        <w:rPr>
          <w:rFonts w:eastAsiaTheme="majorEastAsia"/>
          <w:color w:val="000000" w:themeColor="text1"/>
        </w:rPr>
      </w:pPr>
      <w:r w:rsidRPr="00A73722">
        <w:rPr>
          <w:rFonts w:eastAsiaTheme="majorEastAsia"/>
          <w:color w:val="000000" w:themeColor="text1"/>
        </w:rPr>
        <w:t xml:space="preserve">Out of 156 tracked positions, 19 (12.2%) had protocol-level incidents that caused principal losses. The distribution shows that there are systematic patterns instead of random failures: </w:t>
      </w:r>
    </w:p>
    <w:p w14:paraId="5C0F22D8" w14:textId="77777777" w:rsidR="00F5135C" w:rsidRPr="00A73722" w:rsidRDefault="00F5135C" w:rsidP="006B21E2">
      <w:pPr>
        <w:jc w:val="both"/>
        <w:rPr>
          <w:rFonts w:eastAsiaTheme="majorEastAsia"/>
          <w:color w:val="000000" w:themeColor="text1"/>
        </w:rPr>
      </w:pPr>
    </w:p>
    <w:p w14:paraId="1D7E76F5" w14:textId="1F3A3258" w:rsidR="006A34AA" w:rsidRPr="00FA797E" w:rsidRDefault="006A34AA" w:rsidP="006B21E2">
      <w:pPr>
        <w:pStyle w:val="ListParagraph"/>
        <w:numPr>
          <w:ilvl w:val="0"/>
          <w:numId w:val="111"/>
        </w:numPr>
        <w:jc w:val="both"/>
        <w:rPr>
          <w:rFonts w:eastAsiaTheme="majorEastAsia"/>
          <w:b/>
          <w:bCs/>
          <w:color w:val="000000" w:themeColor="text1"/>
        </w:rPr>
      </w:pPr>
      <w:r w:rsidRPr="00F5135C">
        <w:rPr>
          <w:rFonts w:eastAsiaTheme="majorEastAsia"/>
          <w:color w:val="000000" w:themeColor="text1"/>
        </w:rPr>
        <w:t>Smart contract exploits hit 4 positions (21% of all incidents) and caused an average loss of 84%. These weren't hard-to-find protocols but included Harvest Finance ($24 million exploit), Pickle Finance ($19 million), and others that had been audited several times. The lesson here is that audits lower the risk of smart contracts, but they don't get rid of it completely.</w:t>
      </w:r>
    </w:p>
    <w:p w14:paraId="1614919B" w14:textId="77777777" w:rsidR="00FA797E" w:rsidRPr="00FA797E" w:rsidRDefault="00FA797E" w:rsidP="006B21E2">
      <w:pPr>
        <w:pStyle w:val="ListParagraph"/>
        <w:jc w:val="both"/>
        <w:rPr>
          <w:rFonts w:eastAsiaTheme="majorEastAsia"/>
          <w:b/>
          <w:bCs/>
          <w:color w:val="000000" w:themeColor="text1"/>
        </w:rPr>
      </w:pPr>
    </w:p>
    <w:p w14:paraId="17A65A9D" w14:textId="77777777" w:rsidR="006A34AA" w:rsidRPr="00F5135C" w:rsidRDefault="006A34AA" w:rsidP="006B21E2">
      <w:pPr>
        <w:pStyle w:val="ListParagraph"/>
        <w:numPr>
          <w:ilvl w:val="0"/>
          <w:numId w:val="111"/>
        </w:numPr>
        <w:jc w:val="both"/>
        <w:rPr>
          <w:rFonts w:eastAsiaTheme="majorEastAsia"/>
          <w:color w:val="000000" w:themeColor="text1"/>
        </w:rPr>
      </w:pPr>
      <w:r w:rsidRPr="00F5135C">
        <w:rPr>
          <w:rFonts w:eastAsiaTheme="majorEastAsia"/>
          <w:color w:val="000000" w:themeColor="text1"/>
        </w:rPr>
        <w:t>Governance attacks affected 3 positions (16% of incidents) and caused an average loss of 43%. Token holders voted to change the fee structures or protocol parameters in ways that ruined the economics of the position. Democratic rule became a way to attack.</w:t>
      </w:r>
    </w:p>
    <w:p w14:paraId="63EF090F" w14:textId="77777777" w:rsidR="006A34AA" w:rsidRPr="003C66A0" w:rsidRDefault="006A34AA" w:rsidP="006B21E2">
      <w:pPr>
        <w:jc w:val="both"/>
        <w:rPr>
          <w:rFonts w:eastAsiaTheme="majorEastAsia"/>
          <w:color w:val="000000" w:themeColor="text1"/>
        </w:rPr>
      </w:pPr>
    </w:p>
    <w:p w14:paraId="643B5DFD" w14:textId="77777777" w:rsidR="006A34AA" w:rsidRPr="00F5135C" w:rsidRDefault="006A34AA" w:rsidP="006B21E2">
      <w:pPr>
        <w:pStyle w:val="ListParagraph"/>
        <w:numPr>
          <w:ilvl w:val="0"/>
          <w:numId w:val="111"/>
        </w:numPr>
        <w:jc w:val="both"/>
        <w:rPr>
          <w:rFonts w:eastAsiaTheme="majorEastAsia"/>
          <w:color w:val="000000" w:themeColor="text1"/>
        </w:rPr>
      </w:pPr>
      <w:r w:rsidRPr="00F5135C">
        <w:rPr>
          <w:rFonts w:eastAsiaTheme="majorEastAsia"/>
          <w:color w:val="000000" w:themeColor="text1"/>
        </w:rPr>
        <w:t xml:space="preserve">Oracle failures happened in 5 positions (26% of all incidents), and the average loss was 67%. Manipulating price feeds caused liquidations or made it possible to make money trading against liquidity providers. </w:t>
      </w:r>
      <w:proofErr w:type="gramStart"/>
      <w:r w:rsidRPr="00F5135C">
        <w:rPr>
          <w:rFonts w:eastAsiaTheme="majorEastAsia"/>
          <w:color w:val="000000" w:themeColor="text1"/>
        </w:rPr>
        <w:t>Dependencies</w:t>
      </w:r>
      <w:proofErr w:type="gramEnd"/>
      <w:r w:rsidRPr="00F5135C">
        <w:rPr>
          <w:rFonts w:eastAsiaTheme="majorEastAsia"/>
          <w:color w:val="000000" w:themeColor="text1"/>
        </w:rPr>
        <w:t xml:space="preserve"> on things outside the system made it weak.</w:t>
      </w:r>
    </w:p>
    <w:p w14:paraId="54918F12" w14:textId="77777777" w:rsidR="006A34AA" w:rsidRPr="003C66A0" w:rsidRDefault="006A34AA" w:rsidP="006B21E2">
      <w:pPr>
        <w:jc w:val="both"/>
        <w:rPr>
          <w:rFonts w:eastAsiaTheme="majorEastAsia"/>
          <w:color w:val="000000" w:themeColor="text1"/>
        </w:rPr>
      </w:pPr>
    </w:p>
    <w:p w14:paraId="6F2A8F69" w14:textId="77777777" w:rsidR="006A34AA" w:rsidRPr="00F5135C" w:rsidRDefault="006A34AA" w:rsidP="006B21E2">
      <w:pPr>
        <w:pStyle w:val="ListParagraph"/>
        <w:numPr>
          <w:ilvl w:val="0"/>
          <w:numId w:val="111"/>
        </w:numPr>
        <w:jc w:val="both"/>
        <w:rPr>
          <w:rFonts w:eastAsiaTheme="majorEastAsia"/>
          <w:color w:val="000000" w:themeColor="text1"/>
        </w:rPr>
      </w:pPr>
      <w:r w:rsidRPr="00F5135C">
        <w:rPr>
          <w:rFonts w:eastAsiaTheme="majorEastAsia"/>
          <w:color w:val="000000" w:themeColor="text1"/>
        </w:rPr>
        <w:t>Economic attacks affected 5 positions (26% of incidents) with 52% average losses. Flash loan attacks and sandwich attacks drained value without technical vulnerabilities. The composability that enables innovation also enables complex attack vectors.</w:t>
      </w:r>
    </w:p>
    <w:p w14:paraId="4ECCA23C" w14:textId="77777777" w:rsidR="006A34AA" w:rsidRPr="003C66A0" w:rsidRDefault="006A34AA" w:rsidP="006B21E2">
      <w:pPr>
        <w:jc w:val="both"/>
        <w:rPr>
          <w:rFonts w:eastAsiaTheme="majorEastAsia"/>
          <w:color w:val="000000" w:themeColor="text1"/>
        </w:rPr>
      </w:pPr>
    </w:p>
    <w:p w14:paraId="1B78B1A3" w14:textId="77777777" w:rsidR="006A34AA" w:rsidRPr="00F5135C" w:rsidRDefault="006A34AA" w:rsidP="006B21E2">
      <w:pPr>
        <w:pStyle w:val="ListParagraph"/>
        <w:numPr>
          <w:ilvl w:val="0"/>
          <w:numId w:val="111"/>
        </w:numPr>
        <w:jc w:val="both"/>
        <w:rPr>
          <w:rFonts w:eastAsiaTheme="majorEastAsia"/>
          <w:color w:val="000000" w:themeColor="text1"/>
        </w:rPr>
      </w:pPr>
      <w:r w:rsidRPr="00F5135C">
        <w:rPr>
          <w:rFonts w:eastAsiaTheme="majorEastAsia"/>
          <w:color w:val="000000" w:themeColor="text1"/>
        </w:rPr>
        <w:t>Rug pulls destroyed 2 positions (11% of incidents) with 100% losses. Anonymous teams disappeared with funds despite initial credibility. The pseudonymous nature of DeFi enables this risk.</w:t>
      </w:r>
    </w:p>
    <w:p w14:paraId="00438BE4" w14:textId="77777777" w:rsidR="006A34AA" w:rsidRPr="00934132" w:rsidRDefault="006A34AA" w:rsidP="006B21E2">
      <w:pPr>
        <w:jc w:val="both"/>
        <w:rPr>
          <w:rFonts w:eastAsiaTheme="majorEastAsia"/>
          <w:color w:val="000000" w:themeColor="text1"/>
        </w:rPr>
      </w:pPr>
    </w:p>
    <w:p w14:paraId="3A5A5CDB" w14:textId="5185032B" w:rsidR="006A34AA" w:rsidRPr="00934132" w:rsidRDefault="006A34AA" w:rsidP="006B21E2">
      <w:pPr>
        <w:jc w:val="both"/>
        <w:rPr>
          <w:rFonts w:eastAsiaTheme="majorEastAsia"/>
          <w:color w:val="000000" w:themeColor="text1"/>
        </w:rPr>
      </w:pPr>
      <w:r w:rsidRPr="00934132">
        <w:rPr>
          <w:rFonts w:eastAsiaTheme="majorEastAsia"/>
          <w:color w:val="000000" w:themeColor="text1"/>
        </w:rPr>
        <w:t xml:space="preserve">With a 12% quarterly incident rate, there is about a 41% chance of a big </w:t>
      </w:r>
      <w:proofErr w:type="gramStart"/>
      <w:r w:rsidRPr="00934132">
        <w:rPr>
          <w:rFonts w:eastAsiaTheme="majorEastAsia"/>
          <w:color w:val="000000" w:themeColor="text1"/>
        </w:rPr>
        <w:t>loss for</w:t>
      </w:r>
      <w:proofErr w:type="gramEnd"/>
      <w:r w:rsidRPr="00934132">
        <w:rPr>
          <w:rFonts w:eastAsiaTheme="majorEastAsia"/>
          <w:color w:val="000000" w:themeColor="text1"/>
        </w:rPr>
        <w:t xml:space="preserve"> each year. This would be seen as </w:t>
      </w:r>
      <w:proofErr w:type="spellStart"/>
      <w:r w:rsidRPr="00934132">
        <w:rPr>
          <w:rFonts w:eastAsiaTheme="majorEastAsia"/>
          <w:color w:val="000000" w:themeColor="text1"/>
        </w:rPr>
        <w:t>uninvestable</w:t>
      </w:r>
      <w:proofErr w:type="spellEnd"/>
      <w:r w:rsidRPr="00934132">
        <w:rPr>
          <w:rFonts w:eastAsiaTheme="majorEastAsia"/>
          <w:color w:val="000000" w:themeColor="text1"/>
        </w:rPr>
        <w:t xml:space="preserve"> by traditional finance however participants took these risks anyway and often without getting the expected return. After </w:t>
      </w:r>
      <w:r w:rsidR="00F5135C" w:rsidRPr="00934132">
        <w:rPr>
          <w:rFonts w:eastAsiaTheme="majorEastAsia"/>
          <w:color w:val="000000" w:themeColor="text1"/>
        </w:rPr>
        <w:t>considering</w:t>
      </w:r>
      <w:r w:rsidRPr="00934132">
        <w:rPr>
          <w:rFonts w:eastAsiaTheme="majorEastAsia"/>
          <w:color w:val="000000" w:themeColor="text1"/>
        </w:rPr>
        <w:t xml:space="preserve"> the risks, the expected value calculations for most strategies were negative.</w:t>
      </w:r>
    </w:p>
    <w:p w14:paraId="19E722FD" w14:textId="77777777" w:rsidR="004F1673" w:rsidRPr="00934132" w:rsidRDefault="004F1673" w:rsidP="006B21E2">
      <w:pPr>
        <w:jc w:val="both"/>
        <w:rPr>
          <w:rFonts w:eastAsiaTheme="majorEastAsia"/>
          <w:color w:val="000000" w:themeColor="text1"/>
        </w:rPr>
      </w:pPr>
    </w:p>
    <w:p w14:paraId="05526418" w14:textId="77777777" w:rsidR="004F1673" w:rsidRPr="00934132" w:rsidRDefault="004F1673" w:rsidP="006B21E2">
      <w:pPr>
        <w:pStyle w:val="Heading3"/>
        <w:jc w:val="both"/>
        <w:rPr>
          <w:color w:val="000000" w:themeColor="text1"/>
          <w:kern w:val="0"/>
          <w:sz w:val="27"/>
          <w:szCs w:val="27"/>
        </w:rPr>
      </w:pPr>
      <w:bookmarkStart w:id="194" w:name="_Toc214722000"/>
      <w:r w:rsidRPr="00934132">
        <w:rPr>
          <w:color w:val="000000" w:themeColor="text1"/>
        </w:rPr>
        <w:t>8.7.1 Position Duration and Attrition Patterns</w:t>
      </w:r>
      <w:bookmarkEnd w:id="194"/>
    </w:p>
    <w:p w14:paraId="44D6A058" w14:textId="42C007B0" w:rsidR="004F1673" w:rsidRPr="00934132" w:rsidRDefault="004F1673" w:rsidP="006B21E2">
      <w:pPr>
        <w:pStyle w:val="whitespace-normal"/>
        <w:spacing w:before="0" w:beforeAutospacing="0" w:after="0" w:afterAutospacing="0"/>
        <w:jc w:val="both"/>
        <w:rPr>
          <w:color w:val="000000" w:themeColor="text1"/>
        </w:rPr>
      </w:pPr>
      <w:r w:rsidRPr="00934132">
        <w:rPr>
          <w:color w:val="000000" w:themeColor="text1"/>
        </w:rPr>
        <w:t xml:space="preserve">Understanding how long positions </w:t>
      </w:r>
      <w:r w:rsidR="001E20C0" w:rsidRPr="00934132">
        <w:rPr>
          <w:color w:val="000000" w:themeColor="text1"/>
        </w:rPr>
        <w:t xml:space="preserve">existed </w:t>
      </w:r>
      <w:r w:rsidRPr="00934132">
        <w:rPr>
          <w:color w:val="000000" w:themeColor="text1"/>
        </w:rPr>
        <w:t>and why they ended</w:t>
      </w:r>
      <w:r w:rsidR="001E20C0" w:rsidRPr="00934132">
        <w:rPr>
          <w:color w:val="000000" w:themeColor="text1"/>
        </w:rPr>
        <w:t xml:space="preserve">, </w:t>
      </w:r>
      <w:r w:rsidRPr="00934132">
        <w:rPr>
          <w:color w:val="000000" w:themeColor="text1"/>
        </w:rPr>
        <w:t xml:space="preserve">provides </w:t>
      </w:r>
      <w:r w:rsidR="001E20C0" w:rsidRPr="00934132">
        <w:rPr>
          <w:color w:val="000000" w:themeColor="text1"/>
        </w:rPr>
        <w:t xml:space="preserve">more </w:t>
      </w:r>
      <w:r w:rsidRPr="00934132">
        <w:rPr>
          <w:color w:val="000000" w:themeColor="text1"/>
        </w:rPr>
        <w:t xml:space="preserve">insight into </w:t>
      </w:r>
      <w:r w:rsidR="001E20C0" w:rsidRPr="00934132">
        <w:rPr>
          <w:color w:val="000000" w:themeColor="text1"/>
        </w:rPr>
        <w:t xml:space="preserve">the </w:t>
      </w:r>
      <w:r w:rsidRPr="00934132">
        <w:rPr>
          <w:color w:val="000000" w:themeColor="text1"/>
        </w:rPr>
        <w:t>sustainability that performance metrics alone cannot capture. The tracking data from Table A.2 (Appendix A) reveals significant attrition patterns across the 156 positions observed.</w:t>
      </w:r>
    </w:p>
    <w:p w14:paraId="50D10C0D" w14:textId="77777777" w:rsidR="00934132" w:rsidRPr="00934132" w:rsidRDefault="00934132" w:rsidP="006B21E2">
      <w:pPr>
        <w:pStyle w:val="Heading4"/>
        <w:jc w:val="both"/>
        <w:rPr>
          <w:color w:val="000000" w:themeColor="text1"/>
        </w:rPr>
      </w:pPr>
    </w:p>
    <w:p w14:paraId="78D22F93" w14:textId="502905D1" w:rsidR="004F1673" w:rsidRPr="00934132" w:rsidRDefault="00E9227A" w:rsidP="006B21E2">
      <w:pPr>
        <w:pStyle w:val="Heading4"/>
        <w:jc w:val="both"/>
        <w:rPr>
          <w:color w:val="000000" w:themeColor="text1"/>
        </w:rPr>
      </w:pPr>
      <w:r w:rsidRPr="00934132">
        <w:rPr>
          <w:color w:val="000000" w:themeColor="text1"/>
        </w:rPr>
        <w:t xml:space="preserve">8.7.1.1 </w:t>
      </w:r>
      <w:r w:rsidR="004F1673" w:rsidRPr="00934132">
        <w:rPr>
          <w:rStyle w:val="Strong"/>
          <w:b/>
          <w:bCs w:val="0"/>
          <w:color w:val="000000" w:themeColor="text1"/>
        </w:rPr>
        <w:t>Temporal Distribution of Position Duration</w:t>
      </w:r>
    </w:p>
    <w:p w14:paraId="327811EA" w14:textId="77777777" w:rsidR="004F1673" w:rsidRPr="00934132" w:rsidRDefault="004F1673" w:rsidP="006B21E2">
      <w:pPr>
        <w:pStyle w:val="whitespace-normal"/>
        <w:spacing w:before="0" w:beforeAutospacing="0" w:after="0" w:afterAutospacing="0"/>
        <w:jc w:val="both"/>
        <w:rPr>
          <w:color w:val="000000" w:themeColor="text1"/>
        </w:rPr>
      </w:pPr>
      <w:r w:rsidRPr="00934132">
        <w:rPr>
          <w:color w:val="000000" w:themeColor="text1"/>
        </w:rPr>
        <w:t>Among the 156 tracked positions, the distribution of observation periods was:</w:t>
      </w:r>
    </w:p>
    <w:p w14:paraId="43540D0F" w14:textId="77777777" w:rsidR="004F1673" w:rsidRPr="00934132" w:rsidRDefault="004F1673" w:rsidP="006B21E2">
      <w:pPr>
        <w:pStyle w:val="whitespace-normal"/>
        <w:numPr>
          <w:ilvl w:val="0"/>
          <w:numId w:val="154"/>
        </w:numPr>
        <w:spacing w:before="0" w:beforeAutospacing="0" w:after="0" w:afterAutospacing="0"/>
        <w:jc w:val="both"/>
        <w:outlineLvl w:val="9"/>
        <w:rPr>
          <w:color w:val="000000" w:themeColor="text1"/>
        </w:rPr>
      </w:pPr>
      <w:r w:rsidRPr="00934132">
        <w:rPr>
          <w:color w:val="000000" w:themeColor="text1"/>
        </w:rPr>
        <w:t>90-180 days: 87 positions (55.8%)</w:t>
      </w:r>
    </w:p>
    <w:p w14:paraId="0A85C421" w14:textId="77777777" w:rsidR="004F1673" w:rsidRPr="00934132" w:rsidRDefault="004F1673" w:rsidP="006B21E2">
      <w:pPr>
        <w:pStyle w:val="whitespace-normal"/>
        <w:numPr>
          <w:ilvl w:val="0"/>
          <w:numId w:val="154"/>
        </w:numPr>
        <w:spacing w:before="0" w:beforeAutospacing="0" w:after="0" w:afterAutospacing="0"/>
        <w:jc w:val="both"/>
        <w:outlineLvl w:val="9"/>
        <w:rPr>
          <w:color w:val="000000" w:themeColor="text1"/>
        </w:rPr>
      </w:pPr>
      <w:r w:rsidRPr="00934132">
        <w:rPr>
          <w:color w:val="000000" w:themeColor="text1"/>
        </w:rPr>
        <w:t>181-365 days: 51 positions (32.7%)</w:t>
      </w:r>
    </w:p>
    <w:p w14:paraId="48C1EAFF" w14:textId="77777777" w:rsidR="004F1673" w:rsidRPr="00934132" w:rsidRDefault="004F1673" w:rsidP="006B21E2">
      <w:pPr>
        <w:pStyle w:val="whitespace-normal"/>
        <w:numPr>
          <w:ilvl w:val="0"/>
          <w:numId w:val="154"/>
        </w:numPr>
        <w:spacing w:before="0" w:beforeAutospacing="0" w:after="0" w:afterAutospacing="0"/>
        <w:jc w:val="both"/>
        <w:outlineLvl w:val="9"/>
        <w:rPr>
          <w:color w:val="000000" w:themeColor="text1"/>
        </w:rPr>
      </w:pPr>
      <w:r w:rsidRPr="00934132">
        <w:rPr>
          <w:color w:val="000000" w:themeColor="text1"/>
        </w:rPr>
        <w:t>365+ days: 18 positions (11.5%)</w:t>
      </w:r>
    </w:p>
    <w:p w14:paraId="5EE01875" w14:textId="77777777" w:rsidR="00934132" w:rsidRPr="00934132" w:rsidRDefault="00934132" w:rsidP="006B21E2">
      <w:pPr>
        <w:pStyle w:val="whitespace-normal"/>
        <w:spacing w:before="0" w:beforeAutospacing="0" w:after="0" w:afterAutospacing="0"/>
        <w:jc w:val="both"/>
        <w:rPr>
          <w:color w:val="000000" w:themeColor="text1"/>
        </w:rPr>
      </w:pPr>
    </w:p>
    <w:p w14:paraId="52611DA4" w14:textId="7EC8227D" w:rsidR="004F1673" w:rsidRPr="00934132" w:rsidRDefault="004F1673" w:rsidP="006B21E2">
      <w:pPr>
        <w:pStyle w:val="whitespace-normal"/>
        <w:spacing w:before="0" w:beforeAutospacing="0" w:after="0" w:afterAutospacing="0"/>
        <w:jc w:val="both"/>
        <w:rPr>
          <w:color w:val="000000" w:themeColor="text1"/>
        </w:rPr>
      </w:pPr>
      <w:r w:rsidRPr="00934132">
        <w:rPr>
          <w:color w:val="000000" w:themeColor="text1"/>
        </w:rPr>
        <w:t xml:space="preserve">This distribution indicates that </w:t>
      </w:r>
      <w:proofErr w:type="gramStart"/>
      <w:r w:rsidRPr="00934132">
        <w:rPr>
          <w:color w:val="000000" w:themeColor="text1"/>
        </w:rPr>
        <w:t>the majority of</w:t>
      </w:r>
      <w:proofErr w:type="gramEnd"/>
      <w:r w:rsidRPr="00934132">
        <w:rPr>
          <w:color w:val="000000" w:themeColor="text1"/>
        </w:rPr>
        <w:t xml:space="preserve"> positions (55.8%) did not persist </w:t>
      </w:r>
      <w:proofErr w:type="gramStart"/>
      <w:r w:rsidRPr="00934132">
        <w:rPr>
          <w:color w:val="000000" w:themeColor="text1"/>
        </w:rPr>
        <w:t>beyond</w:t>
      </w:r>
      <w:proofErr w:type="gramEnd"/>
      <w:r w:rsidRPr="00934132">
        <w:rPr>
          <w:color w:val="000000" w:themeColor="text1"/>
        </w:rPr>
        <w:t xml:space="preserve"> six months. While the 90-day minimum tracking requirement (established in Section 4) means </w:t>
      </w:r>
      <w:r w:rsidR="00CA0DCC" w:rsidRPr="00934132">
        <w:rPr>
          <w:color w:val="000000" w:themeColor="text1"/>
        </w:rPr>
        <w:t xml:space="preserve">that </w:t>
      </w:r>
      <w:r w:rsidRPr="00934132">
        <w:rPr>
          <w:color w:val="000000" w:themeColor="text1"/>
        </w:rPr>
        <w:t xml:space="preserve">some positions may have been excluded </w:t>
      </w:r>
      <w:r w:rsidR="00CA0DCC" w:rsidRPr="00934132">
        <w:rPr>
          <w:color w:val="000000" w:themeColor="text1"/>
        </w:rPr>
        <w:t>because they closed</w:t>
      </w:r>
      <w:r w:rsidRPr="00934132">
        <w:rPr>
          <w:color w:val="000000" w:themeColor="text1"/>
        </w:rPr>
        <w:t xml:space="preserve"> too early, the sharp decline from 87 positions tracked under 180 days to only 18 exceeding one year suggests high attrition rates </w:t>
      </w:r>
      <w:r w:rsidR="00CA0DCC" w:rsidRPr="00934132">
        <w:rPr>
          <w:color w:val="000000" w:themeColor="text1"/>
        </w:rPr>
        <w:t>- regardless</w:t>
      </w:r>
      <w:r w:rsidRPr="00934132">
        <w:rPr>
          <w:color w:val="000000" w:themeColor="text1"/>
        </w:rPr>
        <w:t xml:space="preserve"> of methodological constraints.</w:t>
      </w:r>
    </w:p>
    <w:p w14:paraId="72BAF0B8" w14:textId="6086A3AC" w:rsidR="004F1673" w:rsidRPr="00934132" w:rsidRDefault="004F1673" w:rsidP="006B21E2">
      <w:pPr>
        <w:pStyle w:val="whitespace-normal"/>
        <w:spacing w:before="0" w:beforeAutospacing="0" w:after="0" w:afterAutospacing="0"/>
        <w:jc w:val="both"/>
        <w:rPr>
          <w:color w:val="000000" w:themeColor="text1"/>
        </w:rPr>
      </w:pPr>
      <w:r w:rsidRPr="00934132">
        <w:rPr>
          <w:color w:val="000000" w:themeColor="text1"/>
        </w:rPr>
        <w:t xml:space="preserve">The 18 positions (11.5%) tracked </w:t>
      </w:r>
      <w:proofErr w:type="gramStart"/>
      <w:r w:rsidRPr="00934132">
        <w:rPr>
          <w:color w:val="000000" w:themeColor="text1"/>
        </w:rPr>
        <w:t>beyond</w:t>
      </w:r>
      <w:proofErr w:type="gramEnd"/>
      <w:r w:rsidRPr="00934132">
        <w:rPr>
          <w:color w:val="000000" w:themeColor="text1"/>
        </w:rPr>
        <w:t xml:space="preserve"> 365 days warrant </w:t>
      </w:r>
      <w:proofErr w:type="gramStart"/>
      <w:r w:rsidR="00CA0DCC" w:rsidRPr="00934132">
        <w:rPr>
          <w:color w:val="000000" w:themeColor="text1"/>
        </w:rPr>
        <w:t>a closer</w:t>
      </w:r>
      <w:proofErr w:type="gramEnd"/>
      <w:r w:rsidRPr="00934132">
        <w:rPr>
          <w:color w:val="000000" w:themeColor="text1"/>
        </w:rPr>
        <w:t xml:space="preserve"> attention as </w:t>
      </w:r>
      <w:r w:rsidR="00CA0DCC" w:rsidRPr="00934132">
        <w:rPr>
          <w:color w:val="000000" w:themeColor="text1"/>
        </w:rPr>
        <w:t xml:space="preserve">they </w:t>
      </w:r>
      <w:r w:rsidR="006343C6" w:rsidRPr="00934132">
        <w:rPr>
          <w:color w:val="000000" w:themeColor="text1"/>
        </w:rPr>
        <w:t>are representing</w:t>
      </w:r>
      <w:r w:rsidRPr="00934132">
        <w:rPr>
          <w:color w:val="000000" w:themeColor="text1"/>
        </w:rPr>
        <w:t xml:space="preserve"> </w:t>
      </w:r>
      <w:r w:rsidR="00CA0DCC" w:rsidRPr="00934132">
        <w:rPr>
          <w:color w:val="000000" w:themeColor="text1"/>
        </w:rPr>
        <w:t xml:space="preserve">a more </w:t>
      </w:r>
      <w:r w:rsidRPr="00934132">
        <w:rPr>
          <w:color w:val="000000" w:themeColor="text1"/>
        </w:rPr>
        <w:t xml:space="preserve">sustained participation. </w:t>
      </w:r>
      <w:r w:rsidR="00CA0DCC" w:rsidRPr="00934132">
        <w:rPr>
          <w:color w:val="000000" w:themeColor="text1"/>
        </w:rPr>
        <w:t>The a</w:t>
      </w:r>
      <w:r w:rsidRPr="00934132">
        <w:rPr>
          <w:color w:val="000000" w:themeColor="text1"/>
        </w:rPr>
        <w:t xml:space="preserve">nalysis of these long-duration positions revealed distinct </w:t>
      </w:r>
      <w:proofErr w:type="gramStart"/>
      <w:r w:rsidRPr="00934132">
        <w:rPr>
          <w:color w:val="000000" w:themeColor="text1"/>
        </w:rPr>
        <w:t>characteristics</w:t>
      </w:r>
      <w:r w:rsidR="00CA0DCC" w:rsidRPr="00934132">
        <w:rPr>
          <w:color w:val="000000" w:themeColor="text1"/>
        </w:rPr>
        <w:t>,</w:t>
      </w:r>
      <w:proofErr w:type="gramEnd"/>
      <w:r w:rsidR="00CA0DCC" w:rsidRPr="00934132">
        <w:rPr>
          <w:color w:val="000000" w:themeColor="text1"/>
        </w:rPr>
        <w:t xml:space="preserve"> that</w:t>
      </w:r>
      <w:r w:rsidRPr="00934132">
        <w:rPr>
          <w:color w:val="000000" w:themeColor="text1"/>
        </w:rPr>
        <w:t xml:space="preserve"> differentiat</w:t>
      </w:r>
      <w:r w:rsidR="00CA0DCC" w:rsidRPr="00934132">
        <w:rPr>
          <w:color w:val="000000" w:themeColor="text1"/>
        </w:rPr>
        <w:t>ed</w:t>
      </w:r>
      <w:r w:rsidRPr="00934132">
        <w:rPr>
          <w:color w:val="000000" w:themeColor="text1"/>
        </w:rPr>
        <w:t xml:space="preserve"> them from </w:t>
      </w:r>
      <w:r w:rsidR="00CA0DCC" w:rsidRPr="00934132">
        <w:rPr>
          <w:color w:val="000000" w:themeColor="text1"/>
        </w:rPr>
        <w:t>the shorter positions</w:t>
      </w:r>
      <w:r w:rsidRPr="00934132">
        <w:rPr>
          <w:color w:val="000000" w:themeColor="text1"/>
        </w:rPr>
        <w:t>:</w:t>
      </w:r>
    </w:p>
    <w:p w14:paraId="535405DC" w14:textId="77777777" w:rsidR="00934132" w:rsidRPr="00934132" w:rsidRDefault="00934132" w:rsidP="006B21E2">
      <w:pPr>
        <w:pStyle w:val="whitespace-normal"/>
        <w:spacing w:before="0" w:beforeAutospacing="0" w:after="0" w:afterAutospacing="0"/>
        <w:jc w:val="both"/>
        <w:rPr>
          <w:rStyle w:val="Emphasis"/>
          <w:b/>
          <w:bCs/>
          <w:i w:val="0"/>
          <w:iCs w:val="0"/>
          <w:color w:val="000000" w:themeColor="text1"/>
        </w:rPr>
      </w:pPr>
    </w:p>
    <w:p w14:paraId="08B1C260" w14:textId="561734DE" w:rsidR="004F1673" w:rsidRPr="00934132" w:rsidRDefault="004F1673" w:rsidP="006B21E2">
      <w:pPr>
        <w:pStyle w:val="whitespace-normal"/>
        <w:spacing w:before="0" w:beforeAutospacing="0" w:after="0" w:afterAutospacing="0"/>
        <w:jc w:val="both"/>
        <w:rPr>
          <w:color w:val="000000" w:themeColor="text1"/>
        </w:rPr>
      </w:pPr>
      <w:r w:rsidRPr="00934132">
        <w:rPr>
          <w:rStyle w:val="Emphasis"/>
          <w:b/>
          <w:bCs/>
          <w:i w:val="0"/>
          <w:iCs w:val="0"/>
          <w:color w:val="000000" w:themeColor="text1"/>
        </w:rPr>
        <w:t>Capital concentration:</w:t>
      </w:r>
      <w:r w:rsidRPr="00934132">
        <w:rPr>
          <w:color w:val="000000" w:themeColor="text1"/>
        </w:rPr>
        <w:t xml:space="preserve"> Among </w:t>
      </w:r>
      <w:r w:rsidR="00CA0DCC" w:rsidRPr="00934132">
        <w:rPr>
          <w:color w:val="000000" w:themeColor="text1"/>
        </w:rPr>
        <w:t xml:space="preserve">the </w:t>
      </w:r>
      <w:r w:rsidRPr="00934132">
        <w:rPr>
          <w:color w:val="000000" w:themeColor="text1"/>
        </w:rPr>
        <w:t>365+ day positions, 14 of 18 (78%) held capital exceeding $10,000</w:t>
      </w:r>
      <w:r w:rsidR="00CA0DCC" w:rsidRPr="00934132">
        <w:rPr>
          <w:color w:val="000000" w:themeColor="text1"/>
        </w:rPr>
        <w:t>. O</w:t>
      </w:r>
      <w:r w:rsidRPr="00934132">
        <w:rPr>
          <w:color w:val="000000" w:themeColor="text1"/>
        </w:rPr>
        <w:t>nly 37% of sub-180-day positions</w:t>
      </w:r>
      <w:r w:rsidR="00CA0DCC" w:rsidRPr="00934132">
        <w:rPr>
          <w:color w:val="000000" w:themeColor="text1"/>
        </w:rPr>
        <w:t xml:space="preserve"> were</w:t>
      </w:r>
      <w:r w:rsidRPr="00934132">
        <w:rPr>
          <w:color w:val="000000" w:themeColor="text1"/>
        </w:rPr>
        <w:t xml:space="preserve"> </w:t>
      </w:r>
      <w:r w:rsidR="00CA0DCC" w:rsidRPr="00934132">
        <w:rPr>
          <w:color w:val="000000" w:themeColor="text1"/>
        </w:rPr>
        <w:t>showing</w:t>
      </w:r>
      <w:r w:rsidRPr="00934132">
        <w:rPr>
          <w:color w:val="000000" w:themeColor="text1"/>
        </w:rPr>
        <w:t xml:space="preserve"> comparable </w:t>
      </w:r>
      <w:r w:rsidR="00CA0DCC" w:rsidRPr="00934132">
        <w:rPr>
          <w:color w:val="000000" w:themeColor="text1"/>
        </w:rPr>
        <w:t>capital amounts</w:t>
      </w:r>
      <w:r w:rsidRPr="00934132">
        <w:rPr>
          <w:color w:val="000000" w:themeColor="text1"/>
        </w:rPr>
        <w:t xml:space="preserve">. This suggests </w:t>
      </w:r>
      <w:r w:rsidR="00CA0DCC" w:rsidRPr="00934132">
        <w:rPr>
          <w:color w:val="000000" w:themeColor="text1"/>
        </w:rPr>
        <w:t xml:space="preserve">that </w:t>
      </w:r>
      <w:r w:rsidRPr="00934132">
        <w:rPr>
          <w:color w:val="000000" w:themeColor="text1"/>
        </w:rPr>
        <w:t>capital adequacy strongly predicted sustainability</w:t>
      </w:r>
      <w:r w:rsidR="00CA0DCC" w:rsidRPr="00934132">
        <w:rPr>
          <w:color w:val="000000" w:themeColor="text1"/>
        </w:rPr>
        <w:t xml:space="preserve">. This is </w:t>
      </w:r>
      <w:r w:rsidRPr="00934132">
        <w:rPr>
          <w:color w:val="000000" w:themeColor="text1"/>
        </w:rPr>
        <w:t>consistent with the network viability thresholds documented in Chapter 5.</w:t>
      </w:r>
    </w:p>
    <w:p w14:paraId="77446718" w14:textId="77777777" w:rsidR="00934132" w:rsidRPr="00934132" w:rsidRDefault="00934132" w:rsidP="006B21E2">
      <w:pPr>
        <w:jc w:val="both"/>
        <w:rPr>
          <w:b/>
          <w:bCs/>
          <w:color w:val="000000" w:themeColor="text1"/>
        </w:rPr>
      </w:pPr>
    </w:p>
    <w:p w14:paraId="2DD7799D" w14:textId="5971A143" w:rsidR="004F1673" w:rsidRPr="00934132" w:rsidRDefault="004F1673" w:rsidP="006B21E2">
      <w:pPr>
        <w:jc w:val="both"/>
        <w:rPr>
          <w:color w:val="000000" w:themeColor="text1"/>
        </w:rPr>
      </w:pPr>
      <w:r w:rsidRPr="00934132">
        <w:rPr>
          <w:b/>
          <w:bCs/>
          <w:color w:val="000000" w:themeColor="text1"/>
        </w:rPr>
        <w:t>Strategy simplicity:</w:t>
      </w:r>
      <w:r w:rsidRPr="00934132">
        <w:rPr>
          <w:color w:val="000000" w:themeColor="text1"/>
        </w:rPr>
        <w:t xml:space="preserve"> Long</w:t>
      </w:r>
      <w:r w:rsidR="00CA0DCC" w:rsidRPr="00934132">
        <w:rPr>
          <w:color w:val="000000" w:themeColor="text1"/>
        </w:rPr>
        <w:t xml:space="preserve"> term </w:t>
      </w:r>
      <w:r w:rsidRPr="00934132">
        <w:rPr>
          <w:color w:val="000000" w:themeColor="text1"/>
        </w:rPr>
        <w:t>positions showed 83% concentration in stablecoin liquidity or simple correlated pairs</w:t>
      </w:r>
      <w:r w:rsidR="00CA0DCC" w:rsidRPr="00934132">
        <w:rPr>
          <w:color w:val="000000" w:themeColor="text1"/>
        </w:rPr>
        <w:t xml:space="preserve">. In comparison </w:t>
      </w:r>
      <w:r w:rsidRPr="00934132">
        <w:rPr>
          <w:color w:val="000000" w:themeColor="text1"/>
        </w:rPr>
        <w:t xml:space="preserve">31% </w:t>
      </w:r>
      <w:r w:rsidR="00CA0DCC" w:rsidRPr="00934132">
        <w:rPr>
          <w:color w:val="000000" w:themeColor="text1"/>
        </w:rPr>
        <w:t>of the</w:t>
      </w:r>
      <w:r w:rsidRPr="00934132">
        <w:rPr>
          <w:color w:val="000000" w:themeColor="text1"/>
        </w:rPr>
        <w:t xml:space="preserve"> shorter positions </w:t>
      </w:r>
      <w:proofErr w:type="gramStart"/>
      <w:r w:rsidRPr="00934132">
        <w:rPr>
          <w:color w:val="000000" w:themeColor="text1"/>
        </w:rPr>
        <w:t>attempting</w:t>
      </w:r>
      <w:proofErr w:type="gramEnd"/>
      <w:r w:rsidRPr="00934132">
        <w:rPr>
          <w:color w:val="000000" w:themeColor="text1"/>
        </w:rPr>
        <w:t xml:space="preserve"> complex strategies. The inverse relationship between strategy complexity and position longevity confirms the patterns documented in </w:t>
      </w:r>
      <w:r w:rsidR="00CA0DCC" w:rsidRPr="00934132">
        <w:rPr>
          <w:color w:val="000000" w:themeColor="text1"/>
        </w:rPr>
        <w:t xml:space="preserve">detail in </w:t>
      </w:r>
      <w:r w:rsidRPr="00934132">
        <w:rPr>
          <w:color w:val="000000" w:themeColor="text1"/>
        </w:rPr>
        <w:t>Section 8</w:t>
      </w:r>
      <w:r w:rsidR="00CA0DCC" w:rsidRPr="00934132">
        <w:rPr>
          <w:color w:val="000000" w:themeColor="text1"/>
        </w:rPr>
        <w:t>.</w:t>
      </w:r>
    </w:p>
    <w:p w14:paraId="2F613A22" w14:textId="77777777" w:rsidR="00934132" w:rsidRPr="00934132" w:rsidRDefault="00934132" w:rsidP="006B21E2">
      <w:pPr>
        <w:jc w:val="both"/>
        <w:rPr>
          <w:b/>
          <w:bCs/>
          <w:color w:val="000000" w:themeColor="text1"/>
        </w:rPr>
      </w:pPr>
    </w:p>
    <w:p w14:paraId="3E6154D3" w14:textId="666442BD" w:rsidR="004F1673" w:rsidRPr="00934132" w:rsidRDefault="004F1673" w:rsidP="006B21E2">
      <w:pPr>
        <w:jc w:val="both"/>
        <w:rPr>
          <w:color w:val="000000" w:themeColor="text1"/>
        </w:rPr>
      </w:pPr>
      <w:r w:rsidRPr="00934132">
        <w:rPr>
          <w:b/>
          <w:bCs/>
          <w:color w:val="000000" w:themeColor="text1"/>
        </w:rPr>
        <w:t>Technical execution:</w:t>
      </w:r>
      <w:r w:rsidRPr="00934132">
        <w:rPr>
          <w:color w:val="000000" w:themeColor="text1"/>
        </w:rPr>
        <w:t xml:space="preserve"> Among </w:t>
      </w:r>
      <w:r w:rsidR="00CA0DCC" w:rsidRPr="00934132">
        <w:rPr>
          <w:color w:val="000000" w:themeColor="text1"/>
        </w:rPr>
        <w:t xml:space="preserve">the </w:t>
      </w:r>
      <w:r w:rsidRPr="00934132">
        <w:rPr>
          <w:color w:val="000000" w:themeColor="text1"/>
        </w:rPr>
        <w:t>interview</w:t>
      </w:r>
      <w:r w:rsidR="00CA0DCC" w:rsidRPr="00934132">
        <w:rPr>
          <w:color w:val="000000" w:themeColor="text1"/>
        </w:rPr>
        <w:t>ed</w:t>
      </w:r>
      <w:r w:rsidRPr="00934132">
        <w:rPr>
          <w:color w:val="000000" w:themeColor="text1"/>
        </w:rPr>
        <w:t xml:space="preserve"> participants (n=27) whose positions exceeded one year, all reported establishing systematic operational procedures</w:t>
      </w:r>
      <w:r w:rsidR="00CA0DCC" w:rsidRPr="00934132">
        <w:rPr>
          <w:color w:val="000000" w:themeColor="text1"/>
        </w:rPr>
        <w:t xml:space="preserve">. These included </w:t>
      </w:r>
      <w:r w:rsidRPr="00934132">
        <w:rPr>
          <w:color w:val="000000" w:themeColor="text1"/>
        </w:rPr>
        <w:t>scheduled monitoring times, predetermined rebalancing triggers</w:t>
      </w:r>
      <w:r w:rsidR="00CA0DCC" w:rsidRPr="00934132">
        <w:rPr>
          <w:color w:val="000000" w:themeColor="text1"/>
        </w:rPr>
        <w:t xml:space="preserve"> and </w:t>
      </w:r>
      <w:r w:rsidRPr="00934132">
        <w:rPr>
          <w:color w:val="000000" w:themeColor="text1"/>
        </w:rPr>
        <w:t>automated record-keeping. In contrast, participants whose positions closed within 180 days described more ad-hoc</w:t>
      </w:r>
      <w:r w:rsidR="00CA0DCC" w:rsidRPr="00934132">
        <w:rPr>
          <w:color w:val="000000" w:themeColor="text1"/>
        </w:rPr>
        <w:t xml:space="preserve"> and </w:t>
      </w:r>
      <w:r w:rsidRPr="00934132">
        <w:rPr>
          <w:color w:val="000000" w:themeColor="text1"/>
        </w:rPr>
        <w:t>reactive management approaches.</w:t>
      </w:r>
    </w:p>
    <w:p w14:paraId="5818A6BA" w14:textId="77777777" w:rsidR="00934132" w:rsidRPr="00934132" w:rsidRDefault="00934132" w:rsidP="006B21E2">
      <w:pPr>
        <w:pStyle w:val="Heading4"/>
        <w:jc w:val="both"/>
        <w:rPr>
          <w:color w:val="000000" w:themeColor="text1"/>
        </w:rPr>
      </w:pPr>
    </w:p>
    <w:p w14:paraId="370005DC" w14:textId="3FFFEC4A" w:rsidR="004F1673" w:rsidRPr="00934132" w:rsidRDefault="00E9227A" w:rsidP="006B21E2">
      <w:pPr>
        <w:pStyle w:val="Heading4"/>
        <w:jc w:val="both"/>
        <w:rPr>
          <w:color w:val="000000" w:themeColor="text1"/>
        </w:rPr>
      </w:pPr>
      <w:r w:rsidRPr="00934132">
        <w:rPr>
          <w:color w:val="000000" w:themeColor="text1"/>
        </w:rPr>
        <w:t xml:space="preserve">8.7.1.2 </w:t>
      </w:r>
      <w:r w:rsidR="004F1673" w:rsidRPr="00934132">
        <w:rPr>
          <w:color w:val="000000" w:themeColor="text1"/>
        </w:rPr>
        <w:t>The Relationship Between Duration and Returns</w:t>
      </w:r>
    </w:p>
    <w:p w14:paraId="16ED8F48" w14:textId="6FFDF23B" w:rsidR="004F1673" w:rsidRPr="00934132" w:rsidRDefault="004F1673" w:rsidP="006B21E2">
      <w:pPr>
        <w:jc w:val="both"/>
        <w:rPr>
          <w:color w:val="000000" w:themeColor="text1"/>
        </w:rPr>
      </w:pPr>
      <w:r w:rsidRPr="00934132">
        <w:rPr>
          <w:color w:val="000000" w:themeColor="text1"/>
        </w:rPr>
        <w:t>Analyzing returns</w:t>
      </w:r>
      <w:r w:rsidR="006C6DAF" w:rsidRPr="00934132">
        <w:rPr>
          <w:color w:val="000000" w:themeColor="text1"/>
        </w:rPr>
        <w:t>, which are</w:t>
      </w:r>
      <w:r w:rsidRPr="00934132">
        <w:rPr>
          <w:color w:val="000000" w:themeColor="text1"/>
        </w:rPr>
        <w:t xml:space="preserve"> conditional on position duration </w:t>
      </w:r>
      <w:r w:rsidR="006C6DAF" w:rsidRPr="00934132">
        <w:rPr>
          <w:color w:val="000000" w:themeColor="text1"/>
        </w:rPr>
        <w:t>indicates</w:t>
      </w:r>
      <w:r w:rsidRPr="00934132">
        <w:rPr>
          <w:color w:val="000000" w:themeColor="text1"/>
        </w:rPr>
        <w:t xml:space="preserve"> non-linear patterns </w:t>
      </w:r>
      <w:r w:rsidR="006C6DAF" w:rsidRPr="00934132">
        <w:rPr>
          <w:color w:val="000000" w:themeColor="text1"/>
        </w:rPr>
        <w:t>that are challenging the</w:t>
      </w:r>
      <w:r w:rsidRPr="00934132">
        <w:rPr>
          <w:color w:val="000000" w:themeColor="text1"/>
        </w:rPr>
        <w:t xml:space="preserve"> assumptions that longer duration indicates success. Among the positions tracked</w:t>
      </w:r>
      <w:r w:rsidR="006C6DAF" w:rsidRPr="00934132">
        <w:rPr>
          <w:color w:val="000000" w:themeColor="text1"/>
        </w:rPr>
        <w:t xml:space="preserve"> the analysis </w:t>
      </w:r>
      <w:proofErr w:type="gramStart"/>
      <w:r w:rsidR="006C6DAF" w:rsidRPr="00934132">
        <w:rPr>
          <w:color w:val="000000" w:themeColor="text1"/>
        </w:rPr>
        <w:t>is showing</w:t>
      </w:r>
      <w:proofErr w:type="gramEnd"/>
      <w:r w:rsidR="006C6DAF" w:rsidRPr="00934132">
        <w:rPr>
          <w:color w:val="000000" w:themeColor="text1"/>
        </w:rPr>
        <w:t>:</w:t>
      </w:r>
    </w:p>
    <w:p w14:paraId="28841688" w14:textId="77777777" w:rsidR="006C6DAF" w:rsidRPr="00934132" w:rsidRDefault="004F1673" w:rsidP="006B21E2">
      <w:pPr>
        <w:pStyle w:val="ListParagraph"/>
        <w:numPr>
          <w:ilvl w:val="0"/>
          <w:numId w:val="246"/>
        </w:numPr>
        <w:jc w:val="both"/>
        <w:rPr>
          <w:color w:val="000000" w:themeColor="text1"/>
        </w:rPr>
      </w:pPr>
      <w:r w:rsidRPr="00934132">
        <w:rPr>
          <w:color w:val="000000" w:themeColor="text1"/>
        </w:rPr>
        <w:t xml:space="preserve">Short duration (90-180 days): Median return of 2.1% (IQR: -3.8% to 7.4%) </w:t>
      </w:r>
    </w:p>
    <w:p w14:paraId="20E9CE10" w14:textId="77777777" w:rsidR="006C6DAF" w:rsidRPr="00934132" w:rsidRDefault="004F1673" w:rsidP="006B21E2">
      <w:pPr>
        <w:pStyle w:val="ListParagraph"/>
        <w:numPr>
          <w:ilvl w:val="0"/>
          <w:numId w:val="246"/>
        </w:numPr>
        <w:jc w:val="both"/>
        <w:rPr>
          <w:color w:val="000000" w:themeColor="text1"/>
        </w:rPr>
      </w:pPr>
      <w:r w:rsidRPr="00934132">
        <w:rPr>
          <w:color w:val="000000" w:themeColor="text1"/>
        </w:rPr>
        <w:t xml:space="preserve">Medium duration (181-365 days): Median return of 6.8% (IQR: 3.2% to 11.7%) </w:t>
      </w:r>
    </w:p>
    <w:p w14:paraId="329E8623" w14:textId="6E612C35" w:rsidR="004F1673" w:rsidRPr="00934132" w:rsidRDefault="004F1673" w:rsidP="006B21E2">
      <w:pPr>
        <w:pStyle w:val="ListParagraph"/>
        <w:numPr>
          <w:ilvl w:val="0"/>
          <w:numId w:val="246"/>
        </w:numPr>
        <w:jc w:val="both"/>
        <w:rPr>
          <w:color w:val="000000" w:themeColor="text1"/>
        </w:rPr>
      </w:pPr>
      <w:r w:rsidRPr="00934132">
        <w:rPr>
          <w:color w:val="000000" w:themeColor="text1"/>
        </w:rPr>
        <w:t>Long duration (365+ days): Median return of 9.3% (IQR: 5.9% to 14.2%)</w:t>
      </w:r>
    </w:p>
    <w:p w14:paraId="3DBEA7E0" w14:textId="77777777" w:rsidR="00934132" w:rsidRPr="00934132" w:rsidRDefault="00934132" w:rsidP="006B21E2">
      <w:pPr>
        <w:jc w:val="both"/>
        <w:rPr>
          <w:color w:val="000000" w:themeColor="text1"/>
        </w:rPr>
      </w:pPr>
    </w:p>
    <w:p w14:paraId="068CC369" w14:textId="44C1113A" w:rsidR="004F1673" w:rsidRPr="00934132" w:rsidRDefault="004F1673" w:rsidP="006B21E2">
      <w:pPr>
        <w:jc w:val="both"/>
        <w:rPr>
          <w:color w:val="000000" w:themeColor="text1"/>
        </w:rPr>
      </w:pPr>
      <w:r w:rsidRPr="00934132">
        <w:rPr>
          <w:color w:val="000000" w:themeColor="text1"/>
        </w:rPr>
        <w:t xml:space="preserve">While longer duration </w:t>
      </w:r>
      <w:proofErr w:type="gramStart"/>
      <w:r w:rsidR="006C6DAF" w:rsidRPr="00934132">
        <w:rPr>
          <w:color w:val="000000" w:themeColor="text1"/>
        </w:rPr>
        <w:t xml:space="preserve">that is </w:t>
      </w:r>
      <w:r w:rsidRPr="00934132">
        <w:rPr>
          <w:color w:val="000000" w:themeColor="text1"/>
        </w:rPr>
        <w:t>correlated</w:t>
      </w:r>
      <w:proofErr w:type="gramEnd"/>
      <w:r w:rsidRPr="00934132">
        <w:rPr>
          <w:color w:val="000000" w:themeColor="text1"/>
        </w:rPr>
        <w:t xml:space="preserve"> with higher returns (Spearman's ρ = 0.38, p &lt; 0.001), the relationship was not deterministic. Among </w:t>
      </w:r>
      <w:r w:rsidR="006C6DAF" w:rsidRPr="00934132">
        <w:rPr>
          <w:color w:val="000000" w:themeColor="text1"/>
        </w:rPr>
        <w:t xml:space="preserve">the </w:t>
      </w:r>
      <w:proofErr w:type="gramStart"/>
      <w:r w:rsidR="006C6DAF" w:rsidRPr="00934132">
        <w:rPr>
          <w:color w:val="000000" w:themeColor="text1"/>
        </w:rPr>
        <w:t xml:space="preserve">analyzed </w:t>
      </w:r>
      <w:r w:rsidRPr="00934132">
        <w:rPr>
          <w:color w:val="000000" w:themeColor="text1"/>
        </w:rPr>
        <w:t>short-duration positions</w:t>
      </w:r>
      <w:proofErr w:type="gramEnd"/>
      <w:r w:rsidRPr="00934132">
        <w:rPr>
          <w:color w:val="000000" w:themeColor="text1"/>
        </w:rPr>
        <w:t xml:space="preserve">, 23% achieved returns </w:t>
      </w:r>
      <w:r w:rsidR="006C6DAF" w:rsidRPr="00934132">
        <w:rPr>
          <w:color w:val="000000" w:themeColor="text1"/>
        </w:rPr>
        <w:t>that exceeded</w:t>
      </w:r>
      <w:r w:rsidRPr="00934132">
        <w:rPr>
          <w:color w:val="000000" w:themeColor="text1"/>
        </w:rPr>
        <w:t xml:space="preserve"> the long-duration median</w:t>
      </w:r>
      <w:r w:rsidR="006C6DAF" w:rsidRPr="00934132">
        <w:rPr>
          <w:color w:val="000000" w:themeColor="text1"/>
        </w:rPr>
        <w:t>. This</w:t>
      </w:r>
      <w:r w:rsidRPr="00934132">
        <w:rPr>
          <w:color w:val="000000" w:themeColor="text1"/>
        </w:rPr>
        <w:t xml:space="preserve"> represen</w:t>
      </w:r>
      <w:r w:rsidR="006C6DAF" w:rsidRPr="00934132">
        <w:rPr>
          <w:color w:val="000000" w:themeColor="text1"/>
        </w:rPr>
        <w:t>ts</w:t>
      </w:r>
      <w:r w:rsidRPr="00934132">
        <w:rPr>
          <w:color w:val="000000" w:themeColor="text1"/>
        </w:rPr>
        <w:t xml:space="preserve"> strategic exits after rapid gains rather than failures. Conversely, 22% of </w:t>
      </w:r>
      <w:r w:rsidR="006C6DAF" w:rsidRPr="00934132">
        <w:rPr>
          <w:color w:val="000000" w:themeColor="text1"/>
        </w:rPr>
        <w:t xml:space="preserve">the </w:t>
      </w:r>
      <w:r w:rsidRPr="00934132">
        <w:rPr>
          <w:color w:val="000000" w:themeColor="text1"/>
        </w:rPr>
        <w:t>medium-duration positions showed negative returns</w:t>
      </w:r>
      <w:r w:rsidR="006C6DAF" w:rsidRPr="00934132">
        <w:rPr>
          <w:color w:val="000000" w:themeColor="text1"/>
        </w:rPr>
        <w:t>. This</w:t>
      </w:r>
      <w:r w:rsidRPr="00934132">
        <w:rPr>
          <w:color w:val="000000" w:themeColor="text1"/>
        </w:rPr>
        <w:t xml:space="preserve"> indicat</w:t>
      </w:r>
      <w:r w:rsidR="006C6DAF" w:rsidRPr="00934132">
        <w:rPr>
          <w:color w:val="000000" w:themeColor="text1"/>
        </w:rPr>
        <w:t>es</w:t>
      </w:r>
      <w:r w:rsidRPr="00934132">
        <w:rPr>
          <w:color w:val="000000" w:themeColor="text1"/>
        </w:rPr>
        <w:t xml:space="preserve"> persistence despite losses rather than success-driven continuation.</w:t>
      </w:r>
    </w:p>
    <w:p w14:paraId="33547337" w14:textId="77777777" w:rsidR="00934132" w:rsidRPr="00934132" w:rsidRDefault="00934132" w:rsidP="006B21E2">
      <w:pPr>
        <w:jc w:val="both"/>
        <w:rPr>
          <w:color w:val="000000" w:themeColor="text1"/>
        </w:rPr>
      </w:pPr>
    </w:p>
    <w:p w14:paraId="61314CB0" w14:textId="43F3EE0D" w:rsidR="004F1673" w:rsidRPr="00934132" w:rsidRDefault="004F1673" w:rsidP="006B21E2">
      <w:pPr>
        <w:jc w:val="both"/>
        <w:rPr>
          <w:color w:val="000000" w:themeColor="text1"/>
        </w:rPr>
      </w:pPr>
      <w:r w:rsidRPr="00934132">
        <w:rPr>
          <w:color w:val="000000" w:themeColor="text1"/>
        </w:rPr>
        <w:t xml:space="preserve">This finding complicates </w:t>
      </w:r>
      <w:r w:rsidR="006C6DAF" w:rsidRPr="00934132">
        <w:rPr>
          <w:color w:val="000000" w:themeColor="text1"/>
        </w:rPr>
        <w:t xml:space="preserve">the </w:t>
      </w:r>
      <w:r w:rsidRPr="00934132">
        <w:rPr>
          <w:color w:val="000000" w:themeColor="text1"/>
        </w:rPr>
        <w:t xml:space="preserve">narratives equating persistence with success or early exit with failure. Some participants </w:t>
      </w:r>
      <w:proofErr w:type="gramStart"/>
      <w:r w:rsidRPr="00934132">
        <w:rPr>
          <w:color w:val="000000" w:themeColor="text1"/>
        </w:rPr>
        <w:t>exited</w:t>
      </w:r>
      <w:proofErr w:type="gramEnd"/>
      <w:r w:rsidRPr="00934132">
        <w:rPr>
          <w:color w:val="000000" w:themeColor="text1"/>
        </w:rPr>
        <w:t xml:space="preserve"> after achieving target returns within months, while others persisted with losing positions due to sunk cost</w:t>
      </w:r>
      <w:r w:rsidR="006C6DAF" w:rsidRPr="00934132">
        <w:rPr>
          <w:color w:val="000000" w:themeColor="text1"/>
        </w:rPr>
        <w:t>, while</w:t>
      </w:r>
      <w:r w:rsidRPr="00934132">
        <w:rPr>
          <w:color w:val="000000" w:themeColor="text1"/>
        </w:rPr>
        <w:t xml:space="preserve"> hop</w:t>
      </w:r>
      <w:r w:rsidR="006C6DAF" w:rsidRPr="00934132">
        <w:rPr>
          <w:color w:val="000000" w:themeColor="text1"/>
        </w:rPr>
        <w:t>ing</w:t>
      </w:r>
      <w:r w:rsidRPr="00934132">
        <w:rPr>
          <w:color w:val="000000" w:themeColor="text1"/>
        </w:rPr>
        <w:t xml:space="preserve"> </w:t>
      </w:r>
      <w:r w:rsidR="006C6DAF" w:rsidRPr="00934132">
        <w:rPr>
          <w:color w:val="000000" w:themeColor="text1"/>
        </w:rPr>
        <w:t xml:space="preserve">for </w:t>
      </w:r>
      <w:r w:rsidRPr="00934132">
        <w:rPr>
          <w:color w:val="000000" w:themeColor="text1"/>
        </w:rPr>
        <w:t>recovery, or inability to accept losses</w:t>
      </w:r>
      <w:r w:rsidR="006C6DAF" w:rsidRPr="00934132">
        <w:rPr>
          <w:color w:val="000000" w:themeColor="text1"/>
        </w:rPr>
        <w:t xml:space="preserve">. These </w:t>
      </w:r>
      <w:r w:rsidRPr="00934132">
        <w:rPr>
          <w:color w:val="000000" w:themeColor="text1"/>
        </w:rPr>
        <w:t xml:space="preserve">patterns </w:t>
      </w:r>
      <w:r w:rsidR="006C6DAF" w:rsidRPr="00934132">
        <w:rPr>
          <w:color w:val="000000" w:themeColor="text1"/>
        </w:rPr>
        <w:t xml:space="preserve">were also </w:t>
      </w:r>
      <w:r w:rsidRPr="00934132">
        <w:rPr>
          <w:color w:val="000000" w:themeColor="text1"/>
        </w:rPr>
        <w:t>documented in behavioral finance literature (Kahneman &amp; Tversky, 1979).</w:t>
      </w:r>
    </w:p>
    <w:p w14:paraId="660C64B7" w14:textId="77777777" w:rsidR="00934132" w:rsidRPr="00934132" w:rsidRDefault="00934132" w:rsidP="006B21E2">
      <w:pPr>
        <w:pStyle w:val="Heading4"/>
        <w:jc w:val="both"/>
        <w:rPr>
          <w:color w:val="000000" w:themeColor="text1"/>
        </w:rPr>
      </w:pPr>
    </w:p>
    <w:p w14:paraId="338462C7" w14:textId="18468FEE" w:rsidR="00486D8B" w:rsidRPr="00934132" w:rsidRDefault="00E9227A" w:rsidP="006B21E2">
      <w:pPr>
        <w:pStyle w:val="Heading4"/>
        <w:jc w:val="both"/>
        <w:rPr>
          <w:color w:val="000000" w:themeColor="text1"/>
        </w:rPr>
      </w:pPr>
      <w:r w:rsidRPr="00934132">
        <w:rPr>
          <w:color w:val="000000" w:themeColor="text1"/>
        </w:rPr>
        <w:t xml:space="preserve">8.7.1.3 </w:t>
      </w:r>
      <w:r w:rsidR="00486D8B" w:rsidRPr="00934132">
        <w:rPr>
          <w:color w:val="000000" w:themeColor="text1"/>
        </w:rPr>
        <w:t>Protocol-Level Incidents and Forced Exits</w:t>
      </w:r>
    </w:p>
    <w:p w14:paraId="78CE4395" w14:textId="026A4635" w:rsidR="00486D8B" w:rsidRPr="00934132" w:rsidRDefault="00DF5FF2" w:rsidP="006B21E2">
      <w:pPr>
        <w:jc w:val="both"/>
        <w:rPr>
          <w:color w:val="000000" w:themeColor="text1"/>
        </w:rPr>
      </w:pPr>
      <w:r w:rsidRPr="00934132">
        <w:rPr>
          <w:color w:val="000000" w:themeColor="text1"/>
        </w:rPr>
        <w:t>In the previous risk sections, it was</w:t>
      </w:r>
      <w:r w:rsidR="00486D8B" w:rsidRPr="00934132">
        <w:rPr>
          <w:color w:val="000000" w:themeColor="text1"/>
        </w:rPr>
        <w:t xml:space="preserve"> documented that 19 of 156 positions (12.2%) experienced protocol-level incidents</w:t>
      </w:r>
      <w:r w:rsidRPr="00934132">
        <w:rPr>
          <w:color w:val="000000" w:themeColor="text1"/>
        </w:rPr>
        <w:t>, which</w:t>
      </w:r>
      <w:r w:rsidR="00486D8B" w:rsidRPr="00934132">
        <w:rPr>
          <w:color w:val="000000" w:themeColor="text1"/>
        </w:rPr>
        <w:t xml:space="preserve"> caus</w:t>
      </w:r>
      <w:r w:rsidRPr="00934132">
        <w:rPr>
          <w:color w:val="000000" w:themeColor="text1"/>
        </w:rPr>
        <w:t>ed</w:t>
      </w:r>
      <w:r w:rsidR="00486D8B" w:rsidRPr="00934132">
        <w:rPr>
          <w:color w:val="000000" w:themeColor="text1"/>
        </w:rPr>
        <w:t xml:space="preserve"> principal losses averaging 67% of position value. These incidents forced exits</w:t>
      </w:r>
      <w:r w:rsidRPr="00934132">
        <w:rPr>
          <w:color w:val="000000" w:themeColor="text1"/>
        </w:rPr>
        <w:t>,</w:t>
      </w:r>
      <w:r w:rsidR="00486D8B" w:rsidRPr="00934132">
        <w:rPr>
          <w:color w:val="000000" w:themeColor="text1"/>
        </w:rPr>
        <w:t xml:space="preserve"> regardless of </w:t>
      </w:r>
      <w:r w:rsidRPr="00934132">
        <w:rPr>
          <w:color w:val="000000" w:themeColor="text1"/>
        </w:rPr>
        <w:t xml:space="preserve">the </w:t>
      </w:r>
      <w:r w:rsidR="00486D8B" w:rsidRPr="00934132">
        <w:rPr>
          <w:color w:val="000000" w:themeColor="text1"/>
        </w:rPr>
        <w:t>participant intentions or strategy.</w:t>
      </w:r>
    </w:p>
    <w:p w14:paraId="6173B8C3" w14:textId="77777777" w:rsidR="006343C6" w:rsidRDefault="006343C6" w:rsidP="006B21E2">
      <w:pPr>
        <w:jc w:val="both"/>
        <w:rPr>
          <w:color w:val="000000" w:themeColor="text1"/>
        </w:rPr>
      </w:pPr>
    </w:p>
    <w:p w14:paraId="1C039C6C" w14:textId="11D98944" w:rsidR="00486D8B" w:rsidRPr="00934132" w:rsidRDefault="00486D8B" w:rsidP="006B21E2">
      <w:pPr>
        <w:jc w:val="both"/>
        <w:rPr>
          <w:color w:val="000000" w:themeColor="text1"/>
        </w:rPr>
      </w:pPr>
      <w:r w:rsidRPr="00934132">
        <w:rPr>
          <w:color w:val="000000" w:themeColor="text1"/>
        </w:rPr>
        <w:t>Examining the timing of these incidents reveals clustering patterns:</w:t>
      </w:r>
    </w:p>
    <w:p w14:paraId="5194A749" w14:textId="77777777" w:rsidR="00486D8B" w:rsidRPr="00934132" w:rsidRDefault="00486D8B" w:rsidP="006B21E2">
      <w:pPr>
        <w:numPr>
          <w:ilvl w:val="0"/>
          <w:numId w:val="155"/>
        </w:numPr>
        <w:jc w:val="both"/>
        <w:rPr>
          <w:color w:val="000000" w:themeColor="text1"/>
        </w:rPr>
      </w:pPr>
      <w:r w:rsidRPr="00934132">
        <w:rPr>
          <w:color w:val="000000" w:themeColor="text1"/>
        </w:rPr>
        <w:t>11 incidents (58%) occurred within the first six months of position initiation</w:t>
      </w:r>
    </w:p>
    <w:p w14:paraId="4EE2835F" w14:textId="77777777" w:rsidR="00486D8B" w:rsidRPr="00934132" w:rsidRDefault="00486D8B" w:rsidP="006B21E2">
      <w:pPr>
        <w:numPr>
          <w:ilvl w:val="0"/>
          <w:numId w:val="155"/>
        </w:numPr>
        <w:jc w:val="both"/>
        <w:rPr>
          <w:color w:val="000000" w:themeColor="text1"/>
        </w:rPr>
      </w:pPr>
      <w:r w:rsidRPr="00934132">
        <w:rPr>
          <w:color w:val="000000" w:themeColor="text1"/>
        </w:rPr>
        <w:t>6 incidents (32%) occurred between months 6-12</w:t>
      </w:r>
    </w:p>
    <w:p w14:paraId="62D6A3E8" w14:textId="77777777" w:rsidR="00486D8B" w:rsidRPr="00934132" w:rsidRDefault="00486D8B" w:rsidP="006B21E2">
      <w:pPr>
        <w:numPr>
          <w:ilvl w:val="0"/>
          <w:numId w:val="155"/>
        </w:numPr>
        <w:jc w:val="both"/>
        <w:rPr>
          <w:color w:val="000000" w:themeColor="text1"/>
        </w:rPr>
      </w:pPr>
      <w:r w:rsidRPr="00934132">
        <w:rPr>
          <w:color w:val="000000" w:themeColor="text1"/>
        </w:rPr>
        <w:t>2 incidents (10%) occurred after one year</w:t>
      </w:r>
    </w:p>
    <w:p w14:paraId="58EE7C72" w14:textId="77777777" w:rsidR="00934132" w:rsidRPr="00934132" w:rsidRDefault="00934132" w:rsidP="006B21E2">
      <w:pPr>
        <w:jc w:val="both"/>
        <w:rPr>
          <w:color w:val="000000" w:themeColor="text1"/>
        </w:rPr>
      </w:pPr>
    </w:p>
    <w:p w14:paraId="5F5AF7A9" w14:textId="0480B6B9" w:rsidR="00486D8B" w:rsidRDefault="00486D8B" w:rsidP="006B21E2">
      <w:pPr>
        <w:jc w:val="both"/>
        <w:rPr>
          <w:color w:val="000000" w:themeColor="text1"/>
        </w:rPr>
      </w:pPr>
      <w:r w:rsidRPr="00934132">
        <w:rPr>
          <w:color w:val="000000" w:themeColor="text1"/>
        </w:rPr>
        <w:t xml:space="preserve">The concentration of incidents in </w:t>
      </w:r>
      <w:proofErr w:type="gramStart"/>
      <w:r w:rsidRPr="00934132">
        <w:rPr>
          <w:color w:val="000000" w:themeColor="text1"/>
        </w:rPr>
        <w:t>early position</w:t>
      </w:r>
      <w:proofErr w:type="gramEnd"/>
      <w:r w:rsidRPr="00934132">
        <w:rPr>
          <w:color w:val="000000" w:themeColor="text1"/>
        </w:rPr>
        <w:t xml:space="preserve"> lifespans suggests two interpretations. First, newer protocols carried higher exploit risk</w:t>
      </w:r>
      <w:r w:rsidR="00DF5FF2" w:rsidRPr="00934132">
        <w:rPr>
          <w:color w:val="000000" w:themeColor="text1"/>
        </w:rPr>
        <w:t>. A</w:t>
      </w:r>
      <w:r w:rsidRPr="00934132">
        <w:rPr>
          <w:color w:val="000000" w:themeColor="text1"/>
        </w:rPr>
        <w:t xml:space="preserve">nd participants initiating positions in </w:t>
      </w:r>
      <w:proofErr w:type="gramStart"/>
      <w:r w:rsidRPr="00934132">
        <w:rPr>
          <w:color w:val="000000" w:themeColor="text1"/>
        </w:rPr>
        <w:t>recently-launched</w:t>
      </w:r>
      <w:proofErr w:type="gramEnd"/>
      <w:r w:rsidRPr="00934132">
        <w:rPr>
          <w:color w:val="000000" w:themeColor="text1"/>
        </w:rPr>
        <w:t xml:space="preserve"> </w:t>
      </w:r>
      <w:r w:rsidRPr="00934132">
        <w:rPr>
          <w:color w:val="000000" w:themeColor="text1"/>
        </w:rPr>
        <w:lastRenderedPageBreak/>
        <w:t xml:space="preserve">protocols faced elevated incident probability. Among the 11 early incidents, 9 involved protocols </w:t>
      </w:r>
      <w:r w:rsidR="00DF5FF2" w:rsidRPr="00934132">
        <w:rPr>
          <w:color w:val="000000" w:themeColor="text1"/>
        </w:rPr>
        <w:t xml:space="preserve">that were </w:t>
      </w:r>
      <w:r w:rsidRPr="00934132">
        <w:rPr>
          <w:color w:val="000000" w:themeColor="text1"/>
        </w:rPr>
        <w:t>less than one year old at the time of the exploit.</w:t>
      </w:r>
    </w:p>
    <w:p w14:paraId="222F7649" w14:textId="77777777" w:rsidR="006343C6" w:rsidRPr="00934132" w:rsidRDefault="006343C6" w:rsidP="006B21E2">
      <w:pPr>
        <w:jc w:val="both"/>
        <w:rPr>
          <w:color w:val="000000" w:themeColor="text1"/>
        </w:rPr>
      </w:pPr>
    </w:p>
    <w:p w14:paraId="3FDBFC51" w14:textId="483471BA" w:rsidR="00486D8B" w:rsidRPr="00934132" w:rsidRDefault="00DF5FF2" w:rsidP="006B21E2">
      <w:pPr>
        <w:jc w:val="both"/>
        <w:rPr>
          <w:color w:val="000000" w:themeColor="text1"/>
        </w:rPr>
      </w:pPr>
      <w:r w:rsidRPr="00934132">
        <w:rPr>
          <w:color w:val="000000" w:themeColor="text1"/>
        </w:rPr>
        <w:t>The s</w:t>
      </w:r>
      <w:r w:rsidR="00486D8B" w:rsidRPr="00934132">
        <w:rPr>
          <w:color w:val="000000" w:themeColor="text1"/>
        </w:rPr>
        <w:t>econd</w:t>
      </w:r>
      <w:r w:rsidRPr="00934132">
        <w:rPr>
          <w:color w:val="000000" w:themeColor="text1"/>
        </w:rPr>
        <w:t xml:space="preserve"> interpretation where</w:t>
      </w:r>
      <w:r w:rsidR="00486D8B" w:rsidRPr="00934132">
        <w:rPr>
          <w:color w:val="000000" w:themeColor="text1"/>
        </w:rPr>
        <w:t xml:space="preserve"> survivorship bias may operate</w:t>
      </w:r>
      <w:r w:rsidRPr="00934132">
        <w:rPr>
          <w:color w:val="000000" w:themeColor="text1"/>
        </w:rPr>
        <w:t xml:space="preserve"> shows </w:t>
      </w:r>
      <w:r w:rsidR="00486D8B" w:rsidRPr="00934132">
        <w:rPr>
          <w:color w:val="000000" w:themeColor="text1"/>
        </w:rPr>
        <w:t xml:space="preserve">positions </w:t>
      </w:r>
      <w:r w:rsidRPr="00934132">
        <w:rPr>
          <w:color w:val="000000" w:themeColor="text1"/>
        </w:rPr>
        <w:t xml:space="preserve">that </w:t>
      </w:r>
      <w:r w:rsidR="00486D8B" w:rsidRPr="00934132">
        <w:rPr>
          <w:color w:val="000000" w:themeColor="text1"/>
        </w:rPr>
        <w:t>surviv</w:t>
      </w:r>
      <w:r w:rsidRPr="00934132">
        <w:rPr>
          <w:color w:val="000000" w:themeColor="text1"/>
        </w:rPr>
        <w:t>ed</w:t>
      </w:r>
      <w:r w:rsidR="00486D8B" w:rsidRPr="00934132">
        <w:rPr>
          <w:color w:val="000000" w:themeColor="text1"/>
        </w:rPr>
        <w:t xml:space="preserve"> initial high-risk periods</w:t>
      </w:r>
      <w:r w:rsidRPr="00934132">
        <w:rPr>
          <w:color w:val="000000" w:themeColor="text1"/>
        </w:rPr>
        <w:t>. This</w:t>
      </w:r>
      <w:r w:rsidR="00486D8B" w:rsidRPr="00934132">
        <w:rPr>
          <w:color w:val="000000" w:themeColor="text1"/>
        </w:rPr>
        <w:t xml:space="preserve"> demonstrate</w:t>
      </w:r>
      <w:r w:rsidRPr="00934132">
        <w:rPr>
          <w:color w:val="000000" w:themeColor="text1"/>
        </w:rPr>
        <w:t xml:space="preserve">s </w:t>
      </w:r>
      <w:proofErr w:type="gramStart"/>
      <w:r w:rsidRPr="00934132">
        <w:rPr>
          <w:color w:val="000000" w:themeColor="text1"/>
        </w:rPr>
        <w:t>the</w:t>
      </w:r>
      <w:r w:rsidR="00486D8B" w:rsidRPr="00934132">
        <w:rPr>
          <w:color w:val="000000" w:themeColor="text1"/>
        </w:rPr>
        <w:t xml:space="preserve"> protocol</w:t>
      </w:r>
      <w:proofErr w:type="gramEnd"/>
      <w:r w:rsidR="00486D8B" w:rsidRPr="00934132">
        <w:rPr>
          <w:color w:val="000000" w:themeColor="text1"/>
        </w:rPr>
        <w:t xml:space="preserve"> robustness</w:t>
      </w:r>
      <w:r w:rsidRPr="00934132">
        <w:rPr>
          <w:color w:val="000000" w:themeColor="text1"/>
        </w:rPr>
        <w:t xml:space="preserve"> and</w:t>
      </w:r>
      <w:r w:rsidR="00486D8B" w:rsidRPr="00934132">
        <w:rPr>
          <w:color w:val="000000" w:themeColor="text1"/>
        </w:rPr>
        <w:t xml:space="preserve"> </w:t>
      </w:r>
      <w:proofErr w:type="gramStart"/>
      <w:r w:rsidR="00486D8B" w:rsidRPr="00934132">
        <w:rPr>
          <w:color w:val="000000" w:themeColor="text1"/>
        </w:rPr>
        <w:t>reducing</w:t>
      </w:r>
      <w:proofErr w:type="gramEnd"/>
      <w:r w:rsidR="00486D8B" w:rsidRPr="00934132">
        <w:rPr>
          <w:color w:val="000000" w:themeColor="text1"/>
        </w:rPr>
        <w:t xml:space="preserve"> subsequent incident probability. The declining hazard rate (58% → 32</w:t>
      </w:r>
      <w:proofErr w:type="gramStart"/>
      <w:r w:rsidR="00486D8B" w:rsidRPr="00934132">
        <w:rPr>
          <w:color w:val="000000" w:themeColor="text1"/>
        </w:rPr>
        <w:t>% → 10</w:t>
      </w:r>
      <w:proofErr w:type="gramEnd"/>
      <w:r w:rsidR="00486D8B" w:rsidRPr="00934132">
        <w:rPr>
          <w:color w:val="000000" w:themeColor="text1"/>
        </w:rPr>
        <w:t>%) supports this interpretation</w:t>
      </w:r>
      <w:r w:rsidRPr="00934132">
        <w:rPr>
          <w:color w:val="000000" w:themeColor="text1"/>
        </w:rPr>
        <w:t>. However</w:t>
      </w:r>
      <w:r w:rsidR="00486D8B" w:rsidRPr="00934132">
        <w:rPr>
          <w:color w:val="000000" w:themeColor="text1"/>
        </w:rPr>
        <w:t>, the small sample size (n=19 incidents) limits statistical confidence.</w:t>
      </w:r>
    </w:p>
    <w:p w14:paraId="11DE4D42" w14:textId="77777777" w:rsidR="00934132" w:rsidRPr="00934132" w:rsidRDefault="00934132" w:rsidP="006B21E2">
      <w:pPr>
        <w:pStyle w:val="Heading4"/>
        <w:jc w:val="both"/>
        <w:rPr>
          <w:color w:val="000000" w:themeColor="text1"/>
        </w:rPr>
      </w:pPr>
    </w:p>
    <w:p w14:paraId="756B74CE" w14:textId="57F5F5AA" w:rsidR="00486D8B" w:rsidRPr="00934132" w:rsidRDefault="00E9227A" w:rsidP="006B21E2">
      <w:pPr>
        <w:pStyle w:val="Heading4"/>
        <w:jc w:val="both"/>
        <w:rPr>
          <w:color w:val="000000" w:themeColor="text1"/>
        </w:rPr>
      </w:pPr>
      <w:r w:rsidRPr="00934132">
        <w:rPr>
          <w:color w:val="000000" w:themeColor="text1"/>
        </w:rPr>
        <w:t xml:space="preserve">8.7.1.4 </w:t>
      </w:r>
      <w:r w:rsidR="00486D8B" w:rsidRPr="00934132">
        <w:rPr>
          <w:color w:val="000000" w:themeColor="text1"/>
        </w:rPr>
        <w:t>Interview Evidence on Position Abandonment</w:t>
      </w:r>
    </w:p>
    <w:p w14:paraId="366D0AAF" w14:textId="56BA2F07" w:rsidR="00486D8B" w:rsidRDefault="00486D8B" w:rsidP="006B21E2">
      <w:pPr>
        <w:jc w:val="both"/>
        <w:rPr>
          <w:color w:val="000000" w:themeColor="text1"/>
        </w:rPr>
      </w:pPr>
      <w:r w:rsidRPr="00934132">
        <w:rPr>
          <w:color w:val="000000" w:themeColor="text1"/>
        </w:rPr>
        <w:t xml:space="preserve">Among the 27 interview participants, 16 (59%) had closed positions before the interview, while 11 (41%) maintained active positions. The closed-position participants provided insights into abandonment </w:t>
      </w:r>
      <w:r w:rsidR="003A5485" w:rsidRPr="00934132">
        <w:rPr>
          <w:color w:val="000000" w:themeColor="text1"/>
        </w:rPr>
        <w:t>reasons, which were</w:t>
      </w:r>
      <w:r w:rsidRPr="00934132">
        <w:rPr>
          <w:color w:val="000000" w:themeColor="text1"/>
        </w:rPr>
        <w:t xml:space="preserve"> not captured in quantitative data.</w:t>
      </w:r>
      <w:r w:rsidR="003A5485" w:rsidRPr="00934132">
        <w:rPr>
          <w:color w:val="000000" w:themeColor="text1"/>
        </w:rPr>
        <w:t xml:space="preserve"> The following data emerged from these interviews:</w:t>
      </w:r>
    </w:p>
    <w:p w14:paraId="74B3728B" w14:textId="77777777" w:rsidR="006343C6" w:rsidRPr="00934132" w:rsidRDefault="006343C6" w:rsidP="006B21E2">
      <w:pPr>
        <w:jc w:val="both"/>
        <w:rPr>
          <w:color w:val="000000" w:themeColor="text1"/>
        </w:rPr>
      </w:pPr>
    </w:p>
    <w:p w14:paraId="103F9B31" w14:textId="0F99AE10" w:rsidR="00486D8B" w:rsidRPr="00934132" w:rsidRDefault="00486D8B" w:rsidP="006B21E2">
      <w:pPr>
        <w:jc w:val="both"/>
        <w:rPr>
          <w:color w:val="000000" w:themeColor="text1"/>
        </w:rPr>
      </w:pPr>
      <w:r w:rsidRPr="00934132">
        <w:rPr>
          <w:b/>
          <w:bCs/>
          <w:color w:val="000000" w:themeColor="text1"/>
        </w:rPr>
        <w:t>Time burden</w:t>
      </w:r>
      <w:r w:rsidRPr="00934132">
        <w:rPr>
          <w:i/>
          <w:iCs/>
          <w:color w:val="000000" w:themeColor="text1"/>
        </w:rPr>
        <w:t>:</w:t>
      </w:r>
      <w:r w:rsidRPr="00934132">
        <w:rPr>
          <w:color w:val="000000" w:themeColor="text1"/>
        </w:rPr>
        <w:t xml:space="preserve"> Eight participants (50% of closed positions) cited time requirements exceeding </w:t>
      </w:r>
      <w:r w:rsidR="003A5485" w:rsidRPr="00934132">
        <w:rPr>
          <w:color w:val="000000" w:themeColor="text1"/>
        </w:rPr>
        <w:t xml:space="preserve">the </w:t>
      </w:r>
      <w:r w:rsidRPr="00934132">
        <w:rPr>
          <w:color w:val="000000" w:themeColor="text1"/>
        </w:rPr>
        <w:t>initial expectations</w:t>
      </w:r>
      <w:r w:rsidR="003A5485" w:rsidRPr="00934132">
        <w:rPr>
          <w:color w:val="000000" w:themeColor="text1"/>
        </w:rPr>
        <w:t>. That was the</w:t>
      </w:r>
      <w:r w:rsidRPr="00934132">
        <w:rPr>
          <w:color w:val="000000" w:themeColor="text1"/>
        </w:rPr>
        <w:t xml:space="preserve"> primary </w:t>
      </w:r>
      <w:proofErr w:type="gramStart"/>
      <w:r w:rsidRPr="00934132">
        <w:rPr>
          <w:color w:val="000000" w:themeColor="text1"/>
        </w:rPr>
        <w:t>closure reasons</w:t>
      </w:r>
      <w:proofErr w:type="gramEnd"/>
      <w:r w:rsidRPr="00934132">
        <w:rPr>
          <w:color w:val="000000" w:themeColor="text1"/>
        </w:rPr>
        <w:t xml:space="preserve">. One participant stated, "I thought I could check it once a week. After three months of daily monitoring to avoid going out of range, I realized this wasn't passive income—it was a part-time job I didn't want." This aligns with </w:t>
      </w:r>
      <w:r w:rsidR="003A5485" w:rsidRPr="00934132">
        <w:rPr>
          <w:color w:val="000000" w:themeColor="text1"/>
        </w:rPr>
        <w:t xml:space="preserve">the previous </w:t>
      </w:r>
      <w:proofErr w:type="gramStart"/>
      <w:r w:rsidR="003A5485" w:rsidRPr="00934132">
        <w:rPr>
          <w:color w:val="000000" w:themeColor="text1"/>
        </w:rPr>
        <w:t>sections</w:t>
      </w:r>
      <w:proofErr w:type="gramEnd"/>
      <w:r w:rsidRPr="00934132">
        <w:rPr>
          <w:color w:val="000000" w:themeColor="text1"/>
        </w:rPr>
        <w:t xml:space="preserve"> documentation of</w:t>
      </w:r>
      <w:r w:rsidR="003A5485" w:rsidRPr="00934132">
        <w:rPr>
          <w:color w:val="000000" w:themeColor="text1"/>
        </w:rPr>
        <w:t xml:space="preserve"> needing</w:t>
      </w:r>
      <w:r w:rsidRPr="00934132">
        <w:rPr>
          <w:color w:val="000000" w:themeColor="text1"/>
        </w:rPr>
        <w:t xml:space="preserve"> </w:t>
      </w:r>
      <w:proofErr w:type="gramStart"/>
      <w:r w:rsidRPr="00934132">
        <w:rPr>
          <w:color w:val="000000" w:themeColor="text1"/>
        </w:rPr>
        <w:t>15-20 hour</w:t>
      </w:r>
      <w:proofErr w:type="gramEnd"/>
      <w:r w:rsidRPr="00934132">
        <w:rPr>
          <w:color w:val="000000" w:themeColor="text1"/>
        </w:rPr>
        <w:t xml:space="preserve"> weekly</w:t>
      </w:r>
      <w:r w:rsidR="003A5485" w:rsidRPr="00934132">
        <w:rPr>
          <w:color w:val="000000" w:themeColor="text1"/>
        </w:rPr>
        <w:t xml:space="preserve">. That also aligns with the </w:t>
      </w:r>
      <w:r w:rsidRPr="00934132">
        <w:rPr>
          <w:color w:val="000000" w:themeColor="text1"/>
        </w:rPr>
        <w:t>contradicting "passive income" expectations.</w:t>
      </w:r>
    </w:p>
    <w:p w14:paraId="56C829BC" w14:textId="77777777" w:rsidR="00934132" w:rsidRPr="00934132" w:rsidRDefault="00934132" w:rsidP="006B21E2">
      <w:pPr>
        <w:jc w:val="both"/>
        <w:rPr>
          <w:color w:val="000000" w:themeColor="text1"/>
        </w:rPr>
      </w:pPr>
    </w:p>
    <w:p w14:paraId="347974A7" w14:textId="0030C460" w:rsidR="00486D8B" w:rsidRPr="00934132" w:rsidRDefault="00486D8B" w:rsidP="006B21E2">
      <w:pPr>
        <w:jc w:val="both"/>
        <w:rPr>
          <w:color w:val="000000" w:themeColor="text1"/>
        </w:rPr>
      </w:pPr>
      <w:r w:rsidRPr="00934132">
        <w:rPr>
          <w:b/>
          <w:bCs/>
          <w:color w:val="000000" w:themeColor="text1"/>
        </w:rPr>
        <w:t>Cost:</w:t>
      </w:r>
      <w:r w:rsidRPr="00934132">
        <w:rPr>
          <w:color w:val="000000" w:themeColor="text1"/>
        </w:rPr>
        <w:t xml:space="preserve"> Five participants (31%) reported closing positions after recognizing </w:t>
      </w:r>
      <w:r w:rsidR="003A5485" w:rsidRPr="00934132">
        <w:rPr>
          <w:color w:val="000000" w:themeColor="text1"/>
        </w:rPr>
        <w:t>that all associated</w:t>
      </w:r>
      <w:r w:rsidRPr="00934132">
        <w:rPr>
          <w:color w:val="000000" w:themeColor="text1"/>
        </w:rPr>
        <w:t xml:space="preserve"> costs exceeding</w:t>
      </w:r>
      <w:r w:rsidR="003A5485" w:rsidRPr="00934132">
        <w:rPr>
          <w:color w:val="000000" w:themeColor="text1"/>
        </w:rPr>
        <w:t xml:space="preserve"> the</w:t>
      </w:r>
      <w:r w:rsidRPr="00934132">
        <w:rPr>
          <w:color w:val="000000" w:themeColor="text1"/>
        </w:rPr>
        <w:t xml:space="preserve"> returns. </w:t>
      </w:r>
      <w:r w:rsidR="003A5485" w:rsidRPr="00934132">
        <w:rPr>
          <w:color w:val="000000" w:themeColor="text1"/>
        </w:rPr>
        <w:t>One interviewee explained</w:t>
      </w:r>
      <w:r w:rsidRPr="00934132">
        <w:rPr>
          <w:color w:val="000000" w:themeColor="text1"/>
        </w:rPr>
        <w:t xml:space="preserve">, "Every month I was profitable on paper, but when I added up all the gas fees, failed transactions, and my time at even $20/hour, I was deep in the red." This </w:t>
      </w:r>
      <w:r w:rsidR="003A5485" w:rsidRPr="00934132">
        <w:rPr>
          <w:color w:val="000000" w:themeColor="text1"/>
        </w:rPr>
        <w:t>confirms</w:t>
      </w:r>
      <w:r w:rsidRPr="00934132">
        <w:rPr>
          <w:color w:val="000000" w:themeColor="text1"/>
        </w:rPr>
        <w:t xml:space="preserve"> </w:t>
      </w:r>
      <w:r w:rsidR="003A5485" w:rsidRPr="00934132">
        <w:rPr>
          <w:color w:val="000000" w:themeColor="text1"/>
        </w:rPr>
        <w:t>that</w:t>
      </w:r>
      <w:r w:rsidRPr="00934132">
        <w:rPr>
          <w:color w:val="000000" w:themeColor="text1"/>
        </w:rPr>
        <w:t xml:space="preserve"> </w:t>
      </w:r>
      <w:r w:rsidR="003A5485" w:rsidRPr="00934132">
        <w:rPr>
          <w:color w:val="000000" w:themeColor="text1"/>
        </w:rPr>
        <w:t xml:space="preserve">even </w:t>
      </w:r>
      <w:r w:rsidRPr="00934132">
        <w:rPr>
          <w:color w:val="000000" w:themeColor="text1"/>
        </w:rPr>
        <w:t xml:space="preserve">small </w:t>
      </w:r>
      <w:r w:rsidR="003A5485" w:rsidRPr="00934132">
        <w:rPr>
          <w:color w:val="000000" w:themeColor="text1"/>
        </w:rPr>
        <w:t xml:space="preserve">but </w:t>
      </w:r>
      <w:r w:rsidRPr="00934132">
        <w:rPr>
          <w:color w:val="000000" w:themeColor="text1"/>
        </w:rPr>
        <w:t>consistent costs erode positions below viability thresholds.</w:t>
      </w:r>
    </w:p>
    <w:p w14:paraId="5A1B2C8D" w14:textId="77777777" w:rsidR="00934132" w:rsidRPr="00934132" w:rsidRDefault="00934132" w:rsidP="006B21E2">
      <w:pPr>
        <w:jc w:val="both"/>
        <w:rPr>
          <w:color w:val="000000" w:themeColor="text1"/>
        </w:rPr>
      </w:pPr>
    </w:p>
    <w:p w14:paraId="327CEDBB" w14:textId="71F4BFEE" w:rsidR="00486D8B" w:rsidRPr="00934132" w:rsidRDefault="00486D8B" w:rsidP="006B21E2">
      <w:pPr>
        <w:jc w:val="both"/>
        <w:rPr>
          <w:color w:val="000000" w:themeColor="text1"/>
        </w:rPr>
      </w:pPr>
      <w:r w:rsidRPr="00934132">
        <w:rPr>
          <w:b/>
          <w:bCs/>
          <w:color w:val="000000" w:themeColor="text1"/>
        </w:rPr>
        <w:t>Strategy</w:t>
      </w:r>
      <w:r w:rsidR="003A5485" w:rsidRPr="00934132">
        <w:rPr>
          <w:b/>
          <w:bCs/>
          <w:color w:val="000000" w:themeColor="text1"/>
        </w:rPr>
        <w:t>:</w:t>
      </w:r>
      <w:r w:rsidR="003A5485" w:rsidRPr="00934132">
        <w:rPr>
          <w:i/>
          <w:iCs/>
          <w:color w:val="000000" w:themeColor="text1"/>
        </w:rPr>
        <w:t xml:space="preserve"> </w:t>
      </w:r>
      <w:r w:rsidRPr="00934132">
        <w:rPr>
          <w:color w:val="000000" w:themeColor="text1"/>
        </w:rPr>
        <w:t>Three participants (19%) closed positions when conditions changed</w:t>
      </w:r>
      <w:r w:rsidR="003A5485" w:rsidRPr="00934132">
        <w:rPr>
          <w:color w:val="000000" w:themeColor="text1"/>
        </w:rPr>
        <w:t xml:space="preserve">. This was done </w:t>
      </w:r>
      <w:r w:rsidR="00335B0A" w:rsidRPr="00934132">
        <w:rPr>
          <w:color w:val="000000" w:themeColor="text1"/>
        </w:rPr>
        <w:t>bec</w:t>
      </w:r>
      <w:r w:rsidR="00335B0A">
        <w:rPr>
          <w:color w:val="000000" w:themeColor="text1"/>
        </w:rPr>
        <w:t>ause</w:t>
      </w:r>
      <w:r w:rsidR="003A5485" w:rsidRPr="00934132">
        <w:rPr>
          <w:color w:val="000000" w:themeColor="text1"/>
        </w:rPr>
        <w:t xml:space="preserve"> they realized that</w:t>
      </w:r>
      <w:r w:rsidRPr="00934132">
        <w:rPr>
          <w:color w:val="000000" w:themeColor="text1"/>
        </w:rPr>
        <w:t xml:space="preserve"> </w:t>
      </w:r>
      <w:proofErr w:type="gramStart"/>
      <w:r w:rsidRPr="00934132">
        <w:rPr>
          <w:color w:val="000000" w:themeColor="text1"/>
        </w:rPr>
        <w:t>previously-viable</w:t>
      </w:r>
      <w:proofErr w:type="gramEnd"/>
      <w:r w:rsidRPr="00934132">
        <w:rPr>
          <w:color w:val="000000" w:themeColor="text1"/>
        </w:rPr>
        <w:t xml:space="preserve"> strategies </w:t>
      </w:r>
      <w:r w:rsidR="003A5485" w:rsidRPr="00934132">
        <w:rPr>
          <w:color w:val="000000" w:themeColor="text1"/>
        </w:rPr>
        <w:t xml:space="preserve">were becoming </w:t>
      </w:r>
      <w:r w:rsidRPr="00934132">
        <w:rPr>
          <w:color w:val="000000" w:themeColor="text1"/>
        </w:rPr>
        <w:t xml:space="preserve">unprofitable. Yield farming participants particularly experienced this as emissions declined and APYs compressed from 100%+ to single digits within </w:t>
      </w:r>
      <w:r w:rsidR="003A5485" w:rsidRPr="00934132">
        <w:rPr>
          <w:color w:val="000000" w:themeColor="text1"/>
        </w:rPr>
        <w:t>a short period of time.</w:t>
      </w:r>
    </w:p>
    <w:p w14:paraId="01506B92" w14:textId="77777777" w:rsidR="00934132" w:rsidRPr="00934132" w:rsidRDefault="00934132" w:rsidP="006B21E2">
      <w:pPr>
        <w:jc w:val="both"/>
        <w:rPr>
          <w:color w:val="000000" w:themeColor="text1"/>
        </w:rPr>
      </w:pPr>
    </w:p>
    <w:p w14:paraId="7DB8E836" w14:textId="53D5FE95" w:rsidR="00486D8B" w:rsidRPr="00934132" w:rsidRDefault="00486D8B" w:rsidP="006B21E2">
      <w:pPr>
        <w:jc w:val="both"/>
        <w:rPr>
          <w:color w:val="000000" w:themeColor="text1"/>
        </w:rPr>
      </w:pPr>
      <w:r w:rsidRPr="00934132">
        <w:rPr>
          <w:b/>
          <w:bCs/>
          <w:color w:val="000000" w:themeColor="text1"/>
        </w:rPr>
        <w:t>Opportunity cost:</w:t>
      </w:r>
      <w:r w:rsidRPr="00934132">
        <w:rPr>
          <w:color w:val="000000" w:themeColor="text1"/>
        </w:rPr>
        <w:t xml:space="preserve"> Four participants (25%, with overlap </w:t>
      </w:r>
      <w:proofErr w:type="gramStart"/>
      <w:r w:rsidRPr="00934132">
        <w:rPr>
          <w:color w:val="000000" w:themeColor="text1"/>
        </w:rPr>
        <w:t>to other</w:t>
      </w:r>
      <w:proofErr w:type="gramEnd"/>
      <w:r w:rsidRPr="00934132">
        <w:rPr>
          <w:color w:val="000000" w:themeColor="text1"/>
        </w:rPr>
        <w:t xml:space="preserve"> categories</w:t>
      </w:r>
      <w:r w:rsidR="003A5485" w:rsidRPr="00934132">
        <w:rPr>
          <w:color w:val="000000" w:themeColor="text1"/>
        </w:rPr>
        <w:t xml:space="preserve"> listed here</w:t>
      </w:r>
      <w:r w:rsidRPr="00934132">
        <w:rPr>
          <w:color w:val="000000" w:themeColor="text1"/>
        </w:rPr>
        <w:t>) closed positions after comparing actual returns to alternatives. One stated, "After six months averaging 6%, I realized my S&amp;P 500 index fund was doing 12% with zero work.</w:t>
      </w:r>
      <w:r w:rsidR="003A5485" w:rsidRPr="00934132">
        <w:rPr>
          <w:color w:val="000000" w:themeColor="text1"/>
        </w:rPr>
        <w:t xml:space="preserve">” </w:t>
      </w:r>
      <w:r w:rsidRPr="00934132">
        <w:rPr>
          <w:color w:val="000000" w:themeColor="text1"/>
        </w:rPr>
        <w:t>This realization often occurred only after sustained effort revealed the gap between expectations and reality.</w:t>
      </w:r>
    </w:p>
    <w:p w14:paraId="3689D04F" w14:textId="77777777" w:rsidR="00934132" w:rsidRPr="00934132" w:rsidRDefault="00934132" w:rsidP="006B21E2">
      <w:pPr>
        <w:pStyle w:val="Heading4"/>
        <w:jc w:val="both"/>
        <w:rPr>
          <w:color w:val="000000" w:themeColor="text1"/>
        </w:rPr>
      </w:pPr>
    </w:p>
    <w:p w14:paraId="39B1522F" w14:textId="29016B9B" w:rsidR="00486D8B" w:rsidRPr="00934132" w:rsidRDefault="00E9227A" w:rsidP="006B21E2">
      <w:pPr>
        <w:pStyle w:val="Heading4"/>
        <w:jc w:val="both"/>
        <w:rPr>
          <w:color w:val="000000" w:themeColor="text1"/>
        </w:rPr>
      </w:pPr>
      <w:r w:rsidRPr="00934132">
        <w:rPr>
          <w:color w:val="000000" w:themeColor="text1"/>
        </w:rPr>
        <w:t xml:space="preserve">8.7.1.5 </w:t>
      </w:r>
      <w:r w:rsidR="00486D8B" w:rsidRPr="00934132">
        <w:rPr>
          <w:color w:val="000000" w:themeColor="text1"/>
        </w:rPr>
        <w:t>The Persistence Paradox</w:t>
      </w:r>
    </w:p>
    <w:p w14:paraId="62AAA492" w14:textId="667A8315" w:rsidR="00486D8B" w:rsidRPr="00934132" w:rsidRDefault="00486D8B" w:rsidP="006B21E2">
      <w:pPr>
        <w:jc w:val="both"/>
        <w:rPr>
          <w:color w:val="000000" w:themeColor="text1"/>
        </w:rPr>
      </w:pPr>
      <w:r w:rsidRPr="00934132">
        <w:rPr>
          <w:color w:val="000000" w:themeColor="text1"/>
        </w:rPr>
        <w:t>A puzzling pattern emerged among positions track</w:t>
      </w:r>
      <w:r w:rsidR="005A07C3" w:rsidRPr="00934132">
        <w:rPr>
          <w:color w:val="000000" w:themeColor="text1"/>
        </w:rPr>
        <w:t>ing between</w:t>
      </w:r>
      <w:r w:rsidRPr="00934132">
        <w:rPr>
          <w:color w:val="000000" w:themeColor="text1"/>
        </w:rPr>
        <w:t xml:space="preserve"> 181-365 days</w:t>
      </w:r>
      <w:r w:rsidR="005A07C3" w:rsidRPr="00934132">
        <w:rPr>
          <w:color w:val="000000" w:themeColor="text1"/>
        </w:rPr>
        <w:t xml:space="preserve"> and</w:t>
      </w:r>
      <w:r w:rsidRPr="00934132">
        <w:rPr>
          <w:color w:val="000000" w:themeColor="text1"/>
        </w:rPr>
        <w:t xml:space="preserve"> show</w:t>
      </w:r>
      <w:r w:rsidR="005A07C3" w:rsidRPr="00934132">
        <w:rPr>
          <w:color w:val="000000" w:themeColor="text1"/>
        </w:rPr>
        <w:t>ed</w:t>
      </w:r>
      <w:r w:rsidRPr="00934132">
        <w:rPr>
          <w:color w:val="000000" w:themeColor="text1"/>
        </w:rPr>
        <w:t xml:space="preserve"> negative returns. Of 51 positions in this category, 18 (35%) </w:t>
      </w:r>
      <w:r w:rsidR="005A07C3" w:rsidRPr="00934132">
        <w:rPr>
          <w:color w:val="000000" w:themeColor="text1"/>
        </w:rPr>
        <w:t>showed</w:t>
      </w:r>
      <w:r w:rsidRPr="00934132">
        <w:rPr>
          <w:color w:val="000000" w:themeColor="text1"/>
        </w:rPr>
        <w:t xml:space="preserve"> cumulative negative returns </w:t>
      </w:r>
      <w:r w:rsidR="005A07C3" w:rsidRPr="00934132">
        <w:rPr>
          <w:color w:val="000000" w:themeColor="text1"/>
        </w:rPr>
        <w:t xml:space="preserve">but they </w:t>
      </w:r>
      <w:r w:rsidRPr="00934132">
        <w:rPr>
          <w:color w:val="000000" w:themeColor="text1"/>
        </w:rPr>
        <w:t xml:space="preserve">continued operating. </w:t>
      </w:r>
      <w:r w:rsidR="005A07C3" w:rsidRPr="00934132">
        <w:rPr>
          <w:color w:val="000000" w:themeColor="text1"/>
        </w:rPr>
        <w:t>The f</w:t>
      </w:r>
      <w:r w:rsidRPr="00934132">
        <w:rPr>
          <w:color w:val="000000" w:themeColor="text1"/>
        </w:rPr>
        <w:t xml:space="preserve">ollow-up interviews with 7 of these participants revealed three factors </w:t>
      </w:r>
      <w:r w:rsidR="005A07C3" w:rsidRPr="00934132">
        <w:rPr>
          <w:color w:val="000000" w:themeColor="text1"/>
        </w:rPr>
        <w:t>why they continue to</w:t>
      </w:r>
      <w:r w:rsidRPr="00934132">
        <w:rPr>
          <w:color w:val="000000" w:themeColor="text1"/>
        </w:rPr>
        <w:t xml:space="preserve"> participat</w:t>
      </w:r>
      <w:r w:rsidR="005A07C3" w:rsidRPr="00934132">
        <w:rPr>
          <w:color w:val="000000" w:themeColor="text1"/>
        </w:rPr>
        <w:t>e</w:t>
      </w:r>
      <w:r w:rsidRPr="00934132">
        <w:rPr>
          <w:color w:val="000000" w:themeColor="text1"/>
        </w:rPr>
        <w:t xml:space="preserve"> despite </w:t>
      </w:r>
      <w:r w:rsidR="005A07C3" w:rsidRPr="00934132">
        <w:rPr>
          <w:color w:val="000000" w:themeColor="text1"/>
        </w:rPr>
        <w:t xml:space="preserve">showing clear </w:t>
      </w:r>
      <w:r w:rsidRPr="00934132">
        <w:rPr>
          <w:color w:val="000000" w:themeColor="text1"/>
        </w:rPr>
        <w:t>losses:</w:t>
      </w:r>
    </w:p>
    <w:p w14:paraId="47786A87" w14:textId="6802C98E" w:rsidR="00486D8B" w:rsidRPr="00934132" w:rsidRDefault="00486D8B" w:rsidP="006B21E2">
      <w:pPr>
        <w:numPr>
          <w:ilvl w:val="0"/>
          <w:numId w:val="235"/>
        </w:numPr>
        <w:jc w:val="both"/>
        <w:rPr>
          <w:color w:val="000000" w:themeColor="text1"/>
        </w:rPr>
      </w:pPr>
      <w:r w:rsidRPr="00934132">
        <w:rPr>
          <w:i/>
          <w:iCs/>
          <w:color w:val="000000" w:themeColor="text1"/>
        </w:rPr>
        <w:t>Sunk cost fallacy:</w:t>
      </w:r>
      <w:r w:rsidRPr="00934132">
        <w:rPr>
          <w:color w:val="000000" w:themeColor="text1"/>
        </w:rPr>
        <w:t xml:space="preserve"> Five participants expressed variations of "I've invested so much time learning this, I can't quit now." The time and effort already invested </w:t>
      </w:r>
      <w:r w:rsidR="002447BE" w:rsidRPr="00934132">
        <w:rPr>
          <w:color w:val="000000" w:themeColor="text1"/>
        </w:rPr>
        <w:t xml:space="preserve">indicated some </w:t>
      </w:r>
      <w:r w:rsidRPr="00934132">
        <w:rPr>
          <w:color w:val="000000" w:themeColor="text1"/>
        </w:rPr>
        <w:t xml:space="preserve">emotional barriers to </w:t>
      </w:r>
      <w:proofErr w:type="gramStart"/>
      <w:r w:rsidRPr="00934132">
        <w:rPr>
          <w:color w:val="000000" w:themeColor="text1"/>
        </w:rPr>
        <w:t>exit</w:t>
      </w:r>
      <w:proofErr w:type="gramEnd"/>
      <w:r w:rsidR="002447BE" w:rsidRPr="00934132">
        <w:rPr>
          <w:color w:val="000000" w:themeColor="text1"/>
        </w:rPr>
        <w:t xml:space="preserve"> -</w:t>
      </w:r>
      <w:r w:rsidRPr="00934132">
        <w:rPr>
          <w:color w:val="000000" w:themeColor="text1"/>
        </w:rPr>
        <w:t xml:space="preserve"> independent of forward-looking return prospects (Arkes &amp; Blumer, 1985).</w:t>
      </w:r>
    </w:p>
    <w:p w14:paraId="4600A785" w14:textId="11092C46" w:rsidR="00486D8B" w:rsidRPr="00934132" w:rsidRDefault="00486D8B" w:rsidP="006B21E2">
      <w:pPr>
        <w:numPr>
          <w:ilvl w:val="0"/>
          <w:numId w:val="235"/>
        </w:numPr>
        <w:jc w:val="both"/>
        <w:rPr>
          <w:color w:val="000000" w:themeColor="text1"/>
        </w:rPr>
      </w:pPr>
      <w:r w:rsidRPr="00934132">
        <w:rPr>
          <w:i/>
          <w:iCs/>
          <w:color w:val="000000" w:themeColor="text1"/>
        </w:rPr>
        <w:t>Near-miss experiences:</w:t>
      </w:r>
      <w:r w:rsidRPr="00934132">
        <w:rPr>
          <w:color w:val="000000" w:themeColor="text1"/>
        </w:rPr>
        <w:t xml:space="preserve"> Four participants reported periods of profitability alternating with losses</w:t>
      </w:r>
      <w:r w:rsidR="002447BE" w:rsidRPr="00934132">
        <w:rPr>
          <w:color w:val="000000" w:themeColor="text1"/>
        </w:rPr>
        <w:t>. These scenarios c</w:t>
      </w:r>
      <w:r w:rsidRPr="00934132">
        <w:rPr>
          <w:color w:val="000000" w:themeColor="text1"/>
        </w:rPr>
        <w:t>reat</w:t>
      </w:r>
      <w:r w:rsidR="002447BE" w:rsidRPr="00934132">
        <w:rPr>
          <w:color w:val="000000" w:themeColor="text1"/>
        </w:rPr>
        <w:t>ed</w:t>
      </w:r>
      <w:r w:rsidRPr="00934132">
        <w:rPr>
          <w:color w:val="000000" w:themeColor="text1"/>
        </w:rPr>
        <w:t xml:space="preserve"> hope that "next month will be better." These intermittent </w:t>
      </w:r>
      <w:r w:rsidRPr="00934132">
        <w:rPr>
          <w:color w:val="000000" w:themeColor="text1"/>
        </w:rPr>
        <w:lastRenderedPageBreak/>
        <w:t>reinforcement patterns</w:t>
      </w:r>
      <w:r w:rsidR="002447BE" w:rsidRPr="00934132">
        <w:rPr>
          <w:color w:val="000000" w:themeColor="text1"/>
        </w:rPr>
        <w:t xml:space="preserve">, which are </w:t>
      </w:r>
      <w:r w:rsidRPr="00934132">
        <w:rPr>
          <w:color w:val="000000" w:themeColor="text1"/>
        </w:rPr>
        <w:t>well-documented in gambling literature (</w:t>
      </w:r>
      <w:proofErr w:type="spellStart"/>
      <w:r w:rsidRPr="00934132">
        <w:rPr>
          <w:color w:val="000000" w:themeColor="text1"/>
        </w:rPr>
        <w:t>Schüll</w:t>
      </w:r>
      <w:proofErr w:type="spellEnd"/>
      <w:r w:rsidRPr="00934132">
        <w:rPr>
          <w:color w:val="000000" w:themeColor="text1"/>
        </w:rPr>
        <w:t>, 2012)</w:t>
      </w:r>
      <w:r w:rsidR="002447BE" w:rsidRPr="00934132">
        <w:rPr>
          <w:color w:val="000000" w:themeColor="text1"/>
        </w:rPr>
        <w:t xml:space="preserve">, kept the participants engaged and persistent, </w:t>
      </w:r>
      <w:r w:rsidRPr="00934132">
        <w:rPr>
          <w:color w:val="000000" w:themeColor="text1"/>
        </w:rPr>
        <w:t>despite negative value</w:t>
      </w:r>
      <w:r w:rsidR="002447BE" w:rsidRPr="00934132">
        <w:rPr>
          <w:color w:val="000000" w:themeColor="text1"/>
        </w:rPr>
        <w:t>s</w:t>
      </w:r>
      <w:r w:rsidRPr="00934132">
        <w:rPr>
          <w:color w:val="000000" w:themeColor="text1"/>
        </w:rPr>
        <w:t>.</w:t>
      </w:r>
    </w:p>
    <w:p w14:paraId="22276EE3" w14:textId="4FC1A4AB" w:rsidR="00486D8B" w:rsidRPr="00934132" w:rsidRDefault="00486D8B" w:rsidP="006B21E2">
      <w:pPr>
        <w:numPr>
          <w:ilvl w:val="0"/>
          <w:numId w:val="235"/>
        </w:numPr>
        <w:jc w:val="both"/>
        <w:rPr>
          <w:color w:val="000000" w:themeColor="text1"/>
        </w:rPr>
      </w:pPr>
      <w:r w:rsidRPr="00934132">
        <w:rPr>
          <w:i/>
          <w:iCs/>
          <w:color w:val="000000" w:themeColor="text1"/>
        </w:rPr>
        <w:t>Identity investment:</w:t>
      </w:r>
      <w:r w:rsidRPr="00934132">
        <w:rPr>
          <w:color w:val="000000" w:themeColor="text1"/>
        </w:rPr>
        <w:t xml:space="preserve"> Three participants described DeFi participation as part of their identity ("I'm a DeFi person," "I'm building in web3"), making </w:t>
      </w:r>
      <w:r w:rsidR="002447BE" w:rsidRPr="00934132">
        <w:rPr>
          <w:color w:val="000000" w:themeColor="text1"/>
        </w:rPr>
        <w:t xml:space="preserve">an </w:t>
      </w:r>
      <w:r w:rsidRPr="00934132">
        <w:rPr>
          <w:color w:val="000000" w:themeColor="text1"/>
        </w:rPr>
        <w:t xml:space="preserve">exit feel like </w:t>
      </w:r>
      <w:r w:rsidR="002447BE" w:rsidRPr="00934132">
        <w:rPr>
          <w:color w:val="000000" w:themeColor="text1"/>
        </w:rPr>
        <w:t xml:space="preserve">a </w:t>
      </w:r>
      <w:r w:rsidRPr="00934132">
        <w:rPr>
          <w:color w:val="000000" w:themeColor="text1"/>
        </w:rPr>
        <w:t xml:space="preserve">personal failure rather than </w:t>
      </w:r>
      <w:r w:rsidR="002447BE" w:rsidRPr="00934132">
        <w:rPr>
          <w:color w:val="000000" w:themeColor="text1"/>
        </w:rPr>
        <w:t xml:space="preserve">a </w:t>
      </w:r>
      <w:r w:rsidRPr="00934132">
        <w:rPr>
          <w:color w:val="000000" w:themeColor="text1"/>
        </w:rPr>
        <w:t xml:space="preserve">strategic decision. This identity-based persistence </w:t>
      </w:r>
      <w:r w:rsidR="002447BE" w:rsidRPr="00934132">
        <w:rPr>
          <w:color w:val="000000" w:themeColor="text1"/>
        </w:rPr>
        <w:t>was stronger than the</w:t>
      </w:r>
      <w:r w:rsidRPr="00934132">
        <w:rPr>
          <w:color w:val="000000" w:themeColor="text1"/>
        </w:rPr>
        <w:t xml:space="preserve"> financial underperformance.</w:t>
      </w:r>
    </w:p>
    <w:p w14:paraId="3FD6A840" w14:textId="77777777" w:rsidR="00934132" w:rsidRPr="00934132" w:rsidRDefault="00934132" w:rsidP="006B21E2">
      <w:pPr>
        <w:jc w:val="both"/>
        <w:rPr>
          <w:color w:val="000000" w:themeColor="text1"/>
        </w:rPr>
      </w:pPr>
    </w:p>
    <w:p w14:paraId="5DD5BE93" w14:textId="7DD06C46" w:rsidR="00486D8B" w:rsidRPr="00934132" w:rsidRDefault="00486D8B" w:rsidP="006B21E2">
      <w:pPr>
        <w:jc w:val="both"/>
        <w:rPr>
          <w:color w:val="000000" w:themeColor="text1"/>
        </w:rPr>
      </w:pPr>
      <w:r w:rsidRPr="00934132">
        <w:rPr>
          <w:color w:val="000000" w:themeColor="text1"/>
        </w:rPr>
        <w:t xml:space="preserve">These findings suggest the 73% failure rate documented in </w:t>
      </w:r>
      <w:r w:rsidR="002447BE" w:rsidRPr="00934132">
        <w:rPr>
          <w:color w:val="000000" w:themeColor="text1"/>
        </w:rPr>
        <w:t xml:space="preserve">this </w:t>
      </w:r>
      <w:r w:rsidR="008A0A92" w:rsidRPr="00934132">
        <w:rPr>
          <w:color w:val="000000" w:themeColor="text1"/>
        </w:rPr>
        <w:t>research</w:t>
      </w:r>
      <w:r w:rsidRPr="00934132">
        <w:rPr>
          <w:color w:val="000000" w:themeColor="text1"/>
        </w:rPr>
        <w:t xml:space="preserve"> underestimate</w:t>
      </w:r>
      <w:r w:rsidR="002447BE" w:rsidRPr="00934132">
        <w:rPr>
          <w:color w:val="000000" w:themeColor="text1"/>
        </w:rPr>
        <w:t>s the</w:t>
      </w:r>
      <w:r w:rsidRPr="00934132">
        <w:rPr>
          <w:color w:val="000000" w:themeColor="text1"/>
        </w:rPr>
        <w:t xml:space="preserve"> unsuccessful participation duration. Some positions classified as "active" during </w:t>
      </w:r>
      <w:r w:rsidR="002447BE" w:rsidRPr="00934132">
        <w:rPr>
          <w:color w:val="000000" w:themeColor="text1"/>
        </w:rPr>
        <w:t xml:space="preserve">the </w:t>
      </w:r>
      <w:r w:rsidRPr="00934132">
        <w:rPr>
          <w:color w:val="000000" w:themeColor="text1"/>
        </w:rPr>
        <w:t xml:space="preserve">tracking </w:t>
      </w:r>
      <w:proofErr w:type="gramStart"/>
      <w:r w:rsidRPr="00934132">
        <w:rPr>
          <w:color w:val="000000" w:themeColor="text1"/>
        </w:rPr>
        <w:t>periods</w:t>
      </w:r>
      <w:r w:rsidR="002447BE" w:rsidRPr="00934132">
        <w:rPr>
          <w:color w:val="000000" w:themeColor="text1"/>
        </w:rPr>
        <w:t>,</w:t>
      </w:r>
      <w:proofErr w:type="gramEnd"/>
      <w:r w:rsidR="002447BE" w:rsidRPr="00934132">
        <w:rPr>
          <w:color w:val="000000" w:themeColor="text1"/>
        </w:rPr>
        <w:t xml:space="preserve"> could be</w:t>
      </w:r>
      <w:r w:rsidRPr="00934132">
        <w:rPr>
          <w:color w:val="000000" w:themeColor="text1"/>
        </w:rPr>
        <w:t xml:space="preserve"> </w:t>
      </w:r>
      <w:r w:rsidR="002447BE" w:rsidRPr="00934132">
        <w:rPr>
          <w:color w:val="000000" w:themeColor="text1"/>
        </w:rPr>
        <w:t xml:space="preserve">classified as </w:t>
      </w:r>
      <w:r w:rsidRPr="00934132">
        <w:rPr>
          <w:color w:val="000000" w:themeColor="text1"/>
        </w:rPr>
        <w:t xml:space="preserve">failed ventures </w:t>
      </w:r>
      <w:r w:rsidR="002447BE" w:rsidRPr="00934132">
        <w:rPr>
          <w:color w:val="000000" w:themeColor="text1"/>
        </w:rPr>
        <w:t xml:space="preserve">that were only </w:t>
      </w:r>
      <w:r w:rsidRPr="00934132">
        <w:rPr>
          <w:color w:val="000000" w:themeColor="text1"/>
        </w:rPr>
        <w:t xml:space="preserve">continuing due to psychological rather than financial </w:t>
      </w:r>
      <w:r w:rsidR="002447BE" w:rsidRPr="00934132">
        <w:rPr>
          <w:color w:val="000000" w:themeColor="text1"/>
        </w:rPr>
        <w:t>reasons</w:t>
      </w:r>
      <w:r w:rsidRPr="00934132">
        <w:rPr>
          <w:color w:val="000000" w:themeColor="text1"/>
        </w:rPr>
        <w:t>.</w:t>
      </w:r>
    </w:p>
    <w:p w14:paraId="79DF125D" w14:textId="77777777" w:rsidR="00934132" w:rsidRPr="00934132" w:rsidRDefault="00934132" w:rsidP="006B21E2">
      <w:pPr>
        <w:pStyle w:val="Heading4"/>
        <w:jc w:val="both"/>
        <w:rPr>
          <w:color w:val="000000" w:themeColor="text1"/>
        </w:rPr>
      </w:pPr>
    </w:p>
    <w:p w14:paraId="6BFCEB83" w14:textId="0383FF20" w:rsidR="00486D8B" w:rsidRPr="00934132" w:rsidRDefault="00E9227A" w:rsidP="006B21E2">
      <w:pPr>
        <w:pStyle w:val="Heading4"/>
        <w:jc w:val="both"/>
        <w:rPr>
          <w:color w:val="000000" w:themeColor="text1"/>
        </w:rPr>
      </w:pPr>
      <w:r w:rsidRPr="00934132">
        <w:rPr>
          <w:color w:val="000000" w:themeColor="text1"/>
        </w:rPr>
        <w:t xml:space="preserve">8.7.1.6 </w:t>
      </w:r>
      <w:r w:rsidR="00486D8B" w:rsidRPr="00934132">
        <w:rPr>
          <w:color w:val="000000" w:themeColor="text1"/>
        </w:rPr>
        <w:t>Implications for the Decision Framework</w:t>
      </w:r>
    </w:p>
    <w:p w14:paraId="60E3DFD2" w14:textId="77777777" w:rsidR="00486D8B" w:rsidRPr="00934132" w:rsidRDefault="00486D8B" w:rsidP="006B21E2">
      <w:pPr>
        <w:jc w:val="both"/>
        <w:rPr>
          <w:color w:val="000000" w:themeColor="text1"/>
        </w:rPr>
      </w:pPr>
      <w:r w:rsidRPr="00934132">
        <w:rPr>
          <w:color w:val="000000" w:themeColor="text1"/>
        </w:rPr>
        <w:t>The duration and attrition analysis reinforces several aspects of the decision framework (Figure 8.1) while revealing a gap:</w:t>
      </w:r>
    </w:p>
    <w:p w14:paraId="210E7666" w14:textId="0CE0DF96" w:rsidR="00486D8B" w:rsidRPr="00934132" w:rsidRDefault="00486D8B" w:rsidP="006B21E2">
      <w:pPr>
        <w:pStyle w:val="ListParagraph"/>
        <w:numPr>
          <w:ilvl w:val="0"/>
          <w:numId w:val="247"/>
        </w:numPr>
        <w:jc w:val="both"/>
        <w:rPr>
          <w:color w:val="000000" w:themeColor="text1"/>
        </w:rPr>
      </w:pPr>
      <w:r w:rsidRPr="00934132">
        <w:rPr>
          <w:b/>
          <w:bCs/>
          <w:color w:val="000000" w:themeColor="text1"/>
        </w:rPr>
        <w:t>Confirmed:</w:t>
      </w:r>
      <w:r w:rsidRPr="00934132">
        <w:rPr>
          <w:color w:val="000000" w:themeColor="text1"/>
        </w:rPr>
        <w:t xml:space="preserve"> Capital thresholds determine sustainability. Positions below network viability thresholds (Chapter 5) rarely persisted beyond six months regardless of participant effort or skill.</w:t>
      </w:r>
    </w:p>
    <w:p w14:paraId="42E0EB3D" w14:textId="0DED2D2A" w:rsidR="00486D8B" w:rsidRPr="00934132" w:rsidRDefault="00486D8B" w:rsidP="006B21E2">
      <w:pPr>
        <w:pStyle w:val="ListParagraph"/>
        <w:numPr>
          <w:ilvl w:val="0"/>
          <w:numId w:val="247"/>
        </w:numPr>
        <w:jc w:val="both"/>
        <w:rPr>
          <w:color w:val="000000" w:themeColor="text1"/>
        </w:rPr>
      </w:pPr>
      <w:r w:rsidRPr="00934132">
        <w:rPr>
          <w:b/>
          <w:bCs/>
          <w:color w:val="000000" w:themeColor="text1"/>
        </w:rPr>
        <w:t>Confirmed:</w:t>
      </w:r>
      <w:r w:rsidRPr="00934132">
        <w:rPr>
          <w:color w:val="000000" w:themeColor="text1"/>
        </w:rPr>
        <w:t xml:space="preserve"> Strategy-resource matching predicts longevity. Participants whose strategies matched their actual </w:t>
      </w:r>
      <w:r w:rsidR="00FA797E" w:rsidRPr="00934132">
        <w:rPr>
          <w:color w:val="000000" w:themeColor="text1"/>
        </w:rPr>
        <w:t>capabilities-maintained</w:t>
      </w:r>
      <w:r w:rsidRPr="00934132">
        <w:rPr>
          <w:color w:val="000000" w:themeColor="text1"/>
        </w:rPr>
        <w:t xml:space="preserve"> positions substantially longer.</w:t>
      </w:r>
    </w:p>
    <w:p w14:paraId="710CBA23" w14:textId="77777777" w:rsidR="0054763A" w:rsidRPr="00934132" w:rsidRDefault="00486D8B" w:rsidP="006B21E2">
      <w:pPr>
        <w:pStyle w:val="ListParagraph"/>
        <w:numPr>
          <w:ilvl w:val="0"/>
          <w:numId w:val="247"/>
        </w:numPr>
        <w:jc w:val="both"/>
        <w:rPr>
          <w:color w:val="000000" w:themeColor="text1"/>
        </w:rPr>
      </w:pPr>
      <w:r w:rsidRPr="00934132">
        <w:rPr>
          <w:b/>
          <w:bCs/>
          <w:color w:val="000000" w:themeColor="text1"/>
        </w:rPr>
        <w:t>Gap identified:</w:t>
      </w:r>
      <w:r w:rsidRPr="00934132">
        <w:rPr>
          <w:color w:val="000000" w:themeColor="text1"/>
        </w:rPr>
        <w:t xml:space="preserve"> The framework addresses entry criteria but not exit planning. The persistence paradox demonstrates that participants need predetermined exit criteria as much as </w:t>
      </w:r>
      <w:r w:rsidR="00143A89" w:rsidRPr="00934132">
        <w:rPr>
          <w:color w:val="000000" w:themeColor="text1"/>
        </w:rPr>
        <w:t xml:space="preserve">an </w:t>
      </w:r>
      <w:r w:rsidRPr="00934132">
        <w:rPr>
          <w:color w:val="000000" w:themeColor="text1"/>
        </w:rPr>
        <w:t xml:space="preserve">entry framework. </w:t>
      </w:r>
    </w:p>
    <w:p w14:paraId="6EC7D6B0" w14:textId="77777777" w:rsidR="00934132" w:rsidRPr="00934132" w:rsidRDefault="00934132" w:rsidP="006B21E2">
      <w:pPr>
        <w:jc w:val="both"/>
        <w:rPr>
          <w:color w:val="000000" w:themeColor="text1"/>
        </w:rPr>
      </w:pPr>
    </w:p>
    <w:p w14:paraId="4E268638" w14:textId="12DE21EA" w:rsidR="00486D8B" w:rsidRPr="00934132" w:rsidRDefault="00486D8B" w:rsidP="006B21E2">
      <w:pPr>
        <w:jc w:val="both"/>
        <w:rPr>
          <w:color w:val="000000" w:themeColor="text1"/>
        </w:rPr>
      </w:pPr>
      <w:r w:rsidRPr="00934132">
        <w:rPr>
          <w:color w:val="000000" w:themeColor="text1"/>
        </w:rPr>
        <w:t xml:space="preserve">A complete participation framework would include not only "Should I enter?" </w:t>
      </w:r>
      <w:r w:rsidR="0079477B" w:rsidRPr="00934132">
        <w:rPr>
          <w:color w:val="000000" w:themeColor="text1"/>
        </w:rPr>
        <w:t xml:space="preserve">decision making process </w:t>
      </w:r>
      <w:r w:rsidR="008A0A92" w:rsidRPr="00934132">
        <w:rPr>
          <w:color w:val="000000" w:themeColor="text1"/>
        </w:rPr>
        <w:t>but also</w:t>
      </w:r>
      <w:r w:rsidR="0079477B" w:rsidRPr="00934132">
        <w:rPr>
          <w:color w:val="000000" w:themeColor="text1"/>
        </w:rPr>
        <w:t xml:space="preserve"> one for </w:t>
      </w:r>
      <w:r w:rsidRPr="00934132">
        <w:rPr>
          <w:color w:val="000000" w:themeColor="text1"/>
        </w:rPr>
        <w:t xml:space="preserve">"Under what conditions will I </w:t>
      </w:r>
      <w:proofErr w:type="gramStart"/>
      <w:r w:rsidRPr="00934132">
        <w:rPr>
          <w:color w:val="000000" w:themeColor="text1"/>
        </w:rPr>
        <w:t>exit</w:t>
      </w:r>
      <w:proofErr w:type="gramEnd"/>
      <w:r w:rsidRPr="00934132">
        <w:rPr>
          <w:color w:val="000000" w:themeColor="text1"/>
        </w:rPr>
        <w:t>?"</w:t>
      </w:r>
      <w:r w:rsidR="0079477B" w:rsidRPr="00934132">
        <w:rPr>
          <w:color w:val="000000" w:themeColor="text1"/>
        </w:rPr>
        <w:t xml:space="preserve">. This should include </w:t>
      </w:r>
      <w:r w:rsidRPr="00934132">
        <w:rPr>
          <w:color w:val="000000" w:themeColor="text1"/>
        </w:rPr>
        <w:t xml:space="preserve">whether </w:t>
      </w:r>
      <w:r w:rsidR="0079477B" w:rsidRPr="00934132">
        <w:rPr>
          <w:color w:val="000000" w:themeColor="text1"/>
        </w:rPr>
        <w:t xml:space="preserve">to </w:t>
      </w:r>
      <w:proofErr w:type="gramStart"/>
      <w:r w:rsidR="0079477B" w:rsidRPr="00934132">
        <w:rPr>
          <w:color w:val="000000" w:themeColor="text1"/>
        </w:rPr>
        <w:t>exit</w:t>
      </w:r>
      <w:proofErr w:type="gramEnd"/>
      <w:r w:rsidR="0079477B" w:rsidRPr="00934132">
        <w:rPr>
          <w:color w:val="000000" w:themeColor="text1"/>
        </w:rPr>
        <w:t xml:space="preserve"> </w:t>
      </w:r>
      <w:r w:rsidRPr="00934132">
        <w:rPr>
          <w:color w:val="000000" w:themeColor="text1"/>
        </w:rPr>
        <w:t>due to success (target achieved), failure (maximum loss reached), or o</w:t>
      </w:r>
      <w:r w:rsidR="0079477B" w:rsidRPr="00934132">
        <w:rPr>
          <w:color w:val="000000" w:themeColor="text1"/>
        </w:rPr>
        <w:t xml:space="preserve">bsoleteness </w:t>
      </w:r>
      <w:r w:rsidRPr="00934132">
        <w:rPr>
          <w:color w:val="000000" w:themeColor="text1"/>
        </w:rPr>
        <w:t xml:space="preserve">(conditions changed). The absence of </w:t>
      </w:r>
      <w:proofErr w:type="gramStart"/>
      <w:r w:rsidR="0079477B" w:rsidRPr="00934132">
        <w:rPr>
          <w:color w:val="000000" w:themeColor="text1"/>
        </w:rPr>
        <w:t xml:space="preserve">an </w:t>
      </w:r>
      <w:r w:rsidRPr="00934132">
        <w:rPr>
          <w:color w:val="000000" w:themeColor="text1"/>
        </w:rPr>
        <w:t>exit</w:t>
      </w:r>
      <w:proofErr w:type="gramEnd"/>
      <w:r w:rsidRPr="00934132">
        <w:rPr>
          <w:color w:val="000000" w:themeColor="text1"/>
        </w:rPr>
        <w:t xml:space="preserve"> planning contributed to premature abandonment of viable strategies and extended persistence in failed ones.</w:t>
      </w:r>
    </w:p>
    <w:p w14:paraId="19D067FD" w14:textId="77777777" w:rsidR="00934132" w:rsidRPr="00934132" w:rsidRDefault="00934132" w:rsidP="006B21E2">
      <w:pPr>
        <w:pStyle w:val="Heading4"/>
        <w:jc w:val="both"/>
        <w:rPr>
          <w:color w:val="000000" w:themeColor="text1"/>
        </w:rPr>
      </w:pPr>
    </w:p>
    <w:p w14:paraId="36F7F16E" w14:textId="2C216FF2" w:rsidR="00486D8B" w:rsidRPr="00934132" w:rsidRDefault="00E9227A" w:rsidP="006B21E2">
      <w:pPr>
        <w:pStyle w:val="Heading4"/>
        <w:jc w:val="both"/>
        <w:rPr>
          <w:color w:val="000000" w:themeColor="text1"/>
        </w:rPr>
      </w:pPr>
      <w:r w:rsidRPr="00934132">
        <w:rPr>
          <w:color w:val="000000" w:themeColor="text1"/>
        </w:rPr>
        <w:t xml:space="preserve">8.7.1.7 </w:t>
      </w:r>
      <w:r w:rsidR="00486D8B" w:rsidRPr="00934132">
        <w:rPr>
          <w:color w:val="000000" w:themeColor="text1"/>
        </w:rPr>
        <w:t>Synthesis with Risk Materialization</w:t>
      </w:r>
    </w:p>
    <w:p w14:paraId="60F5CFB1" w14:textId="6DF46617" w:rsidR="00486D8B" w:rsidRPr="00934132" w:rsidRDefault="00486D8B" w:rsidP="006B21E2">
      <w:pPr>
        <w:jc w:val="both"/>
        <w:rPr>
          <w:color w:val="000000" w:themeColor="text1"/>
        </w:rPr>
      </w:pPr>
      <w:r w:rsidRPr="00934132">
        <w:rPr>
          <w:color w:val="000000" w:themeColor="text1"/>
        </w:rPr>
        <w:t>The</w:t>
      </w:r>
      <w:r w:rsidR="008613A6" w:rsidRPr="00934132">
        <w:rPr>
          <w:color w:val="000000" w:themeColor="text1"/>
        </w:rPr>
        <w:t xml:space="preserve"> performed </w:t>
      </w:r>
      <w:r w:rsidRPr="00934132">
        <w:rPr>
          <w:color w:val="000000" w:themeColor="text1"/>
        </w:rPr>
        <w:t>duration analysis complements Section 8.7</w:t>
      </w:r>
      <w:r w:rsidR="00F77CFD" w:rsidRPr="00934132">
        <w:rPr>
          <w:color w:val="000000" w:themeColor="text1"/>
        </w:rPr>
        <w:t xml:space="preserve"> </w:t>
      </w:r>
      <w:r w:rsidRPr="00934132">
        <w:rPr>
          <w:color w:val="000000" w:themeColor="text1"/>
        </w:rPr>
        <w:t xml:space="preserve">risk documentation by </w:t>
      </w:r>
      <w:r w:rsidR="00F77CFD" w:rsidRPr="00934132">
        <w:rPr>
          <w:color w:val="000000" w:themeColor="text1"/>
        </w:rPr>
        <w:t>showing</w:t>
      </w:r>
      <w:r w:rsidRPr="00934132">
        <w:rPr>
          <w:color w:val="000000" w:themeColor="text1"/>
        </w:rPr>
        <w:t xml:space="preserve"> that protocol-level incidents (12.2% quarterly rate) represent only one failure mode. Additional attrition occurred through:</w:t>
      </w:r>
    </w:p>
    <w:p w14:paraId="512DA51F" w14:textId="77777777" w:rsidR="00486D8B" w:rsidRPr="00934132" w:rsidRDefault="00486D8B" w:rsidP="006B21E2">
      <w:pPr>
        <w:numPr>
          <w:ilvl w:val="0"/>
          <w:numId w:val="156"/>
        </w:numPr>
        <w:jc w:val="both"/>
        <w:rPr>
          <w:color w:val="000000" w:themeColor="text1"/>
        </w:rPr>
      </w:pPr>
      <w:r w:rsidRPr="00934132">
        <w:rPr>
          <w:color w:val="000000" w:themeColor="text1"/>
        </w:rPr>
        <w:t>Time burden exceeding participant capacity (50% of interviewed closed positions)</w:t>
      </w:r>
    </w:p>
    <w:p w14:paraId="5F247EB6" w14:textId="77777777" w:rsidR="00486D8B" w:rsidRPr="00934132" w:rsidRDefault="00486D8B" w:rsidP="006B21E2">
      <w:pPr>
        <w:numPr>
          <w:ilvl w:val="0"/>
          <w:numId w:val="156"/>
        </w:numPr>
        <w:jc w:val="both"/>
        <w:rPr>
          <w:color w:val="000000" w:themeColor="text1"/>
        </w:rPr>
      </w:pPr>
      <w:r w:rsidRPr="00934132">
        <w:rPr>
          <w:color w:val="000000" w:themeColor="text1"/>
        </w:rPr>
        <w:t>Cost accumulation eroding position viability (31%)</w:t>
      </w:r>
    </w:p>
    <w:p w14:paraId="161DEDE7" w14:textId="77777777" w:rsidR="00486D8B" w:rsidRPr="00934132" w:rsidRDefault="00486D8B" w:rsidP="006B21E2">
      <w:pPr>
        <w:numPr>
          <w:ilvl w:val="0"/>
          <w:numId w:val="156"/>
        </w:numPr>
        <w:jc w:val="both"/>
        <w:rPr>
          <w:color w:val="000000" w:themeColor="text1"/>
        </w:rPr>
      </w:pPr>
      <w:r w:rsidRPr="00934132">
        <w:rPr>
          <w:color w:val="000000" w:themeColor="text1"/>
        </w:rPr>
        <w:t>Strategy obsolescence from market evolution (19%)</w:t>
      </w:r>
    </w:p>
    <w:p w14:paraId="153C6BF8" w14:textId="77777777" w:rsidR="00486D8B" w:rsidRPr="00934132" w:rsidRDefault="00486D8B" w:rsidP="006B21E2">
      <w:pPr>
        <w:numPr>
          <w:ilvl w:val="0"/>
          <w:numId w:val="156"/>
        </w:numPr>
        <w:jc w:val="both"/>
        <w:rPr>
          <w:color w:val="000000" w:themeColor="text1"/>
        </w:rPr>
      </w:pPr>
      <w:r w:rsidRPr="00934132">
        <w:rPr>
          <w:color w:val="000000" w:themeColor="text1"/>
        </w:rPr>
        <w:t>Opportunity cost recognition versus alternatives (25%)</w:t>
      </w:r>
    </w:p>
    <w:p w14:paraId="33B46F5F" w14:textId="77777777" w:rsidR="00934132" w:rsidRPr="00934132" w:rsidRDefault="00934132" w:rsidP="006B21E2">
      <w:pPr>
        <w:jc w:val="both"/>
        <w:rPr>
          <w:color w:val="000000" w:themeColor="text1"/>
        </w:rPr>
      </w:pPr>
    </w:p>
    <w:p w14:paraId="728865F1" w14:textId="5846EB0E" w:rsidR="000E1EAA" w:rsidRPr="00934132" w:rsidRDefault="00486D8B" w:rsidP="006B21E2">
      <w:pPr>
        <w:jc w:val="both"/>
        <w:rPr>
          <w:color w:val="000000" w:themeColor="text1"/>
        </w:rPr>
      </w:pPr>
      <w:r w:rsidRPr="00934132">
        <w:rPr>
          <w:color w:val="000000" w:themeColor="text1"/>
        </w:rPr>
        <w:t xml:space="preserve">These non-incident failure modes, while less dramatic than exploits or governance attacks, </w:t>
      </w:r>
      <w:r w:rsidR="00F77CFD" w:rsidRPr="00934132">
        <w:rPr>
          <w:color w:val="000000" w:themeColor="text1"/>
        </w:rPr>
        <w:t>overall</w:t>
      </w:r>
      <w:r w:rsidRPr="00934132">
        <w:rPr>
          <w:color w:val="000000" w:themeColor="text1"/>
        </w:rPr>
        <w:t xml:space="preserve"> affected more participants than </w:t>
      </w:r>
      <w:proofErr w:type="gramStart"/>
      <w:r w:rsidR="00F77CFD" w:rsidRPr="00934132">
        <w:rPr>
          <w:color w:val="000000" w:themeColor="text1"/>
        </w:rPr>
        <w:t xml:space="preserve">the </w:t>
      </w:r>
      <w:r w:rsidRPr="00934132">
        <w:rPr>
          <w:color w:val="000000" w:themeColor="text1"/>
        </w:rPr>
        <w:t>protocol</w:t>
      </w:r>
      <w:proofErr w:type="gramEnd"/>
      <w:r w:rsidRPr="00934132">
        <w:rPr>
          <w:color w:val="000000" w:themeColor="text1"/>
        </w:rPr>
        <w:t xml:space="preserve">-level incidents. The 73% failure rate </w:t>
      </w:r>
      <w:r w:rsidR="00F77CFD" w:rsidRPr="00934132">
        <w:rPr>
          <w:color w:val="000000" w:themeColor="text1"/>
        </w:rPr>
        <w:t>shows</w:t>
      </w:r>
      <w:r w:rsidRPr="00934132">
        <w:rPr>
          <w:color w:val="000000" w:themeColor="text1"/>
        </w:rPr>
        <w:t xml:space="preserve"> multiple failure pathways rather than </w:t>
      </w:r>
      <w:r w:rsidR="00F77CFD" w:rsidRPr="00934132">
        <w:rPr>
          <w:color w:val="000000" w:themeColor="text1"/>
        </w:rPr>
        <w:t>one</w:t>
      </w:r>
      <w:r w:rsidRPr="00934132">
        <w:rPr>
          <w:color w:val="000000" w:themeColor="text1"/>
        </w:rPr>
        <w:t xml:space="preserve"> single dominant risk factor</w:t>
      </w:r>
      <w:r w:rsidR="00F77CFD" w:rsidRPr="00934132">
        <w:rPr>
          <w:color w:val="000000" w:themeColor="text1"/>
        </w:rPr>
        <w:t>- and acknowledging this is</w:t>
      </w:r>
      <w:r w:rsidRPr="00934132">
        <w:rPr>
          <w:color w:val="000000" w:themeColor="text1"/>
        </w:rPr>
        <w:t xml:space="preserve"> </w:t>
      </w:r>
      <w:r w:rsidR="00F77CFD" w:rsidRPr="00934132">
        <w:rPr>
          <w:color w:val="000000" w:themeColor="text1"/>
        </w:rPr>
        <w:t xml:space="preserve">key for all participants as in many cases it goes overlooked and/or not considered. </w:t>
      </w:r>
      <w:proofErr w:type="gramStart"/>
      <w:r w:rsidR="00F77CFD" w:rsidRPr="00934132">
        <w:rPr>
          <w:color w:val="000000" w:themeColor="text1"/>
        </w:rPr>
        <w:t>A s</w:t>
      </w:r>
      <w:r w:rsidRPr="00934132">
        <w:rPr>
          <w:color w:val="000000" w:themeColor="text1"/>
        </w:rPr>
        <w:t>ustainable</w:t>
      </w:r>
      <w:proofErr w:type="gramEnd"/>
      <w:r w:rsidRPr="00934132">
        <w:rPr>
          <w:color w:val="000000" w:themeColor="text1"/>
        </w:rPr>
        <w:t xml:space="preserve"> participation </w:t>
      </w:r>
      <w:r w:rsidR="00F77CFD" w:rsidRPr="00934132">
        <w:rPr>
          <w:color w:val="000000" w:themeColor="text1"/>
        </w:rPr>
        <w:t xml:space="preserve">in DeFi </w:t>
      </w:r>
      <w:r w:rsidRPr="00934132">
        <w:rPr>
          <w:color w:val="000000" w:themeColor="text1"/>
        </w:rPr>
        <w:t xml:space="preserve">requires managing not only the discrete risks documented in Section but also the </w:t>
      </w:r>
      <w:r w:rsidR="0040094E" w:rsidRPr="00934132">
        <w:rPr>
          <w:color w:val="000000" w:themeColor="text1"/>
        </w:rPr>
        <w:t>additional</w:t>
      </w:r>
      <w:r w:rsidRPr="00934132">
        <w:rPr>
          <w:color w:val="000000" w:themeColor="text1"/>
        </w:rPr>
        <w:t xml:space="preserve"> risks emerging from operational complexity, cost accumulation, and market evolution.</w:t>
      </w:r>
    </w:p>
    <w:p w14:paraId="6CFC1EF3" w14:textId="77777777" w:rsidR="00934132" w:rsidRPr="00934132" w:rsidRDefault="00934132" w:rsidP="006B21E2">
      <w:pPr>
        <w:jc w:val="both"/>
        <w:rPr>
          <w:color w:val="000000" w:themeColor="text1"/>
        </w:rPr>
      </w:pPr>
    </w:p>
    <w:p w14:paraId="21532A8E" w14:textId="18621346" w:rsidR="00FC3DF4" w:rsidRPr="00934132" w:rsidRDefault="008D6F57" w:rsidP="006B21E2">
      <w:pPr>
        <w:pStyle w:val="Heading2"/>
        <w:jc w:val="both"/>
        <w:rPr>
          <w:rFonts w:eastAsiaTheme="majorEastAsia"/>
          <w:color w:val="000000" w:themeColor="text1"/>
        </w:rPr>
      </w:pPr>
      <w:bookmarkStart w:id="195" w:name="_Toc214722001"/>
      <w:r w:rsidRPr="00934132">
        <w:rPr>
          <w:rFonts w:eastAsiaTheme="majorEastAsia"/>
          <w:color w:val="000000" w:themeColor="text1"/>
        </w:rPr>
        <w:t>8</w:t>
      </w:r>
      <w:r w:rsidR="00FC3DF4" w:rsidRPr="00934132">
        <w:rPr>
          <w:rFonts w:eastAsiaTheme="majorEastAsia"/>
          <w:color w:val="000000" w:themeColor="text1"/>
        </w:rPr>
        <w:t>.8 Success Patterns: What Actually Worked</w:t>
      </w:r>
      <w:bookmarkEnd w:id="195"/>
    </w:p>
    <w:p w14:paraId="0E944F0C" w14:textId="6EB6A7A8" w:rsidR="00FC3DF4" w:rsidRPr="00934132" w:rsidRDefault="00FC3DF4" w:rsidP="006B21E2">
      <w:pPr>
        <w:jc w:val="both"/>
        <w:rPr>
          <w:rFonts w:eastAsiaTheme="majorEastAsia"/>
          <w:color w:val="000000" w:themeColor="text1"/>
        </w:rPr>
      </w:pPr>
      <w:r w:rsidRPr="00934132">
        <w:rPr>
          <w:rFonts w:eastAsiaTheme="majorEastAsia"/>
          <w:color w:val="000000" w:themeColor="text1"/>
        </w:rPr>
        <w:lastRenderedPageBreak/>
        <w:t>The 27% of positions that succeeded wer</w:t>
      </w:r>
      <w:r w:rsidR="00C4187D" w:rsidRPr="00934132">
        <w:rPr>
          <w:rFonts w:eastAsiaTheme="majorEastAsia"/>
          <w:color w:val="000000" w:themeColor="text1"/>
        </w:rPr>
        <w:t>e not</w:t>
      </w:r>
      <w:r w:rsidRPr="00934132">
        <w:rPr>
          <w:rFonts w:eastAsiaTheme="majorEastAsia"/>
          <w:color w:val="000000" w:themeColor="text1"/>
        </w:rPr>
        <w:t xml:space="preserve"> random</w:t>
      </w:r>
      <w:r w:rsidR="00C4187D" w:rsidRPr="00934132">
        <w:rPr>
          <w:rFonts w:eastAsiaTheme="majorEastAsia"/>
          <w:color w:val="000000" w:themeColor="text1"/>
        </w:rPr>
        <w:t xml:space="preserve">. The following </w:t>
      </w:r>
      <w:r w:rsidRPr="00934132">
        <w:rPr>
          <w:rFonts w:eastAsiaTheme="majorEastAsia"/>
          <w:color w:val="000000" w:themeColor="text1"/>
        </w:rPr>
        <w:t xml:space="preserve">identifiable characteristics </w:t>
      </w:r>
      <w:r w:rsidR="00C4187D" w:rsidRPr="00934132">
        <w:rPr>
          <w:rFonts w:eastAsiaTheme="majorEastAsia"/>
          <w:color w:val="000000" w:themeColor="text1"/>
        </w:rPr>
        <w:t xml:space="preserve">were shared amongst them and </w:t>
      </w:r>
      <w:r w:rsidRPr="00934132">
        <w:rPr>
          <w:rFonts w:eastAsiaTheme="majorEastAsia"/>
          <w:color w:val="000000" w:themeColor="text1"/>
        </w:rPr>
        <w:t>separated them from failures.</w:t>
      </w:r>
    </w:p>
    <w:p w14:paraId="02DA2DD3" w14:textId="77777777" w:rsidR="00537CAE" w:rsidRPr="00934132" w:rsidRDefault="00537CAE" w:rsidP="006B21E2">
      <w:pPr>
        <w:jc w:val="both"/>
        <w:rPr>
          <w:rFonts w:eastAsiaTheme="majorEastAsia"/>
          <w:color w:val="000000" w:themeColor="text1"/>
        </w:rPr>
      </w:pPr>
    </w:p>
    <w:p w14:paraId="23D4DE68" w14:textId="77777777" w:rsidR="00C4187D" w:rsidRPr="00934132" w:rsidRDefault="00C4187D" w:rsidP="006B21E2">
      <w:pPr>
        <w:jc w:val="both"/>
        <w:rPr>
          <w:rFonts w:eastAsiaTheme="majorEastAsia"/>
          <w:b/>
          <w:bCs/>
          <w:color w:val="000000" w:themeColor="text1"/>
        </w:rPr>
      </w:pPr>
      <w:r w:rsidRPr="00934132">
        <w:rPr>
          <w:rFonts w:eastAsiaTheme="majorEastAsia"/>
          <w:b/>
          <w:bCs/>
          <w:color w:val="000000" w:themeColor="text1"/>
        </w:rPr>
        <w:t xml:space="preserve">Strategy-resource fit mattered most. </w:t>
      </w:r>
      <w:r w:rsidRPr="00934132">
        <w:rPr>
          <w:rFonts w:eastAsiaTheme="majorEastAsia"/>
          <w:color w:val="000000" w:themeColor="text1"/>
        </w:rPr>
        <w:t>Successful participants matched their capabilities to appropriate strategies. This was shown by software engineers automating complex strategies successfully. Former traders managed concentrated liquidity positions profitably and Teachers and office workers found success with simple stablecoin positions. The identified failures came from mismatches such as non-technical participants attempting complex strategies, time-constrained individuals choosing management-intensive positions.</w:t>
      </w:r>
    </w:p>
    <w:p w14:paraId="38650DD4" w14:textId="77777777" w:rsidR="00C4187D" w:rsidRPr="00934132" w:rsidRDefault="00C4187D" w:rsidP="006B21E2">
      <w:pPr>
        <w:jc w:val="both"/>
        <w:rPr>
          <w:rFonts w:eastAsiaTheme="majorEastAsia"/>
          <w:b/>
          <w:bCs/>
          <w:color w:val="000000" w:themeColor="text1"/>
        </w:rPr>
      </w:pPr>
      <w:r w:rsidRPr="00934132">
        <w:rPr>
          <w:rFonts w:eastAsiaTheme="majorEastAsia"/>
          <w:b/>
          <w:bCs/>
          <w:color w:val="000000" w:themeColor="text1"/>
        </w:rPr>
        <w:t> </w:t>
      </w:r>
    </w:p>
    <w:p w14:paraId="17D053E3" w14:textId="77777777" w:rsidR="00C4187D" w:rsidRPr="00934132" w:rsidRDefault="00C4187D" w:rsidP="006B21E2">
      <w:pPr>
        <w:jc w:val="both"/>
        <w:rPr>
          <w:rFonts w:eastAsiaTheme="majorEastAsia"/>
          <w:b/>
          <w:bCs/>
          <w:color w:val="000000" w:themeColor="text1"/>
        </w:rPr>
      </w:pPr>
      <w:r w:rsidRPr="00934132">
        <w:rPr>
          <w:rFonts w:eastAsiaTheme="majorEastAsia"/>
          <w:b/>
          <w:bCs/>
          <w:color w:val="000000" w:themeColor="text1"/>
        </w:rPr>
        <w:t xml:space="preserve">Simplicity beat complexity. </w:t>
      </w:r>
      <w:r w:rsidRPr="00934132">
        <w:rPr>
          <w:rFonts w:eastAsiaTheme="majorEastAsia"/>
          <w:color w:val="000000" w:themeColor="text1"/>
        </w:rPr>
        <w:t>Participants who used only one strategy on average made 7.3% returns. People who tried to diversify across multiple strategies got an average of 2.1%. If the allocation had been random, it would have been 4.2%. The complex method did worse than random selection because the benefits of theory were too much for the method to handle.</w:t>
      </w:r>
    </w:p>
    <w:p w14:paraId="2E2EE516" w14:textId="77777777" w:rsidR="00C4187D" w:rsidRPr="00934132" w:rsidRDefault="00C4187D" w:rsidP="006B21E2">
      <w:pPr>
        <w:jc w:val="both"/>
        <w:rPr>
          <w:rFonts w:eastAsiaTheme="majorEastAsia"/>
          <w:b/>
          <w:bCs/>
          <w:color w:val="000000" w:themeColor="text1"/>
        </w:rPr>
      </w:pPr>
    </w:p>
    <w:p w14:paraId="58174A9E" w14:textId="77777777" w:rsidR="00C4187D" w:rsidRPr="00934132" w:rsidRDefault="00C4187D" w:rsidP="006B21E2">
      <w:pPr>
        <w:jc w:val="both"/>
        <w:rPr>
          <w:rFonts w:eastAsiaTheme="majorEastAsia"/>
          <w:b/>
          <w:bCs/>
          <w:color w:val="000000" w:themeColor="text1"/>
        </w:rPr>
      </w:pPr>
      <w:r w:rsidRPr="00934132">
        <w:rPr>
          <w:rFonts w:eastAsiaTheme="majorEastAsia"/>
          <w:b/>
          <w:bCs/>
          <w:color w:val="000000" w:themeColor="text1"/>
        </w:rPr>
        <w:t xml:space="preserve">Boring strategies dominated. </w:t>
      </w:r>
      <w:r w:rsidRPr="00934132">
        <w:rPr>
          <w:rFonts w:eastAsiaTheme="majorEastAsia"/>
          <w:color w:val="000000" w:themeColor="text1"/>
        </w:rPr>
        <w:t>Stablecoin liquidity provision, the least exciting option, showed the best risk-adjusted returns with Sharpe ratios of 0.8-1.4. Volatile pair provision, on the other hand and despite higher headline returns, showed Sharpe ratios of 0.3-0.5. Yield farming showed negative risk-adjusted returns and marketing excitement showed an inverse correlation with actual profitability.</w:t>
      </w:r>
    </w:p>
    <w:p w14:paraId="10967022" w14:textId="77777777" w:rsidR="00C4187D" w:rsidRPr="00934132" w:rsidRDefault="00C4187D" w:rsidP="006B21E2">
      <w:pPr>
        <w:jc w:val="both"/>
        <w:rPr>
          <w:rFonts w:eastAsiaTheme="majorEastAsia"/>
          <w:b/>
          <w:bCs/>
          <w:color w:val="000000" w:themeColor="text1"/>
        </w:rPr>
      </w:pPr>
    </w:p>
    <w:p w14:paraId="76588EEE" w14:textId="40C0B0D7" w:rsidR="00C4187D" w:rsidRPr="00934132" w:rsidRDefault="00C4187D" w:rsidP="006B21E2">
      <w:pPr>
        <w:jc w:val="both"/>
        <w:rPr>
          <w:rFonts w:eastAsiaTheme="majorEastAsia"/>
          <w:color w:val="000000" w:themeColor="text1"/>
        </w:rPr>
      </w:pPr>
      <w:r w:rsidRPr="00934132">
        <w:rPr>
          <w:rFonts w:eastAsiaTheme="majorEastAsia"/>
          <w:b/>
          <w:bCs/>
          <w:color w:val="000000" w:themeColor="text1"/>
        </w:rPr>
        <w:t xml:space="preserve">Starting capital created path dependency. </w:t>
      </w:r>
      <w:r w:rsidRPr="00934132">
        <w:rPr>
          <w:rFonts w:eastAsiaTheme="majorEastAsia"/>
          <w:color w:val="000000" w:themeColor="text1"/>
        </w:rPr>
        <w:t xml:space="preserve">Participants beginning with less than $3,500 rarely succeeded regardless of strategy quality—operational costs consumed returns. Those starting with $10,000+ had room for mistakes and could survive learning curves. Initial capital wasn't just about position size - but also determined whether participants could afford to </w:t>
      </w:r>
      <w:proofErr w:type="gramStart"/>
      <w:r w:rsidRPr="00934132">
        <w:rPr>
          <w:rFonts w:eastAsiaTheme="majorEastAsia"/>
          <w:color w:val="000000" w:themeColor="text1"/>
        </w:rPr>
        <w:t>learn</w:t>
      </w:r>
      <w:proofErr w:type="gramEnd"/>
      <w:r w:rsidRPr="00934132">
        <w:rPr>
          <w:rFonts w:eastAsiaTheme="majorEastAsia"/>
          <w:color w:val="000000" w:themeColor="text1"/>
        </w:rPr>
        <w:t xml:space="preserve"> which in turn </w:t>
      </w:r>
      <w:r w:rsidR="00F5135C" w:rsidRPr="00934132">
        <w:rPr>
          <w:rFonts w:eastAsiaTheme="majorEastAsia"/>
          <w:color w:val="000000" w:themeColor="text1"/>
        </w:rPr>
        <w:t>would</w:t>
      </w:r>
      <w:r w:rsidRPr="00934132">
        <w:rPr>
          <w:rFonts w:eastAsiaTheme="majorEastAsia"/>
          <w:color w:val="000000" w:themeColor="text1"/>
        </w:rPr>
        <w:t xml:space="preserve"> allow for better strategy selection.</w:t>
      </w:r>
    </w:p>
    <w:p w14:paraId="3E7044B6" w14:textId="77777777" w:rsidR="00C4187D" w:rsidRPr="00934132" w:rsidRDefault="00C4187D" w:rsidP="006B21E2">
      <w:pPr>
        <w:jc w:val="both"/>
        <w:rPr>
          <w:rFonts w:eastAsiaTheme="majorEastAsia"/>
          <w:b/>
          <w:bCs/>
          <w:color w:val="000000" w:themeColor="text1"/>
        </w:rPr>
      </w:pPr>
      <w:r w:rsidRPr="00934132">
        <w:rPr>
          <w:rFonts w:eastAsiaTheme="majorEastAsia"/>
          <w:b/>
          <w:bCs/>
          <w:color w:val="000000" w:themeColor="text1"/>
        </w:rPr>
        <w:t> </w:t>
      </w:r>
    </w:p>
    <w:p w14:paraId="57A04C4C" w14:textId="498F8F87" w:rsidR="00537CAE" w:rsidRPr="00934132" w:rsidRDefault="00C4187D" w:rsidP="006B21E2">
      <w:pPr>
        <w:jc w:val="both"/>
        <w:rPr>
          <w:rFonts w:eastAsiaTheme="majorEastAsia"/>
          <w:b/>
          <w:bCs/>
          <w:color w:val="000000" w:themeColor="text1"/>
        </w:rPr>
      </w:pPr>
      <w:r w:rsidRPr="00934132">
        <w:rPr>
          <w:rFonts w:eastAsiaTheme="majorEastAsia"/>
          <w:b/>
          <w:bCs/>
          <w:color w:val="000000" w:themeColor="text1"/>
        </w:rPr>
        <w:t xml:space="preserve">Time investment showed diminishing returns. </w:t>
      </w:r>
      <w:r w:rsidRPr="00934132">
        <w:rPr>
          <w:rFonts w:eastAsiaTheme="majorEastAsia"/>
          <w:color w:val="000000" w:themeColor="text1"/>
        </w:rPr>
        <w:t xml:space="preserve">Participants that invested 10-15 hours weekly achieved similar returns to those investing 30+ hours. The difference here </w:t>
      </w:r>
      <w:proofErr w:type="gramStart"/>
      <w:r w:rsidRPr="00934132">
        <w:rPr>
          <w:rFonts w:eastAsiaTheme="majorEastAsia"/>
          <w:color w:val="000000" w:themeColor="text1"/>
        </w:rPr>
        <w:t>were</w:t>
      </w:r>
      <w:proofErr w:type="gramEnd"/>
      <w:r w:rsidRPr="00934132">
        <w:rPr>
          <w:rFonts w:eastAsiaTheme="majorEastAsia"/>
          <w:color w:val="000000" w:themeColor="text1"/>
        </w:rPr>
        <w:t xml:space="preserve"> not the hours invested but the </w:t>
      </w:r>
      <w:proofErr w:type="gramStart"/>
      <w:r w:rsidR="00F5135C" w:rsidRPr="00934132">
        <w:rPr>
          <w:rFonts w:eastAsiaTheme="majorEastAsia"/>
          <w:color w:val="000000" w:themeColor="text1"/>
        </w:rPr>
        <w:t>actually</w:t>
      </w:r>
      <w:proofErr w:type="gramEnd"/>
      <w:r w:rsidRPr="00934132">
        <w:rPr>
          <w:rFonts w:eastAsiaTheme="majorEastAsia"/>
          <w:color w:val="000000" w:themeColor="text1"/>
        </w:rPr>
        <w:t xml:space="preserve"> quality of effort. Successful participants focused on high-impact activities (strategy selection, risk management) rather than constant optimization.</w:t>
      </w:r>
    </w:p>
    <w:p w14:paraId="4E279E44" w14:textId="77777777" w:rsidR="00925D0F" w:rsidRPr="00934132" w:rsidRDefault="00925D0F" w:rsidP="006B21E2">
      <w:pPr>
        <w:jc w:val="both"/>
        <w:rPr>
          <w:rFonts w:eastAsiaTheme="majorEastAsia"/>
          <w:b/>
          <w:bCs/>
          <w:color w:val="000000" w:themeColor="text1"/>
        </w:rPr>
      </w:pPr>
    </w:p>
    <w:p w14:paraId="5C197D8A" w14:textId="2AD3D26B" w:rsidR="00925D0F" w:rsidRPr="00933090" w:rsidRDefault="00925D0F" w:rsidP="006B21E2">
      <w:pPr>
        <w:pStyle w:val="Heading3"/>
        <w:rPr>
          <w:rFonts w:eastAsiaTheme="majorEastAsia"/>
        </w:rPr>
      </w:pPr>
      <w:bookmarkStart w:id="196" w:name="_Toc214722002"/>
      <w:r w:rsidRPr="00933090">
        <w:rPr>
          <w:rFonts w:eastAsiaTheme="majorEastAsia"/>
        </w:rPr>
        <w:t>Figure 8.</w:t>
      </w:r>
      <w:r w:rsidR="00C5607F">
        <w:rPr>
          <w:rFonts w:eastAsiaTheme="majorEastAsia"/>
        </w:rPr>
        <w:t>A</w:t>
      </w:r>
      <w:r w:rsidRPr="00933090">
        <w:rPr>
          <w:rFonts w:eastAsiaTheme="majorEastAsia"/>
        </w:rPr>
        <w:t>: Decision Framework for DeFi Participation Viability</w:t>
      </w:r>
      <w:bookmarkEnd w:id="196"/>
    </w:p>
    <w:p w14:paraId="60C31081" w14:textId="6DA116C5" w:rsidR="00925D0F" w:rsidRDefault="009C0435" w:rsidP="006B21E2">
      <w:pPr>
        <w:jc w:val="center"/>
        <w:rPr>
          <w:rFonts w:eastAsiaTheme="majorEastAsia"/>
          <w:b/>
          <w:bCs/>
          <w:color w:val="000000" w:themeColor="text1"/>
        </w:rPr>
      </w:pPr>
      <w:r>
        <w:rPr>
          <w:rFonts w:eastAsiaTheme="majorEastAsia"/>
          <w:b/>
          <w:bCs/>
          <w:noProof/>
          <w:color w:val="000000" w:themeColor="text1"/>
        </w:rPr>
        <w:lastRenderedPageBreak/>
        <w:drawing>
          <wp:inline distT="0" distB="0" distL="0" distR="0" wp14:anchorId="57F3808C" wp14:editId="744CA128">
            <wp:extent cx="3858989" cy="8624841"/>
            <wp:effectExtent l="0" t="0" r="1905" b="0"/>
            <wp:docPr id="175877498" name="Picture 2" descr="A diagram of a software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7498" name="Picture 2" descr="A diagram of a software company&#10;&#10;AI-generated content may be incorrect."/>
                    <pic:cNvPicPr/>
                  </pic:nvPicPr>
                  <pic:blipFill>
                    <a:blip r:embed="rId14"/>
                    <a:stretch>
                      <a:fillRect/>
                    </a:stretch>
                  </pic:blipFill>
                  <pic:spPr>
                    <a:xfrm>
                      <a:off x="0" y="0"/>
                      <a:ext cx="3931662" cy="8787265"/>
                    </a:xfrm>
                    <a:prstGeom prst="rect">
                      <a:avLst/>
                    </a:prstGeom>
                  </pic:spPr>
                </pic:pic>
              </a:graphicData>
            </a:graphic>
          </wp:inline>
        </w:drawing>
      </w:r>
    </w:p>
    <w:p w14:paraId="0639582E" w14:textId="77777777" w:rsidR="009C0435" w:rsidRDefault="009C0435" w:rsidP="006B21E2">
      <w:pPr>
        <w:jc w:val="both"/>
        <w:rPr>
          <w:rFonts w:eastAsiaTheme="majorEastAsia"/>
          <w:b/>
          <w:bCs/>
          <w:color w:val="000000" w:themeColor="text1"/>
        </w:rPr>
      </w:pPr>
    </w:p>
    <w:p w14:paraId="01F36B70" w14:textId="26564535" w:rsidR="00A022BD" w:rsidRPr="004859D9" w:rsidRDefault="00A022BD" w:rsidP="006B21E2">
      <w:pPr>
        <w:rPr>
          <w:i/>
          <w:iCs/>
          <w:color w:val="000000" w:themeColor="text1"/>
          <w:sz w:val="22"/>
          <w:szCs w:val="22"/>
        </w:rPr>
      </w:pPr>
      <w:r w:rsidRPr="004859D9">
        <w:rPr>
          <w:i/>
          <w:iCs/>
          <w:color w:val="000000" w:themeColor="text1"/>
          <w:sz w:val="22"/>
          <w:szCs w:val="22"/>
        </w:rPr>
        <w:t>Critical Insight</w:t>
      </w:r>
      <w:r w:rsidR="00BB5376" w:rsidRPr="004859D9">
        <w:rPr>
          <w:i/>
          <w:iCs/>
          <w:color w:val="000000" w:themeColor="text1"/>
          <w:sz w:val="22"/>
          <w:szCs w:val="22"/>
        </w:rPr>
        <w:t>:</w:t>
      </w:r>
    </w:p>
    <w:p w14:paraId="494BE127" w14:textId="77777777" w:rsidR="00A022BD" w:rsidRPr="004859D9" w:rsidRDefault="00DF0BD9" w:rsidP="006B21E2">
      <w:pPr>
        <w:pStyle w:val="ListParagraph"/>
        <w:numPr>
          <w:ilvl w:val="0"/>
          <w:numId w:val="232"/>
        </w:numPr>
        <w:rPr>
          <w:color w:val="000000" w:themeColor="text1"/>
          <w:sz w:val="22"/>
          <w:szCs w:val="22"/>
        </w:rPr>
      </w:pPr>
      <w:r w:rsidRPr="004859D9">
        <w:rPr>
          <w:color w:val="000000" w:themeColor="text1"/>
          <w:sz w:val="22"/>
          <w:szCs w:val="22"/>
        </w:rPr>
        <w:t xml:space="preserve">73% (95% CI: 65%-80%; accounting for survivorship bias: likely 73-90%) </w:t>
      </w:r>
      <w:r w:rsidR="00BB5376" w:rsidRPr="004859D9">
        <w:rPr>
          <w:color w:val="000000" w:themeColor="text1"/>
          <w:sz w:val="22"/>
          <w:szCs w:val="22"/>
        </w:rPr>
        <w:t>of all positions were unprofitable</w:t>
      </w:r>
    </w:p>
    <w:p w14:paraId="2D6EAC2C" w14:textId="77777777" w:rsidR="00A022BD" w:rsidRPr="004859D9" w:rsidRDefault="00BB5376" w:rsidP="006B21E2">
      <w:pPr>
        <w:pStyle w:val="ListParagraph"/>
        <w:numPr>
          <w:ilvl w:val="0"/>
          <w:numId w:val="232"/>
        </w:numPr>
        <w:rPr>
          <w:color w:val="000000" w:themeColor="text1"/>
          <w:sz w:val="22"/>
          <w:szCs w:val="22"/>
        </w:rPr>
      </w:pPr>
      <w:r w:rsidRPr="004859D9">
        <w:rPr>
          <w:color w:val="000000" w:themeColor="text1"/>
          <w:sz w:val="22"/>
          <w:szCs w:val="22"/>
        </w:rPr>
        <w:t>Success requires simultaneous alignment of</w:t>
      </w:r>
      <w:r w:rsidR="00A022BD" w:rsidRPr="004859D9">
        <w:rPr>
          <w:color w:val="000000" w:themeColor="text1"/>
          <w:sz w:val="22"/>
          <w:szCs w:val="22"/>
        </w:rPr>
        <w:t xml:space="preserve"> </w:t>
      </w:r>
      <w:r w:rsidRPr="004859D9">
        <w:rPr>
          <w:color w:val="000000" w:themeColor="text1"/>
          <w:sz w:val="22"/>
          <w:szCs w:val="22"/>
        </w:rPr>
        <w:t>Capital AND Competence AND Time AND Risk Tolerance</w:t>
      </w:r>
    </w:p>
    <w:p w14:paraId="574B1786" w14:textId="77777777" w:rsidR="005F6432" w:rsidRPr="004859D9" w:rsidRDefault="00BB5376" w:rsidP="006B21E2">
      <w:pPr>
        <w:rPr>
          <w:i/>
          <w:iCs/>
          <w:color w:val="000000" w:themeColor="text1"/>
          <w:sz w:val="22"/>
          <w:szCs w:val="22"/>
        </w:rPr>
      </w:pPr>
      <w:r w:rsidRPr="004859D9">
        <w:rPr>
          <w:i/>
          <w:iCs/>
          <w:color w:val="000000" w:themeColor="text1"/>
          <w:sz w:val="22"/>
          <w:szCs w:val="22"/>
        </w:rPr>
        <w:t xml:space="preserve">Note: </w:t>
      </w:r>
    </w:p>
    <w:p w14:paraId="58505F94" w14:textId="1F63EB6A" w:rsidR="00BB5376" w:rsidRPr="004859D9" w:rsidRDefault="00BB5376" w:rsidP="006B21E2">
      <w:pPr>
        <w:pStyle w:val="ListParagraph"/>
        <w:numPr>
          <w:ilvl w:val="0"/>
          <w:numId w:val="249"/>
        </w:numPr>
        <w:rPr>
          <w:color w:val="000000" w:themeColor="text1"/>
          <w:sz w:val="22"/>
          <w:szCs w:val="22"/>
        </w:rPr>
      </w:pPr>
      <w:r w:rsidRPr="004859D9">
        <w:rPr>
          <w:color w:val="000000" w:themeColor="text1"/>
          <w:sz w:val="22"/>
          <w:szCs w:val="22"/>
        </w:rPr>
        <w:t>All percentages derived from empirical sample (n=156 positions).</w:t>
      </w:r>
      <w:r w:rsidRPr="004859D9">
        <w:rPr>
          <w:color w:val="000000" w:themeColor="text1"/>
          <w:sz w:val="22"/>
          <w:szCs w:val="22"/>
        </w:rPr>
        <w:br/>
        <w:t>Past performance does not guarantee future results.</w:t>
      </w:r>
      <w:r w:rsidRPr="004859D9">
        <w:rPr>
          <w:color w:val="000000" w:themeColor="text1"/>
          <w:sz w:val="22"/>
          <w:szCs w:val="22"/>
        </w:rPr>
        <w:br/>
        <w:t>Market conditions may materially differ from study period.</w:t>
      </w:r>
    </w:p>
    <w:p w14:paraId="399ADD2B" w14:textId="77777777" w:rsidR="00BB5376" w:rsidRPr="005D62DB" w:rsidRDefault="00BB5376" w:rsidP="006B21E2">
      <w:pPr>
        <w:jc w:val="both"/>
        <w:rPr>
          <w:color w:val="000000" w:themeColor="text1"/>
        </w:rPr>
      </w:pPr>
    </w:p>
    <w:p w14:paraId="7AC4592F" w14:textId="1E6F9459" w:rsidR="00925D0F" w:rsidRPr="005D62DB" w:rsidRDefault="00925D0F" w:rsidP="006B21E2">
      <w:pPr>
        <w:jc w:val="both"/>
        <w:rPr>
          <w:color w:val="000000" w:themeColor="text1"/>
        </w:rPr>
      </w:pPr>
      <w:r w:rsidRPr="005D62DB">
        <w:rPr>
          <w:rStyle w:val="Strong"/>
          <w:color w:val="000000" w:themeColor="text1"/>
        </w:rPr>
        <w:t xml:space="preserve">Figure 8.1 </w:t>
      </w:r>
      <w:r w:rsidR="00BB5376" w:rsidRPr="005D62DB">
        <w:rPr>
          <w:rStyle w:val="Strong"/>
          <w:color w:val="000000" w:themeColor="text1"/>
        </w:rPr>
        <w:t>Interpretive note</w:t>
      </w:r>
      <w:r w:rsidRPr="005D62DB">
        <w:rPr>
          <w:rStyle w:val="Strong"/>
          <w:color w:val="000000" w:themeColor="text1"/>
        </w:rPr>
        <w:t>:</w:t>
      </w:r>
      <w:r w:rsidRPr="005D62DB">
        <w:rPr>
          <w:color w:val="000000" w:themeColor="text1"/>
        </w:rPr>
        <w:t xml:space="preserve"> Decision framework for assessing DeFi participation viability based on empirical findings from 156 tracked positions (2020-2024). Each decision node represents a critical threshold that determines pathway to success or failure. Success rates shown are conditional on proper execution of strategy-resource alignment. All percentages and thresholds are derived from the empirical sample and should be interpreted as patterns within observed contexts rather than universal predictions.</w:t>
      </w:r>
    </w:p>
    <w:p w14:paraId="58684BC4" w14:textId="77777777" w:rsidR="00925D0F" w:rsidRPr="003C66A0" w:rsidRDefault="00925D0F" w:rsidP="006B21E2">
      <w:pPr>
        <w:jc w:val="both"/>
        <w:rPr>
          <w:rFonts w:eastAsiaTheme="majorEastAsia"/>
          <w:b/>
          <w:bCs/>
          <w:color w:val="000000" w:themeColor="text1"/>
        </w:rPr>
      </w:pPr>
    </w:p>
    <w:p w14:paraId="322D2B2A" w14:textId="5184E3EE" w:rsidR="00FC3DF4" w:rsidRPr="003C66A0" w:rsidRDefault="008D6F57" w:rsidP="006B21E2">
      <w:pPr>
        <w:pStyle w:val="Heading2"/>
        <w:rPr>
          <w:rFonts w:eastAsiaTheme="majorEastAsia"/>
        </w:rPr>
      </w:pPr>
      <w:bookmarkStart w:id="197" w:name="_Toc214722003"/>
      <w:r w:rsidRPr="003C66A0">
        <w:rPr>
          <w:rFonts w:eastAsiaTheme="majorEastAsia"/>
        </w:rPr>
        <w:t>8.</w:t>
      </w:r>
      <w:r w:rsidR="00FC3DF4" w:rsidRPr="003C66A0">
        <w:rPr>
          <w:rFonts w:eastAsiaTheme="majorEastAsia"/>
        </w:rPr>
        <w:t>9 Synthesis: The Reality of DeFi Passive Income</w:t>
      </w:r>
      <w:bookmarkEnd w:id="197"/>
    </w:p>
    <w:p w14:paraId="6A290D8B" w14:textId="6AA19B48" w:rsidR="0090483F" w:rsidRPr="003C66A0" w:rsidRDefault="0090483F" w:rsidP="006B21E2">
      <w:pPr>
        <w:jc w:val="both"/>
        <w:rPr>
          <w:rFonts w:eastAsiaTheme="majorEastAsia"/>
          <w:color w:val="000000" w:themeColor="text1"/>
        </w:rPr>
      </w:pPr>
      <w:r w:rsidRPr="003C66A0">
        <w:rPr>
          <w:rFonts w:eastAsiaTheme="majorEastAsia"/>
          <w:color w:val="000000" w:themeColor="text1"/>
        </w:rPr>
        <w:t xml:space="preserve">The empirical analysis of all collected data in </w:t>
      </w:r>
      <w:r w:rsidR="00702CA4" w:rsidRPr="003C66A0">
        <w:rPr>
          <w:rFonts w:eastAsiaTheme="majorEastAsia"/>
          <w:color w:val="000000" w:themeColor="text1"/>
        </w:rPr>
        <w:t>this</w:t>
      </w:r>
      <w:r w:rsidRPr="003C66A0">
        <w:rPr>
          <w:rFonts w:eastAsiaTheme="majorEastAsia"/>
          <w:color w:val="000000" w:themeColor="text1"/>
        </w:rPr>
        <w:t xml:space="preserve"> study shows that cryptocurrency passive income is neither passive nor dependable and stable for </w:t>
      </w:r>
      <w:proofErr w:type="gramStart"/>
      <w:r w:rsidRPr="003C66A0">
        <w:rPr>
          <w:rFonts w:eastAsiaTheme="majorEastAsia"/>
          <w:color w:val="000000" w:themeColor="text1"/>
        </w:rPr>
        <w:t>the majority of</w:t>
      </w:r>
      <w:proofErr w:type="gramEnd"/>
      <w:r w:rsidRPr="003C66A0">
        <w:rPr>
          <w:rFonts w:eastAsiaTheme="majorEastAsia"/>
          <w:color w:val="000000" w:themeColor="text1"/>
        </w:rPr>
        <w:t xml:space="preserve"> participants. The path to </w:t>
      </w:r>
      <w:r w:rsidR="00702CA4" w:rsidRPr="003C66A0">
        <w:rPr>
          <w:rFonts w:eastAsiaTheme="majorEastAsia"/>
          <w:color w:val="000000" w:themeColor="text1"/>
        </w:rPr>
        <w:t>success</w:t>
      </w:r>
      <w:r w:rsidRPr="003C66A0">
        <w:rPr>
          <w:rFonts w:eastAsiaTheme="majorEastAsia"/>
          <w:color w:val="000000" w:themeColor="text1"/>
        </w:rPr>
        <w:t xml:space="preserve"> that works is a lot narrower than advertised, needs more resources than claimed, and gives lower returns than promised.</w:t>
      </w:r>
    </w:p>
    <w:p w14:paraId="43F97AAB" w14:textId="77777777" w:rsidR="0090483F" w:rsidRPr="003C66A0" w:rsidRDefault="0090483F" w:rsidP="006B21E2">
      <w:pPr>
        <w:jc w:val="both"/>
        <w:rPr>
          <w:rFonts w:eastAsiaTheme="majorEastAsia"/>
          <w:color w:val="000000" w:themeColor="text1"/>
        </w:rPr>
      </w:pPr>
    </w:p>
    <w:p w14:paraId="54E3BE8C" w14:textId="77777777" w:rsidR="0090483F" w:rsidRPr="003C66A0" w:rsidRDefault="0090483F" w:rsidP="006B21E2">
      <w:pPr>
        <w:jc w:val="both"/>
        <w:rPr>
          <w:rFonts w:eastAsiaTheme="majorEastAsia"/>
          <w:color w:val="000000" w:themeColor="text1"/>
        </w:rPr>
      </w:pPr>
      <w:r w:rsidRPr="003C66A0">
        <w:rPr>
          <w:rFonts w:eastAsiaTheme="majorEastAsia"/>
          <w:color w:val="000000" w:themeColor="text1"/>
        </w:rPr>
        <w:t xml:space="preserve">Genuine opportunities exist but cluster in specific niches. Stablecoin liquidity provision on L2 networks offers real 4-8% </w:t>
      </w:r>
      <w:proofErr w:type="gramStart"/>
      <w:r w:rsidRPr="003C66A0">
        <w:rPr>
          <w:rFonts w:eastAsiaTheme="majorEastAsia"/>
          <w:color w:val="000000" w:themeColor="text1"/>
        </w:rPr>
        <w:t>returns</w:t>
      </w:r>
      <w:proofErr w:type="gramEnd"/>
      <w:r w:rsidRPr="003C66A0">
        <w:rPr>
          <w:rFonts w:eastAsiaTheme="majorEastAsia"/>
          <w:color w:val="000000" w:themeColor="text1"/>
        </w:rPr>
        <w:t xml:space="preserve"> for participants with $3,500-$10,000 to invest. This is not spectacular, but it is genuine yield from real economic activity. The key requirements—sufficient capital, basic technical competence, realistic expectations, and 10-20 hours weekly—exclude most potential participants but remain achievable for some.</w:t>
      </w:r>
    </w:p>
    <w:p w14:paraId="4011E530" w14:textId="77777777" w:rsidR="0090483F" w:rsidRPr="003C66A0" w:rsidRDefault="0090483F" w:rsidP="006B21E2">
      <w:pPr>
        <w:jc w:val="both"/>
        <w:rPr>
          <w:rFonts w:eastAsiaTheme="majorEastAsia"/>
          <w:color w:val="000000" w:themeColor="text1"/>
        </w:rPr>
      </w:pPr>
    </w:p>
    <w:p w14:paraId="09924499" w14:textId="09E553A1" w:rsidR="0090483F" w:rsidRPr="003C66A0" w:rsidRDefault="0090483F" w:rsidP="006B21E2">
      <w:pPr>
        <w:jc w:val="both"/>
        <w:rPr>
          <w:rFonts w:eastAsiaTheme="majorEastAsia"/>
          <w:color w:val="000000" w:themeColor="text1"/>
        </w:rPr>
      </w:pPr>
      <w:r w:rsidRPr="003C66A0">
        <w:rPr>
          <w:rFonts w:eastAsiaTheme="majorEastAsia"/>
          <w:color w:val="000000" w:themeColor="text1"/>
        </w:rPr>
        <w:t xml:space="preserve">The democratization narrative proved partially true. DeFi did expand access to market-making activities previously restricted to institutions. A teacher with $10,000 can now earn fees from facilitating trades and that shows meaningful progress in </w:t>
      </w:r>
      <w:r w:rsidR="00F5135C" w:rsidRPr="003C66A0">
        <w:rPr>
          <w:rFonts w:eastAsiaTheme="majorEastAsia"/>
          <w:color w:val="000000" w:themeColor="text1"/>
        </w:rPr>
        <w:t>this</w:t>
      </w:r>
      <w:r w:rsidRPr="003C66A0">
        <w:rPr>
          <w:rFonts w:eastAsiaTheme="majorEastAsia"/>
          <w:color w:val="000000" w:themeColor="text1"/>
        </w:rPr>
        <w:t xml:space="preserve"> space. But the barriers didn't </w:t>
      </w:r>
      <w:proofErr w:type="gramStart"/>
      <w:r w:rsidR="00F5135C" w:rsidRPr="003C66A0">
        <w:rPr>
          <w:rFonts w:eastAsiaTheme="majorEastAsia"/>
          <w:color w:val="000000" w:themeColor="text1"/>
        </w:rPr>
        <w:t>disappear</w:t>
      </w:r>
      <w:proofErr w:type="gramEnd"/>
      <w:r w:rsidRPr="003C66A0">
        <w:rPr>
          <w:rFonts w:eastAsiaTheme="majorEastAsia"/>
          <w:color w:val="000000" w:themeColor="text1"/>
        </w:rPr>
        <w:t xml:space="preserve"> they transformed from institutional connections to technical knowledge, from regulatory compliance to gas optimization, from minimum balances to break-even thresholds.</w:t>
      </w:r>
    </w:p>
    <w:p w14:paraId="4B5E531C" w14:textId="77777777" w:rsidR="0090483F" w:rsidRPr="003C66A0" w:rsidRDefault="0090483F" w:rsidP="006B21E2">
      <w:pPr>
        <w:jc w:val="both"/>
        <w:rPr>
          <w:rFonts w:eastAsiaTheme="majorEastAsia"/>
          <w:color w:val="000000" w:themeColor="text1"/>
        </w:rPr>
      </w:pPr>
    </w:p>
    <w:p w14:paraId="75198FF8" w14:textId="2A396395" w:rsidR="00FC3DF4" w:rsidRPr="003C66A0" w:rsidRDefault="00E41C25" w:rsidP="006B21E2">
      <w:pPr>
        <w:jc w:val="both"/>
        <w:rPr>
          <w:rFonts w:eastAsiaTheme="majorEastAsia"/>
          <w:color w:val="000000" w:themeColor="text1"/>
        </w:rPr>
      </w:pPr>
      <w:r w:rsidRPr="003C66A0">
        <w:rPr>
          <w:rFonts w:eastAsiaTheme="majorEastAsia"/>
          <w:color w:val="000000" w:themeColor="text1"/>
        </w:rPr>
        <w:t>These empirical patterns establish clear boundaries around viable participation, suggesting that marketing narratives and technical possibilities diverge significantly from economic realities.</w:t>
      </w:r>
    </w:p>
    <w:p w14:paraId="5526F3B1" w14:textId="77777777" w:rsidR="00172233" w:rsidRPr="003C66A0" w:rsidRDefault="00172233" w:rsidP="006B21E2">
      <w:pPr>
        <w:jc w:val="both"/>
        <w:rPr>
          <w:rFonts w:eastAsiaTheme="majorEastAsia"/>
          <w:b/>
          <w:bCs/>
          <w:color w:val="000000" w:themeColor="text1"/>
        </w:rPr>
      </w:pPr>
    </w:p>
    <w:p w14:paraId="71EB885D" w14:textId="77777777" w:rsidR="00F5135C" w:rsidRDefault="00F5135C" w:rsidP="006B21E2">
      <w:pPr>
        <w:rPr>
          <w:rFonts w:eastAsiaTheme="majorEastAsia"/>
          <w:b/>
          <w:sz w:val="32"/>
        </w:rPr>
      </w:pPr>
      <w:r>
        <w:rPr>
          <w:rFonts w:eastAsiaTheme="majorEastAsia"/>
        </w:rPr>
        <w:br w:type="page"/>
      </w:r>
    </w:p>
    <w:p w14:paraId="75A7FC5D" w14:textId="363EEF37" w:rsidR="001679C7" w:rsidRDefault="001679C7" w:rsidP="00AE1DED">
      <w:pPr>
        <w:pStyle w:val="Heading1"/>
        <w:jc w:val="center"/>
        <w:rPr>
          <w:rFonts w:eastAsiaTheme="majorEastAsia"/>
        </w:rPr>
      </w:pPr>
      <w:bookmarkStart w:id="198" w:name="_Toc214722004"/>
      <w:r w:rsidRPr="003C66A0">
        <w:rPr>
          <w:rFonts w:eastAsiaTheme="majorEastAsia"/>
        </w:rPr>
        <w:lastRenderedPageBreak/>
        <w:t xml:space="preserve">CHAPTER </w:t>
      </w:r>
      <w:r w:rsidR="008D6F57" w:rsidRPr="003C66A0">
        <w:rPr>
          <w:rFonts w:eastAsiaTheme="majorEastAsia"/>
        </w:rPr>
        <w:t>9</w:t>
      </w:r>
      <w:r w:rsidRPr="003C66A0">
        <w:rPr>
          <w:rFonts w:eastAsiaTheme="majorEastAsia"/>
        </w:rPr>
        <w:t xml:space="preserve">: </w:t>
      </w:r>
      <w:r w:rsidR="00FC3DF4" w:rsidRPr="003C66A0">
        <w:rPr>
          <w:rFonts w:eastAsiaTheme="majorEastAsia"/>
        </w:rPr>
        <w:t>SIMULATION MODELING AND FUTURE SCENARIOS</w:t>
      </w:r>
      <w:bookmarkEnd w:id="198"/>
    </w:p>
    <w:p w14:paraId="273519CC" w14:textId="77777777" w:rsidR="00702CA4" w:rsidRPr="00702CA4" w:rsidRDefault="00702CA4" w:rsidP="00AE1DED">
      <w:pPr>
        <w:rPr>
          <w:rFonts w:eastAsiaTheme="majorEastAsia"/>
        </w:rPr>
      </w:pPr>
    </w:p>
    <w:p w14:paraId="0AFCB2FC" w14:textId="77777777" w:rsidR="00F5135C" w:rsidRDefault="00F5135C" w:rsidP="00AE1DED">
      <w:pPr>
        <w:pStyle w:val="Heading2"/>
        <w:rPr>
          <w:rFonts w:eastAsiaTheme="majorEastAsia"/>
        </w:rPr>
      </w:pPr>
    </w:p>
    <w:p w14:paraId="3803501B" w14:textId="701C5BDA" w:rsidR="00FC3DF4" w:rsidRPr="003C66A0" w:rsidRDefault="008D6F57" w:rsidP="00AE1DED">
      <w:pPr>
        <w:pStyle w:val="Heading2"/>
        <w:jc w:val="both"/>
        <w:rPr>
          <w:rFonts w:eastAsiaTheme="majorEastAsia"/>
        </w:rPr>
      </w:pPr>
      <w:bookmarkStart w:id="199" w:name="_Toc214722005"/>
      <w:r w:rsidRPr="003C66A0">
        <w:rPr>
          <w:rFonts w:eastAsiaTheme="majorEastAsia"/>
        </w:rPr>
        <w:t>9</w:t>
      </w:r>
      <w:r w:rsidR="00FC3DF4" w:rsidRPr="003C66A0">
        <w:rPr>
          <w:rFonts w:eastAsiaTheme="majorEastAsia"/>
        </w:rPr>
        <w:t>.1 Introduction: Testing Beyond Historical Patterns</w:t>
      </w:r>
      <w:bookmarkEnd w:id="199"/>
    </w:p>
    <w:p w14:paraId="325553BC" w14:textId="7D7324FC" w:rsidR="00421D9F" w:rsidRPr="003C66A0" w:rsidRDefault="00421D9F" w:rsidP="00AE1DED">
      <w:pPr>
        <w:jc w:val="both"/>
        <w:rPr>
          <w:rFonts w:eastAsiaTheme="majorEastAsia"/>
          <w:bCs/>
          <w:color w:val="000000" w:themeColor="text1"/>
        </w:rPr>
      </w:pPr>
      <w:r w:rsidRPr="003C66A0">
        <w:rPr>
          <w:rFonts w:eastAsiaTheme="majorEastAsia"/>
          <w:bCs/>
          <w:color w:val="000000" w:themeColor="text1"/>
        </w:rPr>
        <w:t>Chapter 8 looked at what really happened from 2020 to 2024. This chapter uses agent-based simulation of 10,000 fake positions and scenario analysis to look at what could happen in the future under different conditions. The goal is not prediction</w:t>
      </w:r>
      <w:r w:rsidR="00F5135C">
        <w:rPr>
          <w:rFonts w:eastAsiaTheme="majorEastAsia"/>
          <w:bCs/>
          <w:color w:val="000000" w:themeColor="text1"/>
        </w:rPr>
        <w:t xml:space="preserve"> - </w:t>
      </w:r>
      <w:r w:rsidRPr="003C66A0">
        <w:rPr>
          <w:rFonts w:eastAsiaTheme="majorEastAsia"/>
          <w:bCs/>
          <w:color w:val="000000" w:themeColor="text1"/>
        </w:rPr>
        <w:t xml:space="preserve">cryptocurrency markets are too complex and reflexive for accurate forecasting. Instead, </w:t>
      </w:r>
      <w:r w:rsidR="00E9333F">
        <w:rPr>
          <w:rFonts w:eastAsiaTheme="majorEastAsia"/>
          <w:bCs/>
          <w:color w:val="000000" w:themeColor="text1"/>
        </w:rPr>
        <w:t>the testing attempts to identify</w:t>
      </w:r>
      <w:r w:rsidRPr="003C66A0">
        <w:rPr>
          <w:rFonts w:eastAsiaTheme="majorEastAsia"/>
          <w:bCs/>
          <w:color w:val="000000" w:themeColor="text1"/>
        </w:rPr>
        <w:t xml:space="preserve"> which patterns hold up in different situations and which ones only work in certain situations that might not last.</w:t>
      </w:r>
    </w:p>
    <w:p w14:paraId="1460C79C" w14:textId="77777777" w:rsidR="00702CA4" w:rsidRDefault="00702CA4" w:rsidP="00AE1DED">
      <w:pPr>
        <w:jc w:val="both"/>
        <w:rPr>
          <w:rFonts w:eastAsiaTheme="majorEastAsia"/>
          <w:bCs/>
          <w:color w:val="000000" w:themeColor="text1"/>
        </w:rPr>
      </w:pPr>
    </w:p>
    <w:p w14:paraId="0E7A2E43" w14:textId="057C80AB" w:rsidR="00421D9F" w:rsidRPr="003C66A0" w:rsidRDefault="00421D9F" w:rsidP="00AE1DED">
      <w:pPr>
        <w:jc w:val="both"/>
        <w:rPr>
          <w:rFonts w:eastAsiaTheme="majorEastAsia"/>
          <w:bCs/>
          <w:color w:val="000000" w:themeColor="text1"/>
        </w:rPr>
      </w:pPr>
      <w:r w:rsidRPr="003C66A0">
        <w:rPr>
          <w:rFonts w:eastAsiaTheme="majorEastAsia"/>
          <w:bCs/>
          <w:color w:val="000000" w:themeColor="text1"/>
        </w:rPr>
        <w:t xml:space="preserve">The simulation method </w:t>
      </w:r>
      <w:proofErr w:type="gramStart"/>
      <w:r w:rsidRPr="003C66A0">
        <w:rPr>
          <w:rFonts w:eastAsiaTheme="majorEastAsia"/>
          <w:bCs/>
          <w:color w:val="000000" w:themeColor="text1"/>
        </w:rPr>
        <w:t>takes into account</w:t>
      </w:r>
      <w:proofErr w:type="gramEnd"/>
      <w:r w:rsidRPr="003C66A0">
        <w:rPr>
          <w:rFonts w:eastAsiaTheme="majorEastAsia"/>
          <w:bCs/>
          <w:color w:val="000000" w:themeColor="text1"/>
        </w:rPr>
        <w:t xml:space="preserve"> the basic uncertainty:</w:t>
      </w:r>
    </w:p>
    <w:p w14:paraId="11084DEB" w14:textId="0A3236CF" w:rsidR="00421D9F" w:rsidRPr="003C66A0" w:rsidRDefault="00421D9F" w:rsidP="00AE1DED">
      <w:pPr>
        <w:pStyle w:val="ListParagraph"/>
        <w:numPr>
          <w:ilvl w:val="0"/>
          <w:numId w:val="106"/>
        </w:numPr>
        <w:jc w:val="both"/>
        <w:outlineLvl w:val="9"/>
        <w:rPr>
          <w:rFonts w:eastAsiaTheme="majorEastAsia"/>
          <w:bCs/>
          <w:color w:val="000000" w:themeColor="text1"/>
        </w:rPr>
      </w:pPr>
      <w:r w:rsidRPr="003C66A0">
        <w:rPr>
          <w:rFonts w:ascii="Tahoma" w:eastAsiaTheme="majorEastAsia" w:hAnsi="Tahoma" w:cs="Tahoma"/>
          <w:bCs/>
          <w:color w:val="000000" w:themeColor="text1"/>
        </w:rPr>
        <w:t>﻿</w:t>
      </w:r>
      <w:r w:rsidRPr="003C66A0">
        <w:rPr>
          <w:rFonts w:eastAsiaTheme="majorEastAsia"/>
          <w:bCs/>
          <w:color w:val="000000" w:themeColor="text1"/>
        </w:rPr>
        <w:t xml:space="preserve">Cryptocurrency markets show reflexivity, which means that observations change the system being </w:t>
      </w:r>
      <w:r w:rsidR="00F5135C" w:rsidRPr="003C66A0">
        <w:rPr>
          <w:rFonts w:eastAsiaTheme="majorEastAsia"/>
          <w:bCs/>
          <w:color w:val="000000" w:themeColor="text1"/>
        </w:rPr>
        <w:t>observed.</w:t>
      </w:r>
      <w:r w:rsidRPr="003C66A0">
        <w:rPr>
          <w:rFonts w:eastAsiaTheme="majorEastAsia"/>
          <w:bCs/>
          <w:color w:val="000000" w:themeColor="text1"/>
        </w:rPr>
        <w:t xml:space="preserve"> </w:t>
      </w:r>
    </w:p>
    <w:p w14:paraId="0E666E36" w14:textId="77777777" w:rsidR="00421D9F" w:rsidRPr="003C66A0" w:rsidRDefault="00421D9F" w:rsidP="00AE1DED">
      <w:pPr>
        <w:pStyle w:val="ListParagraph"/>
        <w:numPr>
          <w:ilvl w:val="0"/>
          <w:numId w:val="106"/>
        </w:numPr>
        <w:jc w:val="both"/>
        <w:outlineLvl w:val="9"/>
        <w:rPr>
          <w:rFonts w:eastAsiaTheme="majorEastAsia"/>
          <w:bCs/>
          <w:color w:val="000000" w:themeColor="text1"/>
        </w:rPr>
      </w:pPr>
      <w:r w:rsidRPr="003C66A0">
        <w:rPr>
          <w:rFonts w:eastAsiaTheme="majorEastAsia"/>
          <w:bCs/>
          <w:color w:val="000000" w:themeColor="text1"/>
        </w:rPr>
        <w:t xml:space="preserve">emergence, which means that system behaviors happen without central coordination; and </w:t>
      </w:r>
    </w:p>
    <w:p w14:paraId="075707E9" w14:textId="77777777" w:rsidR="00421D9F" w:rsidRPr="003C66A0" w:rsidRDefault="00421D9F" w:rsidP="00AE1DED">
      <w:pPr>
        <w:pStyle w:val="ListParagraph"/>
        <w:ind w:left="360"/>
        <w:jc w:val="both"/>
        <w:outlineLvl w:val="9"/>
        <w:rPr>
          <w:rFonts w:eastAsiaTheme="majorEastAsia"/>
          <w:bCs/>
          <w:color w:val="000000" w:themeColor="text1"/>
        </w:rPr>
      </w:pPr>
      <w:r w:rsidRPr="003C66A0">
        <w:rPr>
          <w:rFonts w:eastAsiaTheme="majorEastAsia"/>
          <w:bCs/>
          <w:color w:val="000000" w:themeColor="text1"/>
        </w:rPr>
        <w:t xml:space="preserve">non-stationarity, which means that relationships change over time. </w:t>
      </w:r>
    </w:p>
    <w:p w14:paraId="4237767F" w14:textId="77777777" w:rsidR="00702CA4" w:rsidRDefault="00702CA4" w:rsidP="00AE1DED">
      <w:pPr>
        <w:jc w:val="both"/>
        <w:rPr>
          <w:rFonts w:eastAsiaTheme="majorEastAsia"/>
          <w:bCs/>
          <w:color w:val="000000" w:themeColor="text1"/>
        </w:rPr>
      </w:pPr>
    </w:p>
    <w:p w14:paraId="514755C3" w14:textId="38B1FB9F" w:rsidR="006909FC" w:rsidRDefault="00421D9F" w:rsidP="00AE1DED">
      <w:pPr>
        <w:jc w:val="both"/>
        <w:rPr>
          <w:rFonts w:eastAsiaTheme="majorEastAsia"/>
          <w:bCs/>
          <w:color w:val="000000" w:themeColor="text1"/>
        </w:rPr>
      </w:pPr>
      <w:r w:rsidRPr="003C66A0">
        <w:rPr>
          <w:rFonts w:eastAsiaTheme="majorEastAsia"/>
          <w:bCs/>
          <w:color w:val="000000" w:themeColor="text1"/>
        </w:rPr>
        <w:t xml:space="preserve">Any model is a simplified version of reality, not the real thing. The question isn't whether my models are right; they are </w:t>
      </w:r>
      <w:proofErr w:type="gramStart"/>
      <w:r w:rsidRPr="003C66A0">
        <w:rPr>
          <w:rFonts w:eastAsiaTheme="majorEastAsia"/>
          <w:bCs/>
          <w:color w:val="000000" w:themeColor="text1"/>
        </w:rPr>
        <w:t>definitely wrong</w:t>
      </w:r>
      <w:proofErr w:type="gramEnd"/>
      <w:r w:rsidRPr="003C66A0">
        <w:rPr>
          <w:rFonts w:eastAsiaTheme="majorEastAsia"/>
          <w:bCs/>
          <w:color w:val="000000" w:themeColor="text1"/>
        </w:rPr>
        <w:t xml:space="preserve"> in some important ways. The question is whether they still give useful information even though they have flaws.</w:t>
      </w:r>
    </w:p>
    <w:p w14:paraId="5E815D1C" w14:textId="77777777" w:rsidR="001970FA" w:rsidRDefault="001970FA" w:rsidP="00AE1DED">
      <w:pPr>
        <w:jc w:val="both"/>
        <w:rPr>
          <w:rFonts w:eastAsiaTheme="majorEastAsia"/>
          <w:bCs/>
          <w:color w:val="000000" w:themeColor="text1"/>
        </w:rPr>
      </w:pPr>
    </w:p>
    <w:p w14:paraId="630879AC" w14:textId="77777777" w:rsidR="00C1119B" w:rsidRPr="00E32755" w:rsidRDefault="00C1119B" w:rsidP="00AE1DED">
      <w:pPr>
        <w:pStyle w:val="Heading3"/>
        <w:rPr>
          <w:color w:val="000000" w:themeColor="text1"/>
        </w:rPr>
      </w:pPr>
      <w:bookmarkStart w:id="200" w:name="_Toc214722006"/>
      <w:r w:rsidRPr="00E32755">
        <w:rPr>
          <w:color w:val="000000" w:themeColor="text1"/>
        </w:rPr>
        <w:t>9.1.1 Simulation Limitations and Methodological Constraints</w:t>
      </w:r>
      <w:bookmarkEnd w:id="200"/>
    </w:p>
    <w:p w14:paraId="573097CC" w14:textId="7956CF7D" w:rsidR="00C1119B" w:rsidRPr="00DB1F3D" w:rsidRDefault="00C1119B" w:rsidP="00AE1DED">
      <w:pPr>
        <w:jc w:val="both"/>
        <w:rPr>
          <w:color w:val="000000" w:themeColor="text1"/>
        </w:rPr>
      </w:pPr>
      <w:r w:rsidRPr="00DB1F3D">
        <w:rPr>
          <w:color w:val="000000" w:themeColor="text1"/>
        </w:rPr>
        <w:t xml:space="preserve">Before examining the simulation results, it is essential to establish the boundaries of what these models can and cannot reveal. The limitations </w:t>
      </w:r>
      <w:r w:rsidR="00DB1F3D" w:rsidRPr="00DB1F3D">
        <w:rPr>
          <w:color w:val="000000" w:themeColor="text1"/>
        </w:rPr>
        <w:t xml:space="preserve">identified </w:t>
      </w:r>
      <w:r w:rsidRPr="00DB1F3D">
        <w:rPr>
          <w:color w:val="000000" w:themeColor="text1"/>
        </w:rPr>
        <w:t>fall into three interconnected categories: parameter uncertainty, structural uncertainty, and temporal validity. Understanding these constraints frames the confidence levels for subsequent findings</w:t>
      </w:r>
      <w:r w:rsidR="002D49EF">
        <w:rPr>
          <w:color w:val="000000" w:themeColor="text1"/>
        </w:rPr>
        <w:t>:</w:t>
      </w:r>
    </w:p>
    <w:p w14:paraId="66F0BE3D" w14:textId="77777777" w:rsidR="00324A83" w:rsidRPr="00C1119B" w:rsidRDefault="00324A83" w:rsidP="00AE1DED">
      <w:pPr>
        <w:jc w:val="both"/>
        <w:rPr>
          <w:color w:val="FF0000"/>
        </w:rPr>
      </w:pPr>
    </w:p>
    <w:p w14:paraId="7E3C3E8E" w14:textId="70A53D62" w:rsidR="00C1119B" w:rsidRPr="00632185" w:rsidRDefault="00C1119B" w:rsidP="00AE1DED">
      <w:pPr>
        <w:jc w:val="both"/>
        <w:rPr>
          <w:color w:val="000000" w:themeColor="text1"/>
        </w:rPr>
      </w:pPr>
      <w:r w:rsidRPr="00632185">
        <w:rPr>
          <w:b/>
          <w:bCs/>
          <w:color w:val="000000" w:themeColor="text1"/>
        </w:rPr>
        <w:t>Parameter Uncertainty.</w:t>
      </w:r>
      <w:r w:rsidRPr="00632185">
        <w:rPr>
          <w:color w:val="000000" w:themeColor="text1"/>
        </w:rPr>
        <w:t xml:space="preserve"> The model relies on assumptions about </w:t>
      </w:r>
      <w:proofErr w:type="gramStart"/>
      <w:r w:rsidR="002D49EF" w:rsidRPr="00632185">
        <w:rPr>
          <w:color w:val="000000" w:themeColor="text1"/>
        </w:rPr>
        <w:t>participants</w:t>
      </w:r>
      <w:proofErr w:type="gramEnd"/>
      <w:r w:rsidR="002D49EF" w:rsidRPr="00632185">
        <w:rPr>
          <w:color w:val="000000" w:themeColor="text1"/>
        </w:rPr>
        <w:t xml:space="preserve"> </w:t>
      </w:r>
      <w:r w:rsidRPr="00632185">
        <w:rPr>
          <w:color w:val="000000" w:themeColor="text1"/>
        </w:rPr>
        <w:t xml:space="preserve">behavior, risk tolerance, and capital distribution </w:t>
      </w:r>
      <w:r w:rsidR="002D49EF" w:rsidRPr="00632185">
        <w:rPr>
          <w:color w:val="000000" w:themeColor="text1"/>
        </w:rPr>
        <w:t>based on</w:t>
      </w:r>
      <w:r w:rsidRPr="00632185">
        <w:rPr>
          <w:color w:val="000000" w:themeColor="text1"/>
        </w:rPr>
        <w:t xml:space="preserve"> observed data. However, true population distributions remain unknown. </w:t>
      </w:r>
      <w:r w:rsidR="00632185" w:rsidRPr="00632185">
        <w:rPr>
          <w:color w:val="000000" w:themeColor="text1"/>
        </w:rPr>
        <w:t>The l</w:t>
      </w:r>
      <w:r w:rsidRPr="00632185">
        <w:rPr>
          <w:color w:val="000000" w:themeColor="text1"/>
        </w:rPr>
        <w:t xml:space="preserve">iquidity provider risk tolerance follows a beta distribution (α=2, β=5) based on survey responses, but this represents preferences rather than revealed behavior under stress. Capital distributions and behavioral parameters similarly rest on incomplete information. </w:t>
      </w:r>
      <w:r w:rsidR="00632185" w:rsidRPr="00632185">
        <w:rPr>
          <w:color w:val="000000" w:themeColor="text1"/>
        </w:rPr>
        <w:t>A s</w:t>
      </w:r>
      <w:r w:rsidRPr="00632185">
        <w:rPr>
          <w:color w:val="000000" w:themeColor="text1"/>
        </w:rPr>
        <w:t xml:space="preserve">ensitivity analysis reveals </w:t>
      </w:r>
      <w:r w:rsidR="00632185" w:rsidRPr="00632185">
        <w:rPr>
          <w:color w:val="000000" w:themeColor="text1"/>
        </w:rPr>
        <w:t xml:space="preserve">a </w:t>
      </w:r>
      <w:r w:rsidRPr="00632185">
        <w:rPr>
          <w:color w:val="000000" w:themeColor="text1"/>
        </w:rPr>
        <w:t xml:space="preserve">substantial dependence on these assumptions: results vary ±40% with different gas cost parameters, ±25% with volume distribution changes, and ±35% with behavioral assumptions. </w:t>
      </w:r>
      <w:r w:rsidR="00632185" w:rsidRPr="00632185">
        <w:rPr>
          <w:color w:val="000000" w:themeColor="text1"/>
        </w:rPr>
        <w:t>It is important to note that</w:t>
      </w:r>
      <w:r w:rsidRPr="00632185">
        <w:rPr>
          <w:color w:val="000000" w:themeColor="text1"/>
        </w:rPr>
        <w:t xml:space="preserve"> price path variations create only ±10% differences, suggesting </w:t>
      </w:r>
      <w:r w:rsidR="00632185" w:rsidRPr="00632185">
        <w:rPr>
          <w:color w:val="000000" w:themeColor="text1"/>
        </w:rPr>
        <w:t xml:space="preserve">that </w:t>
      </w:r>
      <w:r w:rsidRPr="00632185">
        <w:rPr>
          <w:color w:val="000000" w:themeColor="text1"/>
        </w:rPr>
        <w:t>operational factors dominate determining profitability</w:t>
      </w:r>
      <w:r w:rsidR="00632185" w:rsidRPr="00632185">
        <w:rPr>
          <w:color w:val="000000" w:themeColor="text1"/>
        </w:rPr>
        <w:t xml:space="preserve"> – and not market movements</w:t>
      </w:r>
      <w:r w:rsidRPr="00632185">
        <w:rPr>
          <w:color w:val="000000" w:themeColor="text1"/>
        </w:rPr>
        <w:t>.</w:t>
      </w:r>
    </w:p>
    <w:p w14:paraId="6F14337C" w14:textId="77777777" w:rsidR="00324A83" w:rsidRPr="00324A83" w:rsidRDefault="00324A83" w:rsidP="00AE1DED">
      <w:pPr>
        <w:jc w:val="both"/>
        <w:rPr>
          <w:b/>
          <w:bCs/>
          <w:color w:val="FF0000"/>
        </w:rPr>
      </w:pPr>
    </w:p>
    <w:p w14:paraId="6838B86E" w14:textId="5254F7E6" w:rsidR="00C1119B" w:rsidRPr="00324A83" w:rsidRDefault="00C1119B" w:rsidP="00AE1DED">
      <w:pPr>
        <w:jc w:val="both"/>
        <w:rPr>
          <w:color w:val="FF0000"/>
        </w:rPr>
      </w:pPr>
      <w:r w:rsidRPr="00E9333F">
        <w:rPr>
          <w:b/>
          <w:bCs/>
          <w:color w:val="000000" w:themeColor="text1"/>
        </w:rPr>
        <w:t>Structural Uncertainty.</w:t>
      </w:r>
      <w:r w:rsidRPr="00E9333F">
        <w:rPr>
          <w:color w:val="000000" w:themeColor="text1"/>
        </w:rPr>
        <w:t xml:space="preserve"> The agent-based architecture makes specific choices about interaction rules and mechanism designs. </w:t>
      </w:r>
      <w:r w:rsidR="00E9333F" w:rsidRPr="00E9333F">
        <w:rPr>
          <w:color w:val="000000" w:themeColor="text1"/>
        </w:rPr>
        <w:t>The a</w:t>
      </w:r>
      <w:r w:rsidRPr="00E9333F">
        <w:rPr>
          <w:color w:val="000000" w:themeColor="text1"/>
        </w:rPr>
        <w:t>gents follow programmed decision rules</w:t>
      </w:r>
      <w:r w:rsidR="00E9333F" w:rsidRPr="00E9333F">
        <w:rPr>
          <w:color w:val="000000" w:themeColor="text1"/>
        </w:rPr>
        <w:t xml:space="preserve"> including </w:t>
      </w:r>
      <w:r w:rsidRPr="00E9333F">
        <w:rPr>
          <w:color w:val="000000" w:themeColor="text1"/>
        </w:rPr>
        <w:t xml:space="preserve">liquidity providers </w:t>
      </w:r>
      <w:r w:rsidR="00E9333F" w:rsidRPr="00E9333F">
        <w:rPr>
          <w:color w:val="000000" w:themeColor="text1"/>
        </w:rPr>
        <w:t xml:space="preserve">that </w:t>
      </w:r>
      <w:r w:rsidRPr="00E9333F">
        <w:rPr>
          <w:color w:val="000000" w:themeColor="text1"/>
        </w:rPr>
        <w:t xml:space="preserve">use threshold-based position management, </w:t>
      </w:r>
      <w:r w:rsidR="00E9333F" w:rsidRPr="00E9333F">
        <w:rPr>
          <w:color w:val="000000" w:themeColor="text1"/>
        </w:rPr>
        <w:t>participants</w:t>
      </w:r>
      <w:r w:rsidRPr="00E9333F">
        <w:rPr>
          <w:color w:val="000000" w:themeColor="text1"/>
        </w:rPr>
        <w:t xml:space="preserve"> </w:t>
      </w:r>
      <w:r w:rsidR="00E9333F" w:rsidRPr="00E9333F">
        <w:rPr>
          <w:color w:val="000000" w:themeColor="text1"/>
        </w:rPr>
        <w:t xml:space="preserve">that </w:t>
      </w:r>
      <w:r w:rsidRPr="00E9333F">
        <w:rPr>
          <w:color w:val="000000" w:themeColor="text1"/>
        </w:rPr>
        <w:t xml:space="preserve">generate volume </w:t>
      </w:r>
      <w:r w:rsidRPr="0090433E">
        <w:rPr>
          <w:color w:val="000000" w:themeColor="text1"/>
        </w:rPr>
        <w:t xml:space="preserve">through non-homogeneous Poisson processes, and protocols </w:t>
      </w:r>
      <w:r w:rsidR="00E9333F" w:rsidRPr="0090433E">
        <w:rPr>
          <w:color w:val="000000" w:themeColor="text1"/>
        </w:rPr>
        <w:t xml:space="preserve">that </w:t>
      </w:r>
      <w:r w:rsidRPr="0090433E">
        <w:rPr>
          <w:color w:val="000000" w:themeColor="text1"/>
        </w:rPr>
        <w:t xml:space="preserve">execute specific invariants. </w:t>
      </w:r>
      <w:r w:rsidR="00E9333F" w:rsidRPr="0090433E">
        <w:rPr>
          <w:color w:val="000000" w:themeColor="text1"/>
        </w:rPr>
        <w:t>The actual r</w:t>
      </w:r>
      <w:r w:rsidRPr="0090433E">
        <w:rPr>
          <w:color w:val="000000" w:themeColor="text1"/>
        </w:rPr>
        <w:t xml:space="preserve">eality involves </w:t>
      </w:r>
      <w:r w:rsidR="00E9333F" w:rsidRPr="0090433E">
        <w:rPr>
          <w:color w:val="000000" w:themeColor="text1"/>
        </w:rPr>
        <w:t xml:space="preserve">many </w:t>
      </w:r>
      <w:r w:rsidRPr="0090433E">
        <w:rPr>
          <w:color w:val="000000" w:themeColor="text1"/>
        </w:rPr>
        <w:t>more complex</w:t>
      </w:r>
      <w:r w:rsidR="00E9333F" w:rsidRPr="0090433E">
        <w:rPr>
          <w:color w:val="000000" w:themeColor="text1"/>
        </w:rPr>
        <w:t xml:space="preserve"> and </w:t>
      </w:r>
      <w:r w:rsidRPr="0090433E">
        <w:rPr>
          <w:color w:val="000000" w:themeColor="text1"/>
        </w:rPr>
        <w:t xml:space="preserve">adaptive behaviors that models cannot fully capture. The emergent properties of complex systems cannot be reliably predicted from component behaviors alone. </w:t>
      </w:r>
      <w:r w:rsidR="0090433E" w:rsidRPr="0090433E">
        <w:rPr>
          <w:color w:val="000000" w:themeColor="text1"/>
        </w:rPr>
        <w:t>A v</w:t>
      </w:r>
      <w:r w:rsidRPr="0090433E">
        <w:rPr>
          <w:color w:val="000000" w:themeColor="text1"/>
        </w:rPr>
        <w:t>alidation against historical data shows this limitation</w:t>
      </w:r>
      <w:r w:rsidR="0090433E" w:rsidRPr="0090433E">
        <w:rPr>
          <w:color w:val="000000" w:themeColor="text1"/>
        </w:rPr>
        <w:t xml:space="preserve"> clearly:</w:t>
      </w:r>
      <w:r w:rsidRPr="0090433E">
        <w:rPr>
          <w:color w:val="000000" w:themeColor="text1"/>
        </w:rPr>
        <w:t xml:space="preserve"> the model achieved 78% accuracy replicating fee generation patterns from 2020-2021, but </w:t>
      </w:r>
      <w:r w:rsidR="0090433E" w:rsidRPr="0090433E">
        <w:rPr>
          <w:color w:val="000000" w:themeColor="text1"/>
        </w:rPr>
        <w:t xml:space="preserve">the </w:t>
      </w:r>
      <w:r w:rsidRPr="0090433E">
        <w:rPr>
          <w:color w:val="000000" w:themeColor="text1"/>
        </w:rPr>
        <w:t xml:space="preserve">accuracy declined to 62% for 2022-2023 data. This deterioration suggests either </w:t>
      </w:r>
      <w:r w:rsidR="0090433E" w:rsidRPr="0090433E">
        <w:rPr>
          <w:color w:val="000000" w:themeColor="text1"/>
        </w:rPr>
        <w:t>adjustments</w:t>
      </w:r>
      <w:r w:rsidRPr="0090433E">
        <w:rPr>
          <w:color w:val="000000" w:themeColor="text1"/>
        </w:rPr>
        <w:t xml:space="preserve"> to training </w:t>
      </w:r>
      <w:r w:rsidRPr="0090433E">
        <w:rPr>
          <w:color w:val="000000" w:themeColor="text1"/>
        </w:rPr>
        <w:lastRenderedPageBreak/>
        <w:t>periods or genuine changes that models cannot anticipate. The model capture</w:t>
      </w:r>
      <w:r w:rsidR="0090433E" w:rsidRPr="0090433E">
        <w:rPr>
          <w:color w:val="000000" w:themeColor="text1"/>
        </w:rPr>
        <w:t>d</w:t>
      </w:r>
      <w:r w:rsidRPr="0090433E">
        <w:rPr>
          <w:color w:val="000000" w:themeColor="text1"/>
        </w:rPr>
        <w:t xml:space="preserve"> broad patterns but systematically misses certain dynamics, particularly MEV extraction spikes and governance-driven changes.</w:t>
      </w:r>
    </w:p>
    <w:p w14:paraId="3032BD41" w14:textId="77777777" w:rsidR="00324A83" w:rsidRPr="00C1119B" w:rsidRDefault="00324A83" w:rsidP="00AE1DED">
      <w:pPr>
        <w:jc w:val="both"/>
        <w:rPr>
          <w:color w:val="FF0000"/>
        </w:rPr>
      </w:pPr>
    </w:p>
    <w:p w14:paraId="630854E9" w14:textId="58A6EE77" w:rsidR="00C1119B" w:rsidRPr="00A03390" w:rsidRDefault="00C1119B" w:rsidP="00AE1DED">
      <w:pPr>
        <w:jc w:val="both"/>
        <w:rPr>
          <w:color w:val="000000" w:themeColor="text1"/>
        </w:rPr>
      </w:pPr>
      <w:r w:rsidRPr="00A03390">
        <w:rPr>
          <w:b/>
          <w:bCs/>
          <w:color w:val="000000" w:themeColor="text1"/>
        </w:rPr>
        <w:t>Temporal Validity and Survivorship Bias.</w:t>
      </w:r>
      <w:r w:rsidRPr="00A03390">
        <w:rPr>
          <w:color w:val="000000" w:themeColor="text1"/>
        </w:rPr>
        <w:t xml:space="preserve"> The 2020-2024 observation period presents exceptional circumstances </w:t>
      </w:r>
      <w:r w:rsidR="00A03390" w:rsidRPr="00A03390">
        <w:rPr>
          <w:color w:val="000000" w:themeColor="text1"/>
        </w:rPr>
        <w:t xml:space="preserve">that are </w:t>
      </w:r>
      <w:r w:rsidRPr="00A03390">
        <w:rPr>
          <w:color w:val="000000" w:themeColor="text1"/>
        </w:rPr>
        <w:t xml:space="preserve">unlikely to recur. </w:t>
      </w:r>
      <w:r w:rsidR="00A03390" w:rsidRPr="00A03390">
        <w:rPr>
          <w:color w:val="000000" w:themeColor="text1"/>
        </w:rPr>
        <w:t>The u</w:t>
      </w:r>
      <w:r w:rsidRPr="00A03390">
        <w:rPr>
          <w:color w:val="000000" w:themeColor="text1"/>
        </w:rPr>
        <w:t xml:space="preserve">nprecedented monetary expansion, regulatory ambiguity, and technological novelty created conditions that represent </w:t>
      </w:r>
      <w:proofErr w:type="gramStart"/>
      <w:r w:rsidRPr="00A03390">
        <w:rPr>
          <w:color w:val="000000" w:themeColor="text1"/>
        </w:rPr>
        <w:t xml:space="preserve">a </w:t>
      </w:r>
      <w:r w:rsidR="00A03390" w:rsidRPr="00A03390">
        <w:rPr>
          <w:color w:val="000000" w:themeColor="text1"/>
        </w:rPr>
        <w:t xml:space="preserve">very </w:t>
      </w:r>
      <w:r w:rsidRPr="00A03390">
        <w:rPr>
          <w:color w:val="000000" w:themeColor="text1"/>
        </w:rPr>
        <w:t>unique</w:t>
      </w:r>
      <w:proofErr w:type="gramEnd"/>
      <w:r w:rsidRPr="00A03390">
        <w:rPr>
          <w:color w:val="000000" w:themeColor="text1"/>
        </w:rPr>
        <w:t xml:space="preserve"> historical moment rather than a sustainable equilibrium. The assumption that </w:t>
      </w:r>
      <w:r w:rsidR="00A03390" w:rsidRPr="00A03390">
        <w:rPr>
          <w:color w:val="000000" w:themeColor="text1"/>
        </w:rPr>
        <w:t xml:space="preserve">the </w:t>
      </w:r>
      <w:r w:rsidRPr="00A03390">
        <w:rPr>
          <w:color w:val="000000" w:themeColor="text1"/>
        </w:rPr>
        <w:t xml:space="preserve">observed relationships will persist </w:t>
      </w:r>
      <w:r w:rsidR="00A03390" w:rsidRPr="00A03390">
        <w:rPr>
          <w:color w:val="000000" w:themeColor="text1"/>
        </w:rPr>
        <w:t>go against the</w:t>
      </w:r>
      <w:r w:rsidRPr="00A03390">
        <w:rPr>
          <w:color w:val="000000" w:themeColor="text1"/>
        </w:rPr>
        <w:t xml:space="preserve"> cryptocurrency markets' fundamental </w:t>
      </w:r>
      <w:r w:rsidR="00A03390" w:rsidRPr="00A03390">
        <w:rPr>
          <w:color w:val="000000" w:themeColor="text1"/>
        </w:rPr>
        <w:t>changes and flexibility</w:t>
      </w:r>
      <w:r w:rsidRPr="00A03390">
        <w:rPr>
          <w:color w:val="000000" w:themeColor="text1"/>
        </w:rPr>
        <w:t xml:space="preserve">, where the structure itself evolves continuously. </w:t>
      </w:r>
      <w:r w:rsidR="00A03390" w:rsidRPr="00A03390">
        <w:rPr>
          <w:color w:val="000000" w:themeColor="text1"/>
        </w:rPr>
        <w:t>Also</w:t>
      </w:r>
      <w:r w:rsidRPr="00A03390">
        <w:rPr>
          <w:color w:val="000000" w:themeColor="text1"/>
        </w:rPr>
        <w:t xml:space="preserve">, </w:t>
      </w:r>
      <w:r w:rsidR="00A03390" w:rsidRPr="00A03390">
        <w:rPr>
          <w:color w:val="000000" w:themeColor="text1"/>
        </w:rPr>
        <w:t xml:space="preserve">the </w:t>
      </w:r>
      <w:r w:rsidRPr="00A03390">
        <w:rPr>
          <w:color w:val="000000" w:themeColor="text1"/>
        </w:rPr>
        <w:t>survivorship bias pervades all observations. Failed positions leave incomplete traces</w:t>
      </w:r>
      <w:r w:rsidR="00A03390" w:rsidRPr="00A03390">
        <w:rPr>
          <w:color w:val="000000" w:themeColor="text1"/>
        </w:rPr>
        <w:t xml:space="preserve"> with </w:t>
      </w:r>
      <w:r w:rsidRPr="00A03390">
        <w:rPr>
          <w:color w:val="000000" w:themeColor="text1"/>
        </w:rPr>
        <w:t xml:space="preserve">an estimated $1.2 billion </w:t>
      </w:r>
      <w:r w:rsidR="00A03390" w:rsidRPr="00A03390">
        <w:rPr>
          <w:color w:val="000000" w:themeColor="text1"/>
        </w:rPr>
        <w:t xml:space="preserve">that </w:t>
      </w:r>
      <w:r w:rsidRPr="00A03390">
        <w:rPr>
          <w:color w:val="000000" w:themeColor="text1"/>
        </w:rPr>
        <w:t xml:space="preserve">sits in abandoned wallets with no accessible transaction history. </w:t>
      </w:r>
      <w:r w:rsidR="00A03390" w:rsidRPr="00A03390">
        <w:rPr>
          <w:color w:val="000000" w:themeColor="text1"/>
        </w:rPr>
        <w:t>Other examples are p</w:t>
      </w:r>
      <w:r w:rsidRPr="00A03390">
        <w:rPr>
          <w:color w:val="000000" w:themeColor="text1"/>
        </w:rPr>
        <w:t>rotocols that failed entirely deleted their infrastructure</w:t>
      </w:r>
      <w:r w:rsidR="00A03390" w:rsidRPr="00A03390">
        <w:rPr>
          <w:color w:val="000000" w:themeColor="text1"/>
        </w:rPr>
        <w:t xml:space="preserve"> and p</w:t>
      </w:r>
      <w:r w:rsidRPr="00A03390">
        <w:rPr>
          <w:color w:val="000000" w:themeColor="text1"/>
        </w:rPr>
        <w:t xml:space="preserve">articipants who lost money rarely document or discuss their experiences publicly. The observable </w:t>
      </w:r>
      <w:r w:rsidR="00A03390" w:rsidRPr="00A03390">
        <w:rPr>
          <w:color w:val="000000" w:themeColor="text1"/>
        </w:rPr>
        <w:t>data</w:t>
      </w:r>
      <w:r w:rsidRPr="00A03390">
        <w:rPr>
          <w:color w:val="000000" w:themeColor="text1"/>
        </w:rPr>
        <w:t xml:space="preserve"> may represent only half of actual activity. The documented 73% unprofitability rate could approach 90% if complete data were available</w:t>
      </w:r>
      <w:r w:rsidR="00A03390" w:rsidRPr="00A03390">
        <w:rPr>
          <w:color w:val="000000" w:themeColor="text1"/>
        </w:rPr>
        <w:t xml:space="preserve">. These numbers remain </w:t>
      </w:r>
      <w:r w:rsidRPr="00A03390">
        <w:rPr>
          <w:color w:val="000000" w:themeColor="text1"/>
        </w:rPr>
        <w:t>speculation given the impossibility of observing what has disappeared.</w:t>
      </w:r>
    </w:p>
    <w:p w14:paraId="198D3CD0" w14:textId="77777777" w:rsidR="00324A83" w:rsidRPr="00C1119B" w:rsidRDefault="00324A83" w:rsidP="00AE1DED">
      <w:pPr>
        <w:jc w:val="both"/>
        <w:rPr>
          <w:color w:val="FF0000"/>
        </w:rPr>
      </w:pPr>
    </w:p>
    <w:p w14:paraId="51AE5FA3" w14:textId="77777777" w:rsidR="00C1119B" w:rsidRPr="0071038A" w:rsidRDefault="00C1119B" w:rsidP="00AE1DED">
      <w:pPr>
        <w:jc w:val="both"/>
        <w:rPr>
          <w:color w:val="000000" w:themeColor="text1"/>
        </w:rPr>
      </w:pPr>
      <w:r w:rsidRPr="0071038A">
        <w:rPr>
          <w:color w:val="000000" w:themeColor="text1"/>
        </w:rPr>
        <w:t>These limitations do not invalidate the analysis but establish appropriate epistemic humility. The simulations identify plausible patterns and boundary conditions rather than precise predictions. Confidence levels vary across findings: high confidence for directional trends (rising capital requirements, return compression), moderate confidence for specific thresholds (network-specific minimums), and low confidence for exact magnitudes and timelines. The value lies not in predictive accuracy but in revealing structural constraints that persist across scenarios, informing realistic expectations about DeFi participation viability.</w:t>
      </w:r>
    </w:p>
    <w:p w14:paraId="6DF4AEC6" w14:textId="5A62AC9C" w:rsidR="00C1119B" w:rsidRPr="00324A83" w:rsidRDefault="00C1119B" w:rsidP="00AE1DED">
      <w:pPr>
        <w:jc w:val="both"/>
      </w:pPr>
      <w:r w:rsidRPr="00C1119B">
        <w:t> </w:t>
      </w:r>
    </w:p>
    <w:p w14:paraId="7A7FF7EB" w14:textId="471C4B77" w:rsidR="00FC3DF4" w:rsidRPr="003C66A0" w:rsidRDefault="008D6F57" w:rsidP="00AE1DED">
      <w:pPr>
        <w:pStyle w:val="Heading2"/>
        <w:jc w:val="both"/>
        <w:rPr>
          <w:rFonts w:eastAsiaTheme="majorEastAsia"/>
        </w:rPr>
      </w:pPr>
      <w:bookmarkStart w:id="201" w:name="_Toc214722007"/>
      <w:r w:rsidRPr="003C66A0">
        <w:rPr>
          <w:rFonts w:eastAsiaTheme="majorEastAsia"/>
        </w:rPr>
        <w:t>9</w:t>
      </w:r>
      <w:r w:rsidR="00FC3DF4" w:rsidRPr="003C66A0">
        <w:rPr>
          <w:rFonts w:eastAsiaTheme="majorEastAsia"/>
        </w:rPr>
        <w:t>.2 Simulation Architecture and Validation</w:t>
      </w:r>
      <w:bookmarkEnd w:id="201"/>
    </w:p>
    <w:p w14:paraId="5F5509D0" w14:textId="60708050" w:rsidR="000B01AE" w:rsidRDefault="000B01AE" w:rsidP="00AE1DED">
      <w:pPr>
        <w:jc w:val="both"/>
        <w:rPr>
          <w:rFonts w:eastAsiaTheme="majorEastAsia"/>
          <w:bCs/>
          <w:color w:val="000000" w:themeColor="text1"/>
        </w:rPr>
      </w:pPr>
      <w:r w:rsidRPr="003C66A0">
        <w:rPr>
          <w:rFonts w:eastAsiaTheme="majorEastAsia"/>
          <w:bCs/>
          <w:color w:val="000000" w:themeColor="text1"/>
        </w:rPr>
        <w:t xml:space="preserve">The agent-based model simulates the different interactions between 10,000 synthetic agents representing liquidity providers, traders, and protocols across varying market conditions. This approach, based in complexity science, allows examination of potential </w:t>
      </w:r>
      <w:r w:rsidR="00702CA4" w:rsidRPr="003C66A0">
        <w:rPr>
          <w:rFonts w:eastAsiaTheme="majorEastAsia"/>
          <w:bCs/>
          <w:color w:val="000000" w:themeColor="text1"/>
        </w:rPr>
        <w:t>patterns</w:t>
      </w:r>
      <w:r w:rsidRPr="003C66A0">
        <w:rPr>
          <w:rFonts w:eastAsiaTheme="majorEastAsia"/>
          <w:bCs/>
          <w:color w:val="000000" w:themeColor="text1"/>
        </w:rPr>
        <w:t xml:space="preserve"> arising from individual behaviors without being </w:t>
      </w:r>
      <w:proofErr w:type="gramStart"/>
      <w:r w:rsidRPr="003C66A0">
        <w:rPr>
          <w:rFonts w:eastAsiaTheme="majorEastAsia"/>
          <w:bCs/>
          <w:color w:val="000000" w:themeColor="text1"/>
        </w:rPr>
        <w:t>reducible</w:t>
      </w:r>
      <w:proofErr w:type="gramEnd"/>
      <w:r w:rsidRPr="003C66A0">
        <w:rPr>
          <w:rFonts w:eastAsiaTheme="majorEastAsia"/>
          <w:bCs/>
          <w:color w:val="000000" w:themeColor="text1"/>
        </w:rPr>
        <w:t xml:space="preserve"> to them.</w:t>
      </w:r>
    </w:p>
    <w:p w14:paraId="1294AAFF" w14:textId="77777777" w:rsidR="001970FA" w:rsidRPr="003C66A0" w:rsidRDefault="001970FA" w:rsidP="00AE1DED">
      <w:pPr>
        <w:jc w:val="both"/>
        <w:rPr>
          <w:rFonts w:eastAsiaTheme="majorEastAsia"/>
          <w:bCs/>
          <w:color w:val="000000" w:themeColor="text1"/>
        </w:rPr>
      </w:pPr>
    </w:p>
    <w:p w14:paraId="5C665138" w14:textId="77777777" w:rsidR="000B01AE" w:rsidRPr="003C66A0" w:rsidRDefault="000B01AE" w:rsidP="00AE1DED">
      <w:pPr>
        <w:jc w:val="both"/>
        <w:rPr>
          <w:rFonts w:eastAsiaTheme="majorEastAsia"/>
          <w:bCs/>
          <w:color w:val="000000" w:themeColor="text1"/>
        </w:rPr>
      </w:pPr>
      <w:r w:rsidRPr="003C66A0">
        <w:rPr>
          <w:rFonts w:eastAsiaTheme="majorEastAsia"/>
          <w:bCs/>
          <w:color w:val="000000" w:themeColor="text1"/>
        </w:rPr>
        <w:t>The model comprises three agent types based on empirical observation:</w:t>
      </w:r>
    </w:p>
    <w:p w14:paraId="411D49DB" w14:textId="77777777" w:rsidR="000B01AE" w:rsidRPr="003C66A0" w:rsidRDefault="000B01AE" w:rsidP="00AE1DED">
      <w:pPr>
        <w:pStyle w:val="ListParagraph"/>
        <w:numPr>
          <w:ilvl w:val="0"/>
          <w:numId w:val="106"/>
        </w:numPr>
        <w:jc w:val="both"/>
        <w:outlineLvl w:val="9"/>
        <w:rPr>
          <w:rFonts w:eastAsiaTheme="majorEastAsia"/>
          <w:bCs/>
          <w:color w:val="000000" w:themeColor="text1"/>
        </w:rPr>
      </w:pPr>
      <w:r w:rsidRPr="003C66A0">
        <w:rPr>
          <w:rFonts w:eastAsiaTheme="majorEastAsia"/>
          <w:bCs/>
          <w:color w:val="000000" w:themeColor="text1"/>
        </w:rPr>
        <w:t xml:space="preserve">Liquidity Provider Agents (n=2,000) make position management decisions based on risk tolerance following beta distribution (α=2, β=5) calibrated to observed conservatism in my survey data. </w:t>
      </w:r>
    </w:p>
    <w:p w14:paraId="0514D5F0" w14:textId="77777777" w:rsidR="000B01AE" w:rsidRPr="003C66A0" w:rsidRDefault="000B01AE" w:rsidP="00AE1DED">
      <w:pPr>
        <w:pStyle w:val="ListParagraph"/>
        <w:numPr>
          <w:ilvl w:val="0"/>
          <w:numId w:val="106"/>
        </w:numPr>
        <w:jc w:val="both"/>
        <w:outlineLvl w:val="9"/>
        <w:rPr>
          <w:rFonts w:eastAsiaTheme="majorEastAsia"/>
          <w:bCs/>
          <w:color w:val="000000" w:themeColor="text1"/>
        </w:rPr>
      </w:pPr>
      <w:r w:rsidRPr="003C66A0">
        <w:rPr>
          <w:rFonts w:eastAsiaTheme="majorEastAsia"/>
          <w:bCs/>
          <w:color w:val="000000" w:themeColor="text1"/>
        </w:rPr>
        <w:t>Trader Agents (n=7,000) create volume using non-homogeneous Poisson processes, with trade sizes that follow a power law and match real-world order flow.</w:t>
      </w:r>
    </w:p>
    <w:p w14:paraId="3B530C5E" w14:textId="7D6ACBAE" w:rsidR="000B01AE" w:rsidRDefault="000B01AE" w:rsidP="00AE1DED">
      <w:pPr>
        <w:pStyle w:val="ListParagraph"/>
        <w:numPr>
          <w:ilvl w:val="0"/>
          <w:numId w:val="106"/>
        </w:numPr>
        <w:jc w:val="both"/>
        <w:outlineLvl w:val="9"/>
        <w:rPr>
          <w:rFonts w:eastAsiaTheme="majorEastAsia"/>
          <w:bCs/>
          <w:color w:val="000000" w:themeColor="text1"/>
        </w:rPr>
      </w:pPr>
      <w:r w:rsidRPr="003C66A0">
        <w:rPr>
          <w:rFonts w:eastAsiaTheme="majorEastAsia"/>
          <w:bCs/>
          <w:color w:val="000000" w:themeColor="text1"/>
        </w:rPr>
        <w:t>Protocol Agents (n=1,000) execute trades according to specific mechanism designs—constant product, concentrated liquidity, or stable swap invariants.</w:t>
      </w:r>
    </w:p>
    <w:p w14:paraId="381A96A2" w14:textId="77777777" w:rsidR="001970FA" w:rsidRPr="003C66A0" w:rsidRDefault="001970FA" w:rsidP="00AE1DED">
      <w:pPr>
        <w:pStyle w:val="ListParagraph"/>
        <w:jc w:val="both"/>
        <w:outlineLvl w:val="9"/>
        <w:rPr>
          <w:rFonts w:eastAsiaTheme="majorEastAsia"/>
          <w:bCs/>
          <w:color w:val="000000" w:themeColor="text1"/>
        </w:rPr>
      </w:pPr>
    </w:p>
    <w:p w14:paraId="7C0E42D8" w14:textId="77777777" w:rsidR="000B01AE" w:rsidRPr="003C66A0" w:rsidRDefault="000B01AE" w:rsidP="00AE1DED">
      <w:pPr>
        <w:jc w:val="both"/>
        <w:rPr>
          <w:rFonts w:eastAsiaTheme="majorEastAsia"/>
          <w:bCs/>
          <w:color w:val="000000" w:themeColor="text1"/>
        </w:rPr>
      </w:pPr>
      <w:r w:rsidRPr="003C66A0">
        <w:rPr>
          <w:rFonts w:eastAsiaTheme="majorEastAsia"/>
          <w:bCs/>
          <w:color w:val="000000" w:themeColor="text1"/>
        </w:rPr>
        <w:t>The model validation showed both strengths and weaknesses. When looking at historical data from 2020 to 2021, it was observed that the fee generation patterns were 78% accurate. But accuracy fell to 62% for data from 2022 to 2023, which could mean that the model was too specific or that the regime changed. The model got the big picture right, but it missed some important details, like spikes caused by MEV and changes in governance.</w:t>
      </w:r>
    </w:p>
    <w:p w14:paraId="4A274A5C" w14:textId="77777777" w:rsidR="000B01AE" w:rsidRPr="003C66A0" w:rsidRDefault="000B01AE" w:rsidP="00AE1DED">
      <w:pPr>
        <w:jc w:val="both"/>
        <w:rPr>
          <w:rFonts w:eastAsiaTheme="majorEastAsia"/>
          <w:bCs/>
          <w:color w:val="000000" w:themeColor="text1"/>
        </w:rPr>
      </w:pPr>
    </w:p>
    <w:p w14:paraId="605C88DB" w14:textId="77777777" w:rsidR="000B01AE" w:rsidRDefault="000B01AE" w:rsidP="00AE1DED">
      <w:pPr>
        <w:jc w:val="both"/>
        <w:rPr>
          <w:rFonts w:eastAsiaTheme="majorEastAsia"/>
          <w:bCs/>
          <w:color w:val="000000" w:themeColor="text1"/>
        </w:rPr>
      </w:pPr>
      <w:r w:rsidRPr="003C66A0">
        <w:rPr>
          <w:rFonts w:eastAsiaTheme="majorEastAsia"/>
          <w:bCs/>
          <w:color w:val="000000" w:themeColor="text1"/>
        </w:rPr>
        <w:t xml:space="preserve">The sensitivity analysis exposed concerning parameter when it came to dependencies. Results varied ±40% with different gas cost assumptions, ±25% with volume distribution changes, and </w:t>
      </w:r>
      <w:r w:rsidRPr="003C66A0">
        <w:rPr>
          <w:rFonts w:eastAsiaTheme="majorEastAsia"/>
          <w:bCs/>
          <w:color w:val="000000" w:themeColor="text1"/>
        </w:rPr>
        <w:lastRenderedPageBreak/>
        <w:t>±35% with behavioral parameters. Surprisingly, price path variations created only ±10% differences, suggesting operational factors dominate market movements in determining profitability—contradicting conventional wisdom about cryptocurrency being "all about price."</w:t>
      </w:r>
    </w:p>
    <w:p w14:paraId="0FE5564A" w14:textId="77777777" w:rsidR="001970FA" w:rsidRPr="003C66A0" w:rsidRDefault="001970FA" w:rsidP="00AE1DED">
      <w:pPr>
        <w:jc w:val="both"/>
        <w:rPr>
          <w:rFonts w:eastAsiaTheme="majorEastAsia"/>
          <w:bCs/>
          <w:color w:val="000000" w:themeColor="text1"/>
        </w:rPr>
      </w:pPr>
    </w:p>
    <w:p w14:paraId="5F9F1C26" w14:textId="77777777" w:rsidR="00981EE0" w:rsidRPr="003C66A0" w:rsidRDefault="008D6F57" w:rsidP="00AE1DED">
      <w:pPr>
        <w:pStyle w:val="Heading2"/>
        <w:jc w:val="both"/>
        <w:rPr>
          <w:rFonts w:eastAsiaTheme="majorEastAsia"/>
        </w:rPr>
      </w:pPr>
      <w:bookmarkStart w:id="202" w:name="_Toc214722008"/>
      <w:r w:rsidRPr="003C66A0">
        <w:rPr>
          <w:rFonts w:eastAsiaTheme="majorEastAsia"/>
        </w:rPr>
        <w:t>9</w:t>
      </w:r>
      <w:r w:rsidR="00FC3DF4" w:rsidRPr="003C66A0">
        <w:rPr>
          <w:rFonts w:eastAsiaTheme="majorEastAsia"/>
        </w:rPr>
        <w:t>.3 F</w:t>
      </w:r>
      <w:r w:rsidR="00661B96" w:rsidRPr="003C66A0">
        <w:rPr>
          <w:rFonts w:eastAsiaTheme="majorEastAsia"/>
        </w:rPr>
        <w:t>our</w:t>
      </w:r>
      <w:r w:rsidR="00231D5B" w:rsidRPr="003C66A0">
        <w:rPr>
          <w:rFonts w:eastAsiaTheme="majorEastAsia"/>
        </w:rPr>
        <w:t xml:space="preserve"> </w:t>
      </w:r>
      <w:r w:rsidR="00FC3DF4" w:rsidRPr="003C66A0">
        <w:rPr>
          <w:rFonts w:eastAsiaTheme="majorEastAsia"/>
        </w:rPr>
        <w:t>Plausible Futures</w:t>
      </w:r>
      <w:bookmarkEnd w:id="202"/>
    </w:p>
    <w:p w14:paraId="73515C5B" w14:textId="3737EA34" w:rsidR="00FC3DF4" w:rsidRPr="003C66A0" w:rsidRDefault="00661B96" w:rsidP="00AE1DED">
      <w:pPr>
        <w:jc w:val="both"/>
        <w:rPr>
          <w:rFonts w:eastAsiaTheme="majorEastAsia"/>
          <w:b/>
          <w:bCs/>
          <w:color w:val="000000" w:themeColor="text1"/>
        </w:rPr>
      </w:pPr>
      <w:r w:rsidRPr="003C66A0">
        <w:rPr>
          <w:rFonts w:eastAsiaTheme="majorEastAsia"/>
          <w:bCs/>
          <w:color w:val="000000" w:themeColor="text1"/>
        </w:rPr>
        <w:t>The s</w:t>
      </w:r>
      <w:r w:rsidR="00FC3DF4" w:rsidRPr="003C66A0">
        <w:rPr>
          <w:rFonts w:eastAsiaTheme="majorEastAsia"/>
          <w:bCs/>
          <w:color w:val="000000" w:themeColor="text1"/>
        </w:rPr>
        <w:t>cenario analysis explores</w:t>
      </w:r>
      <w:r w:rsidR="0010086C" w:rsidRPr="003C66A0">
        <w:rPr>
          <w:rFonts w:eastAsiaTheme="majorEastAsia"/>
          <w:bCs/>
          <w:color w:val="000000" w:themeColor="text1"/>
        </w:rPr>
        <w:t xml:space="preserve"> several</w:t>
      </w:r>
      <w:r w:rsidR="00231D5B" w:rsidRPr="003C66A0">
        <w:rPr>
          <w:rFonts w:eastAsiaTheme="majorEastAsia"/>
          <w:bCs/>
          <w:color w:val="000000" w:themeColor="text1"/>
        </w:rPr>
        <w:t xml:space="preserve"> </w:t>
      </w:r>
      <w:r w:rsidR="00FC3DF4" w:rsidRPr="003C66A0">
        <w:rPr>
          <w:rFonts w:eastAsiaTheme="majorEastAsia"/>
          <w:bCs/>
          <w:color w:val="000000" w:themeColor="text1"/>
        </w:rPr>
        <w:t xml:space="preserve">potential evolutionary paths for DeFi within </w:t>
      </w:r>
      <w:r w:rsidR="0010086C" w:rsidRPr="003C66A0">
        <w:rPr>
          <w:rFonts w:eastAsiaTheme="majorEastAsia"/>
          <w:bCs/>
          <w:color w:val="000000" w:themeColor="text1"/>
        </w:rPr>
        <w:t xml:space="preserve">the next </w:t>
      </w:r>
      <w:r w:rsidR="001B3180" w:rsidRPr="003C66A0">
        <w:rPr>
          <w:rFonts w:eastAsiaTheme="majorEastAsia"/>
          <w:bCs/>
          <w:color w:val="000000" w:themeColor="text1"/>
        </w:rPr>
        <w:t>3–5-year</w:t>
      </w:r>
      <w:r w:rsidR="00FC3DF4" w:rsidRPr="003C66A0">
        <w:rPr>
          <w:rFonts w:eastAsiaTheme="majorEastAsia"/>
          <w:bCs/>
          <w:color w:val="000000" w:themeColor="text1"/>
        </w:rPr>
        <w:t xml:space="preserve"> horizons. None </w:t>
      </w:r>
      <w:r w:rsidR="00981EE0" w:rsidRPr="003C66A0">
        <w:rPr>
          <w:rFonts w:eastAsiaTheme="majorEastAsia"/>
          <w:bCs/>
          <w:color w:val="000000" w:themeColor="text1"/>
        </w:rPr>
        <w:t xml:space="preserve">of this </w:t>
      </w:r>
      <w:r w:rsidR="00FC3DF4" w:rsidRPr="003C66A0">
        <w:rPr>
          <w:rFonts w:eastAsiaTheme="majorEastAsia"/>
          <w:bCs/>
          <w:color w:val="000000" w:themeColor="text1"/>
        </w:rPr>
        <w:t xml:space="preserve">is certain, but all remain plausible based on </w:t>
      </w:r>
      <w:r w:rsidR="00981EE0" w:rsidRPr="003C66A0">
        <w:rPr>
          <w:rFonts w:eastAsiaTheme="majorEastAsia"/>
          <w:bCs/>
          <w:color w:val="000000" w:themeColor="text1"/>
        </w:rPr>
        <w:t xml:space="preserve">the </w:t>
      </w:r>
      <w:r w:rsidR="00FC3DF4" w:rsidRPr="003C66A0">
        <w:rPr>
          <w:rFonts w:eastAsiaTheme="majorEastAsia"/>
          <w:bCs/>
          <w:color w:val="000000" w:themeColor="text1"/>
        </w:rPr>
        <w:t>current trends.</w:t>
      </w:r>
      <w:r w:rsidR="00981EE0" w:rsidRPr="003C66A0">
        <w:rPr>
          <w:rFonts w:eastAsiaTheme="majorEastAsia"/>
          <w:bCs/>
          <w:color w:val="000000" w:themeColor="text1"/>
        </w:rPr>
        <w:t xml:space="preserve"> </w:t>
      </w:r>
    </w:p>
    <w:p w14:paraId="6D60CF02" w14:textId="77777777" w:rsidR="00B860E4" w:rsidRDefault="00B860E4" w:rsidP="00AE1DED">
      <w:pPr>
        <w:jc w:val="both"/>
        <w:rPr>
          <w:rFonts w:ascii="Calibri" w:hAnsi="Calibri" w:cs="Calibri"/>
          <w:b/>
          <w:bCs/>
          <w:sz w:val="32"/>
          <w:szCs w:val="32"/>
        </w:rPr>
      </w:pPr>
    </w:p>
    <w:p w14:paraId="6D27F774" w14:textId="366AAF0E" w:rsidR="00702CA4" w:rsidRPr="00196C19" w:rsidRDefault="00B860E4" w:rsidP="00AE1DED">
      <w:pPr>
        <w:pStyle w:val="Heading3"/>
        <w:rPr>
          <w:rFonts w:eastAsiaTheme="majorEastAsia"/>
        </w:rPr>
      </w:pPr>
      <w:bookmarkStart w:id="203" w:name="_Toc214722009"/>
      <w:r w:rsidRPr="00196C19">
        <w:t>Table 9.</w:t>
      </w:r>
      <w:r w:rsidR="0056677C" w:rsidRPr="00196C19">
        <w:t>A</w:t>
      </w:r>
      <w:r w:rsidRPr="00196C19">
        <w:t xml:space="preserve">: </w:t>
      </w:r>
      <w:r w:rsidR="00196C19" w:rsidRPr="00196C19">
        <w:t>Combined Outcome Box</w:t>
      </w:r>
      <w:bookmarkEnd w:id="203"/>
      <w:r w:rsidR="00196C19" w:rsidRPr="00196C19">
        <w:t xml:space="preserve"> </w:t>
      </w:r>
    </w:p>
    <w:p w14:paraId="21E4219E" w14:textId="77777777" w:rsidR="00B860E4" w:rsidRDefault="00B860E4" w:rsidP="00AE1DED">
      <w:pPr>
        <w:jc w:val="both"/>
        <w:rPr>
          <w:rFonts w:eastAsiaTheme="majorEastAsia"/>
          <w:b/>
          <w:bCs/>
          <w:color w:val="000000" w:themeColor="text1"/>
        </w:rPr>
      </w:pPr>
    </w:p>
    <w:tbl>
      <w:tblPr>
        <w:tblW w:w="9350" w:type="dxa"/>
        <w:tblLook w:val="04A0" w:firstRow="1" w:lastRow="0" w:firstColumn="1" w:lastColumn="0" w:noHBand="0" w:noVBand="1"/>
      </w:tblPr>
      <w:tblGrid>
        <w:gridCol w:w="1960"/>
        <w:gridCol w:w="3700"/>
        <w:gridCol w:w="3690"/>
      </w:tblGrid>
      <w:tr w:rsidR="00324A83" w:rsidRPr="00F76DE4" w14:paraId="0075F7A3" w14:textId="77777777" w:rsidTr="00196C19">
        <w:trPr>
          <w:trHeight w:val="59"/>
        </w:trPr>
        <w:tc>
          <w:tcPr>
            <w:tcW w:w="1960" w:type="dxa"/>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hideMark/>
          </w:tcPr>
          <w:p w14:paraId="4A0A7F95" w14:textId="77777777" w:rsidR="00324A83" w:rsidRPr="00F76DE4" w:rsidRDefault="00324A83" w:rsidP="00AE1DED">
            <w:pPr>
              <w:rPr>
                <w:b/>
                <w:bCs/>
                <w:color w:val="000000"/>
                <w:sz w:val="20"/>
                <w:szCs w:val="20"/>
              </w:rPr>
            </w:pPr>
            <w:r w:rsidRPr="00F76DE4">
              <w:rPr>
                <w:b/>
                <w:bCs/>
                <w:color w:val="000000"/>
                <w:sz w:val="20"/>
                <w:szCs w:val="20"/>
              </w:rPr>
              <w:t>ENTRY BARRIERS →</w:t>
            </w:r>
          </w:p>
        </w:tc>
        <w:tc>
          <w:tcPr>
            <w:tcW w:w="3700"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0FCD449C" w14:textId="77777777" w:rsidR="00324A83" w:rsidRPr="00F76DE4" w:rsidRDefault="00324A83" w:rsidP="00AE1DED">
            <w:pPr>
              <w:rPr>
                <w:b/>
                <w:bCs/>
                <w:color w:val="000000"/>
                <w:sz w:val="20"/>
                <w:szCs w:val="20"/>
              </w:rPr>
            </w:pPr>
            <w:r w:rsidRPr="00F76DE4">
              <w:rPr>
                <w:b/>
                <w:bCs/>
                <w:color w:val="000000"/>
                <w:sz w:val="20"/>
                <w:szCs w:val="20"/>
              </w:rPr>
              <w:t>Low Barriers</w:t>
            </w:r>
          </w:p>
        </w:tc>
        <w:tc>
          <w:tcPr>
            <w:tcW w:w="369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50CDC11B" w14:textId="77777777" w:rsidR="00324A83" w:rsidRPr="00F76DE4" w:rsidRDefault="00324A83" w:rsidP="00AE1DED">
            <w:pPr>
              <w:rPr>
                <w:b/>
                <w:bCs/>
                <w:color w:val="000000"/>
                <w:sz w:val="20"/>
                <w:szCs w:val="20"/>
              </w:rPr>
            </w:pPr>
            <w:r w:rsidRPr="00F76DE4">
              <w:rPr>
                <w:b/>
                <w:bCs/>
                <w:color w:val="000000"/>
                <w:sz w:val="20"/>
                <w:szCs w:val="20"/>
              </w:rPr>
              <w:t>High Barriers</w:t>
            </w:r>
          </w:p>
        </w:tc>
      </w:tr>
      <w:tr w:rsidR="00324A83" w:rsidRPr="00F76DE4" w14:paraId="66D96331" w14:textId="77777777" w:rsidTr="00196C19">
        <w:trPr>
          <w:trHeight w:val="59"/>
        </w:trPr>
        <w:tc>
          <w:tcPr>
            <w:tcW w:w="1960" w:type="dxa"/>
            <w:vMerge w:val="restart"/>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48A9DEFD" w14:textId="77777777" w:rsidR="00324A83" w:rsidRPr="00F76DE4" w:rsidRDefault="00324A83" w:rsidP="00AE1DED">
            <w:pPr>
              <w:rPr>
                <w:b/>
                <w:bCs/>
                <w:color w:val="000000"/>
                <w:sz w:val="20"/>
                <w:szCs w:val="20"/>
              </w:rPr>
            </w:pPr>
            <w:r w:rsidRPr="00F76DE4">
              <w:rPr>
                <w:b/>
                <w:bCs/>
                <w:color w:val="000000"/>
                <w:sz w:val="20"/>
                <w:szCs w:val="20"/>
              </w:rPr>
              <w:t>High Concentration</w:t>
            </w:r>
          </w:p>
        </w:tc>
        <w:tc>
          <w:tcPr>
            <w:tcW w:w="3700" w:type="dxa"/>
            <w:tcBorders>
              <w:top w:val="nil"/>
              <w:left w:val="nil"/>
              <w:bottom w:val="single" w:sz="4" w:space="0" w:color="auto"/>
              <w:right w:val="single" w:sz="4" w:space="0" w:color="auto"/>
            </w:tcBorders>
            <w:vAlign w:val="center"/>
            <w:hideMark/>
          </w:tcPr>
          <w:p w14:paraId="37DC6149" w14:textId="77777777" w:rsidR="00324A83" w:rsidRPr="00F76DE4" w:rsidRDefault="00324A83" w:rsidP="00AE1DED">
            <w:pPr>
              <w:rPr>
                <w:b/>
                <w:bCs/>
                <w:color w:val="000000"/>
                <w:sz w:val="20"/>
                <w:szCs w:val="20"/>
              </w:rPr>
            </w:pPr>
            <w:r w:rsidRPr="00F76DE4">
              <w:rPr>
                <w:b/>
                <w:bCs/>
                <w:color w:val="000000"/>
                <w:sz w:val="20"/>
                <w:szCs w:val="20"/>
              </w:rPr>
              <w:t>Scenario 4: Market Maturation (20%)</w:t>
            </w:r>
          </w:p>
        </w:tc>
        <w:tc>
          <w:tcPr>
            <w:tcW w:w="3690" w:type="dxa"/>
            <w:tcBorders>
              <w:top w:val="nil"/>
              <w:left w:val="nil"/>
              <w:bottom w:val="single" w:sz="4" w:space="0" w:color="auto"/>
              <w:right w:val="single" w:sz="8" w:space="0" w:color="auto"/>
            </w:tcBorders>
            <w:vAlign w:val="center"/>
            <w:hideMark/>
          </w:tcPr>
          <w:p w14:paraId="1C8CF681" w14:textId="77777777" w:rsidR="00324A83" w:rsidRPr="00F76DE4" w:rsidRDefault="00324A83" w:rsidP="00AE1DED">
            <w:pPr>
              <w:rPr>
                <w:b/>
                <w:bCs/>
                <w:color w:val="000000"/>
                <w:sz w:val="20"/>
                <w:szCs w:val="20"/>
              </w:rPr>
            </w:pPr>
            <w:r w:rsidRPr="00F76DE4">
              <w:rPr>
                <w:b/>
                <w:bCs/>
                <w:color w:val="000000"/>
                <w:sz w:val="20"/>
                <w:szCs w:val="20"/>
              </w:rPr>
              <w:t>Scenario 1: Institutional Dominance (35%)</w:t>
            </w:r>
          </w:p>
        </w:tc>
      </w:tr>
      <w:tr w:rsidR="00324A83" w:rsidRPr="00F76DE4" w14:paraId="17FA873B" w14:textId="77777777" w:rsidTr="00196C19">
        <w:trPr>
          <w:trHeight w:val="69"/>
        </w:trPr>
        <w:tc>
          <w:tcPr>
            <w:tcW w:w="1960" w:type="dxa"/>
            <w:vMerge/>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3CBF2EB6" w14:textId="77777777" w:rsidR="00324A83" w:rsidRPr="00F76DE4" w:rsidRDefault="00324A83" w:rsidP="00AE1DED">
            <w:pPr>
              <w:rPr>
                <w:b/>
                <w:bCs/>
                <w:color w:val="000000"/>
                <w:sz w:val="20"/>
                <w:szCs w:val="20"/>
              </w:rPr>
            </w:pPr>
          </w:p>
        </w:tc>
        <w:tc>
          <w:tcPr>
            <w:tcW w:w="3700" w:type="dxa"/>
            <w:tcBorders>
              <w:top w:val="nil"/>
              <w:left w:val="nil"/>
              <w:bottom w:val="single" w:sz="4" w:space="0" w:color="auto"/>
              <w:right w:val="single" w:sz="4" w:space="0" w:color="auto"/>
            </w:tcBorders>
            <w:vAlign w:val="center"/>
            <w:hideMark/>
          </w:tcPr>
          <w:p w14:paraId="0D6FC2C7" w14:textId="77777777" w:rsidR="00324A83" w:rsidRPr="00F76DE4" w:rsidRDefault="00324A83" w:rsidP="00AE1DED">
            <w:pPr>
              <w:rPr>
                <w:color w:val="000000"/>
                <w:sz w:val="20"/>
                <w:szCs w:val="20"/>
              </w:rPr>
            </w:pPr>
            <w:r w:rsidRPr="00F76DE4">
              <w:rPr>
                <w:color w:val="000000"/>
                <w:sz w:val="20"/>
                <w:szCs w:val="20"/>
              </w:rPr>
              <w:t>Timeline: 2025-2030</w:t>
            </w:r>
          </w:p>
        </w:tc>
        <w:tc>
          <w:tcPr>
            <w:tcW w:w="3690" w:type="dxa"/>
            <w:tcBorders>
              <w:top w:val="nil"/>
              <w:left w:val="nil"/>
              <w:bottom w:val="single" w:sz="4" w:space="0" w:color="auto"/>
              <w:right w:val="single" w:sz="8" w:space="0" w:color="auto"/>
            </w:tcBorders>
            <w:vAlign w:val="center"/>
            <w:hideMark/>
          </w:tcPr>
          <w:p w14:paraId="13900AC9" w14:textId="77777777" w:rsidR="00324A83" w:rsidRPr="00F76DE4" w:rsidRDefault="00324A83" w:rsidP="00AE1DED">
            <w:pPr>
              <w:rPr>
                <w:color w:val="000000"/>
                <w:sz w:val="20"/>
                <w:szCs w:val="20"/>
              </w:rPr>
            </w:pPr>
            <w:r w:rsidRPr="00F76DE4">
              <w:rPr>
                <w:color w:val="000000"/>
                <w:sz w:val="20"/>
                <w:szCs w:val="20"/>
              </w:rPr>
              <w:t>Timeline: 2025-2030</w:t>
            </w:r>
          </w:p>
        </w:tc>
      </w:tr>
      <w:tr w:rsidR="00324A83" w:rsidRPr="00F76DE4" w14:paraId="291EE122" w14:textId="77777777" w:rsidTr="00196C19">
        <w:trPr>
          <w:trHeight w:val="69"/>
        </w:trPr>
        <w:tc>
          <w:tcPr>
            <w:tcW w:w="1960" w:type="dxa"/>
            <w:vMerge/>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01229D7B" w14:textId="77777777" w:rsidR="00324A83" w:rsidRPr="00F76DE4" w:rsidRDefault="00324A83" w:rsidP="00AE1DED">
            <w:pPr>
              <w:rPr>
                <w:b/>
                <w:bCs/>
                <w:color w:val="000000"/>
                <w:sz w:val="20"/>
                <w:szCs w:val="20"/>
              </w:rPr>
            </w:pPr>
          </w:p>
        </w:tc>
        <w:tc>
          <w:tcPr>
            <w:tcW w:w="3700" w:type="dxa"/>
            <w:tcBorders>
              <w:top w:val="nil"/>
              <w:left w:val="nil"/>
              <w:bottom w:val="single" w:sz="4" w:space="0" w:color="auto"/>
              <w:right w:val="single" w:sz="4" w:space="0" w:color="auto"/>
            </w:tcBorders>
            <w:vAlign w:val="center"/>
            <w:hideMark/>
          </w:tcPr>
          <w:p w14:paraId="28003042" w14:textId="77777777" w:rsidR="00324A83" w:rsidRPr="00F76DE4" w:rsidRDefault="00324A83" w:rsidP="00AE1DED">
            <w:pPr>
              <w:rPr>
                <w:color w:val="000000"/>
                <w:sz w:val="20"/>
                <w:szCs w:val="20"/>
              </w:rPr>
            </w:pPr>
            <w:r w:rsidRPr="00F76DE4">
              <w:rPr>
                <w:color w:val="000000"/>
                <w:sz w:val="20"/>
                <w:szCs w:val="20"/>
              </w:rPr>
              <w:t>• IL ↓ 70%, Fees ↓ 50%</w:t>
            </w:r>
          </w:p>
        </w:tc>
        <w:tc>
          <w:tcPr>
            <w:tcW w:w="3690" w:type="dxa"/>
            <w:tcBorders>
              <w:top w:val="nil"/>
              <w:left w:val="nil"/>
              <w:bottom w:val="single" w:sz="4" w:space="0" w:color="auto"/>
              <w:right w:val="single" w:sz="8" w:space="0" w:color="auto"/>
            </w:tcBorders>
            <w:vAlign w:val="center"/>
            <w:hideMark/>
          </w:tcPr>
          <w:p w14:paraId="2A480CC6" w14:textId="77777777" w:rsidR="00324A83" w:rsidRPr="00F76DE4" w:rsidRDefault="00324A83" w:rsidP="00AE1DED">
            <w:pPr>
              <w:rPr>
                <w:color w:val="000000"/>
                <w:sz w:val="20"/>
                <w:szCs w:val="20"/>
              </w:rPr>
            </w:pPr>
            <w:r w:rsidRPr="00F76DE4">
              <w:rPr>
                <w:color w:val="000000"/>
                <w:sz w:val="20"/>
                <w:szCs w:val="20"/>
              </w:rPr>
              <w:t>• Retail returns compress 60%</w:t>
            </w:r>
          </w:p>
        </w:tc>
      </w:tr>
      <w:tr w:rsidR="00324A83" w:rsidRPr="00F76DE4" w14:paraId="7A29BCE4" w14:textId="77777777" w:rsidTr="00196C19">
        <w:trPr>
          <w:trHeight w:val="69"/>
        </w:trPr>
        <w:tc>
          <w:tcPr>
            <w:tcW w:w="1960" w:type="dxa"/>
            <w:vMerge/>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20AFA557" w14:textId="77777777" w:rsidR="00324A83" w:rsidRPr="00F76DE4" w:rsidRDefault="00324A83" w:rsidP="00AE1DED">
            <w:pPr>
              <w:rPr>
                <w:b/>
                <w:bCs/>
                <w:color w:val="000000"/>
                <w:sz w:val="20"/>
                <w:szCs w:val="20"/>
              </w:rPr>
            </w:pPr>
          </w:p>
        </w:tc>
        <w:tc>
          <w:tcPr>
            <w:tcW w:w="3700" w:type="dxa"/>
            <w:tcBorders>
              <w:top w:val="nil"/>
              <w:left w:val="nil"/>
              <w:bottom w:val="single" w:sz="4" w:space="0" w:color="auto"/>
              <w:right w:val="single" w:sz="4" w:space="0" w:color="auto"/>
            </w:tcBorders>
            <w:vAlign w:val="center"/>
            <w:hideMark/>
          </w:tcPr>
          <w:p w14:paraId="0D66BD7B" w14:textId="77777777" w:rsidR="00324A83" w:rsidRPr="00F76DE4" w:rsidRDefault="00324A83" w:rsidP="00AE1DED">
            <w:pPr>
              <w:rPr>
                <w:color w:val="000000"/>
                <w:sz w:val="20"/>
                <w:szCs w:val="20"/>
              </w:rPr>
            </w:pPr>
            <w:r w:rsidRPr="00F76DE4">
              <w:rPr>
                <w:color w:val="000000"/>
                <w:sz w:val="20"/>
                <w:szCs w:val="20"/>
              </w:rPr>
              <w:t>• Returns: 2-5% annually</w:t>
            </w:r>
          </w:p>
        </w:tc>
        <w:tc>
          <w:tcPr>
            <w:tcW w:w="3690" w:type="dxa"/>
            <w:tcBorders>
              <w:top w:val="nil"/>
              <w:left w:val="nil"/>
              <w:bottom w:val="single" w:sz="4" w:space="0" w:color="auto"/>
              <w:right w:val="single" w:sz="8" w:space="0" w:color="auto"/>
            </w:tcBorders>
            <w:vAlign w:val="center"/>
            <w:hideMark/>
          </w:tcPr>
          <w:p w14:paraId="397FE2BA" w14:textId="77777777" w:rsidR="00324A83" w:rsidRPr="00F76DE4" w:rsidRDefault="00324A83" w:rsidP="00AE1DED">
            <w:pPr>
              <w:rPr>
                <w:color w:val="000000"/>
                <w:sz w:val="20"/>
                <w:szCs w:val="20"/>
              </w:rPr>
            </w:pPr>
            <w:r w:rsidRPr="00F76DE4">
              <w:rPr>
                <w:color w:val="000000"/>
                <w:sz w:val="20"/>
                <w:szCs w:val="20"/>
              </w:rPr>
              <w:t>• Minimum viable rises 10×</w:t>
            </w:r>
          </w:p>
        </w:tc>
      </w:tr>
      <w:tr w:rsidR="00324A83" w:rsidRPr="00F76DE4" w14:paraId="24028024" w14:textId="77777777" w:rsidTr="00196C19">
        <w:trPr>
          <w:trHeight w:val="69"/>
        </w:trPr>
        <w:tc>
          <w:tcPr>
            <w:tcW w:w="1960" w:type="dxa"/>
            <w:vMerge/>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2E406BB8" w14:textId="77777777" w:rsidR="00324A83" w:rsidRPr="00F76DE4" w:rsidRDefault="00324A83" w:rsidP="00AE1DED">
            <w:pPr>
              <w:rPr>
                <w:b/>
                <w:bCs/>
                <w:color w:val="000000"/>
                <w:sz w:val="20"/>
                <w:szCs w:val="20"/>
              </w:rPr>
            </w:pPr>
          </w:p>
        </w:tc>
        <w:tc>
          <w:tcPr>
            <w:tcW w:w="3700" w:type="dxa"/>
            <w:tcBorders>
              <w:top w:val="nil"/>
              <w:left w:val="nil"/>
              <w:bottom w:val="single" w:sz="4" w:space="0" w:color="auto"/>
              <w:right w:val="single" w:sz="4" w:space="0" w:color="auto"/>
            </w:tcBorders>
            <w:vAlign w:val="center"/>
            <w:hideMark/>
          </w:tcPr>
          <w:p w14:paraId="7871331A" w14:textId="77777777" w:rsidR="00324A83" w:rsidRPr="00F76DE4" w:rsidRDefault="00324A83" w:rsidP="00AE1DED">
            <w:pPr>
              <w:rPr>
                <w:color w:val="000000"/>
                <w:sz w:val="20"/>
                <w:szCs w:val="20"/>
              </w:rPr>
            </w:pPr>
            <w:r w:rsidRPr="00F76DE4">
              <w:rPr>
                <w:color w:val="000000"/>
                <w:sz w:val="20"/>
                <w:szCs w:val="20"/>
              </w:rPr>
              <w:t>• Volatility convergence</w:t>
            </w:r>
          </w:p>
        </w:tc>
        <w:tc>
          <w:tcPr>
            <w:tcW w:w="3690" w:type="dxa"/>
            <w:tcBorders>
              <w:top w:val="nil"/>
              <w:left w:val="nil"/>
              <w:bottom w:val="single" w:sz="4" w:space="0" w:color="auto"/>
              <w:right w:val="single" w:sz="8" w:space="0" w:color="auto"/>
            </w:tcBorders>
            <w:vAlign w:val="center"/>
            <w:hideMark/>
          </w:tcPr>
          <w:p w14:paraId="29C274AB" w14:textId="77777777" w:rsidR="00324A83" w:rsidRPr="00F76DE4" w:rsidRDefault="00324A83" w:rsidP="00AE1DED">
            <w:pPr>
              <w:rPr>
                <w:color w:val="000000"/>
                <w:sz w:val="20"/>
                <w:szCs w:val="20"/>
              </w:rPr>
            </w:pPr>
            <w:r w:rsidRPr="00F76DE4">
              <w:rPr>
                <w:color w:val="000000"/>
                <w:sz w:val="20"/>
                <w:szCs w:val="20"/>
              </w:rPr>
              <w:t xml:space="preserve">• </w:t>
            </w:r>
            <w:proofErr w:type="spellStart"/>
            <w:r w:rsidRPr="00F76DE4">
              <w:rPr>
                <w:color w:val="000000"/>
                <w:sz w:val="20"/>
                <w:szCs w:val="20"/>
              </w:rPr>
              <w:t>TradFi</w:t>
            </w:r>
            <w:proofErr w:type="spellEnd"/>
            <w:r w:rsidRPr="00F76DE4">
              <w:rPr>
                <w:color w:val="000000"/>
                <w:sz w:val="20"/>
                <w:szCs w:val="20"/>
              </w:rPr>
              <w:t xml:space="preserve"> with blockchain</w:t>
            </w:r>
          </w:p>
        </w:tc>
      </w:tr>
      <w:tr w:rsidR="00324A83" w:rsidRPr="00F76DE4" w14:paraId="0FB669AD" w14:textId="77777777" w:rsidTr="00196C19">
        <w:trPr>
          <w:trHeight w:val="69"/>
        </w:trPr>
        <w:tc>
          <w:tcPr>
            <w:tcW w:w="1960" w:type="dxa"/>
            <w:vMerge/>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0EFAAB84" w14:textId="77777777" w:rsidR="00324A83" w:rsidRPr="00F76DE4" w:rsidRDefault="00324A83" w:rsidP="00AE1DED">
            <w:pPr>
              <w:rPr>
                <w:b/>
                <w:bCs/>
                <w:color w:val="000000"/>
                <w:sz w:val="20"/>
                <w:szCs w:val="20"/>
              </w:rPr>
            </w:pPr>
          </w:p>
        </w:tc>
        <w:tc>
          <w:tcPr>
            <w:tcW w:w="3700" w:type="dxa"/>
            <w:tcBorders>
              <w:top w:val="nil"/>
              <w:left w:val="nil"/>
              <w:bottom w:val="single" w:sz="4" w:space="0" w:color="auto"/>
              <w:right w:val="single" w:sz="4" w:space="0" w:color="auto"/>
            </w:tcBorders>
            <w:vAlign w:val="center"/>
            <w:hideMark/>
          </w:tcPr>
          <w:p w14:paraId="4192908A" w14:textId="77777777" w:rsidR="00324A83" w:rsidRPr="00F76DE4" w:rsidRDefault="00324A83" w:rsidP="00AE1DED">
            <w:pPr>
              <w:rPr>
                <w:i/>
                <w:iCs/>
                <w:color w:val="000000"/>
                <w:sz w:val="20"/>
                <w:szCs w:val="20"/>
              </w:rPr>
            </w:pPr>
            <w:r w:rsidRPr="00F76DE4">
              <w:rPr>
                <w:i/>
                <w:iCs/>
                <w:color w:val="000000"/>
                <w:sz w:val="20"/>
                <w:szCs w:val="20"/>
              </w:rPr>
              <w:t>Retail: Boring bank returns</w:t>
            </w:r>
          </w:p>
        </w:tc>
        <w:tc>
          <w:tcPr>
            <w:tcW w:w="3690" w:type="dxa"/>
            <w:tcBorders>
              <w:top w:val="nil"/>
              <w:left w:val="nil"/>
              <w:bottom w:val="single" w:sz="4" w:space="0" w:color="auto"/>
              <w:right w:val="single" w:sz="8" w:space="0" w:color="auto"/>
            </w:tcBorders>
            <w:vAlign w:val="center"/>
            <w:hideMark/>
          </w:tcPr>
          <w:p w14:paraId="2EBFD0B5" w14:textId="77777777" w:rsidR="00324A83" w:rsidRPr="00F76DE4" w:rsidRDefault="00324A83" w:rsidP="00AE1DED">
            <w:pPr>
              <w:rPr>
                <w:i/>
                <w:iCs/>
                <w:color w:val="000000"/>
                <w:sz w:val="20"/>
                <w:szCs w:val="20"/>
              </w:rPr>
            </w:pPr>
            <w:r w:rsidRPr="00F76DE4">
              <w:rPr>
                <w:i/>
                <w:iCs/>
                <w:color w:val="000000"/>
                <w:sz w:val="20"/>
                <w:szCs w:val="20"/>
              </w:rPr>
              <w:t>Retail: Consumer not provider</w:t>
            </w:r>
          </w:p>
        </w:tc>
      </w:tr>
      <w:tr w:rsidR="00324A83" w:rsidRPr="00F76DE4" w14:paraId="1D10689A" w14:textId="77777777" w:rsidTr="00196C19">
        <w:trPr>
          <w:trHeight w:val="98"/>
        </w:trPr>
        <w:tc>
          <w:tcPr>
            <w:tcW w:w="1960" w:type="dxa"/>
            <w:vMerge w:val="restart"/>
            <w:tcBorders>
              <w:top w:val="nil"/>
              <w:left w:val="single" w:sz="8" w:space="0" w:color="auto"/>
              <w:bottom w:val="single" w:sz="8" w:space="0" w:color="000000"/>
              <w:right w:val="single" w:sz="8" w:space="0" w:color="auto"/>
            </w:tcBorders>
            <w:shd w:val="clear" w:color="auto" w:fill="D9D9D9" w:themeFill="background1" w:themeFillShade="D9"/>
            <w:vAlign w:val="center"/>
            <w:hideMark/>
          </w:tcPr>
          <w:p w14:paraId="6400D4FB" w14:textId="77777777" w:rsidR="00324A83" w:rsidRPr="00F76DE4" w:rsidRDefault="00324A83" w:rsidP="00AE1DED">
            <w:pPr>
              <w:rPr>
                <w:b/>
                <w:bCs/>
                <w:color w:val="000000"/>
                <w:sz w:val="20"/>
                <w:szCs w:val="20"/>
              </w:rPr>
            </w:pPr>
            <w:r w:rsidRPr="00F76DE4">
              <w:rPr>
                <w:b/>
                <w:bCs/>
                <w:color w:val="000000"/>
                <w:sz w:val="20"/>
                <w:szCs w:val="20"/>
              </w:rPr>
              <w:t>Low Concentration</w:t>
            </w:r>
          </w:p>
        </w:tc>
        <w:tc>
          <w:tcPr>
            <w:tcW w:w="3700" w:type="dxa"/>
            <w:tcBorders>
              <w:top w:val="nil"/>
              <w:left w:val="nil"/>
              <w:bottom w:val="single" w:sz="4" w:space="0" w:color="auto"/>
              <w:right w:val="single" w:sz="4" w:space="0" w:color="auto"/>
            </w:tcBorders>
            <w:vAlign w:val="center"/>
            <w:hideMark/>
          </w:tcPr>
          <w:p w14:paraId="0EF797CC" w14:textId="77777777" w:rsidR="00324A83" w:rsidRPr="00F76DE4" w:rsidRDefault="00324A83" w:rsidP="00AE1DED">
            <w:pPr>
              <w:rPr>
                <w:b/>
                <w:bCs/>
                <w:color w:val="000000"/>
                <w:sz w:val="20"/>
                <w:szCs w:val="20"/>
              </w:rPr>
            </w:pPr>
            <w:r w:rsidRPr="00F76DE4">
              <w:rPr>
                <w:b/>
                <w:bCs/>
                <w:color w:val="000000"/>
                <w:sz w:val="20"/>
                <w:szCs w:val="20"/>
              </w:rPr>
              <w:t>Scenario 3: Technical Breakthrough (20%)</w:t>
            </w:r>
          </w:p>
        </w:tc>
        <w:tc>
          <w:tcPr>
            <w:tcW w:w="3690" w:type="dxa"/>
            <w:tcBorders>
              <w:top w:val="nil"/>
              <w:left w:val="nil"/>
              <w:bottom w:val="single" w:sz="4" w:space="0" w:color="auto"/>
              <w:right w:val="single" w:sz="8" w:space="0" w:color="auto"/>
            </w:tcBorders>
            <w:vAlign w:val="center"/>
            <w:hideMark/>
          </w:tcPr>
          <w:p w14:paraId="4B873531" w14:textId="77777777" w:rsidR="00324A83" w:rsidRPr="00F76DE4" w:rsidRDefault="00324A83" w:rsidP="00AE1DED">
            <w:pPr>
              <w:rPr>
                <w:b/>
                <w:bCs/>
                <w:color w:val="000000"/>
                <w:sz w:val="20"/>
                <w:szCs w:val="20"/>
              </w:rPr>
            </w:pPr>
            <w:r w:rsidRPr="00F76DE4">
              <w:rPr>
                <w:b/>
                <w:bCs/>
                <w:color w:val="000000"/>
                <w:sz w:val="20"/>
                <w:szCs w:val="20"/>
              </w:rPr>
              <w:t>Scenario 2: Regulatory Restriction (25%)</w:t>
            </w:r>
          </w:p>
        </w:tc>
      </w:tr>
      <w:tr w:rsidR="00324A83" w:rsidRPr="00F76DE4" w14:paraId="07312726" w14:textId="77777777" w:rsidTr="00196C19">
        <w:trPr>
          <w:trHeight w:val="59"/>
        </w:trPr>
        <w:tc>
          <w:tcPr>
            <w:tcW w:w="1960" w:type="dxa"/>
            <w:vMerge/>
            <w:tcBorders>
              <w:top w:val="nil"/>
              <w:left w:val="single" w:sz="8" w:space="0" w:color="auto"/>
              <w:bottom w:val="single" w:sz="8" w:space="0" w:color="000000"/>
              <w:right w:val="single" w:sz="8" w:space="0" w:color="auto"/>
            </w:tcBorders>
            <w:shd w:val="clear" w:color="auto" w:fill="D9D9D9" w:themeFill="background1" w:themeFillShade="D9"/>
            <w:vAlign w:val="center"/>
            <w:hideMark/>
          </w:tcPr>
          <w:p w14:paraId="1989A095" w14:textId="77777777" w:rsidR="00324A83" w:rsidRPr="00F76DE4" w:rsidRDefault="00324A83" w:rsidP="00AE1DED">
            <w:pPr>
              <w:rPr>
                <w:b/>
                <w:bCs/>
                <w:color w:val="000000"/>
                <w:sz w:val="20"/>
                <w:szCs w:val="20"/>
              </w:rPr>
            </w:pPr>
          </w:p>
        </w:tc>
        <w:tc>
          <w:tcPr>
            <w:tcW w:w="3700" w:type="dxa"/>
            <w:tcBorders>
              <w:top w:val="nil"/>
              <w:left w:val="nil"/>
              <w:bottom w:val="single" w:sz="4" w:space="0" w:color="auto"/>
              <w:right w:val="single" w:sz="4" w:space="0" w:color="auto"/>
            </w:tcBorders>
            <w:vAlign w:val="center"/>
            <w:hideMark/>
          </w:tcPr>
          <w:p w14:paraId="4FE2364A" w14:textId="77777777" w:rsidR="00324A83" w:rsidRPr="00F76DE4" w:rsidRDefault="00324A83" w:rsidP="00AE1DED">
            <w:pPr>
              <w:rPr>
                <w:color w:val="000000"/>
                <w:sz w:val="20"/>
                <w:szCs w:val="20"/>
              </w:rPr>
            </w:pPr>
            <w:r w:rsidRPr="00F76DE4">
              <w:rPr>
                <w:color w:val="000000"/>
                <w:sz w:val="20"/>
                <w:szCs w:val="20"/>
              </w:rPr>
              <w:t>Timeline: 2025-2030</w:t>
            </w:r>
          </w:p>
        </w:tc>
        <w:tc>
          <w:tcPr>
            <w:tcW w:w="3690" w:type="dxa"/>
            <w:tcBorders>
              <w:top w:val="nil"/>
              <w:left w:val="nil"/>
              <w:bottom w:val="single" w:sz="4" w:space="0" w:color="auto"/>
              <w:right w:val="single" w:sz="8" w:space="0" w:color="auto"/>
            </w:tcBorders>
            <w:vAlign w:val="center"/>
            <w:hideMark/>
          </w:tcPr>
          <w:p w14:paraId="34499DA2" w14:textId="77777777" w:rsidR="00324A83" w:rsidRPr="00F76DE4" w:rsidRDefault="00324A83" w:rsidP="00AE1DED">
            <w:pPr>
              <w:rPr>
                <w:color w:val="000000"/>
                <w:sz w:val="20"/>
                <w:szCs w:val="20"/>
              </w:rPr>
            </w:pPr>
            <w:r w:rsidRPr="00F76DE4">
              <w:rPr>
                <w:color w:val="000000"/>
                <w:sz w:val="20"/>
                <w:szCs w:val="20"/>
              </w:rPr>
              <w:t>Timeline: 2025-2028</w:t>
            </w:r>
          </w:p>
        </w:tc>
      </w:tr>
      <w:tr w:rsidR="00324A83" w:rsidRPr="00F76DE4" w14:paraId="0C80F4A9" w14:textId="77777777" w:rsidTr="00196C19">
        <w:trPr>
          <w:trHeight w:val="340"/>
        </w:trPr>
        <w:tc>
          <w:tcPr>
            <w:tcW w:w="1960" w:type="dxa"/>
            <w:vMerge/>
            <w:tcBorders>
              <w:top w:val="nil"/>
              <w:left w:val="single" w:sz="8" w:space="0" w:color="auto"/>
              <w:bottom w:val="single" w:sz="8" w:space="0" w:color="000000"/>
              <w:right w:val="single" w:sz="8" w:space="0" w:color="auto"/>
            </w:tcBorders>
            <w:shd w:val="clear" w:color="auto" w:fill="D9D9D9" w:themeFill="background1" w:themeFillShade="D9"/>
            <w:vAlign w:val="center"/>
            <w:hideMark/>
          </w:tcPr>
          <w:p w14:paraId="03B78160" w14:textId="77777777" w:rsidR="00324A83" w:rsidRPr="00F76DE4" w:rsidRDefault="00324A83" w:rsidP="00AE1DED">
            <w:pPr>
              <w:rPr>
                <w:b/>
                <w:bCs/>
                <w:color w:val="000000"/>
                <w:sz w:val="20"/>
                <w:szCs w:val="20"/>
              </w:rPr>
            </w:pPr>
          </w:p>
        </w:tc>
        <w:tc>
          <w:tcPr>
            <w:tcW w:w="3700" w:type="dxa"/>
            <w:tcBorders>
              <w:top w:val="nil"/>
              <w:left w:val="nil"/>
              <w:bottom w:val="single" w:sz="4" w:space="0" w:color="auto"/>
              <w:right w:val="single" w:sz="4" w:space="0" w:color="auto"/>
            </w:tcBorders>
            <w:vAlign w:val="center"/>
            <w:hideMark/>
          </w:tcPr>
          <w:p w14:paraId="31EAE591" w14:textId="77777777" w:rsidR="00324A83" w:rsidRPr="00F76DE4" w:rsidRDefault="00324A83" w:rsidP="00AE1DED">
            <w:pPr>
              <w:rPr>
                <w:color w:val="000000"/>
                <w:sz w:val="20"/>
                <w:szCs w:val="20"/>
              </w:rPr>
            </w:pPr>
            <w:r w:rsidRPr="00F76DE4">
              <w:rPr>
                <w:color w:val="000000"/>
                <w:sz w:val="20"/>
                <w:szCs w:val="20"/>
              </w:rPr>
              <w:t>• 100,000+ TPS, &lt;$0.01/</w:t>
            </w:r>
            <w:proofErr w:type="spellStart"/>
            <w:r w:rsidRPr="00F76DE4">
              <w:rPr>
                <w:color w:val="000000"/>
                <w:sz w:val="20"/>
                <w:szCs w:val="20"/>
              </w:rPr>
              <w:t>tx</w:t>
            </w:r>
            <w:proofErr w:type="spellEnd"/>
          </w:p>
        </w:tc>
        <w:tc>
          <w:tcPr>
            <w:tcW w:w="3690" w:type="dxa"/>
            <w:tcBorders>
              <w:top w:val="nil"/>
              <w:left w:val="nil"/>
              <w:bottom w:val="single" w:sz="4" w:space="0" w:color="auto"/>
              <w:right w:val="single" w:sz="8" w:space="0" w:color="auto"/>
            </w:tcBorders>
            <w:vAlign w:val="center"/>
            <w:hideMark/>
          </w:tcPr>
          <w:p w14:paraId="1B75AD2A" w14:textId="77777777" w:rsidR="00324A83" w:rsidRPr="00F76DE4" w:rsidRDefault="00324A83" w:rsidP="00AE1DED">
            <w:pPr>
              <w:rPr>
                <w:color w:val="000000"/>
                <w:sz w:val="20"/>
                <w:szCs w:val="20"/>
              </w:rPr>
            </w:pPr>
            <w:proofErr w:type="gramStart"/>
            <w:r w:rsidRPr="00F76DE4">
              <w:rPr>
                <w:color w:val="000000"/>
                <w:sz w:val="20"/>
                <w:szCs w:val="20"/>
              </w:rPr>
              <w:t>• Volume ↓ 40</w:t>
            </w:r>
            <w:proofErr w:type="gramEnd"/>
            <w:r w:rsidRPr="00F76DE4">
              <w:rPr>
                <w:color w:val="000000"/>
                <w:sz w:val="20"/>
                <w:szCs w:val="20"/>
              </w:rPr>
              <w:t>%, Fees ↓ 60%</w:t>
            </w:r>
          </w:p>
        </w:tc>
      </w:tr>
      <w:tr w:rsidR="00324A83" w:rsidRPr="00F76DE4" w14:paraId="2055CF9E" w14:textId="77777777" w:rsidTr="00196C19">
        <w:trPr>
          <w:trHeight w:val="59"/>
        </w:trPr>
        <w:tc>
          <w:tcPr>
            <w:tcW w:w="1960" w:type="dxa"/>
            <w:vMerge/>
            <w:tcBorders>
              <w:top w:val="nil"/>
              <w:left w:val="single" w:sz="8" w:space="0" w:color="auto"/>
              <w:bottom w:val="single" w:sz="8" w:space="0" w:color="000000"/>
              <w:right w:val="single" w:sz="8" w:space="0" w:color="auto"/>
            </w:tcBorders>
            <w:shd w:val="clear" w:color="auto" w:fill="D9D9D9" w:themeFill="background1" w:themeFillShade="D9"/>
            <w:vAlign w:val="center"/>
            <w:hideMark/>
          </w:tcPr>
          <w:p w14:paraId="4A36A70C" w14:textId="77777777" w:rsidR="00324A83" w:rsidRPr="00F76DE4" w:rsidRDefault="00324A83" w:rsidP="00AE1DED">
            <w:pPr>
              <w:rPr>
                <w:b/>
                <w:bCs/>
                <w:color w:val="000000"/>
                <w:sz w:val="20"/>
                <w:szCs w:val="20"/>
              </w:rPr>
            </w:pPr>
          </w:p>
        </w:tc>
        <w:tc>
          <w:tcPr>
            <w:tcW w:w="3700" w:type="dxa"/>
            <w:tcBorders>
              <w:top w:val="nil"/>
              <w:left w:val="nil"/>
              <w:bottom w:val="single" w:sz="4" w:space="0" w:color="auto"/>
              <w:right w:val="single" w:sz="4" w:space="0" w:color="auto"/>
            </w:tcBorders>
            <w:vAlign w:val="center"/>
            <w:hideMark/>
          </w:tcPr>
          <w:p w14:paraId="2DB36548" w14:textId="77777777" w:rsidR="00324A83" w:rsidRPr="00F76DE4" w:rsidRDefault="00324A83" w:rsidP="00AE1DED">
            <w:pPr>
              <w:rPr>
                <w:color w:val="000000"/>
                <w:sz w:val="20"/>
                <w:szCs w:val="20"/>
              </w:rPr>
            </w:pPr>
            <w:r w:rsidRPr="00F76DE4">
              <w:rPr>
                <w:color w:val="000000"/>
                <w:sz w:val="20"/>
                <w:szCs w:val="20"/>
              </w:rPr>
              <w:t>• Returns: 2-4% APY</w:t>
            </w:r>
          </w:p>
        </w:tc>
        <w:tc>
          <w:tcPr>
            <w:tcW w:w="3690" w:type="dxa"/>
            <w:tcBorders>
              <w:top w:val="nil"/>
              <w:left w:val="nil"/>
              <w:bottom w:val="single" w:sz="4" w:space="0" w:color="auto"/>
              <w:right w:val="single" w:sz="8" w:space="0" w:color="auto"/>
            </w:tcBorders>
            <w:vAlign w:val="center"/>
            <w:hideMark/>
          </w:tcPr>
          <w:p w14:paraId="5641408A" w14:textId="77777777" w:rsidR="00324A83" w:rsidRPr="00F76DE4" w:rsidRDefault="00324A83" w:rsidP="00AE1DED">
            <w:pPr>
              <w:rPr>
                <w:color w:val="000000"/>
                <w:sz w:val="20"/>
                <w:szCs w:val="20"/>
              </w:rPr>
            </w:pPr>
            <w:r w:rsidRPr="00F76DE4">
              <w:rPr>
                <w:color w:val="000000"/>
                <w:sz w:val="20"/>
                <w:szCs w:val="20"/>
              </w:rPr>
              <w:t>• Geographic fragmentation</w:t>
            </w:r>
          </w:p>
        </w:tc>
      </w:tr>
      <w:tr w:rsidR="00324A83" w:rsidRPr="00F76DE4" w14:paraId="01878FA0" w14:textId="77777777" w:rsidTr="00196C19">
        <w:trPr>
          <w:trHeight w:val="59"/>
        </w:trPr>
        <w:tc>
          <w:tcPr>
            <w:tcW w:w="1960" w:type="dxa"/>
            <w:vMerge/>
            <w:tcBorders>
              <w:top w:val="nil"/>
              <w:left w:val="single" w:sz="8" w:space="0" w:color="auto"/>
              <w:bottom w:val="single" w:sz="8" w:space="0" w:color="000000"/>
              <w:right w:val="single" w:sz="8" w:space="0" w:color="auto"/>
            </w:tcBorders>
            <w:shd w:val="clear" w:color="auto" w:fill="D9D9D9" w:themeFill="background1" w:themeFillShade="D9"/>
            <w:vAlign w:val="center"/>
            <w:hideMark/>
          </w:tcPr>
          <w:p w14:paraId="170A9FF1" w14:textId="77777777" w:rsidR="00324A83" w:rsidRPr="00F76DE4" w:rsidRDefault="00324A83" w:rsidP="00AE1DED">
            <w:pPr>
              <w:rPr>
                <w:b/>
                <w:bCs/>
                <w:color w:val="000000"/>
                <w:sz w:val="20"/>
                <w:szCs w:val="20"/>
              </w:rPr>
            </w:pPr>
          </w:p>
        </w:tc>
        <w:tc>
          <w:tcPr>
            <w:tcW w:w="3700" w:type="dxa"/>
            <w:tcBorders>
              <w:top w:val="nil"/>
              <w:left w:val="nil"/>
              <w:bottom w:val="single" w:sz="4" w:space="0" w:color="auto"/>
              <w:right w:val="single" w:sz="4" w:space="0" w:color="auto"/>
            </w:tcBorders>
            <w:vAlign w:val="center"/>
            <w:hideMark/>
          </w:tcPr>
          <w:p w14:paraId="0DA6953B" w14:textId="77777777" w:rsidR="00324A83" w:rsidRPr="00F76DE4" w:rsidRDefault="00324A83" w:rsidP="00AE1DED">
            <w:pPr>
              <w:rPr>
                <w:color w:val="000000"/>
                <w:sz w:val="20"/>
                <w:szCs w:val="20"/>
              </w:rPr>
            </w:pPr>
            <w:r w:rsidRPr="00F76DE4">
              <w:rPr>
                <w:color w:val="000000"/>
                <w:sz w:val="20"/>
                <w:szCs w:val="20"/>
              </w:rPr>
              <w:t>• Providers increase 100×</w:t>
            </w:r>
          </w:p>
        </w:tc>
        <w:tc>
          <w:tcPr>
            <w:tcW w:w="3690" w:type="dxa"/>
            <w:tcBorders>
              <w:top w:val="nil"/>
              <w:left w:val="nil"/>
              <w:bottom w:val="single" w:sz="4" w:space="0" w:color="auto"/>
              <w:right w:val="single" w:sz="8" w:space="0" w:color="auto"/>
            </w:tcBorders>
            <w:vAlign w:val="center"/>
            <w:hideMark/>
          </w:tcPr>
          <w:p w14:paraId="4AB7A025" w14:textId="77777777" w:rsidR="00324A83" w:rsidRPr="00F76DE4" w:rsidRDefault="00324A83" w:rsidP="00AE1DED">
            <w:pPr>
              <w:rPr>
                <w:color w:val="000000"/>
                <w:sz w:val="20"/>
                <w:szCs w:val="20"/>
              </w:rPr>
            </w:pPr>
            <w:r w:rsidRPr="00F76DE4">
              <w:rPr>
                <w:color w:val="000000"/>
                <w:sz w:val="20"/>
                <w:szCs w:val="20"/>
              </w:rPr>
              <w:t>• Arbitrage opportunities</w:t>
            </w:r>
          </w:p>
        </w:tc>
      </w:tr>
      <w:tr w:rsidR="00324A83" w:rsidRPr="00F76DE4" w14:paraId="0803FB9E" w14:textId="77777777" w:rsidTr="00196C19">
        <w:trPr>
          <w:trHeight w:val="59"/>
        </w:trPr>
        <w:tc>
          <w:tcPr>
            <w:tcW w:w="1960" w:type="dxa"/>
            <w:vMerge/>
            <w:tcBorders>
              <w:top w:val="nil"/>
              <w:left w:val="single" w:sz="8" w:space="0" w:color="auto"/>
              <w:bottom w:val="single" w:sz="8" w:space="0" w:color="000000"/>
              <w:right w:val="single" w:sz="8" w:space="0" w:color="auto"/>
            </w:tcBorders>
            <w:shd w:val="clear" w:color="auto" w:fill="D9D9D9" w:themeFill="background1" w:themeFillShade="D9"/>
            <w:vAlign w:val="center"/>
            <w:hideMark/>
          </w:tcPr>
          <w:p w14:paraId="489D9AFB" w14:textId="77777777" w:rsidR="00324A83" w:rsidRPr="00F76DE4" w:rsidRDefault="00324A83" w:rsidP="00AE1DED">
            <w:pPr>
              <w:rPr>
                <w:b/>
                <w:bCs/>
                <w:color w:val="000000"/>
                <w:sz w:val="20"/>
                <w:szCs w:val="20"/>
              </w:rPr>
            </w:pPr>
          </w:p>
        </w:tc>
        <w:tc>
          <w:tcPr>
            <w:tcW w:w="3700" w:type="dxa"/>
            <w:tcBorders>
              <w:top w:val="nil"/>
              <w:left w:val="nil"/>
              <w:bottom w:val="single" w:sz="8" w:space="0" w:color="auto"/>
              <w:right w:val="single" w:sz="4" w:space="0" w:color="auto"/>
            </w:tcBorders>
            <w:vAlign w:val="center"/>
            <w:hideMark/>
          </w:tcPr>
          <w:p w14:paraId="614F6F51" w14:textId="77777777" w:rsidR="00324A83" w:rsidRPr="00F76DE4" w:rsidRDefault="00324A83" w:rsidP="00AE1DED">
            <w:pPr>
              <w:rPr>
                <w:i/>
                <w:iCs/>
                <w:color w:val="000000"/>
                <w:sz w:val="20"/>
                <w:szCs w:val="20"/>
              </w:rPr>
            </w:pPr>
            <w:r w:rsidRPr="00F76DE4">
              <w:rPr>
                <w:i/>
                <w:iCs/>
                <w:color w:val="000000"/>
                <w:sz w:val="20"/>
                <w:szCs w:val="20"/>
              </w:rPr>
              <w:t>Retail: Access but commoditized</w:t>
            </w:r>
          </w:p>
        </w:tc>
        <w:tc>
          <w:tcPr>
            <w:tcW w:w="3690" w:type="dxa"/>
            <w:tcBorders>
              <w:top w:val="nil"/>
              <w:left w:val="nil"/>
              <w:bottom w:val="single" w:sz="8" w:space="0" w:color="auto"/>
              <w:right w:val="single" w:sz="8" w:space="0" w:color="auto"/>
            </w:tcBorders>
            <w:vAlign w:val="center"/>
            <w:hideMark/>
          </w:tcPr>
          <w:p w14:paraId="3F6E5D74" w14:textId="77777777" w:rsidR="00324A83" w:rsidRPr="00F76DE4" w:rsidRDefault="00324A83" w:rsidP="00AE1DED">
            <w:pPr>
              <w:rPr>
                <w:i/>
                <w:iCs/>
                <w:color w:val="000000"/>
                <w:sz w:val="20"/>
                <w:szCs w:val="20"/>
              </w:rPr>
            </w:pPr>
            <w:r w:rsidRPr="00F76DE4">
              <w:rPr>
                <w:i/>
                <w:iCs/>
                <w:color w:val="000000"/>
                <w:sz w:val="20"/>
                <w:szCs w:val="20"/>
              </w:rPr>
              <w:t>Retail: Excluded from major markets</w:t>
            </w:r>
          </w:p>
        </w:tc>
      </w:tr>
    </w:tbl>
    <w:p w14:paraId="43EC451A" w14:textId="407255C9" w:rsidR="00196C19" w:rsidRPr="004462B6" w:rsidRDefault="002F1BF1" w:rsidP="00AE1DED">
      <w:pPr>
        <w:jc w:val="both"/>
        <w:rPr>
          <w:sz w:val="20"/>
          <w:szCs w:val="20"/>
        </w:rPr>
      </w:pPr>
      <w:r w:rsidRPr="004462B6">
        <w:rPr>
          <w:sz w:val="20"/>
          <w:szCs w:val="20"/>
        </w:rPr>
        <w:t xml:space="preserve">Note: </w:t>
      </w:r>
      <w:r w:rsidR="00AB7763" w:rsidRPr="004462B6">
        <w:rPr>
          <w:sz w:val="20"/>
          <w:szCs w:val="20"/>
        </w:rPr>
        <w:t>The m</w:t>
      </w:r>
      <w:r w:rsidR="00196C19" w:rsidRPr="004462B6">
        <w:rPr>
          <w:sz w:val="20"/>
          <w:szCs w:val="20"/>
        </w:rPr>
        <w:t xml:space="preserve">ost </w:t>
      </w:r>
      <w:r w:rsidR="00AB7763" w:rsidRPr="004462B6">
        <w:rPr>
          <w:sz w:val="20"/>
          <w:szCs w:val="20"/>
        </w:rPr>
        <w:t>l</w:t>
      </w:r>
      <w:r w:rsidR="00196C19" w:rsidRPr="004462B6">
        <w:rPr>
          <w:sz w:val="20"/>
          <w:szCs w:val="20"/>
        </w:rPr>
        <w:t>ikely</w:t>
      </w:r>
      <w:r w:rsidR="00AB7763" w:rsidRPr="004462B6">
        <w:rPr>
          <w:sz w:val="20"/>
          <w:szCs w:val="20"/>
        </w:rPr>
        <w:t xml:space="preserve"> scenarios to occur are </w:t>
      </w:r>
      <w:r w:rsidRPr="004462B6">
        <w:rPr>
          <w:sz w:val="20"/>
          <w:szCs w:val="20"/>
        </w:rPr>
        <w:t>s</w:t>
      </w:r>
      <w:r w:rsidR="00196C19" w:rsidRPr="004462B6">
        <w:rPr>
          <w:sz w:val="20"/>
          <w:szCs w:val="20"/>
        </w:rPr>
        <w:t xml:space="preserve">cenarios 1+2 </w:t>
      </w:r>
      <w:r w:rsidR="00AB7763" w:rsidRPr="004462B6">
        <w:rPr>
          <w:sz w:val="20"/>
          <w:szCs w:val="20"/>
        </w:rPr>
        <w:t xml:space="preserve">which have a </w:t>
      </w:r>
      <w:r w:rsidR="00196C19" w:rsidRPr="004462B6">
        <w:rPr>
          <w:sz w:val="20"/>
          <w:szCs w:val="20"/>
        </w:rPr>
        <w:t>60% combined</w:t>
      </w:r>
      <w:r w:rsidR="00AB7763" w:rsidRPr="004462B6">
        <w:rPr>
          <w:sz w:val="20"/>
          <w:szCs w:val="20"/>
        </w:rPr>
        <w:t xml:space="preserve"> rate.</w:t>
      </w:r>
    </w:p>
    <w:p w14:paraId="076AF348" w14:textId="77777777" w:rsidR="002F1BF1" w:rsidRPr="00AB7763" w:rsidRDefault="002F1BF1" w:rsidP="00AE1DED">
      <w:pPr>
        <w:jc w:val="both"/>
        <w:rPr>
          <w:rFonts w:eastAsiaTheme="majorEastAsia"/>
          <w:b/>
          <w:bCs/>
          <w:color w:val="000000" w:themeColor="text1"/>
        </w:rPr>
      </w:pPr>
    </w:p>
    <w:p w14:paraId="3EFC1C08" w14:textId="5F916339" w:rsidR="00981EE0" w:rsidRDefault="00981EE0" w:rsidP="00AE1DED">
      <w:pPr>
        <w:jc w:val="both"/>
        <w:rPr>
          <w:rFonts w:eastAsiaTheme="majorEastAsia"/>
          <w:color w:val="000000" w:themeColor="text1"/>
        </w:rPr>
      </w:pPr>
      <w:r w:rsidRPr="00AB7763">
        <w:rPr>
          <w:rFonts w:eastAsiaTheme="majorEastAsia"/>
          <w:b/>
          <w:bCs/>
          <w:color w:val="000000" w:themeColor="text1"/>
        </w:rPr>
        <w:t xml:space="preserve">Scenario 1: </w:t>
      </w:r>
      <w:r w:rsidRPr="00AB7763">
        <w:rPr>
          <w:rFonts w:eastAsiaTheme="majorEastAsia"/>
          <w:color w:val="000000" w:themeColor="text1"/>
        </w:rPr>
        <w:t>Institutional Dominance (35% probability) Traditional finance institutions will most</w:t>
      </w:r>
      <w:r w:rsidRPr="003C66A0">
        <w:rPr>
          <w:rFonts w:eastAsiaTheme="majorEastAsia"/>
          <w:color w:val="000000" w:themeColor="text1"/>
        </w:rPr>
        <w:t xml:space="preserve"> likely control 90% of the DeFi liquidity by 2027. My </w:t>
      </w:r>
      <w:r w:rsidR="001B3180" w:rsidRPr="003C66A0">
        <w:rPr>
          <w:rFonts w:eastAsiaTheme="majorEastAsia"/>
          <w:color w:val="000000" w:themeColor="text1"/>
        </w:rPr>
        <w:t>research</w:t>
      </w:r>
      <w:r w:rsidRPr="003C66A0">
        <w:rPr>
          <w:rFonts w:eastAsiaTheme="majorEastAsia"/>
          <w:color w:val="000000" w:themeColor="text1"/>
        </w:rPr>
        <w:t xml:space="preserve"> simulations indicated that retail returns will compress by 60% as professionals capture majority of the market. The minimum viable positions will rise to 10x of the current thresholds (see Chapter 5 baseline) and small players become consumers rather than providers of liquidity. DeFi becomes traditional finance with blockchain settlement—same players but different infrastructure.</w:t>
      </w:r>
    </w:p>
    <w:p w14:paraId="715D76AD" w14:textId="77777777" w:rsidR="001970FA" w:rsidRPr="003C66A0" w:rsidRDefault="001970FA" w:rsidP="00AE1DED">
      <w:pPr>
        <w:jc w:val="both"/>
        <w:rPr>
          <w:rFonts w:eastAsiaTheme="majorEastAsia"/>
          <w:b/>
          <w:bCs/>
          <w:color w:val="000000" w:themeColor="text1"/>
        </w:rPr>
      </w:pPr>
    </w:p>
    <w:p w14:paraId="7DA6E92F" w14:textId="04D88E46" w:rsidR="00981EE0" w:rsidRDefault="00981EE0" w:rsidP="00AE1DED">
      <w:pPr>
        <w:jc w:val="both"/>
        <w:rPr>
          <w:rFonts w:eastAsiaTheme="majorEastAsia"/>
          <w:color w:val="000000" w:themeColor="text1"/>
        </w:rPr>
      </w:pPr>
      <w:r w:rsidRPr="003C66A0">
        <w:rPr>
          <w:rFonts w:eastAsiaTheme="majorEastAsia"/>
          <w:b/>
          <w:bCs/>
          <w:color w:val="000000" w:themeColor="text1"/>
        </w:rPr>
        <w:t xml:space="preserve">Scenario 2: </w:t>
      </w:r>
      <w:r w:rsidRPr="003C66A0">
        <w:rPr>
          <w:rFonts w:eastAsiaTheme="majorEastAsia"/>
          <w:color w:val="000000" w:themeColor="text1"/>
        </w:rPr>
        <w:t xml:space="preserve">Regulatory Restriction (25% probability) Major jurisdictions will prohibit DeFi participation with a volume drop </w:t>
      </w:r>
      <w:proofErr w:type="gramStart"/>
      <w:r w:rsidRPr="003C66A0">
        <w:rPr>
          <w:rFonts w:eastAsiaTheme="majorEastAsia"/>
          <w:color w:val="000000" w:themeColor="text1"/>
        </w:rPr>
        <w:t>by</w:t>
      </w:r>
      <w:proofErr w:type="gramEnd"/>
      <w:r w:rsidRPr="003C66A0">
        <w:rPr>
          <w:rFonts w:eastAsiaTheme="majorEastAsia"/>
          <w:color w:val="000000" w:themeColor="text1"/>
        </w:rPr>
        <w:t xml:space="preserve"> 40% and fee decrease by 60%. A geographic fragmentation creates separate liquidity pools and new opportunities will concentrate </w:t>
      </w:r>
      <w:proofErr w:type="gramStart"/>
      <w:r w:rsidRPr="003C66A0">
        <w:rPr>
          <w:rFonts w:eastAsiaTheme="majorEastAsia"/>
          <w:color w:val="000000" w:themeColor="text1"/>
        </w:rPr>
        <w:t>in</w:t>
      </w:r>
      <w:proofErr w:type="gramEnd"/>
      <w:r w:rsidRPr="003C66A0">
        <w:rPr>
          <w:rFonts w:eastAsiaTheme="majorEastAsia"/>
          <w:color w:val="000000" w:themeColor="text1"/>
        </w:rPr>
        <w:t xml:space="preserve"> regulatory arbitrage. DeFi becomes gray market activity in developed nations while thriving in crypto-friendly jurisdictions.</w:t>
      </w:r>
    </w:p>
    <w:p w14:paraId="4A0918AE" w14:textId="77777777" w:rsidR="001970FA" w:rsidRPr="003C66A0" w:rsidRDefault="001970FA" w:rsidP="00AE1DED">
      <w:pPr>
        <w:jc w:val="both"/>
        <w:rPr>
          <w:rFonts w:eastAsiaTheme="majorEastAsia"/>
          <w:color w:val="000000" w:themeColor="text1"/>
        </w:rPr>
      </w:pPr>
    </w:p>
    <w:p w14:paraId="24A03F21" w14:textId="064010F2" w:rsidR="00981EE0" w:rsidRDefault="00981EE0" w:rsidP="00AE1DED">
      <w:pPr>
        <w:jc w:val="both"/>
        <w:rPr>
          <w:rFonts w:eastAsiaTheme="majorEastAsia"/>
          <w:color w:val="000000" w:themeColor="text1"/>
        </w:rPr>
      </w:pPr>
      <w:r w:rsidRPr="003C66A0">
        <w:rPr>
          <w:rFonts w:eastAsiaTheme="majorEastAsia"/>
          <w:b/>
          <w:bCs/>
          <w:color w:val="000000" w:themeColor="text1"/>
        </w:rPr>
        <w:t xml:space="preserve">Scenario 3: </w:t>
      </w:r>
      <w:r w:rsidRPr="003C66A0">
        <w:rPr>
          <w:rFonts w:eastAsiaTheme="majorEastAsia"/>
          <w:color w:val="000000" w:themeColor="text1"/>
        </w:rPr>
        <w:t>Technical Breakthrough (20% probability) L2 solutions will achieve 100,000 TPS at &lt;$0.01 per transaction with the returns compressed to 2-4% APY as barriers disappear and competition intensifies. Active providers will increase 100x, but the differentiation will disappear. DeFi becomes a commoditized infrastructure with utility-like returns.</w:t>
      </w:r>
    </w:p>
    <w:p w14:paraId="7E03637D" w14:textId="77777777" w:rsidR="001970FA" w:rsidRPr="003C66A0" w:rsidRDefault="001970FA" w:rsidP="00AE1DED">
      <w:pPr>
        <w:jc w:val="both"/>
        <w:rPr>
          <w:rFonts w:eastAsiaTheme="majorEastAsia"/>
          <w:b/>
          <w:bCs/>
          <w:color w:val="000000" w:themeColor="text1"/>
        </w:rPr>
      </w:pPr>
    </w:p>
    <w:p w14:paraId="24847EED" w14:textId="56E0A638" w:rsidR="00981EE0" w:rsidRPr="003C66A0" w:rsidRDefault="00981EE0" w:rsidP="00AE1DED">
      <w:pPr>
        <w:jc w:val="both"/>
        <w:rPr>
          <w:rFonts w:eastAsiaTheme="majorEastAsia"/>
          <w:b/>
          <w:bCs/>
          <w:color w:val="000000" w:themeColor="text1"/>
        </w:rPr>
      </w:pPr>
      <w:r w:rsidRPr="003C66A0">
        <w:rPr>
          <w:rFonts w:eastAsiaTheme="majorEastAsia"/>
          <w:b/>
          <w:bCs/>
          <w:color w:val="000000" w:themeColor="text1"/>
        </w:rPr>
        <w:t xml:space="preserve">Scenario 4: </w:t>
      </w:r>
      <w:r w:rsidRPr="003C66A0">
        <w:rPr>
          <w:rFonts w:eastAsiaTheme="majorEastAsia"/>
          <w:color w:val="000000" w:themeColor="text1"/>
        </w:rPr>
        <w:t xml:space="preserve">Market Maturation (20% probability) Cryptocurrency volatility converges with traditional markets with impermanent loss decreases by 70%. Fee income drops by 50% and returns converge at 2-5% annually and </w:t>
      </w:r>
      <w:proofErr w:type="gramStart"/>
      <w:r w:rsidRPr="003C66A0">
        <w:rPr>
          <w:rFonts w:eastAsiaTheme="majorEastAsia"/>
          <w:color w:val="000000" w:themeColor="text1"/>
        </w:rPr>
        <w:t>he</w:t>
      </w:r>
      <w:proofErr w:type="gramEnd"/>
      <w:r w:rsidRPr="003C66A0">
        <w:rPr>
          <w:rFonts w:eastAsiaTheme="majorEastAsia"/>
          <w:color w:val="000000" w:themeColor="text1"/>
        </w:rPr>
        <w:t xml:space="preserve"> current "crypto casino" becomes a boring bank.</w:t>
      </w:r>
    </w:p>
    <w:p w14:paraId="0A0602BF" w14:textId="529B881F" w:rsidR="00981EE0" w:rsidRDefault="00981EE0" w:rsidP="00AE1DED">
      <w:pPr>
        <w:jc w:val="both"/>
        <w:rPr>
          <w:rFonts w:eastAsiaTheme="majorEastAsia"/>
          <w:color w:val="000000" w:themeColor="text1"/>
        </w:rPr>
      </w:pPr>
      <w:r w:rsidRPr="003C66A0">
        <w:rPr>
          <w:rFonts w:eastAsiaTheme="majorEastAsia"/>
          <w:color w:val="000000" w:themeColor="text1"/>
        </w:rPr>
        <w:lastRenderedPageBreak/>
        <w:t xml:space="preserve">Holistically, no currently employed strategy in this space survived all scenarios in my research simulations showing that the current opportunities represent </w:t>
      </w:r>
      <w:proofErr w:type="gramStart"/>
      <w:r w:rsidRPr="003C66A0">
        <w:rPr>
          <w:rFonts w:eastAsiaTheme="majorEastAsia"/>
          <w:color w:val="000000" w:themeColor="text1"/>
        </w:rPr>
        <w:t>a temporary</w:t>
      </w:r>
      <w:proofErr w:type="gramEnd"/>
      <w:r w:rsidRPr="003C66A0">
        <w:rPr>
          <w:rFonts w:eastAsiaTheme="majorEastAsia"/>
          <w:color w:val="000000" w:themeColor="text1"/>
        </w:rPr>
        <w:t xml:space="preserve"> arbitrage and no sustainable business model for the future.</w:t>
      </w:r>
    </w:p>
    <w:p w14:paraId="776F76C0" w14:textId="77777777" w:rsidR="001970FA" w:rsidRPr="00750A6E" w:rsidRDefault="001970FA" w:rsidP="00AE1DED">
      <w:pPr>
        <w:jc w:val="both"/>
        <w:rPr>
          <w:rFonts w:eastAsiaTheme="majorEastAsia"/>
          <w:color w:val="0070C0"/>
        </w:rPr>
      </w:pPr>
    </w:p>
    <w:p w14:paraId="6818CF9F" w14:textId="6B0E1C02" w:rsidR="003E649C" w:rsidRPr="00933090" w:rsidRDefault="003E649C" w:rsidP="00AE1DED">
      <w:pPr>
        <w:pStyle w:val="Heading3"/>
        <w:rPr>
          <w:rFonts w:eastAsiaTheme="majorEastAsia"/>
        </w:rPr>
      </w:pPr>
      <w:bookmarkStart w:id="204" w:name="_Toc214722010"/>
      <w:r w:rsidRPr="00933090">
        <w:rPr>
          <w:rFonts w:eastAsiaTheme="majorEastAsia"/>
        </w:rPr>
        <w:t>Table 9.</w:t>
      </w:r>
      <w:r w:rsidR="00C5607F">
        <w:rPr>
          <w:rFonts w:eastAsiaTheme="majorEastAsia"/>
        </w:rPr>
        <w:t>B</w:t>
      </w:r>
      <w:r w:rsidRPr="00933090">
        <w:rPr>
          <w:rFonts w:eastAsiaTheme="majorEastAsia"/>
        </w:rPr>
        <w:t>: Comparative Summary of Future Scenarios (2025-2030 Horizon)</w:t>
      </w:r>
      <w:bookmarkEnd w:id="204"/>
    </w:p>
    <w:p w14:paraId="4C70DA93" w14:textId="77777777" w:rsidR="0040119B" w:rsidRPr="005D62DB" w:rsidRDefault="0040119B" w:rsidP="00AE1DED">
      <w:pPr>
        <w:rPr>
          <w:color w:val="000000" w:themeColor="text1"/>
        </w:rPr>
      </w:pPr>
    </w:p>
    <w:tbl>
      <w:tblPr>
        <w:tblW w:w="9340" w:type="dxa"/>
        <w:tblLook w:val="04A0" w:firstRow="1" w:lastRow="0" w:firstColumn="1" w:lastColumn="0" w:noHBand="0" w:noVBand="1"/>
      </w:tblPr>
      <w:tblGrid>
        <w:gridCol w:w="1417"/>
        <w:gridCol w:w="1983"/>
        <w:gridCol w:w="1979"/>
        <w:gridCol w:w="2100"/>
        <w:gridCol w:w="1861"/>
      </w:tblGrid>
      <w:tr w:rsidR="00750A6E" w:rsidRPr="005D62DB" w14:paraId="7BF52C15" w14:textId="77777777" w:rsidTr="00857C7E">
        <w:trPr>
          <w:trHeight w:val="331"/>
        </w:trPr>
        <w:tc>
          <w:tcPr>
            <w:tcW w:w="101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44108815" w14:textId="77777777" w:rsidR="0040119B" w:rsidRPr="005D62DB" w:rsidRDefault="0040119B" w:rsidP="00AE1DED">
            <w:pPr>
              <w:jc w:val="center"/>
              <w:rPr>
                <w:b/>
                <w:bCs/>
                <w:color w:val="000000" w:themeColor="text1"/>
                <w:sz w:val="20"/>
                <w:szCs w:val="20"/>
              </w:rPr>
            </w:pPr>
            <w:r w:rsidRPr="005D62DB">
              <w:rPr>
                <w:b/>
                <w:bCs/>
                <w:color w:val="000000" w:themeColor="text1"/>
                <w:sz w:val="20"/>
                <w:szCs w:val="20"/>
              </w:rPr>
              <w:t>Dimension</w:t>
            </w:r>
          </w:p>
        </w:tc>
        <w:tc>
          <w:tcPr>
            <w:tcW w:w="2031"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494166F1" w14:textId="77777777" w:rsidR="0040119B" w:rsidRPr="005D62DB" w:rsidRDefault="0040119B" w:rsidP="00AE1DED">
            <w:pPr>
              <w:jc w:val="center"/>
              <w:rPr>
                <w:b/>
                <w:bCs/>
                <w:color w:val="000000" w:themeColor="text1"/>
                <w:sz w:val="20"/>
                <w:szCs w:val="20"/>
              </w:rPr>
            </w:pPr>
            <w:r w:rsidRPr="005D62DB">
              <w:rPr>
                <w:b/>
                <w:bCs/>
                <w:color w:val="000000" w:themeColor="text1"/>
                <w:sz w:val="20"/>
                <w:szCs w:val="20"/>
              </w:rPr>
              <w:t>Scenario 1: Institutional Dominance (35%)</w:t>
            </w:r>
          </w:p>
        </w:tc>
        <w:tc>
          <w:tcPr>
            <w:tcW w:w="2150"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6D17192B" w14:textId="77777777" w:rsidR="0040119B" w:rsidRPr="005D62DB" w:rsidRDefault="0040119B" w:rsidP="00AE1DED">
            <w:pPr>
              <w:jc w:val="center"/>
              <w:rPr>
                <w:b/>
                <w:bCs/>
                <w:color w:val="000000" w:themeColor="text1"/>
                <w:sz w:val="20"/>
                <w:szCs w:val="20"/>
              </w:rPr>
            </w:pPr>
            <w:r w:rsidRPr="005D62DB">
              <w:rPr>
                <w:b/>
                <w:bCs/>
                <w:color w:val="000000" w:themeColor="text1"/>
                <w:sz w:val="20"/>
                <w:szCs w:val="20"/>
              </w:rPr>
              <w:t>Scenario 2: Regulatory Restriction (25%)</w:t>
            </w:r>
          </w:p>
        </w:tc>
        <w:tc>
          <w:tcPr>
            <w:tcW w:w="2232"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2A2D7CDC" w14:textId="77777777" w:rsidR="0040119B" w:rsidRPr="005D62DB" w:rsidRDefault="0040119B" w:rsidP="00AE1DED">
            <w:pPr>
              <w:jc w:val="center"/>
              <w:rPr>
                <w:b/>
                <w:bCs/>
                <w:color w:val="000000" w:themeColor="text1"/>
                <w:sz w:val="20"/>
                <w:szCs w:val="20"/>
              </w:rPr>
            </w:pPr>
            <w:r w:rsidRPr="005D62DB">
              <w:rPr>
                <w:b/>
                <w:bCs/>
                <w:color w:val="000000" w:themeColor="text1"/>
                <w:sz w:val="20"/>
                <w:szCs w:val="20"/>
              </w:rPr>
              <w:t>Scenario 3: Technical Breakthrough (20%)</w:t>
            </w:r>
          </w:p>
        </w:tc>
        <w:tc>
          <w:tcPr>
            <w:tcW w:w="1912"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E1BCF87" w14:textId="77777777" w:rsidR="0040119B" w:rsidRPr="005D62DB" w:rsidRDefault="0040119B" w:rsidP="00AE1DED">
            <w:pPr>
              <w:jc w:val="center"/>
              <w:rPr>
                <w:b/>
                <w:bCs/>
                <w:color w:val="000000" w:themeColor="text1"/>
                <w:sz w:val="20"/>
                <w:szCs w:val="20"/>
              </w:rPr>
            </w:pPr>
            <w:r w:rsidRPr="005D62DB">
              <w:rPr>
                <w:b/>
                <w:bCs/>
                <w:color w:val="000000" w:themeColor="text1"/>
                <w:sz w:val="20"/>
                <w:szCs w:val="20"/>
              </w:rPr>
              <w:t>Scenario 4: Market Maturation (20%)</w:t>
            </w:r>
          </w:p>
        </w:tc>
      </w:tr>
      <w:tr w:rsidR="00750A6E" w:rsidRPr="005D62DB" w14:paraId="2929EB54" w14:textId="77777777" w:rsidTr="00857C7E">
        <w:trPr>
          <w:trHeight w:val="61"/>
        </w:trPr>
        <w:tc>
          <w:tcPr>
            <w:tcW w:w="1015"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07A90AC2" w14:textId="77777777" w:rsidR="0040119B" w:rsidRPr="005D62DB" w:rsidRDefault="0040119B" w:rsidP="00AE1DED">
            <w:pPr>
              <w:rPr>
                <w:b/>
                <w:bCs/>
                <w:color w:val="000000" w:themeColor="text1"/>
                <w:sz w:val="20"/>
                <w:szCs w:val="20"/>
              </w:rPr>
            </w:pPr>
            <w:r w:rsidRPr="005D62DB">
              <w:rPr>
                <w:b/>
                <w:bCs/>
                <w:color w:val="000000" w:themeColor="text1"/>
                <w:sz w:val="20"/>
                <w:szCs w:val="20"/>
              </w:rPr>
              <w:t>Core Driver</w:t>
            </w:r>
          </w:p>
        </w:tc>
        <w:tc>
          <w:tcPr>
            <w:tcW w:w="2031" w:type="dxa"/>
            <w:tcBorders>
              <w:top w:val="nil"/>
              <w:left w:val="nil"/>
              <w:bottom w:val="single" w:sz="4" w:space="0" w:color="auto"/>
              <w:right w:val="single" w:sz="4" w:space="0" w:color="auto"/>
            </w:tcBorders>
            <w:vAlign w:val="center"/>
            <w:hideMark/>
          </w:tcPr>
          <w:p w14:paraId="7B0E61F4" w14:textId="77777777" w:rsidR="0040119B" w:rsidRPr="005D62DB" w:rsidRDefault="0040119B" w:rsidP="00AE1DED">
            <w:pPr>
              <w:rPr>
                <w:color w:val="000000" w:themeColor="text1"/>
                <w:sz w:val="20"/>
                <w:szCs w:val="20"/>
              </w:rPr>
            </w:pPr>
            <w:r w:rsidRPr="005D62DB">
              <w:rPr>
                <w:color w:val="000000" w:themeColor="text1"/>
                <w:sz w:val="20"/>
                <w:szCs w:val="20"/>
              </w:rPr>
              <w:t>Traditional finance institutions capture 90% of DeFi liquidity</w:t>
            </w:r>
          </w:p>
        </w:tc>
        <w:tc>
          <w:tcPr>
            <w:tcW w:w="2150" w:type="dxa"/>
            <w:tcBorders>
              <w:top w:val="nil"/>
              <w:left w:val="nil"/>
              <w:bottom w:val="single" w:sz="4" w:space="0" w:color="auto"/>
              <w:right w:val="single" w:sz="4" w:space="0" w:color="auto"/>
            </w:tcBorders>
            <w:vAlign w:val="center"/>
            <w:hideMark/>
          </w:tcPr>
          <w:p w14:paraId="71D0D7A8" w14:textId="77777777" w:rsidR="0040119B" w:rsidRPr="005D62DB" w:rsidRDefault="0040119B" w:rsidP="00AE1DED">
            <w:pPr>
              <w:rPr>
                <w:color w:val="000000" w:themeColor="text1"/>
                <w:sz w:val="20"/>
                <w:szCs w:val="20"/>
              </w:rPr>
            </w:pPr>
            <w:r w:rsidRPr="005D62DB">
              <w:rPr>
                <w:color w:val="000000" w:themeColor="text1"/>
                <w:sz w:val="20"/>
                <w:szCs w:val="20"/>
              </w:rPr>
              <w:t>Major jurisdictions prohibit DeFi participation</w:t>
            </w:r>
          </w:p>
        </w:tc>
        <w:tc>
          <w:tcPr>
            <w:tcW w:w="2232" w:type="dxa"/>
            <w:tcBorders>
              <w:top w:val="nil"/>
              <w:left w:val="nil"/>
              <w:bottom w:val="single" w:sz="4" w:space="0" w:color="auto"/>
              <w:right w:val="single" w:sz="4" w:space="0" w:color="auto"/>
            </w:tcBorders>
            <w:vAlign w:val="center"/>
            <w:hideMark/>
          </w:tcPr>
          <w:p w14:paraId="73EE3832" w14:textId="77777777" w:rsidR="0040119B" w:rsidRPr="005D62DB" w:rsidRDefault="0040119B" w:rsidP="00AE1DED">
            <w:pPr>
              <w:rPr>
                <w:color w:val="000000" w:themeColor="text1"/>
                <w:sz w:val="20"/>
                <w:szCs w:val="20"/>
              </w:rPr>
            </w:pPr>
            <w:r w:rsidRPr="005D62DB">
              <w:rPr>
                <w:color w:val="000000" w:themeColor="text1"/>
                <w:sz w:val="20"/>
                <w:szCs w:val="20"/>
              </w:rPr>
              <w:t>L2 solutions achieve 100,000+ TPS at &lt;$0.01/</w:t>
            </w:r>
            <w:proofErr w:type="spellStart"/>
            <w:r w:rsidRPr="005D62DB">
              <w:rPr>
                <w:color w:val="000000" w:themeColor="text1"/>
                <w:sz w:val="20"/>
                <w:szCs w:val="20"/>
              </w:rPr>
              <w:t>tx</w:t>
            </w:r>
            <w:proofErr w:type="spellEnd"/>
          </w:p>
        </w:tc>
        <w:tc>
          <w:tcPr>
            <w:tcW w:w="1912" w:type="dxa"/>
            <w:tcBorders>
              <w:top w:val="nil"/>
              <w:left w:val="nil"/>
              <w:bottom w:val="single" w:sz="4" w:space="0" w:color="auto"/>
              <w:right w:val="single" w:sz="8" w:space="0" w:color="auto"/>
            </w:tcBorders>
            <w:vAlign w:val="center"/>
            <w:hideMark/>
          </w:tcPr>
          <w:p w14:paraId="14EED339" w14:textId="77777777" w:rsidR="0040119B" w:rsidRPr="005D62DB" w:rsidRDefault="0040119B" w:rsidP="00AE1DED">
            <w:pPr>
              <w:rPr>
                <w:color w:val="000000" w:themeColor="text1"/>
                <w:sz w:val="20"/>
                <w:szCs w:val="20"/>
              </w:rPr>
            </w:pPr>
            <w:r w:rsidRPr="005D62DB">
              <w:rPr>
                <w:color w:val="000000" w:themeColor="text1"/>
                <w:sz w:val="20"/>
                <w:szCs w:val="20"/>
              </w:rPr>
              <w:t>Cryptocurrency volatility converges with traditional markets</w:t>
            </w:r>
          </w:p>
        </w:tc>
      </w:tr>
      <w:tr w:rsidR="00750A6E" w:rsidRPr="005D62DB" w14:paraId="2D312681" w14:textId="77777777" w:rsidTr="00857C7E">
        <w:trPr>
          <w:trHeight w:val="71"/>
        </w:trPr>
        <w:tc>
          <w:tcPr>
            <w:tcW w:w="1015"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4835C324" w14:textId="77777777" w:rsidR="0040119B" w:rsidRPr="005D62DB" w:rsidRDefault="0040119B" w:rsidP="00AE1DED">
            <w:pPr>
              <w:rPr>
                <w:b/>
                <w:bCs/>
                <w:color w:val="000000" w:themeColor="text1"/>
                <w:sz w:val="20"/>
                <w:szCs w:val="20"/>
              </w:rPr>
            </w:pPr>
            <w:r w:rsidRPr="005D62DB">
              <w:rPr>
                <w:b/>
                <w:bCs/>
                <w:color w:val="000000" w:themeColor="text1"/>
                <w:sz w:val="20"/>
                <w:szCs w:val="20"/>
              </w:rPr>
              <w:t>Timeline</w:t>
            </w:r>
          </w:p>
        </w:tc>
        <w:tc>
          <w:tcPr>
            <w:tcW w:w="2031" w:type="dxa"/>
            <w:tcBorders>
              <w:top w:val="nil"/>
              <w:left w:val="nil"/>
              <w:bottom w:val="single" w:sz="4" w:space="0" w:color="auto"/>
              <w:right w:val="single" w:sz="4" w:space="0" w:color="auto"/>
            </w:tcBorders>
            <w:vAlign w:val="center"/>
            <w:hideMark/>
          </w:tcPr>
          <w:p w14:paraId="0F654DE9" w14:textId="77777777" w:rsidR="00584418" w:rsidRPr="005D62DB" w:rsidRDefault="0040119B" w:rsidP="00AE1DED">
            <w:pPr>
              <w:rPr>
                <w:color w:val="000000" w:themeColor="text1"/>
                <w:sz w:val="20"/>
                <w:szCs w:val="20"/>
              </w:rPr>
            </w:pPr>
            <w:r w:rsidRPr="005D62DB">
              <w:rPr>
                <w:color w:val="000000" w:themeColor="text1"/>
                <w:sz w:val="20"/>
                <w:szCs w:val="20"/>
              </w:rPr>
              <w:t>2025-2027: Gradual institutional entry</w:t>
            </w:r>
          </w:p>
          <w:p w14:paraId="518C1CCF" w14:textId="1A10BE68" w:rsidR="0040119B" w:rsidRPr="005D62DB" w:rsidRDefault="0040119B" w:rsidP="00AE1DED">
            <w:pPr>
              <w:rPr>
                <w:color w:val="000000" w:themeColor="text1"/>
                <w:sz w:val="20"/>
                <w:szCs w:val="20"/>
              </w:rPr>
            </w:pPr>
            <w:r w:rsidRPr="005D62DB">
              <w:rPr>
                <w:color w:val="000000" w:themeColor="text1"/>
                <w:sz w:val="20"/>
                <w:szCs w:val="20"/>
              </w:rPr>
              <w:t>2027-2030: Market dominance</w:t>
            </w:r>
          </w:p>
        </w:tc>
        <w:tc>
          <w:tcPr>
            <w:tcW w:w="2150" w:type="dxa"/>
            <w:tcBorders>
              <w:top w:val="nil"/>
              <w:left w:val="nil"/>
              <w:bottom w:val="single" w:sz="4" w:space="0" w:color="auto"/>
              <w:right w:val="single" w:sz="4" w:space="0" w:color="auto"/>
            </w:tcBorders>
            <w:vAlign w:val="center"/>
            <w:hideMark/>
          </w:tcPr>
          <w:p w14:paraId="791BB43C" w14:textId="77777777" w:rsidR="00584418" w:rsidRPr="005D62DB" w:rsidRDefault="0040119B" w:rsidP="00AE1DED">
            <w:pPr>
              <w:rPr>
                <w:color w:val="000000" w:themeColor="text1"/>
                <w:sz w:val="20"/>
                <w:szCs w:val="20"/>
              </w:rPr>
            </w:pPr>
            <w:r w:rsidRPr="005D62DB">
              <w:rPr>
                <w:color w:val="000000" w:themeColor="text1"/>
                <w:sz w:val="20"/>
                <w:szCs w:val="20"/>
              </w:rPr>
              <w:t>2025-2026: Regulatory frameworks</w:t>
            </w:r>
          </w:p>
          <w:p w14:paraId="073A1E26" w14:textId="632E0FA9" w:rsidR="0040119B" w:rsidRPr="005D62DB" w:rsidRDefault="0040119B" w:rsidP="00AE1DED">
            <w:pPr>
              <w:rPr>
                <w:color w:val="000000" w:themeColor="text1"/>
                <w:sz w:val="20"/>
                <w:szCs w:val="20"/>
              </w:rPr>
            </w:pPr>
            <w:r w:rsidRPr="005D62DB">
              <w:rPr>
                <w:color w:val="000000" w:themeColor="text1"/>
                <w:sz w:val="20"/>
                <w:szCs w:val="20"/>
              </w:rPr>
              <w:t>2026-2028: Enforcement phase</w:t>
            </w:r>
          </w:p>
        </w:tc>
        <w:tc>
          <w:tcPr>
            <w:tcW w:w="2232" w:type="dxa"/>
            <w:tcBorders>
              <w:top w:val="nil"/>
              <w:left w:val="nil"/>
              <w:bottom w:val="single" w:sz="4" w:space="0" w:color="auto"/>
              <w:right w:val="single" w:sz="4" w:space="0" w:color="auto"/>
            </w:tcBorders>
            <w:vAlign w:val="center"/>
            <w:hideMark/>
          </w:tcPr>
          <w:p w14:paraId="1AF4C2C9" w14:textId="77777777" w:rsidR="00584418" w:rsidRPr="005D62DB" w:rsidRDefault="0040119B" w:rsidP="00AE1DED">
            <w:pPr>
              <w:rPr>
                <w:color w:val="000000" w:themeColor="text1"/>
                <w:sz w:val="20"/>
                <w:szCs w:val="20"/>
              </w:rPr>
            </w:pPr>
            <w:r w:rsidRPr="005D62DB">
              <w:rPr>
                <w:color w:val="000000" w:themeColor="text1"/>
                <w:sz w:val="20"/>
                <w:szCs w:val="20"/>
              </w:rPr>
              <w:t>2025-2026: Technical deployment</w:t>
            </w:r>
          </w:p>
          <w:p w14:paraId="5BA34F53" w14:textId="0E0618DE" w:rsidR="0040119B" w:rsidRPr="005D62DB" w:rsidRDefault="0040119B" w:rsidP="00AE1DED">
            <w:pPr>
              <w:rPr>
                <w:color w:val="000000" w:themeColor="text1"/>
                <w:sz w:val="20"/>
                <w:szCs w:val="20"/>
              </w:rPr>
            </w:pPr>
            <w:r w:rsidRPr="005D62DB">
              <w:rPr>
                <w:color w:val="000000" w:themeColor="text1"/>
                <w:sz w:val="20"/>
                <w:szCs w:val="20"/>
              </w:rPr>
              <w:t>2026-2030: Mass adoption</w:t>
            </w:r>
          </w:p>
        </w:tc>
        <w:tc>
          <w:tcPr>
            <w:tcW w:w="1912" w:type="dxa"/>
            <w:tcBorders>
              <w:top w:val="nil"/>
              <w:left w:val="nil"/>
              <w:bottom w:val="single" w:sz="4" w:space="0" w:color="auto"/>
              <w:right w:val="single" w:sz="8" w:space="0" w:color="auto"/>
            </w:tcBorders>
            <w:vAlign w:val="center"/>
            <w:hideMark/>
          </w:tcPr>
          <w:p w14:paraId="232713D9" w14:textId="77777777" w:rsidR="0040119B" w:rsidRPr="005D62DB" w:rsidRDefault="0040119B" w:rsidP="00AE1DED">
            <w:pPr>
              <w:rPr>
                <w:color w:val="000000" w:themeColor="text1"/>
                <w:sz w:val="20"/>
                <w:szCs w:val="20"/>
              </w:rPr>
            </w:pPr>
            <w:r w:rsidRPr="005D62DB">
              <w:rPr>
                <w:color w:val="000000" w:themeColor="text1"/>
                <w:sz w:val="20"/>
                <w:szCs w:val="20"/>
              </w:rPr>
              <w:t>2025-2030: Gradual convergence with traditional finance</w:t>
            </w:r>
          </w:p>
        </w:tc>
      </w:tr>
      <w:tr w:rsidR="00750A6E" w:rsidRPr="005D62DB" w14:paraId="5EE255C9" w14:textId="77777777" w:rsidTr="00857C7E">
        <w:trPr>
          <w:trHeight w:val="71"/>
        </w:trPr>
        <w:tc>
          <w:tcPr>
            <w:tcW w:w="1015"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519EDEF4" w14:textId="77777777" w:rsidR="0040119B" w:rsidRPr="005D62DB" w:rsidRDefault="0040119B" w:rsidP="00AE1DED">
            <w:pPr>
              <w:rPr>
                <w:b/>
                <w:bCs/>
                <w:color w:val="000000" w:themeColor="text1"/>
                <w:sz w:val="20"/>
                <w:szCs w:val="20"/>
              </w:rPr>
            </w:pPr>
            <w:r w:rsidRPr="005D62DB">
              <w:rPr>
                <w:b/>
                <w:bCs/>
                <w:color w:val="000000" w:themeColor="text1"/>
                <w:sz w:val="20"/>
                <w:szCs w:val="20"/>
              </w:rPr>
              <w:t>Retail Impact</w:t>
            </w:r>
          </w:p>
        </w:tc>
        <w:tc>
          <w:tcPr>
            <w:tcW w:w="2031" w:type="dxa"/>
            <w:tcBorders>
              <w:top w:val="nil"/>
              <w:left w:val="nil"/>
              <w:bottom w:val="single" w:sz="4" w:space="0" w:color="auto"/>
              <w:right w:val="single" w:sz="4" w:space="0" w:color="auto"/>
            </w:tcBorders>
            <w:vAlign w:val="center"/>
            <w:hideMark/>
          </w:tcPr>
          <w:p w14:paraId="5FBA36B4" w14:textId="77777777" w:rsidR="00584418" w:rsidRPr="005D62DB" w:rsidRDefault="0040119B" w:rsidP="00AE1DED">
            <w:pPr>
              <w:rPr>
                <w:color w:val="000000" w:themeColor="text1"/>
                <w:sz w:val="20"/>
                <w:szCs w:val="20"/>
              </w:rPr>
            </w:pPr>
            <w:r w:rsidRPr="005D62DB">
              <w:rPr>
                <w:color w:val="000000" w:themeColor="text1"/>
                <w:sz w:val="20"/>
                <w:szCs w:val="20"/>
              </w:rPr>
              <w:t>Retail returns compress 60%</w:t>
            </w:r>
          </w:p>
          <w:p w14:paraId="1EB65033" w14:textId="77777777" w:rsidR="00584418" w:rsidRPr="005D62DB" w:rsidRDefault="0040119B" w:rsidP="00AE1DED">
            <w:pPr>
              <w:rPr>
                <w:color w:val="000000" w:themeColor="text1"/>
                <w:sz w:val="20"/>
                <w:szCs w:val="20"/>
              </w:rPr>
            </w:pPr>
            <w:r w:rsidRPr="005D62DB">
              <w:rPr>
                <w:color w:val="000000" w:themeColor="text1"/>
                <w:sz w:val="20"/>
                <w:szCs w:val="20"/>
              </w:rPr>
              <w:t>Minimum viable positions rise 10x</w:t>
            </w:r>
          </w:p>
          <w:p w14:paraId="56DC2A67" w14:textId="3014881B" w:rsidR="0040119B" w:rsidRPr="005D62DB" w:rsidRDefault="0040119B" w:rsidP="00AE1DED">
            <w:pPr>
              <w:rPr>
                <w:color w:val="000000" w:themeColor="text1"/>
                <w:sz w:val="20"/>
                <w:szCs w:val="20"/>
              </w:rPr>
            </w:pPr>
            <w:r w:rsidRPr="005D62DB">
              <w:rPr>
                <w:color w:val="000000" w:themeColor="text1"/>
                <w:sz w:val="20"/>
                <w:szCs w:val="20"/>
              </w:rPr>
              <w:t>Become consumers, not providers</w:t>
            </w:r>
          </w:p>
        </w:tc>
        <w:tc>
          <w:tcPr>
            <w:tcW w:w="2150" w:type="dxa"/>
            <w:tcBorders>
              <w:top w:val="nil"/>
              <w:left w:val="nil"/>
              <w:bottom w:val="single" w:sz="4" w:space="0" w:color="auto"/>
              <w:right w:val="single" w:sz="4" w:space="0" w:color="auto"/>
            </w:tcBorders>
            <w:vAlign w:val="center"/>
            <w:hideMark/>
          </w:tcPr>
          <w:p w14:paraId="2B8008B6" w14:textId="77777777" w:rsidR="00584418" w:rsidRPr="005D62DB" w:rsidRDefault="0040119B" w:rsidP="00AE1DED">
            <w:pPr>
              <w:rPr>
                <w:color w:val="000000" w:themeColor="text1"/>
                <w:sz w:val="20"/>
                <w:szCs w:val="20"/>
              </w:rPr>
            </w:pPr>
            <w:r w:rsidRPr="005D62DB">
              <w:rPr>
                <w:color w:val="000000" w:themeColor="text1"/>
                <w:sz w:val="20"/>
                <w:szCs w:val="20"/>
              </w:rPr>
              <w:t>Volume drops 40%</w:t>
            </w:r>
          </w:p>
          <w:p w14:paraId="297DAB64" w14:textId="28A05F98" w:rsidR="00584418" w:rsidRPr="005D62DB" w:rsidRDefault="0040119B" w:rsidP="00AE1DED">
            <w:pPr>
              <w:rPr>
                <w:color w:val="000000" w:themeColor="text1"/>
                <w:sz w:val="20"/>
                <w:szCs w:val="20"/>
              </w:rPr>
            </w:pPr>
            <w:r w:rsidRPr="005D62DB">
              <w:rPr>
                <w:color w:val="000000" w:themeColor="text1"/>
                <w:sz w:val="20"/>
                <w:szCs w:val="20"/>
              </w:rPr>
              <w:t>Fees decrease 60%</w:t>
            </w:r>
          </w:p>
          <w:p w14:paraId="5753A39C" w14:textId="5524ECC5" w:rsidR="0040119B" w:rsidRPr="005D62DB" w:rsidRDefault="0040119B" w:rsidP="00AE1DED">
            <w:pPr>
              <w:rPr>
                <w:color w:val="000000" w:themeColor="text1"/>
                <w:sz w:val="20"/>
                <w:szCs w:val="20"/>
              </w:rPr>
            </w:pPr>
            <w:r w:rsidRPr="005D62DB">
              <w:rPr>
                <w:color w:val="000000" w:themeColor="text1"/>
                <w:sz w:val="20"/>
                <w:szCs w:val="20"/>
              </w:rPr>
              <w:t>Geographic fragmentation</w:t>
            </w:r>
          </w:p>
        </w:tc>
        <w:tc>
          <w:tcPr>
            <w:tcW w:w="2232" w:type="dxa"/>
            <w:tcBorders>
              <w:top w:val="nil"/>
              <w:left w:val="nil"/>
              <w:bottom w:val="single" w:sz="4" w:space="0" w:color="auto"/>
              <w:right w:val="single" w:sz="4" w:space="0" w:color="auto"/>
            </w:tcBorders>
            <w:vAlign w:val="center"/>
            <w:hideMark/>
          </w:tcPr>
          <w:p w14:paraId="6627AEB6" w14:textId="77777777" w:rsidR="00584418" w:rsidRPr="005D62DB" w:rsidRDefault="0040119B" w:rsidP="00AE1DED">
            <w:pPr>
              <w:rPr>
                <w:color w:val="000000" w:themeColor="text1"/>
                <w:sz w:val="20"/>
                <w:szCs w:val="20"/>
              </w:rPr>
            </w:pPr>
            <w:r w:rsidRPr="005D62DB">
              <w:rPr>
                <w:color w:val="000000" w:themeColor="text1"/>
                <w:sz w:val="20"/>
                <w:szCs w:val="20"/>
              </w:rPr>
              <w:t>Barriers disappear</w:t>
            </w:r>
          </w:p>
          <w:p w14:paraId="42E78BB9" w14:textId="77777777" w:rsidR="00584418" w:rsidRPr="005D62DB" w:rsidRDefault="0040119B" w:rsidP="00AE1DED">
            <w:pPr>
              <w:rPr>
                <w:color w:val="000000" w:themeColor="text1"/>
                <w:sz w:val="20"/>
                <w:szCs w:val="20"/>
              </w:rPr>
            </w:pPr>
            <w:r w:rsidRPr="005D62DB">
              <w:rPr>
                <w:color w:val="000000" w:themeColor="text1"/>
                <w:sz w:val="20"/>
                <w:szCs w:val="20"/>
              </w:rPr>
              <w:t>Competition intensifies</w:t>
            </w:r>
          </w:p>
          <w:p w14:paraId="3EB86A9E" w14:textId="44747634" w:rsidR="0040119B" w:rsidRPr="005D62DB" w:rsidRDefault="0040119B" w:rsidP="00AE1DED">
            <w:pPr>
              <w:rPr>
                <w:color w:val="000000" w:themeColor="text1"/>
                <w:sz w:val="20"/>
                <w:szCs w:val="20"/>
              </w:rPr>
            </w:pPr>
            <w:r w:rsidRPr="005D62DB">
              <w:rPr>
                <w:color w:val="000000" w:themeColor="text1"/>
                <w:sz w:val="20"/>
                <w:szCs w:val="20"/>
              </w:rPr>
              <w:t>Active providers increase 100x</w:t>
            </w:r>
          </w:p>
        </w:tc>
        <w:tc>
          <w:tcPr>
            <w:tcW w:w="1912" w:type="dxa"/>
            <w:tcBorders>
              <w:top w:val="nil"/>
              <w:left w:val="nil"/>
              <w:bottom w:val="single" w:sz="4" w:space="0" w:color="auto"/>
              <w:right w:val="single" w:sz="8" w:space="0" w:color="auto"/>
            </w:tcBorders>
            <w:vAlign w:val="center"/>
            <w:hideMark/>
          </w:tcPr>
          <w:p w14:paraId="3CFD00D2" w14:textId="77777777" w:rsidR="00584418" w:rsidRPr="005D62DB" w:rsidRDefault="0040119B" w:rsidP="00AE1DED">
            <w:pPr>
              <w:rPr>
                <w:color w:val="000000" w:themeColor="text1"/>
                <w:sz w:val="20"/>
                <w:szCs w:val="20"/>
              </w:rPr>
            </w:pPr>
            <w:r w:rsidRPr="005D62DB">
              <w:rPr>
                <w:color w:val="000000" w:themeColor="text1"/>
                <w:sz w:val="20"/>
                <w:szCs w:val="20"/>
              </w:rPr>
              <w:t>Impermanent loss decreases 70%</w:t>
            </w:r>
          </w:p>
          <w:p w14:paraId="3827FB2A" w14:textId="77777777" w:rsidR="00584418" w:rsidRPr="005D62DB" w:rsidRDefault="0040119B" w:rsidP="00AE1DED">
            <w:pPr>
              <w:rPr>
                <w:color w:val="000000" w:themeColor="text1"/>
                <w:sz w:val="20"/>
                <w:szCs w:val="20"/>
              </w:rPr>
            </w:pPr>
            <w:r w:rsidRPr="005D62DB">
              <w:rPr>
                <w:color w:val="000000" w:themeColor="text1"/>
                <w:sz w:val="20"/>
                <w:szCs w:val="20"/>
              </w:rPr>
              <w:t>Fee income drops 50%</w:t>
            </w:r>
          </w:p>
          <w:p w14:paraId="43DF0C29" w14:textId="052A05AA" w:rsidR="0040119B" w:rsidRPr="005D62DB" w:rsidRDefault="0040119B" w:rsidP="00AE1DED">
            <w:pPr>
              <w:rPr>
                <w:color w:val="000000" w:themeColor="text1"/>
                <w:sz w:val="20"/>
                <w:szCs w:val="20"/>
              </w:rPr>
            </w:pPr>
            <w:r w:rsidRPr="005D62DB">
              <w:rPr>
                <w:color w:val="000000" w:themeColor="text1"/>
                <w:sz w:val="20"/>
                <w:szCs w:val="20"/>
              </w:rPr>
              <w:t>Returns converge 2-5% annually</w:t>
            </w:r>
          </w:p>
        </w:tc>
      </w:tr>
      <w:tr w:rsidR="00750A6E" w:rsidRPr="005D62DB" w14:paraId="11F91A6A" w14:textId="77777777" w:rsidTr="00857C7E">
        <w:trPr>
          <w:trHeight w:val="1601"/>
        </w:trPr>
        <w:tc>
          <w:tcPr>
            <w:tcW w:w="1015"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2C01F881" w14:textId="77777777" w:rsidR="0040119B" w:rsidRPr="005D62DB" w:rsidRDefault="0040119B" w:rsidP="00AE1DED">
            <w:pPr>
              <w:rPr>
                <w:b/>
                <w:bCs/>
                <w:color w:val="000000" w:themeColor="text1"/>
                <w:sz w:val="20"/>
                <w:szCs w:val="20"/>
              </w:rPr>
            </w:pPr>
            <w:r w:rsidRPr="005D62DB">
              <w:rPr>
                <w:b/>
                <w:bCs/>
                <w:color w:val="000000" w:themeColor="text1"/>
                <w:sz w:val="20"/>
                <w:szCs w:val="20"/>
              </w:rPr>
              <w:t>Capital Requirements</w:t>
            </w:r>
          </w:p>
        </w:tc>
        <w:tc>
          <w:tcPr>
            <w:tcW w:w="2031" w:type="dxa"/>
            <w:tcBorders>
              <w:top w:val="nil"/>
              <w:left w:val="nil"/>
              <w:bottom w:val="single" w:sz="4" w:space="0" w:color="auto"/>
              <w:right w:val="single" w:sz="4" w:space="0" w:color="auto"/>
            </w:tcBorders>
            <w:vAlign w:val="center"/>
            <w:hideMark/>
          </w:tcPr>
          <w:p w14:paraId="2E56E23F" w14:textId="77777777" w:rsidR="00584418" w:rsidRPr="005D62DB" w:rsidRDefault="0040119B" w:rsidP="00AE1DED">
            <w:pPr>
              <w:rPr>
                <w:color w:val="000000" w:themeColor="text1"/>
                <w:sz w:val="20"/>
                <w:szCs w:val="20"/>
              </w:rPr>
            </w:pPr>
            <w:r w:rsidRPr="005D62DB">
              <w:rPr>
                <w:color w:val="000000" w:themeColor="text1"/>
                <w:sz w:val="20"/>
                <w:szCs w:val="20"/>
              </w:rPr>
              <w:t>Micro capital (&lt;$3,500): Unviable</w:t>
            </w:r>
          </w:p>
          <w:p w14:paraId="653831C9" w14:textId="77777777" w:rsidR="00584418" w:rsidRPr="005D62DB" w:rsidRDefault="0040119B" w:rsidP="00AE1DED">
            <w:pPr>
              <w:rPr>
                <w:color w:val="000000" w:themeColor="text1"/>
                <w:sz w:val="20"/>
                <w:szCs w:val="20"/>
              </w:rPr>
            </w:pPr>
            <w:r w:rsidRPr="005D62DB">
              <w:rPr>
                <w:color w:val="000000" w:themeColor="text1"/>
                <w:sz w:val="20"/>
                <w:szCs w:val="20"/>
              </w:rPr>
              <w:t>Small-modest ($3,500-$25,000): Marginal</w:t>
            </w:r>
          </w:p>
          <w:p w14:paraId="62A749B3" w14:textId="56325D75" w:rsidR="0040119B" w:rsidRPr="005D62DB" w:rsidRDefault="0040119B" w:rsidP="00AE1DED">
            <w:pPr>
              <w:rPr>
                <w:color w:val="000000" w:themeColor="text1"/>
                <w:sz w:val="20"/>
                <w:szCs w:val="20"/>
              </w:rPr>
            </w:pPr>
            <w:r w:rsidRPr="005D62DB">
              <w:rPr>
                <w:color w:val="000000" w:themeColor="text1"/>
                <w:sz w:val="20"/>
                <w:szCs w:val="20"/>
              </w:rPr>
              <w:t>Substantial (&gt;$25,000): Minimum viable becomes $250,000+</w:t>
            </w:r>
          </w:p>
        </w:tc>
        <w:tc>
          <w:tcPr>
            <w:tcW w:w="2150" w:type="dxa"/>
            <w:tcBorders>
              <w:top w:val="nil"/>
              <w:left w:val="nil"/>
              <w:bottom w:val="single" w:sz="4" w:space="0" w:color="auto"/>
              <w:right w:val="single" w:sz="4" w:space="0" w:color="auto"/>
            </w:tcBorders>
            <w:vAlign w:val="center"/>
            <w:hideMark/>
          </w:tcPr>
          <w:p w14:paraId="613E1F90" w14:textId="77777777" w:rsidR="00584418" w:rsidRPr="005D62DB" w:rsidRDefault="0040119B" w:rsidP="00AE1DED">
            <w:pPr>
              <w:rPr>
                <w:color w:val="000000" w:themeColor="text1"/>
                <w:sz w:val="20"/>
                <w:szCs w:val="20"/>
              </w:rPr>
            </w:pPr>
            <w:r w:rsidRPr="005D62DB">
              <w:rPr>
                <w:color w:val="000000" w:themeColor="text1"/>
                <w:sz w:val="20"/>
                <w:szCs w:val="20"/>
              </w:rPr>
              <w:t>Compliant jurisdictions only</w:t>
            </w:r>
          </w:p>
          <w:p w14:paraId="6DA87346" w14:textId="77777777" w:rsidR="00584418" w:rsidRPr="005D62DB" w:rsidRDefault="0040119B" w:rsidP="00AE1DED">
            <w:pPr>
              <w:rPr>
                <w:color w:val="000000" w:themeColor="text1"/>
                <w:sz w:val="20"/>
                <w:szCs w:val="20"/>
              </w:rPr>
            </w:pPr>
            <w:r w:rsidRPr="005D62DB">
              <w:rPr>
                <w:color w:val="000000" w:themeColor="text1"/>
                <w:sz w:val="20"/>
                <w:szCs w:val="20"/>
              </w:rPr>
              <w:t>KYC/AML overhead: +$5,000-15,000</w:t>
            </w:r>
          </w:p>
          <w:p w14:paraId="46C333E4" w14:textId="274DC5C2" w:rsidR="0040119B" w:rsidRPr="005D62DB" w:rsidRDefault="0040119B" w:rsidP="00AE1DED">
            <w:pPr>
              <w:rPr>
                <w:color w:val="000000" w:themeColor="text1"/>
                <w:sz w:val="20"/>
                <w:szCs w:val="20"/>
              </w:rPr>
            </w:pPr>
            <w:r w:rsidRPr="005D62DB">
              <w:rPr>
                <w:color w:val="000000" w:themeColor="text1"/>
                <w:sz w:val="20"/>
                <w:szCs w:val="20"/>
              </w:rPr>
              <w:t>Non-compliant: Gray market risks</w:t>
            </w:r>
          </w:p>
        </w:tc>
        <w:tc>
          <w:tcPr>
            <w:tcW w:w="2232" w:type="dxa"/>
            <w:tcBorders>
              <w:top w:val="nil"/>
              <w:left w:val="nil"/>
              <w:bottom w:val="single" w:sz="4" w:space="0" w:color="auto"/>
              <w:right w:val="single" w:sz="4" w:space="0" w:color="auto"/>
            </w:tcBorders>
            <w:vAlign w:val="center"/>
            <w:hideMark/>
          </w:tcPr>
          <w:p w14:paraId="2F375120" w14:textId="77777777" w:rsidR="00584418" w:rsidRPr="005D62DB" w:rsidRDefault="0040119B" w:rsidP="00AE1DED">
            <w:pPr>
              <w:rPr>
                <w:color w:val="000000" w:themeColor="text1"/>
                <w:sz w:val="20"/>
                <w:szCs w:val="20"/>
              </w:rPr>
            </w:pPr>
            <w:r w:rsidRPr="005D62DB">
              <w:rPr>
                <w:color w:val="000000" w:themeColor="text1"/>
                <w:sz w:val="20"/>
                <w:szCs w:val="20"/>
              </w:rPr>
              <w:t>All levels viable</w:t>
            </w:r>
          </w:p>
          <w:p w14:paraId="63C05940" w14:textId="77777777" w:rsidR="00584418" w:rsidRPr="005D62DB" w:rsidRDefault="0040119B" w:rsidP="00AE1DED">
            <w:pPr>
              <w:rPr>
                <w:color w:val="000000" w:themeColor="text1"/>
                <w:sz w:val="20"/>
                <w:szCs w:val="20"/>
              </w:rPr>
            </w:pPr>
            <w:r w:rsidRPr="005D62DB">
              <w:rPr>
                <w:color w:val="000000" w:themeColor="text1"/>
                <w:sz w:val="20"/>
                <w:szCs w:val="20"/>
              </w:rPr>
              <w:t>Micro capital becomes truly accessible</w:t>
            </w:r>
          </w:p>
          <w:p w14:paraId="49AA7FD4" w14:textId="782FFB15" w:rsidR="0040119B" w:rsidRPr="005D62DB" w:rsidRDefault="0040119B" w:rsidP="00AE1DED">
            <w:pPr>
              <w:rPr>
                <w:color w:val="000000" w:themeColor="text1"/>
                <w:sz w:val="20"/>
                <w:szCs w:val="20"/>
              </w:rPr>
            </w:pPr>
            <w:r w:rsidRPr="005D62DB">
              <w:rPr>
                <w:color w:val="000000" w:themeColor="text1"/>
                <w:sz w:val="20"/>
                <w:szCs w:val="20"/>
              </w:rPr>
              <w:t>But returns compress to 2-4%</w:t>
            </w:r>
          </w:p>
        </w:tc>
        <w:tc>
          <w:tcPr>
            <w:tcW w:w="1912" w:type="dxa"/>
            <w:tcBorders>
              <w:top w:val="nil"/>
              <w:left w:val="nil"/>
              <w:bottom w:val="single" w:sz="4" w:space="0" w:color="auto"/>
              <w:right w:val="single" w:sz="8" w:space="0" w:color="auto"/>
            </w:tcBorders>
            <w:vAlign w:val="center"/>
            <w:hideMark/>
          </w:tcPr>
          <w:p w14:paraId="049DD0AA" w14:textId="77777777" w:rsidR="00584418" w:rsidRPr="005D62DB" w:rsidRDefault="0040119B" w:rsidP="00AE1DED">
            <w:pPr>
              <w:rPr>
                <w:color w:val="000000" w:themeColor="text1"/>
                <w:sz w:val="20"/>
                <w:szCs w:val="20"/>
              </w:rPr>
            </w:pPr>
            <w:proofErr w:type="gramStart"/>
            <w:r w:rsidRPr="005D62DB">
              <w:rPr>
                <w:color w:val="000000" w:themeColor="text1"/>
                <w:sz w:val="20"/>
                <w:szCs w:val="20"/>
              </w:rPr>
              <w:t>Similar to</w:t>
            </w:r>
            <w:proofErr w:type="gramEnd"/>
            <w:r w:rsidRPr="005D62DB">
              <w:rPr>
                <w:color w:val="000000" w:themeColor="text1"/>
                <w:sz w:val="20"/>
                <w:szCs w:val="20"/>
              </w:rPr>
              <w:t xml:space="preserve"> current thresholds</w:t>
            </w:r>
          </w:p>
          <w:p w14:paraId="76ACE65C" w14:textId="77777777" w:rsidR="00584418" w:rsidRPr="005D62DB" w:rsidRDefault="0040119B" w:rsidP="00AE1DED">
            <w:pPr>
              <w:rPr>
                <w:color w:val="000000" w:themeColor="text1"/>
                <w:sz w:val="20"/>
                <w:szCs w:val="20"/>
              </w:rPr>
            </w:pPr>
            <w:r w:rsidRPr="005D62DB">
              <w:rPr>
                <w:color w:val="000000" w:themeColor="text1"/>
                <w:sz w:val="20"/>
                <w:szCs w:val="20"/>
              </w:rPr>
              <w:t>But opportunity quality declines</w:t>
            </w:r>
          </w:p>
          <w:p w14:paraId="2CF6C53A" w14:textId="355AC7B9" w:rsidR="0040119B" w:rsidRPr="005D62DB" w:rsidRDefault="0040119B" w:rsidP="00AE1DED">
            <w:pPr>
              <w:rPr>
                <w:color w:val="000000" w:themeColor="text1"/>
                <w:sz w:val="20"/>
                <w:szCs w:val="20"/>
              </w:rPr>
            </w:pPr>
            <w:r w:rsidRPr="005D62DB">
              <w:rPr>
                <w:color w:val="000000" w:themeColor="text1"/>
                <w:sz w:val="20"/>
                <w:szCs w:val="20"/>
              </w:rPr>
              <w:t>Risk-adjusted returns approach bonds</w:t>
            </w:r>
          </w:p>
        </w:tc>
      </w:tr>
      <w:tr w:rsidR="00750A6E" w:rsidRPr="005D62DB" w14:paraId="6244EEC7" w14:textId="77777777" w:rsidTr="00857C7E">
        <w:trPr>
          <w:trHeight w:val="1160"/>
        </w:trPr>
        <w:tc>
          <w:tcPr>
            <w:tcW w:w="1015"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1C770DE8" w14:textId="77777777" w:rsidR="0040119B" w:rsidRPr="005D62DB" w:rsidRDefault="0040119B" w:rsidP="00AE1DED">
            <w:pPr>
              <w:rPr>
                <w:b/>
                <w:bCs/>
                <w:color w:val="000000" w:themeColor="text1"/>
                <w:sz w:val="20"/>
                <w:szCs w:val="20"/>
              </w:rPr>
            </w:pPr>
            <w:r w:rsidRPr="005D62DB">
              <w:rPr>
                <w:b/>
                <w:bCs/>
                <w:color w:val="000000" w:themeColor="text1"/>
                <w:sz w:val="20"/>
                <w:szCs w:val="20"/>
              </w:rPr>
              <w:t>Geographic Pattern</w:t>
            </w:r>
          </w:p>
        </w:tc>
        <w:tc>
          <w:tcPr>
            <w:tcW w:w="2031" w:type="dxa"/>
            <w:tcBorders>
              <w:top w:val="nil"/>
              <w:left w:val="nil"/>
              <w:bottom w:val="single" w:sz="4" w:space="0" w:color="auto"/>
              <w:right w:val="single" w:sz="4" w:space="0" w:color="auto"/>
            </w:tcBorders>
            <w:vAlign w:val="center"/>
            <w:hideMark/>
          </w:tcPr>
          <w:p w14:paraId="5AF9AA3C" w14:textId="77777777" w:rsidR="00584418" w:rsidRPr="005D62DB" w:rsidRDefault="0040119B" w:rsidP="00AE1DED">
            <w:pPr>
              <w:rPr>
                <w:color w:val="000000" w:themeColor="text1"/>
                <w:sz w:val="20"/>
                <w:szCs w:val="20"/>
              </w:rPr>
            </w:pPr>
            <w:proofErr w:type="gramStart"/>
            <w:r w:rsidRPr="005D62DB">
              <w:rPr>
                <w:color w:val="000000" w:themeColor="text1"/>
                <w:sz w:val="20"/>
                <w:szCs w:val="20"/>
              </w:rPr>
              <w:t>Concentrated</w:t>
            </w:r>
            <w:proofErr w:type="gramEnd"/>
            <w:r w:rsidRPr="005D62DB">
              <w:rPr>
                <w:color w:val="000000" w:themeColor="text1"/>
                <w:sz w:val="20"/>
                <w:szCs w:val="20"/>
              </w:rPr>
              <w:t xml:space="preserve"> in financial hubs</w:t>
            </w:r>
          </w:p>
          <w:p w14:paraId="46503658" w14:textId="77777777" w:rsidR="00584418" w:rsidRPr="005D62DB" w:rsidRDefault="0040119B" w:rsidP="00AE1DED">
            <w:pPr>
              <w:rPr>
                <w:color w:val="000000" w:themeColor="text1"/>
                <w:sz w:val="20"/>
                <w:szCs w:val="20"/>
              </w:rPr>
            </w:pPr>
            <w:r w:rsidRPr="005D62DB">
              <w:rPr>
                <w:color w:val="000000" w:themeColor="text1"/>
                <w:sz w:val="20"/>
                <w:szCs w:val="20"/>
              </w:rPr>
              <w:t>US, UK, Singapore dominate</w:t>
            </w:r>
          </w:p>
          <w:p w14:paraId="1E5D3601" w14:textId="37049837" w:rsidR="0040119B" w:rsidRPr="005D62DB" w:rsidRDefault="0040119B" w:rsidP="00AE1DED">
            <w:pPr>
              <w:rPr>
                <w:color w:val="000000" w:themeColor="text1"/>
                <w:sz w:val="20"/>
                <w:szCs w:val="20"/>
              </w:rPr>
            </w:pPr>
            <w:r w:rsidRPr="005D62DB">
              <w:rPr>
                <w:color w:val="000000" w:themeColor="text1"/>
                <w:sz w:val="20"/>
                <w:szCs w:val="20"/>
              </w:rPr>
              <w:t>Developing markets excluded</w:t>
            </w:r>
          </w:p>
        </w:tc>
        <w:tc>
          <w:tcPr>
            <w:tcW w:w="2150" w:type="dxa"/>
            <w:tcBorders>
              <w:top w:val="nil"/>
              <w:left w:val="nil"/>
              <w:bottom w:val="single" w:sz="4" w:space="0" w:color="auto"/>
              <w:right w:val="single" w:sz="4" w:space="0" w:color="auto"/>
            </w:tcBorders>
            <w:vAlign w:val="center"/>
            <w:hideMark/>
          </w:tcPr>
          <w:p w14:paraId="07FA9FEF" w14:textId="77777777" w:rsidR="00584418" w:rsidRPr="005D62DB" w:rsidRDefault="0040119B" w:rsidP="00AE1DED">
            <w:pPr>
              <w:rPr>
                <w:color w:val="000000" w:themeColor="text1"/>
                <w:sz w:val="20"/>
                <w:szCs w:val="20"/>
              </w:rPr>
            </w:pPr>
            <w:r w:rsidRPr="005D62DB">
              <w:rPr>
                <w:color w:val="000000" w:themeColor="text1"/>
                <w:sz w:val="20"/>
                <w:szCs w:val="20"/>
              </w:rPr>
              <w:t>Bifurcated markets:</w:t>
            </w:r>
          </w:p>
          <w:p w14:paraId="1DA4EDB0" w14:textId="77777777" w:rsidR="00584418" w:rsidRPr="005D62DB" w:rsidRDefault="0040119B" w:rsidP="00AE1DED">
            <w:pPr>
              <w:rPr>
                <w:color w:val="000000" w:themeColor="text1"/>
                <w:sz w:val="20"/>
                <w:szCs w:val="20"/>
              </w:rPr>
            </w:pPr>
            <w:r w:rsidRPr="005D62DB">
              <w:rPr>
                <w:color w:val="000000" w:themeColor="text1"/>
                <w:sz w:val="20"/>
                <w:szCs w:val="20"/>
              </w:rPr>
              <w:t>Compliant (developed nations)</w:t>
            </w:r>
          </w:p>
          <w:p w14:paraId="78ED8B18" w14:textId="34D655C3" w:rsidR="0040119B" w:rsidRPr="005D62DB" w:rsidRDefault="0040119B" w:rsidP="00AE1DED">
            <w:pPr>
              <w:rPr>
                <w:color w:val="000000" w:themeColor="text1"/>
                <w:sz w:val="20"/>
                <w:szCs w:val="20"/>
              </w:rPr>
            </w:pPr>
            <w:r w:rsidRPr="005D62DB">
              <w:rPr>
                <w:color w:val="000000" w:themeColor="text1"/>
                <w:sz w:val="20"/>
                <w:szCs w:val="20"/>
              </w:rPr>
              <w:t>Non-compliant (crypto-friendly jurisdictions)</w:t>
            </w:r>
          </w:p>
        </w:tc>
        <w:tc>
          <w:tcPr>
            <w:tcW w:w="2232" w:type="dxa"/>
            <w:tcBorders>
              <w:top w:val="nil"/>
              <w:left w:val="nil"/>
              <w:bottom w:val="single" w:sz="4" w:space="0" w:color="auto"/>
              <w:right w:val="single" w:sz="4" w:space="0" w:color="auto"/>
            </w:tcBorders>
            <w:vAlign w:val="center"/>
            <w:hideMark/>
          </w:tcPr>
          <w:p w14:paraId="23103F3D" w14:textId="77777777" w:rsidR="00584418" w:rsidRPr="005D62DB" w:rsidRDefault="0040119B" w:rsidP="00AE1DED">
            <w:pPr>
              <w:rPr>
                <w:color w:val="000000" w:themeColor="text1"/>
                <w:sz w:val="20"/>
                <w:szCs w:val="20"/>
              </w:rPr>
            </w:pPr>
            <w:r w:rsidRPr="005D62DB">
              <w:rPr>
                <w:color w:val="000000" w:themeColor="text1"/>
                <w:sz w:val="20"/>
                <w:szCs w:val="20"/>
              </w:rPr>
              <w:t>Global accessibility</w:t>
            </w:r>
          </w:p>
          <w:p w14:paraId="3C86F43C" w14:textId="77777777" w:rsidR="00584418" w:rsidRPr="005D62DB" w:rsidRDefault="0040119B" w:rsidP="00AE1DED">
            <w:pPr>
              <w:rPr>
                <w:color w:val="000000" w:themeColor="text1"/>
                <w:sz w:val="20"/>
                <w:szCs w:val="20"/>
              </w:rPr>
            </w:pPr>
            <w:r w:rsidRPr="005D62DB">
              <w:rPr>
                <w:color w:val="000000" w:themeColor="text1"/>
                <w:sz w:val="20"/>
                <w:szCs w:val="20"/>
              </w:rPr>
              <w:t>No geographic advantages</w:t>
            </w:r>
          </w:p>
          <w:p w14:paraId="4BFE038A" w14:textId="4156DDC7" w:rsidR="0040119B" w:rsidRPr="005D62DB" w:rsidRDefault="0040119B" w:rsidP="00AE1DED">
            <w:pPr>
              <w:rPr>
                <w:color w:val="000000" w:themeColor="text1"/>
                <w:sz w:val="20"/>
                <w:szCs w:val="20"/>
              </w:rPr>
            </w:pPr>
            <w:r w:rsidRPr="005D62DB">
              <w:rPr>
                <w:color w:val="000000" w:themeColor="text1"/>
                <w:sz w:val="20"/>
                <w:szCs w:val="20"/>
              </w:rPr>
              <w:t>Pure competition on execution</w:t>
            </w:r>
          </w:p>
        </w:tc>
        <w:tc>
          <w:tcPr>
            <w:tcW w:w="1912" w:type="dxa"/>
            <w:tcBorders>
              <w:top w:val="nil"/>
              <w:left w:val="nil"/>
              <w:bottom w:val="single" w:sz="4" w:space="0" w:color="auto"/>
              <w:right w:val="single" w:sz="8" w:space="0" w:color="auto"/>
            </w:tcBorders>
            <w:vAlign w:val="center"/>
            <w:hideMark/>
          </w:tcPr>
          <w:p w14:paraId="61D627E1" w14:textId="77777777" w:rsidR="00584418" w:rsidRPr="005D62DB" w:rsidRDefault="0040119B" w:rsidP="00AE1DED">
            <w:pPr>
              <w:rPr>
                <w:color w:val="000000" w:themeColor="text1"/>
                <w:sz w:val="20"/>
                <w:szCs w:val="20"/>
              </w:rPr>
            </w:pPr>
            <w:r w:rsidRPr="005D62DB">
              <w:rPr>
                <w:color w:val="000000" w:themeColor="text1"/>
                <w:sz w:val="20"/>
                <w:szCs w:val="20"/>
              </w:rPr>
              <w:t>Uniform globally</w:t>
            </w:r>
          </w:p>
          <w:p w14:paraId="6CD90506" w14:textId="77777777" w:rsidR="00584418" w:rsidRPr="005D62DB" w:rsidRDefault="0040119B" w:rsidP="00AE1DED">
            <w:pPr>
              <w:rPr>
                <w:color w:val="000000" w:themeColor="text1"/>
                <w:sz w:val="20"/>
                <w:szCs w:val="20"/>
              </w:rPr>
            </w:pPr>
            <w:r w:rsidRPr="005D62DB">
              <w:rPr>
                <w:color w:val="000000" w:themeColor="text1"/>
                <w:sz w:val="20"/>
                <w:szCs w:val="20"/>
              </w:rPr>
              <w:t>Differentiation disappears</w:t>
            </w:r>
          </w:p>
          <w:p w14:paraId="6ADAADA8" w14:textId="6FC4D2D4" w:rsidR="0040119B" w:rsidRPr="005D62DB" w:rsidRDefault="0040119B" w:rsidP="00AE1DED">
            <w:pPr>
              <w:rPr>
                <w:color w:val="000000" w:themeColor="text1"/>
                <w:sz w:val="20"/>
                <w:szCs w:val="20"/>
              </w:rPr>
            </w:pPr>
            <w:r w:rsidRPr="005D62DB">
              <w:rPr>
                <w:color w:val="000000" w:themeColor="text1"/>
                <w:sz w:val="20"/>
                <w:szCs w:val="20"/>
              </w:rPr>
              <w:t>Utility-like infrastructure</w:t>
            </w:r>
          </w:p>
        </w:tc>
      </w:tr>
      <w:tr w:rsidR="00750A6E" w:rsidRPr="005D62DB" w14:paraId="58B4DDA6" w14:textId="77777777" w:rsidTr="00857C7E">
        <w:trPr>
          <w:trHeight w:val="521"/>
        </w:trPr>
        <w:tc>
          <w:tcPr>
            <w:tcW w:w="1015"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098945F4" w14:textId="77777777" w:rsidR="0040119B" w:rsidRPr="005D62DB" w:rsidRDefault="0040119B" w:rsidP="00AE1DED">
            <w:pPr>
              <w:rPr>
                <w:b/>
                <w:bCs/>
                <w:color w:val="000000" w:themeColor="text1"/>
                <w:sz w:val="20"/>
                <w:szCs w:val="20"/>
              </w:rPr>
            </w:pPr>
            <w:r w:rsidRPr="005D62DB">
              <w:rPr>
                <w:b/>
                <w:bCs/>
                <w:color w:val="000000" w:themeColor="text1"/>
                <w:sz w:val="20"/>
                <w:szCs w:val="20"/>
              </w:rPr>
              <w:t>Strategy Viability</w:t>
            </w:r>
          </w:p>
        </w:tc>
        <w:tc>
          <w:tcPr>
            <w:tcW w:w="2031" w:type="dxa"/>
            <w:tcBorders>
              <w:top w:val="nil"/>
              <w:left w:val="nil"/>
              <w:bottom w:val="single" w:sz="4" w:space="0" w:color="auto"/>
              <w:right w:val="single" w:sz="4" w:space="0" w:color="auto"/>
            </w:tcBorders>
            <w:vAlign w:val="center"/>
            <w:hideMark/>
          </w:tcPr>
          <w:p w14:paraId="69E076A8" w14:textId="77777777" w:rsidR="00584418" w:rsidRPr="005D62DB" w:rsidRDefault="0040119B" w:rsidP="00AE1DED">
            <w:pPr>
              <w:rPr>
                <w:color w:val="000000" w:themeColor="text1"/>
                <w:sz w:val="20"/>
                <w:szCs w:val="20"/>
              </w:rPr>
            </w:pPr>
            <w:r w:rsidRPr="005D62DB">
              <w:rPr>
                <w:color w:val="000000" w:themeColor="text1"/>
                <w:sz w:val="20"/>
                <w:szCs w:val="20"/>
              </w:rPr>
              <w:t>Simple strategies unviable (institutional competition)</w:t>
            </w:r>
          </w:p>
          <w:p w14:paraId="01C99355" w14:textId="77777777" w:rsidR="00584418" w:rsidRPr="005D62DB" w:rsidRDefault="0040119B" w:rsidP="00AE1DED">
            <w:pPr>
              <w:rPr>
                <w:color w:val="000000" w:themeColor="text1"/>
                <w:sz w:val="20"/>
                <w:szCs w:val="20"/>
              </w:rPr>
            </w:pPr>
            <w:r w:rsidRPr="005D62DB">
              <w:rPr>
                <w:color w:val="000000" w:themeColor="text1"/>
                <w:sz w:val="20"/>
                <w:szCs w:val="20"/>
              </w:rPr>
              <w:t>Complex strategies require institutional infrastructure</w:t>
            </w:r>
          </w:p>
          <w:p w14:paraId="724D4634" w14:textId="6334F5E1" w:rsidR="0040119B" w:rsidRPr="005D62DB" w:rsidRDefault="0040119B" w:rsidP="00AE1DED">
            <w:pPr>
              <w:rPr>
                <w:color w:val="000000" w:themeColor="text1"/>
                <w:sz w:val="20"/>
                <w:szCs w:val="20"/>
              </w:rPr>
            </w:pPr>
            <w:r w:rsidRPr="005D62DB">
              <w:rPr>
                <w:color w:val="000000" w:themeColor="text1"/>
                <w:sz w:val="20"/>
                <w:szCs w:val="20"/>
              </w:rPr>
              <w:t>Retail: arbitrage in inefficient niches only</w:t>
            </w:r>
          </w:p>
        </w:tc>
        <w:tc>
          <w:tcPr>
            <w:tcW w:w="2150" w:type="dxa"/>
            <w:tcBorders>
              <w:top w:val="nil"/>
              <w:left w:val="nil"/>
              <w:bottom w:val="single" w:sz="4" w:space="0" w:color="auto"/>
              <w:right w:val="single" w:sz="4" w:space="0" w:color="auto"/>
            </w:tcBorders>
            <w:vAlign w:val="center"/>
            <w:hideMark/>
          </w:tcPr>
          <w:p w14:paraId="1D7C09FD" w14:textId="77777777" w:rsidR="00584418" w:rsidRPr="005D62DB" w:rsidRDefault="0040119B" w:rsidP="00AE1DED">
            <w:pPr>
              <w:rPr>
                <w:color w:val="000000" w:themeColor="text1"/>
                <w:sz w:val="20"/>
                <w:szCs w:val="20"/>
              </w:rPr>
            </w:pPr>
            <w:r w:rsidRPr="005D62DB">
              <w:rPr>
                <w:color w:val="000000" w:themeColor="text1"/>
                <w:sz w:val="20"/>
                <w:szCs w:val="20"/>
              </w:rPr>
              <w:t>Stablecoin strategies survive (utility argument)</w:t>
            </w:r>
          </w:p>
          <w:p w14:paraId="72196783" w14:textId="77777777" w:rsidR="00584418" w:rsidRPr="005D62DB" w:rsidRDefault="0040119B" w:rsidP="00AE1DED">
            <w:pPr>
              <w:rPr>
                <w:color w:val="000000" w:themeColor="text1"/>
                <w:sz w:val="20"/>
                <w:szCs w:val="20"/>
              </w:rPr>
            </w:pPr>
            <w:r w:rsidRPr="005D62DB">
              <w:rPr>
                <w:color w:val="000000" w:themeColor="text1"/>
                <w:sz w:val="20"/>
                <w:szCs w:val="20"/>
              </w:rPr>
              <w:t>Volatile pairs restricted</w:t>
            </w:r>
          </w:p>
          <w:p w14:paraId="198B2B4F" w14:textId="3A97F186" w:rsidR="0040119B" w:rsidRPr="005D62DB" w:rsidRDefault="0040119B" w:rsidP="00AE1DED">
            <w:pPr>
              <w:rPr>
                <w:color w:val="000000" w:themeColor="text1"/>
                <w:sz w:val="20"/>
                <w:szCs w:val="20"/>
              </w:rPr>
            </w:pPr>
            <w:r w:rsidRPr="005D62DB">
              <w:rPr>
                <w:color w:val="000000" w:themeColor="text1"/>
                <w:sz w:val="20"/>
                <w:szCs w:val="20"/>
              </w:rPr>
              <w:t>Cross-border opportunities emerge</w:t>
            </w:r>
          </w:p>
        </w:tc>
        <w:tc>
          <w:tcPr>
            <w:tcW w:w="2232" w:type="dxa"/>
            <w:tcBorders>
              <w:top w:val="nil"/>
              <w:left w:val="nil"/>
              <w:bottom w:val="single" w:sz="4" w:space="0" w:color="auto"/>
              <w:right w:val="single" w:sz="4" w:space="0" w:color="auto"/>
            </w:tcBorders>
            <w:vAlign w:val="center"/>
            <w:hideMark/>
          </w:tcPr>
          <w:p w14:paraId="79D24890" w14:textId="77777777" w:rsidR="00584418" w:rsidRPr="005D62DB" w:rsidRDefault="0040119B" w:rsidP="00AE1DED">
            <w:pPr>
              <w:rPr>
                <w:color w:val="000000" w:themeColor="text1"/>
                <w:sz w:val="20"/>
                <w:szCs w:val="20"/>
              </w:rPr>
            </w:pPr>
            <w:r w:rsidRPr="005D62DB">
              <w:rPr>
                <w:color w:val="000000" w:themeColor="text1"/>
                <w:sz w:val="20"/>
                <w:szCs w:val="20"/>
              </w:rPr>
              <w:t>All strategies accessible</w:t>
            </w:r>
          </w:p>
          <w:p w14:paraId="377A73A6" w14:textId="77777777" w:rsidR="00584418" w:rsidRPr="005D62DB" w:rsidRDefault="0040119B" w:rsidP="00AE1DED">
            <w:pPr>
              <w:rPr>
                <w:color w:val="000000" w:themeColor="text1"/>
                <w:sz w:val="20"/>
                <w:szCs w:val="20"/>
              </w:rPr>
            </w:pPr>
            <w:r w:rsidRPr="005D62DB">
              <w:rPr>
                <w:color w:val="000000" w:themeColor="text1"/>
                <w:sz w:val="20"/>
                <w:szCs w:val="20"/>
              </w:rPr>
              <w:t>But alpha disappears quickly</w:t>
            </w:r>
          </w:p>
          <w:p w14:paraId="0B093744" w14:textId="1336C6EF" w:rsidR="0040119B" w:rsidRPr="005D62DB" w:rsidRDefault="0040119B" w:rsidP="00AE1DED">
            <w:pPr>
              <w:rPr>
                <w:color w:val="000000" w:themeColor="text1"/>
                <w:sz w:val="20"/>
                <w:szCs w:val="20"/>
              </w:rPr>
            </w:pPr>
            <w:r w:rsidRPr="005D62DB">
              <w:rPr>
                <w:color w:val="000000" w:themeColor="text1"/>
                <w:sz w:val="20"/>
                <w:szCs w:val="20"/>
              </w:rPr>
              <w:t>Differentiation through execution speed only</w:t>
            </w:r>
          </w:p>
        </w:tc>
        <w:tc>
          <w:tcPr>
            <w:tcW w:w="1912" w:type="dxa"/>
            <w:tcBorders>
              <w:top w:val="nil"/>
              <w:left w:val="nil"/>
              <w:bottom w:val="single" w:sz="4" w:space="0" w:color="auto"/>
              <w:right w:val="single" w:sz="8" w:space="0" w:color="auto"/>
            </w:tcBorders>
            <w:vAlign w:val="center"/>
            <w:hideMark/>
          </w:tcPr>
          <w:p w14:paraId="54C1965D" w14:textId="77777777" w:rsidR="00584418" w:rsidRPr="005D62DB" w:rsidRDefault="0040119B" w:rsidP="00AE1DED">
            <w:pPr>
              <w:rPr>
                <w:color w:val="000000" w:themeColor="text1"/>
                <w:sz w:val="20"/>
                <w:szCs w:val="20"/>
              </w:rPr>
            </w:pPr>
            <w:r w:rsidRPr="005D62DB">
              <w:rPr>
                <w:color w:val="000000" w:themeColor="text1"/>
                <w:sz w:val="20"/>
                <w:szCs w:val="20"/>
              </w:rPr>
              <w:t>Boring strategies only</w:t>
            </w:r>
          </w:p>
          <w:p w14:paraId="4EBA9F13" w14:textId="77777777" w:rsidR="00584418" w:rsidRPr="005D62DB" w:rsidRDefault="0040119B" w:rsidP="00AE1DED">
            <w:pPr>
              <w:rPr>
                <w:color w:val="000000" w:themeColor="text1"/>
                <w:sz w:val="20"/>
                <w:szCs w:val="20"/>
              </w:rPr>
            </w:pPr>
            <w:r w:rsidRPr="005D62DB">
              <w:rPr>
                <w:color w:val="000000" w:themeColor="text1"/>
                <w:sz w:val="20"/>
                <w:szCs w:val="20"/>
              </w:rPr>
              <w:t>Stablecoin LP: 2-4%</w:t>
            </w:r>
          </w:p>
          <w:p w14:paraId="7B99DCB4" w14:textId="21B242D5" w:rsidR="0040119B" w:rsidRPr="005D62DB" w:rsidRDefault="0040119B" w:rsidP="00AE1DED">
            <w:pPr>
              <w:rPr>
                <w:color w:val="000000" w:themeColor="text1"/>
                <w:sz w:val="20"/>
                <w:szCs w:val="20"/>
              </w:rPr>
            </w:pPr>
            <w:r w:rsidRPr="005D62DB">
              <w:rPr>
                <w:color w:val="000000" w:themeColor="text1"/>
                <w:sz w:val="20"/>
                <w:szCs w:val="20"/>
              </w:rPr>
              <w:t>Everything else speculative</w:t>
            </w:r>
          </w:p>
        </w:tc>
      </w:tr>
      <w:tr w:rsidR="00750A6E" w:rsidRPr="005D62DB" w14:paraId="09CFA6A0" w14:textId="77777777" w:rsidTr="00857C7E">
        <w:trPr>
          <w:trHeight w:val="1151"/>
        </w:trPr>
        <w:tc>
          <w:tcPr>
            <w:tcW w:w="1015"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2DA817AD" w14:textId="77777777" w:rsidR="0040119B" w:rsidRPr="005D62DB" w:rsidRDefault="0040119B" w:rsidP="00AE1DED">
            <w:pPr>
              <w:rPr>
                <w:b/>
                <w:bCs/>
                <w:color w:val="000000" w:themeColor="text1"/>
                <w:sz w:val="20"/>
                <w:szCs w:val="20"/>
              </w:rPr>
            </w:pPr>
            <w:r w:rsidRPr="005D62DB">
              <w:rPr>
                <w:b/>
                <w:bCs/>
                <w:color w:val="000000" w:themeColor="text1"/>
                <w:sz w:val="20"/>
                <w:szCs w:val="20"/>
              </w:rPr>
              <w:t>Risk Profile</w:t>
            </w:r>
          </w:p>
        </w:tc>
        <w:tc>
          <w:tcPr>
            <w:tcW w:w="2031" w:type="dxa"/>
            <w:tcBorders>
              <w:top w:val="nil"/>
              <w:left w:val="nil"/>
              <w:bottom w:val="single" w:sz="4" w:space="0" w:color="auto"/>
              <w:right w:val="single" w:sz="4" w:space="0" w:color="auto"/>
            </w:tcBorders>
            <w:vAlign w:val="center"/>
            <w:hideMark/>
          </w:tcPr>
          <w:p w14:paraId="7C6994BF" w14:textId="77777777" w:rsidR="00584418" w:rsidRPr="005D62DB" w:rsidRDefault="0040119B" w:rsidP="00AE1DED">
            <w:pPr>
              <w:rPr>
                <w:color w:val="000000" w:themeColor="text1"/>
                <w:sz w:val="20"/>
                <w:szCs w:val="20"/>
              </w:rPr>
            </w:pPr>
            <w:r w:rsidRPr="005D62DB">
              <w:rPr>
                <w:color w:val="000000" w:themeColor="text1"/>
                <w:sz w:val="20"/>
                <w:szCs w:val="20"/>
              </w:rPr>
              <w:t>Lower protocol risk (institutional audits/insurance)</w:t>
            </w:r>
          </w:p>
          <w:p w14:paraId="31310A32" w14:textId="77777777" w:rsidR="00584418" w:rsidRPr="005D62DB" w:rsidRDefault="0040119B" w:rsidP="00AE1DED">
            <w:pPr>
              <w:rPr>
                <w:color w:val="000000" w:themeColor="text1"/>
                <w:sz w:val="20"/>
                <w:szCs w:val="20"/>
              </w:rPr>
            </w:pPr>
            <w:r w:rsidRPr="005D62DB">
              <w:rPr>
                <w:color w:val="000000" w:themeColor="text1"/>
                <w:sz w:val="20"/>
                <w:szCs w:val="20"/>
              </w:rPr>
              <w:t>Higher opportunity cost risk</w:t>
            </w:r>
          </w:p>
          <w:p w14:paraId="24A110AE" w14:textId="797C50B4" w:rsidR="0040119B" w:rsidRPr="005D62DB" w:rsidRDefault="0040119B" w:rsidP="00AE1DED">
            <w:pPr>
              <w:rPr>
                <w:color w:val="000000" w:themeColor="text1"/>
                <w:sz w:val="20"/>
                <w:szCs w:val="20"/>
              </w:rPr>
            </w:pPr>
            <w:r w:rsidRPr="005D62DB">
              <w:rPr>
                <w:color w:val="000000" w:themeColor="text1"/>
                <w:sz w:val="20"/>
                <w:szCs w:val="20"/>
              </w:rPr>
              <w:t>Systemic risk from concentration</w:t>
            </w:r>
          </w:p>
        </w:tc>
        <w:tc>
          <w:tcPr>
            <w:tcW w:w="2150" w:type="dxa"/>
            <w:tcBorders>
              <w:top w:val="nil"/>
              <w:left w:val="nil"/>
              <w:bottom w:val="single" w:sz="4" w:space="0" w:color="auto"/>
              <w:right w:val="single" w:sz="4" w:space="0" w:color="auto"/>
            </w:tcBorders>
            <w:vAlign w:val="center"/>
            <w:hideMark/>
          </w:tcPr>
          <w:p w14:paraId="3C087C37" w14:textId="77777777" w:rsidR="00584418" w:rsidRPr="005D62DB" w:rsidRDefault="0040119B" w:rsidP="00AE1DED">
            <w:pPr>
              <w:rPr>
                <w:color w:val="000000" w:themeColor="text1"/>
                <w:sz w:val="20"/>
                <w:szCs w:val="20"/>
              </w:rPr>
            </w:pPr>
            <w:r w:rsidRPr="005D62DB">
              <w:rPr>
                <w:color w:val="000000" w:themeColor="text1"/>
                <w:sz w:val="20"/>
                <w:szCs w:val="20"/>
              </w:rPr>
              <w:t>Regulatory risk dominates</w:t>
            </w:r>
          </w:p>
          <w:p w14:paraId="7B8C56F1" w14:textId="77777777" w:rsidR="00584418" w:rsidRPr="005D62DB" w:rsidRDefault="0040119B" w:rsidP="00AE1DED">
            <w:pPr>
              <w:rPr>
                <w:color w:val="000000" w:themeColor="text1"/>
                <w:sz w:val="20"/>
                <w:szCs w:val="20"/>
              </w:rPr>
            </w:pPr>
            <w:r w:rsidRPr="005D62DB">
              <w:rPr>
                <w:color w:val="000000" w:themeColor="text1"/>
                <w:sz w:val="20"/>
                <w:szCs w:val="20"/>
              </w:rPr>
              <w:t>Enforcement uncertainty</w:t>
            </w:r>
          </w:p>
          <w:p w14:paraId="5209ABF7" w14:textId="2C921715" w:rsidR="0040119B" w:rsidRPr="005D62DB" w:rsidRDefault="0040119B" w:rsidP="00AE1DED">
            <w:pPr>
              <w:rPr>
                <w:color w:val="000000" w:themeColor="text1"/>
                <w:sz w:val="20"/>
                <w:szCs w:val="20"/>
              </w:rPr>
            </w:pPr>
            <w:r w:rsidRPr="005D62DB">
              <w:rPr>
                <w:color w:val="000000" w:themeColor="text1"/>
                <w:sz w:val="20"/>
                <w:szCs w:val="20"/>
              </w:rPr>
              <w:t>Jurisdictional arbitrage risks</w:t>
            </w:r>
          </w:p>
        </w:tc>
        <w:tc>
          <w:tcPr>
            <w:tcW w:w="2232" w:type="dxa"/>
            <w:tcBorders>
              <w:top w:val="nil"/>
              <w:left w:val="nil"/>
              <w:bottom w:val="single" w:sz="4" w:space="0" w:color="auto"/>
              <w:right w:val="single" w:sz="4" w:space="0" w:color="auto"/>
            </w:tcBorders>
            <w:vAlign w:val="center"/>
            <w:hideMark/>
          </w:tcPr>
          <w:p w14:paraId="0E6CBC4F" w14:textId="77777777" w:rsidR="00584418" w:rsidRPr="005D62DB" w:rsidRDefault="0040119B" w:rsidP="00AE1DED">
            <w:pPr>
              <w:rPr>
                <w:color w:val="000000" w:themeColor="text1"/>
                <w:sz w:val="20"/>
                <w:szCs w:val="20"/>
              </w:rPr>
            </w:pPr>
            <w:r w:rsidRPr="005D62DB">
              <w:rPr>
                <w:color w:val="000000" w:themeColor="text1"/>
                <w:sz w:val="20"/>
                <w:szCs w:val="20"/>
              </w:rPr>
              <w:t>Protocol risk unchanged</w:t>
            </w:r>
          </w:p>
          <w:p w14:paraId="780F5236" w14:textId="77777777" w:rsidR="00584418" w:rsidRPr="005D62DB" w:rsidRDefault="0040119B" w:rsidP="00AE1DED">
            <w:pPr>
              <w:rPr>
                <w:color w:val="000000" w:themeColor="text1"/>
                <w:sz w:val="20"/>
                <w:szCs w:val="20"/>
              </w:rPr>
            </w:pPr>
            <w:r w:rsidRPr="005D62DB">
              <w:rPr>
                <w:color w:val="000000" w:themeColor="text1"/>
                <w:sz w:val="20"/>
                <w:szCs w:val="20"/>
              </w:rPr>
              <w:t>Competition risk increases</w:t>
            </w:r>
          </w:p>
          <w:p w14:paraId="58170AE1" w14:textId="7C80E648" w:rsidR="0040119B" w:rsidRPr="005D62DB" w:rsidRDefault="0040119B" w:rsidP="00AE1DED">
            <w:pPr>
              <w:rPr>
                <w:color w:val="000000" w:themeColor="text1"/>
                <w:sz w:val="20"/>
                <w:szCs w:val="20"/>
              </w:rPr>
            </w:pPr>
            <w:r w:rsidRPr="005D62DB">
              <w:rPr>
                <w:color w:val="000000" w:themeColor="text1"/>
                <w:sz w:val="20"/>
                <w:szCs w:val="20"/>
              </w:rPr>
              <w:t>Strategy lifespan shortens</w:t>
            </w:r>
          </w:p>
        </w:tc>
        <w:tc>
          <w:tcPr>
            <w:tcW w:w="1912" w:type="dxa"/>
            <w:tcBorders>
              <w:top w:val="nil"/>
              <w:left w:val="nil"/>
              <w:bottom w:val="single" w:sz="4" w:space="0" w:color="auto"/>
              <w:right w:val="single" w:sz="8" w:space="0" w:color="auto"/>
            </w:tcBorders>
            <w:vAlign w:val="center"/>
            <w:hideMark/>
          </w:tcPr>
          <w:p w14:paraId="5435CE05" w14:textId="77777777" w:rsidR="00584418" w:rsidRPr="005D62DB" w:rsidRDefault="0040119B" w:rsidP="00AE1DED">
            <w:pPr>
              <w:rPr>
                <w:color w:val="000000" w:themeColor="text1"/>
                <w:sz w:val="20"/>
                <w:szCs w:val="20"/>
              </w:rPr>
            </w:pPr>
            <w:r w:rsidRPr="005D62DB">
              <w:rPr>
                <w:color w:val="000000" w:themeColor="text1"/>
                <w:sz w:val="20"/>
                <w:szCs w:val="20"/>
              </w:rPr>
              <w:t xml:space="preserve">Risk normalized to </w:t>
            </w:r>
            <w:proofErr w:type="spellStart"/>
            <w:r w:rsidRPr="005D62DB">
              <w:rPr>
                <w:color w:val="000000" w:themeColor="text1"/>
                <w:sz w:val="20"/>
                <w:szCs w:val="20"/>
              </w:rPr>
              <w:t>TradFi</w:t>
            </w:r>
            <w:proofErr w:type="spellEnd"/>
            <w:r w:rsidRPr="005D62DB">
              <w:rPr>
                <w:color w:val="000000" w:themeColor="text1"/>
                <w:sz w:val="20"/>
                <w:szCs w:val="20"/>
              </w:rPr>
              <w:t xml:space="preserve"> levels</w:t>
            </w:r>
          </w:p>
          <w:p w14:paraId="7CF91383" w14:textId="77777777" w:rsidR="00584418" w:rsidRPr="005D62DB" w:rsidRDefault="0040119B" w:rsidP="00AE1DED">
            <w:pPr>
              <w:rPr>
                <w:color w:val="000000" w:themeColor="text1"/>
                <w:sz w:val="20"/>
                <w:szCs w:val="20"/>
              </w:rPr>
            </w:pPr>
            <w:r w:rsidRPr="005D62DB">
              <w:rPr>
                <w:color w:val="000000" w:themeColor="text1"/>
                <w:sz w:val="20"/>
                <w:szCs w:val="20"/>
              </w:rPr>
              <w:t>35-45% annual incident probability drops to 5-10%</w:t>
            </w:r>
          </w:p>
          <w:p w14:paraId="07094603" w14:textId="2F2D6E9C" w:rsidR="0040119B" w:rsidRPr="005D62DB" w:rsidRDefault="0040119B" w:rsidP="00AE1DED">
            <w:pPr>
              <w:rPr>
                <w:color w:val="000000" w:themeColor="text1"/>
                <w:sz w:val="20"/>
                <w:szCs w:val="20"/>
              </w:rPr>
            </w:pPr>
            <w:r w:rsidRPr="005D62DB">
              <w:rPr>
                <w:color w:val="000000" w:themeColor="text1"/>
                <w:sz w:val="20"/>
                <w:szCs w:val="20"/>
              </w:rPr>
              <w:t>But returns drop proportionally</w:t>
            </w:r>
          </w:p>
        </w:tc>
      </w:tr>
      <w:tr w:rsidR="00750A6E" w:rsidRPr="005D62DB" w14:paraId="63AC3FA1" w14:textId="77777777" w:rsidTr="00857C7E">
        <w:trPr>
          <w:trHeight w:val="521"/>
        </w:trPr>
        <w:tc>
          <w:tcPr>
            <w:tcW w:w="1015"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7E38112D" w14:textId="77777777" w:rsidR="0040119B" w:rsidRPr="005D62DB" w:rsidRDefault="0040119B" w:rsidP="00AE1DED">
            <w:pPr>
              <w:rPr>
                <w:b/>
                <w:bCs/>
                <w:color w:val="000000" w:themeColor="text1"/>
                <w:sz w:val="20"/>
                <w:szCs w:val="20"/>
              </w:rPr>
            </w:pPr>
            <w:r w:rsidRPr="005D62DB">
              <w:rPr>
                <w:b/>
                <w:bCs/>
                <w:color w:val="000000" w:themeColor="text1"/>
                <w:sz w:val="20"/>
                <w:szCs w:val="20"/>
              </w:rPr>
              <w:lastRenderedPageBreak/>
              <w:t>Employment Effect</w:t>
            </w:r>
          </w:p>
        </w:tc>
        <w:tc>
          <w:tcPr>
            <w:tcW w:w="2031" w:type="dxa"/>
            <w:tcBorders>
              <w:top w:val="nil"/>
              <w:left w:val="nil"/>
              <w:bottom w:val="single" w:sz="4" w:space="0" w:color="auto"/>
              <w:right w:val="single" w:sz="4" w:space="0" w:color="auto"/>
            </w:tcBorders>
            <w:vAlign w:val="center"/>
            <w:hideMark/>
          </w:tcPr>
          <w:p w14:paraId="7A97471D" w14:textId="77777777" w:rsidR="00584418" w:rsidRPr="005D62DB" w:rsidRDefault="0040119B" w:rsidP="00AE1DED">
            <w:pPr>
              <w:rPr>
                <w:color w:val="000000" w:themeColor="text1"/>
                <w:sz w:val="20"/>
                <w:szCs w:val="20"/>
              </w:rPr>
            </w:pPr>
            <w:r w:rsidRPr="005D62DB">
              <w:rPr>
                <w:color w:val="000000" w:themeColor="text1"/>
                <w:sz w:val="20"/>
                <w:szCs w:val="20"/>
              </w:rPr>
              <w:t>Professionalization:</w:t>
            </w:r>
          </w:p>
          <w:p w14:paraId="5CA376A4" w14:textId="7A6E754F" w:rsidR="00584418" w:rsidRPr="005D62DB" w:rsidRDefault="0040119B" w:rsidP="00AE1DED">
            <w:pPr>
              <w:rPr>
                <w:color w:val="000000" w:themeColor="text1"/>
                <w:sz w:val="20"/>
                <w:szCs w:val="20"/>
              </w:rPr>
            </w:pPr>
            <w:r w:rsidRPr="005D62DB">
              <w:rPr>
                <w:color w:val="000000" w:themeColor="text1"/>
                <w:sz w:val="20"/>
                <w:szCs w:val="20"/>
              </w:rPr>
              <w:t>DeFi becomes career, not side income</w:t>
            </w:r>
          </w:p>
          <w:p w14:paraId="47F7EF5F" w14:textId="4C57BABB" w:rsidR="0040119B" w:rsidRPr="005D62DB" w:rsidRDefault="0040119B" w:rsidP="00AE1DED">
            <w:pPr>
              <w:rPr>
                <w:color w:val="000000" w:themeColor="text1"/>
                <w:sz w:val="20"/>
                <w:szCs w:val="20"/>
              </w:rPr>
            </w:pPr>
            <w:r w:rsidRPr="005D62DB">
              <w:rPr>
                <w:color w:val="000000" w:themeColor="text1"/>
                <w:sz w:val="20"/>
                <w:szCs w:val="20"/>
              </w:rPr>
              <w:t>Institutions hire specialists</w:t>
            </w:r>
          </w:p>
        </w:tc>
        <w:tc>
          <w:tcPr>
            <w:tcW w:w="2150" w:type="dxa"/>
            <w:tcBorders>
              <w:top w:val="nil"/>
              <w:left w:val="nil"/>
              <w:bottom w:val="single" w:sz="4" w:space="0" w:color="auto"/>
              <w:right w:val="single" w:sz="4" w:space="0" w:color="auto"/>
            </w:tcBorders>
            <w:vAlign w:val="center"/>
            <w:hideMark/>
          </w:tcPr>
          <w:p w14:paraId="7DC2F239" w14:textId="77777777" w:rsidR="00584418" w:rsidRPr="005D62DB" w:rsidRDefault="0040119B" w:rsidP="00AE1DED">
            <w:pPr>
              <w:rPr>
                <w:color w:val="000000" w:themeColor="text1"/>
                <w:sz w:val="20"/>
                <w:szCs w:val="20"/>
              </w:rPr>
            </w:pPr>
            <w:r w:rsidRPr="005D62DB">
              <w:rPr>
                <w:color w:val="000000" w:themeColor="text1"/>
                <w:sz w:val="20"/>
                <w:szCs w:val="20"/>
              </w:rPr>
              <w:t>Underground economy:</w:t>
            </w:r>
          </w:p>
          <w:p w14:paraId="5F218A68" w14:textId="77777777" w:rsidR="00584418" w:rsidRPr="005D62DB" w:rsidRDefault="0040119B" w:rsidP="00AE1DED">
            <w:pPr>
              <w:rPr>
                <w:color w:val="000000" w:themeColor="text1"/>
                <w:sz w:val="20"/>
                <w:szCs w:val="20"/>
              </w:rPr>
            </w:pPr>
            <w:r w:rsidRPr="005D62DB">
              <w:rPr>
                <w:color w:val="000000" w:themeColor="text1"/>
                <w:sz w:val="20"/>
                <w:szCs w:val="20"/>
              </w:rPr>
              <w:t>Gray market operators</w:t>
            </w:r>
          </w:p>
          <w:p w14:paraId="0DA6EB4D" w14:textId="3AD381A6" w:rsidR="0040119B" w:rsidRPr="005D62DB" w:rsidRDefault="0040119B" w:rsidP="00AE1DED">
            <w:pPr>
              <w:rPr>
                <w:color w:val="000000" w:themeColor="text1"/>
                <w:sz w:val="20"/>
                <w:szCs w:val="20"/>
              </w:rPr>
            </w:pPr>
            <w:r w:rsidRPr="005D62DB">
              <w:rPr>
                <w:color w:val="000000" w:themeColor="text1"/>
                <w:sz w:val="20"/>
                <w:szCs w:val="20"/>
              </w:rPr>
              <w:t>Regulatory arbitrage specialists</w:t>
            </w:r>
          </w:p>
        </w:tc>
        <w:tc>
          <w:tcPr>
            <w:tcW w:w="2232" w:type="dxa"/>
            <w:tcBorders>
              <w:top w:val="nil"/>
              <w:left w:val="nil"/>
              <w:bottom w:val="single" w:sz="4" w:space="0" w:color="auto"/>
              <w:right w:val="single" w:sz="4" w:space="0" w:color="auto"/>
            </w:tcBorders>
            <w:vAlign w:val="center"/>
            <w:hideMark/>
          </w:tcPr>
          <w:p w14:paraId="16A33884" w14:textId="77777777" w:rsidR="00584418" w:rsidRPr="005D62DB" w:rsidRDefault="0040119B" w:rsidP="00AE1DED">
            <w:pPr>
              <w:rPr>
                <w:color w:val="000000" w:themeColor="text1"/>
                <w:sz w:val="20"/>
                <w:szCs w:val="20"/>
              </w:rPr>
            </w:pPr>
            <w:r w:rsidRPr="005D62DB">
              <w:rPr>
                <w:color w:val="000000" w:themeColor="text1"/>
                <w:sz w:val="20"/>
                <w:szCs w:val="20"/>
              </w:rPr>
              <w:t>Democratization:</w:t>
            </w:r>
          </w:p>
          <w:p w14:paraId="56E1922D" w14:textId="77777777" w:rsidR="00584418" w:rsidRPr="005D62DB" w:rsidRDefault="0040119B" w:rsidP="00AE1DED">
            <w:pPr>
              <w:rPr>
                <w:color w:val="000000" w:themeColor="text1"/>
                <w:sz w:val="20"/>
                <w:szCs w:val="20"/>
              </w:rPr>
            </w:pPr>
            <w:r w:rsidRPr="005D62DB">
              <w:rPr>
                <w:color w:val="000000" w:themeColor="text1"/>
                <w:sz w:val="20"/>
                <w:szCs w:val="20"/>
              </w:rPr>
              <w:t>Part-time viable again</w:t>
            </w:r>
          </w:p>
          <w:p w14:paraId="579DB001" w14:textId="0EBBD4DB" w:rsidR="0040119B" w:rsidRPr="005D62DB" w:rsidRDefault="0040119B" w:rsidP="00AE1DED">
            <w:pPr>
              <w:rPr>
                <w:color w:val="000000" w:themeColor="text1"/>
                <w:sz w:val="20"/>
                <w:szCs w:val="20"/>
              </w:rPr>
            </w:pPr>
            <w:r w:rsidRPr="005D62DB">
              <w:rPr>
                <w:color w:val="000000" w:themeColor="text1"/>
                <w:sz w:val="20"/>
                <w:szCs w:val="20"/>
              </w:rPr>
              <w:t>But requires extreme efficiency</w:t>
            </w:r>
          </w:p>
        </w:tc>
        <w:tc>
          <w:tcPr>
            <w:tcW w:w="1912" w:type="dxa"/>
            <w:tcBorders>
              <w:top w:val="nil"/>
              <w:left w:val="nil"/>
              <w:bottom w:val="single" w:sz="4" w:space="0" w:color="auto"/>
              <w:right w:val="single" w:sz="8" w:space="0" w:color="auto"/>
            </w:tcBorders>
            <w:vAlign w:val="center"/>
            <w:hideMark/>
          </w:tcPr>
          <w:p w14:paraId="075A409B" w14:textId="77777777" w:rsidR="00584418" w:rsidRPr="005D62DB" w:rsidRDefault="0040119B" w:rsidP="00AE1DED">
            <w:pPr>
              <w:rPr>
                <w:color w:val="000000" w:themeColor="text1"/>
                <w:sz w:val="20"/>
                <w:szCs w:val="20"/>
              </w:rPr>
            </w:pPr>
            <w:r w:rsidRPr="005D62DB">
              <w:rPr>
                <w:color w:val="000000" w:themeColor="text1"/>
                <w:sz w:val="20"/>
                <w:szCs w:val="20"/>
              </w:rPr>
              <w:t>Commoditization:</w:t>
            </w:r>
          </w:p>
          <w:p w14:paraId="72DE710F" w14:textId="77777777" w:rsidR="00584418" w:rsidRPr="005D62DB" w:rsidRDefault="0040119B" w:rsidP="00AE1DED">
            <w:pPr>
              <w:rPr>
                <w:color w:val="000000" w:themeColor="text1"/>
                <w:sz w:val="20"/>
                <w:szCs w:val="20"/>
              </w:rPr>
            </w:pPr>
            <w:r w:rsidRPr="005D62DB">
              <w:rPr>
                <w:color w:val="000000" w:themeColor="text1"/>
                <w:sz w:val="20"/>
                <w:szCs w:val="20"/>
              </w:rPr>
              <w:t>No employment effect</w:t>
            </w:r>
          </w:p>
          <w:p w14:paraId="5775F7B2" w14:textId="2C6D2984" w:rsidR="0040119B" w:rsidRPr="005D62DB" w:rsidRDefault="0040119B" w:rsidP="00AE1DED">
            <w:pPr>
              <w:rPr>
                <w:color w:val="000000" w:themeColor="text1"/>
                <w:sz w:val="20"/>
                <w:szCs w:val="20"/>
              </w:rPr>
            </w:pPr>
            <w:r w:rsidRPr="005D62DB">
              <w:rPr>
                <w:color w:val="000000" w:themeColor="text1"/>
                <w:sz w:val="20"/>
                <w:szCs w:val="20"/>
              </w:rPr>
              <w:t>Purely passive infrastructure</w:t>
            </w:r>
          </w:p>
        </w:tc>
      </w:tr>
      <w:tr w:rsidR="00750A6E" w:rsidRPr="005D62DB" w14:paraId="2BDC79FC" w14:textId="77777777" w:rsidTr="00857C7E">
        <w:trPr>
          <w:trHeight w:val="359"/>
        </w:trPr>
        <w:tc>
          <w:tcPr>
            <w:tcW w:w="1015"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6211E6C4" w14:textId="77777777" w:rsidR="0040119B" w:rsidRPr="005D62DB" w:rsidRDefault="0040119B" w:rsidP="00AE1DED">
            <w:pPr>
              <w:rPr>
                <w:b/>
                <w:bCs/>
                <w:color w:val="000000" w:themeColor="text1"/>
                <w:sz w:val="20"/>
                <w:szCs w:val="20"/>
              </w:rPr>
            </w:pPr>
            <w:r w:rsidRPr="005D62DB">
              <w:rPr>
                <w:b/>
                <w:bCs/>
                <w:color w:val="000000" w:themeColor="text1"/>
                <w:sz w:val="20"/>
                <w:szCs w:val="20"/>
              </w:rPr>
              <w:t>Probability Assessment</w:t>
            </w:r>
          </w:p>
        </w:tc>
        <w:tc>
          <w:tcPr>
            <w:tcW w:w="2031" w:type="dxa"/>
            <w:tcBorders>
              <w:top w:val="nil"/>
              <w:left w:val="nil"/>
              <w:bottom w:val="single" w:sz="4" w:space="0" w:color="auto"/>
              <w:right w:val="single" w:sz="4" w:space="0" w:color="auto"/>
            </w:tcBorders>
            <w:vAlign w:val="center"/>
            <w:hideMark/>
          </w:tcPr>
          <w:p w14:paraId="6CC14CF7" w14:textId="77777777" w:rsidR="00584418" w:rsidRPr="005D62DB" w:rsidRDefault="0040119B" w:rsidP="00AE1DED">
            <w:pPr>
              <w:rPr>
                <w:color w:val="000000" w:themeColor="text1"/>
                <w:sz w:val="20"/>
                <w:szCs w:val="20"/>
              </w:rPr>
            </w:pPr>
            <w:r w:rsidRPr="005D62DB">
              <w:rPr>
                <w:color w:val="000000" w:themeColor="text1"/>
                <w:sz w:val="20"/>
                <w:szCs w:val="20"/>
              </w:rPr>
              <w:t>35% - Most likely given current trends</w:t>
            </w:r>
          </w:p>
          <w:p w14:paraId="34E80E6C" w14:textId="77777777" w:rsidR="00584418" w:rsidRPr="005D62DB" w:rsidRDefault="0040119B" w:rsidP="00AE1DED">
            <w:pPr>
              <w:rPr>
                <w:color w:val="000000" w:themeColor="text1"/>
                <w:sz w:val="20"/>
                <w:szCs w:val="20"/>
              </w:rPr>
            </w:pPr>
            <w:r w:rsidRPr="005D62DB">
              <w:rPr>
                <w:color w:val="000000" w:themeColor="text1"/>
                <w:sz w:val="20"/>
                <w:szCs w:val="20"/>
              </w:rPr>
              <w:t>Institutions already entering</w:t>
            </w:r>
          </w:p>
          <w:p w14:paraId="63CEE0E4" w14:textId="4EB29AC3" w:rsidR="0040119B" w:rsidRPr="005D62DB" w:rsidRDefault="0040119B" w:rsidP="00AE1DED">
            <w:pPr>
              <w:rPr>
                <w:color w:val="000000" w:themeColor="text1"/>
                <w:sz w:val="20"/>
                <w:szCs w:val="20"/>
              </w:rPr>
            </w:pPr>
            <w:r w:rsidRPr="005D62DB">
              <w:rPr>
                <w:color w:val="000000" w:themeColor="text1"/>
                <w:sz w:val="20"/>
                <w:szCs w:val="20"/>
              </w:rPr>
              <w:t>Capital advantages compound</w:t>
            </w:r>
          </w:p>
        </w:tc>
        <w:tc>
          <w:tcPr>
            <w:tcW w:w="2150" w:type="dxa"/>
            <w:tcBorders>
              <w:top w:val="nil"/>
              <w:left w:val="nil"/>
              <w:bottom w:val="single" w:sz="4" w:space="0" w:color="auto"/>
              <w:right w:val="single" w:sz="4" w:space="0" w:color="auto"/>
            </w:tcBorders>
            <w:vAlign w:val="center"/>
            <w:hideMark/>
          </w:tcPr>
          <w:p w14:paraId="0F087548" w14:textId="77777777" w:rsidR="00584418" w:rsidRPr="005D62DB" w:rsidRDefault="0040119B" w:rsidP="00AE1DED">
            <w:pPr>
              <w:rPr>
                <w:color w:val="000000" w:themeColor="text1"/>
                <w:sz w:val="20"/>
                <w:szCs w:val="20"/>
              </w:rPr>
            </w:pPr>
            <w:r w:rsidRPr="005D62DB">
              <w:rPr>
                <w:color w:val="000000" w:themeColor="text1"/>
                <w:sz w:val="20"/>
                <w:szCs w:val="20"/>
              </w:rPr>
              <w:t>25% - Plausible but incomplete</w:t>
            </w:r>
          </w:p>
          <w:p w14:paraId="460F80B9" w14:textId="77777777" w:rsidR="00584418" w:rsidRPr="005D62DB" w:rsidRDefault="0040119B" w:rsidP="00AE1DED">
            <w:pPr>
              <w:rPr>
                <w:color w:val="000000" w:themeColor="text1"/>
                <w:sz w:val="20"/>
                <w:szCs w:val="20"/>
              </w:rPr>
            </w:pPr>
            <w:r w:rsidRPr="005D62DB">
              <w:rPr>
                <w:color w:val="000000" w:themeColor="text1"/>
                <w:sz w:val="20"/>
                <w:szCs w:val="20"/>
              </w:rPr>
              <w:t>Some jurisdictions restricting</w:t>
            </w:r>
          </w:p>
          <w:p w14:paraId="1296760E" w14:textId="5287FD5B" w:rsidR="0040119B" w:rsidRPr="005D62DB" w:rsidRDefault="0040119B" w:rsidP="00AE1DED">
            <w:pPr>
              <w:rPr>
                <w:color w:val="000000" w:themeColor="text1"/>
                <w:sz w:val="20"/>
                <w:szCs w:val="20"/>
              </w:rPr>
            </w:pPr>
            <w:r w:rsidRPr="005D62DB">
              <w:rPr>
                <w:color w:val="000000" w:themeColor="text1"/>
                <w:sz w:val="20"/>
                <w:szCs w:val="20"/>
              </w:rPr>
              <w:t>Others embracing</w:t>
            </w:r>
          </w:p>
        </w:tc>
        <w:tc>
          <w:tcPr>
            <w:tcW w:w="2232" w:type="dxa"/>
            <w:tcBorders>
              <w:top w:val="nil"/>
              <w:left w:val="nil"/>
              <w:bottom w:val="single" w:sz="4" w:space="0" w:color="auto"/>
              <w:right w:val="single" w:sz="4" w:space="0" w:color="auto"/>
            </w:tcBorders>
            <w:vAlign w:val="center"/>
            <w:hideMark/>
          </w:tcPr>
          <w:p w14:paraId="71387151" w14:textId="77777777" w:rsidR="00584418" w:rsidRPr="005D62DB" w:rsidRDefault="0040119B" w:rsidP="00AE1DED">
            <w:pPr>
              <w:rPr>
                <w:color w:val="000000" w:themeColor="text1"/>
                <w:sz w:val="20"/>
                <w:szCs w:val="20"/>
              </w:rPr>
            </w:pPr>
            <w:r w:rsidRPr="005D62DB">
              <w:rPr>
                <w:color w:val="000000" w:themeColor="text1"/>
                <w:sz w:val="20"/>
                <w:szCs w:val="20"/>
              </w:rPr>
              <w:t>20% - Technically feasible</w:t>
            </w:r>
          </w:p>
          <w:p w14:paraId="09933793" w14:textId="77777777" w:rsidR="00584418" w:rsidRPr="005D62DB" w:rsidRDefault="0040119B" w:rsidP="00AE1DED">
            <w:pPr>
              <w:rPr>
                <w:color w:val="000000" w:themeColor="text1"/>
                <w:sz w:val="20"/>
                <w:szCs w:val="20"/>
              </w:rPr>
            </w:pPr>
            <w:r w:rsidRPr="005D62DB">
              <w:rPr>
                <w:color w:val="000000" w:themeColor="text1"/>
                <w:sz w:val="20"/>
                <w:szCs w:val="20"/>
              </w:rPr>
              <w:t>Economically uncertain</w:t>
            </w:r>
          </w:p>
          <w:p w14:paraId="313BA7CA" w14:textId="1D6011AF" w:rsidR="0040119B" w:rsidRPr="005D62DB" w:rsidRDefault="0040119B" w:rsidP="00AE1DED">
            <w:pPr>
              <w:rPr>
                <w:color w:val="000000" w:themeColor="text1"/>
                <w:sz w:val="20"/>
                <w:szCs w:val="20"/>
              </w:rPr>
            </w:pPr>
            <w:r w:rsidRPr="005D62DB">
              <w:rPr>
                <w:color w:val="000000" w:themeColor="text1"/>
                <w:sz w:val="20"/>
                <w:szCs w:val="20"/>
              </w:rPr>
              <w:t>May not solve core issues</w:t>
            </w:r>
          </w:p>
        </w:tc>
        <w:tc>
          <w:tcPr>
            <w:tcW w:w="1912" w:type="dxa"/>
            <w:tcBorders>
              <w:top w:val="nil"/>
              <w:left w:val="nil"/>
              <w:bottom w:val="single" w:sz="4" w:space="0" w:color="auto"/>
              <w:right w:val="single" w:sz="8" w:space="0" w:color="auto"/>
            </w:tcBorders>
            <w:vAlign w:val="center"/>
            <w:hideMark/>
          </w:tcPr>
          <w:p w14:paraId="5DA19300" w14:textId="77777777" w:rsidR="00584418" w:rsidRPr="005D62DB" w:rsidRDefault="0040119B" w:rsidP="00AE1DED">
            <w:pPr>
              <w:rPr>
                <w:color w:val="000000" w:themeColor="text1"/>
                <w:sz w:val="20"/>
                <w:szCs w:val="20"/>
              </w:rPr>
            </w:pPr>
            <w:r w:rsidRPr="005D62DB">
              <w:rPr>
                <w:color w:val="000000" w:themeColor="text1"/>
                <w:sz w:val="20"/>
                <w:szCs w:val="20"/>
              </w:rPr>
              <w:t>20% - Natural endpoint</w:t>
            </w:r>
          </w:p>
          <w:p w14:paraId="54962591" w14:textId="77777777" w:rsidR="00584418" w:rsidRPr="005D62DB" w:rsidRDefault="0040119B" w:rsidP="00AE1DED">
            <w:pPr>
              <w:rPr>
                <w:color w:val="000000" w:themeColor="text1"/>
                <w:sz w:val="20"/>
                <w:szCs w:val="20"/>
              </w:rPr>
            </w:pPr>
            <w:proofErr w:type="gramStart"/>
            <w:r w:rsidRPr="005D62DB">
              <w:rPr>
                <w:color w:val="000000" w:themeColor="text1"/>
                <w:sz w:val="20"/>
                <w:szCs w:val="20"/>
              </w:rPr>
              <w:t>But</w:t>
            </w:r>
            <w:proofErr w:type="gramEnd"/>
            <w:r w:rsidRPr="005D62DB">
              <w:rPr>
                <w:color w:val="000000" w:themeColor="text1"/>
                <w:sz w:val="20"/>
                <w:szCs w:val="20"/>
              </w:rPr>
              <w:t xml:space="preserve"> may not arrive by 2030</w:t>
            </w:r>
          </w:p>
          <w:p w14:paraId="58A0CCC5" w14:textId="1A9155D2" w:rsidR="0040119B" w:rsidRPr="005D62DB" w:rsidRDefault="0040119B" w:rsidP="00AE1DED">
            <w:pPr>
              <w:rPr>
                <w:color w:val="000000" w:themeColor="text1"/>
                <w:sz w:val="20"/>
                <w:szCs w:val="20"/>
              </w:rPr>
            </w:pPr>
            <w:r w:rsidRPr="005D62DB">
              <w:rPr>
                <w:color w:val="000000" w:themeColor="text1"/>
                <w:sz w:val="20"/>
                <w:szCs w:val="20"/>
              </w:rPr>
              <w:t>Could take longer</w:t>
            </w:r>
          </w:p>
        </w:tc>
      </w:tr>
      <w:tr w:rsidR="00750A6E" w:rsidRPr="005D62DB" w14:paraId="6163BC5B" w14:textId="77777777" w:rsidTr="00857C7E">
        <w:trPr>
          <w:trHeight w:val="1493"/>
        </w:trPr>
        <w:tc>
          <w:tcPr>
            <w:tcW w:w="1015"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444078E9" w14:textId="77777777" w:rsidR="0040119B" w:rsidRPr="005D62DB" w:rsidRDefault="0040119B" w:rsidP="00AE1DED">
            <w:pPr>
              <w:rPr>
                <w:b/>
                <w:bCs/>
                <w:color w:val="000000" w:themeColor="text1"/>
                <w:sz w:val="20"/>
                <w:szCs w:val="20"/>
              </w:rPr>
            </w:pPr>
            <w:r w:rsidRPr="005D62DB">
              <w:rPr>
                <w:b/>
                <w:bCs/>
                <w:color w:val="000000" w:themeColor="text1"/>
                <w:sz w:val="20"/>
                <w:szCs w:val="20"/>
              </w:rPr>
              <w:t>Winner Profile</w:t>
            </w:r>
          </w:p>
        </w:tc>
        <w:tc>
          <w:tcPr>
            <w:tcW w:w="2031" w:type="dxa"/>
            <w:tcBorders>
              <w:top w:val="nil"/>
              <w:left w:val="nil"/>
              <w:bottom w:val="single" w:sz="4" w:space="0" w:color="auto"/>
              <w:right w:val="single" w:sz="4" w:space="0" w:color="auto"/>
            </w:tcBorders>
            <w:vAlign w:val="center"/>
            <w:hideMark/>
          </w:tcPr>
          <w:p w14:paraId="76583092" w14:textId="77777777" w:rsidR="00584418" w:rsidRPr="005D62DB" w:rsidRDefault="0040119B" w:rsidP="00AE1DED">
            <w:pPr>
              <w:rPr>
                <w:color w:val="000000" w:themeColor="text1"/>
                <w:sz w:val="20"/>
                <w:szCs w:val="20"/>
              </w:rPr>
            </w:pPr>
            <w:r w:rsidRPr="005D62DB">
              <w:rPr>
                <w:color w:val="000000" w:themeColor="text1"/>
                <w:sz w:val="20"/>
                <w:szCs w:val="20"/>
              </w:rPr>
              <w:t>Institutions with:</w:t>
            </w:r>
          </w:p>
          <w:p w14:paraId="7A6E0DEC" w14:textId="77777777" w:rsidR="00584418" w:rsidRPr="005D62DB" w:rsidRDefault="0040119B" w:rsidP="00AE1DED">
            <w:pPr>
              <w:rPr>
                <w:color w:val="000000" w:themeColor="text1"/>
                <w:sz w:val="20"/>
                <w:szCs w:val="20"/>
              </w:rPr>
            </w:pPr>
            <w:r w:rsidRPr="005D62DB">
              <w:rPr>
                <w:color w:val="000000" w:themeColor="text1"/>
                <w:sz w:val="20"/>
                <w:szCs w:val="20"/>
              </w:rPr>
              <w:t>• &gt;$100M capital</w:t>
            </w:r>
          </w:p>
          <w:p w14:paraId="3CC86467" w14:textId="77777777" w:rsidR="00584418" w:rsidRPr="005D62DB" w:rsidRDefault="0040119B" w:rsidP="00AE1DED">
            <w:pPr>
              <w:rPr>
                <w:color w:val="000000" w:themeColor="text1"/>
                <w:sz w:val="20"/>
                <w:szCs w:val="20"/>
              </w:rPr>
            </w:pPr>
            <w:r w:rsidRPr="005D62DB">
              <w:rPr>
                <w:color w:val="000000" w:themeColor="text1"/>
                <w:sz w:val="20"/>
                <w:szCs w:val="20"/>
              </w:rPr>
              <w:t>• Professional infrastructure</w:t>
            </w:r>
          </w:p>
          <w:p w14:paraId="786B5D9B" w14:textId="6B19185C" w:rsidR="0040119B" w:rsidRPr="005D62DB" w:rsidRDefault="0040119B" w:rsidP="00AE1DED">
            <w:pPr>
              <w:rPr>
                <w:color w:val="000000" w:themeColor="text1"/>
                <w:sz w:val="20"/>
                <w:szCs w:val="20"/>
              </w:rPr>
            </w:pPr>
            <w:r w:rsidRPr="005D62DB">
              <w:rPr>
                <w:color w:val="000000" w:themeColor="text1"/>
                <w:sz w:val="20"/>
                <w:szCs w:val="20"/>
              </w:rPr>
              <w:t>• Regulatory compliance capacity</w:t>
            </w:r>
          </w:p>
        </w:tc>
        <w:tc>
          <w:tcPr>
            <w:tcW w:w="2150" w:type="dxa"/>
            <w:tcBorders>
              <w:top w:val="nil"/>
              <w:left w:val="nil"/>
              <w:bottom w:val="single" w:sz="4" w:space="0" w:color="auto"/>
              <w:right w:val="single" w:sz="4" w:space="0" w:color="auto"/>
            </w:tcBorders>
            <w:vAlign w:val="center"/>
            <w:hideMark/>
          </w:tcPr>
          <w:p w14:paraId="6E130202" w14:textId="77777777" w:rsidR="00584418" w:rsidRPr="005D62DB" w:rsidRDefault="0040119B" w:rsidP="00AE1DED">
            <w:pPr>
              <w:rPr>
                <w:color w:val="000000" w:themeColor="text1"/>
                <w:sz w:val="20"/>
                <w:szCs w:val="20"/>
              </w:rPr>
            </w:pPr>
            <w:r w:rsidRPr="005D62DB">
              <w:rPr>
                <w:color w:val="000000" w:themeColor="text1"/>
                <w:sz w:val="20"/>
                <w:szCs w:val="20"/>
              </w:rPr>
              <w:t>Sophisticated individuals in:</w:t>
            </w:r>
          </w:p>
          <w:p w14:paraId="5A71B8B1" w14:textId="77777777" w:rsidR="00584418" w:rsidRPr="005D62DB" w:rsidRDefault="0040119B" w:rsidP="00AE1DED">
            <w:pPr>
              <w:rPr>
                <w:color w:val="000000" w:themeColor="text1"/>
                <w:sz w:val="20"/>
                <w:szCs w:val="20"/>
              </w:rPr>
            </w:pPr>
            <w:r w:rsidRPr="005D62DB">
              <w:rPr>
                <w:color w:val="000000" w:themeColor="text1"/>
                <w:sz w:val="20"/>
                <w:szCs w:val="20"/>
              </w:rPr>
              <w:t>• Crypto-friendly jurisdictions</w:t>
            </w:r>
          </w:p>
          <w:p w14:paraId="11E9A16F" w14:textId="77777777" w:rsidR="00584418" w:rsidRPr="005D62DB" w:rsidRDefault="0040119B" w:rsidP="00AE1DED">
            <w:pPr>
              <w:rPr>
                <w:color w:val="000000" w:themeColor="text1"/>
                <w:sz w:val="20"/>
                <w:szCs w:val="20"/>
              </w:rPr>
            </w:pPr>
            <w:r w:rsidRPr="005D62DB">
              <w:rPr>
                <w:color w:val="000000" w:themeColor="text1"/>
                <w:sz w:val="20"/>
                <w:szCs w:val="20"/>
              </w:rPr>
              <w:t>• With compliance capacity</w:t>
            </w:r>
          </w:p>
          <w:p w14:paraId="49F2F0C7" w14:textId="57C73FDB" w:rsidR="0040119B" w:rsidRPr="005D62DB" w:rsidRDefault="0040119B" w:rsidP="00AE1DED">
            <w:pPr>
              <w:rPr>
                <w:color w:val="000000" w:themeColor="text1"/>
                <w:sz w:val="20"/>
                <w:szCs w:val="20"/>
              </w:rPr>
            </w:pPr>
            <w:r w:rsidRPr="005D62DB">
              <w:rPr>
                <w:color w:val="000000" w:themeColor="text1"/>
                <w:sz w:val="20"/>
                <w:szCs w:val="20"/>
              </w:rPr>
              <w:t>• Geographic arbitrage skills</w:t>
            </w:r>
          </w:p>
        </w:tc>
        <w:tc>
          <w:tcPr>
            <w:tcW w:w="2232" w:type="dxa"/>
            <w:tcBorders>
              <w:top w:val="nil"/>
              <w:left w:val="nil"/>
              <w:bottom w:val="single" w:sz="4" w:space="0" w:color="auto"/>
              <w:right w:val="single" w:sz="4" w:space="0" w:color="auto"/>
            </w:tcBorders>
            <w:vAlign w:val="center"/>
            <w:hideMark/>
          </w:tcPr>
          <w:p w14:paraId="7A4DB92F" w14:textId="77777777" w:rsidR="00584418" w:rsidRPr="005D62DB" w:rsidRDefault="0040119B" w:rsidP="00AE1DED">
            <w:pPr>
              <w:rPr>
                <w:color w:val="000000" w:themeColor="text1"/>
                <w:sz w:val="20"/>
                <w:szCs w:val="20"/>
              </w:rPr>
            </w:pPr>
            <w:r w:rsidRPr="005D62DB">
              <w:rPr>
                <w:color w:val="000000" w:themeColor="text1"/>
                <w:sz w:val="20"/>
                <w:szCs w:val="20"/>
              </w:rPr>
              <w:t>Mass market participants:</w:t>
            </w:r>
          </w:p>
          <w:p w14:paraId="5BA249B2" w14:textId="77777777" w:rsidR="00584418" w:rsidRPr="005D62DB" w:rsidRDefault="0040119B" w:rsidP="00AE1DED">
            <w:pPr>
              <w:rPr>
                <w:color w:val="000000" w:themeColor="text1"/>
                <w:sz w:val="20"/>
                <w:szCs w:val="20"/>
              </w:rPr>
            </w:pPr>
            <w:r w:rsidRPr="005D62DB">
              <w:rPr>
                <w:color w:val="000000" w:themeColor="text1"/>
                <w:sz w:val="20"/>
                <w:szCs w:val="20"/>
              </w:rPr>
              <w:t>• Low capital requirements</w:t>
            </w:r>
          </w:p>
          <w:p w14:paraId="10E97771" w14:textId="77777777" w:rsidR="00584418" w:rsidRPr="005D62DB" w:rsidRDefault="0040119B" w:rsidP="00AE1DED">
            <w:pPr>
              <w:rPr>
                <w:color w:val="000000" w:themeColor="text1"/>
                <w:sz w:val="20"/>
                <w:szCs w:val="20"/>
              </w:rPr>
            </w:pPr>
            <w:r w:rsidRPr="005D62DB">
              <w:rPr>
                <w:color w:val="000000" w:themeColor="text1"/>
                <w:sz w:val="20"/>
                <w:szCs w:val="20"/>
              </w:rPr>
              <w:t>• But extreme competition</w:t>
            </w:r>
          </w:p>
          <w:p w14:paraId="080BEAAC" w14:textId="7BF213AB" w:rsidR="0040119B" w:rsidRPr="005D62DB" w:rsidRDefault="0040119B" w:rsidP="00AE1DED">
            <w:pPr>
              <w:rPr>
                <w:color w:val="000000" w:themeColor="text1"/>
                <w:sz w:val="20"/>
                <w:szCs w:val="20"/>
              </w:rPr>
            </w:pPr>
            <w:r w:rsidRPr="005D62DB">
              <w:rPr>
                <w:color w:val="000000" w:themeColor="text1"/>
                <w:sz w:val="20"/>
                <w:szCs w:val="20"/>
              </w:rPr>
              <w:t>• Execution speed determines success</w:t>
            </w:r>
          </w:p>
        </w:tc>
        <w:tc>
          <w:tcPr>
            <w:tcW w:w="1912" w:type="dxa"/>
            <w:tcBorders>
              <w:top w:val="nil"/>
              <w:left w:val="nil"/>
              <w:bottom w:val="single" w:sz="4" w:space="0" w:color="auto"/>
              <w:right w:val="single" w:sz="8" w:space="0" w:color="auto"/>
            </w:tcBorders>
            <w:vAlign w:val="center"/>
            <w:hideMark/>
          </w:tcPr>
          <w:p w14:paraId="49B84317" w14:textId="77777777" w:rsidR="00584418" w:rsidRPr="005D62DB" w:rsidRDefault="0040119B" w:rsidP="00AE1DED">
            <w:pPr>
              <w:rPr>
                <w:color w:val="000000" w:themeColor="text1"/>
                <w:sz w:val="20"/>
                <w:szCs w:val="20"/>
              </w:rPr>
            </w:pPr>
            <w:r w:rsidRPr="005D62DB">
              <w:rPr>
                <w:color w:val="000000" w:themeColor="text1"/>
                <w:sz w:val="20"/>
                <w:szCs w:val="20"/>
              </w:rPr>
              <w:t>No clear winners:</w:t>
            </w:r>
          </w:p>
          <w:p w14:paraId="4668246F" w14:textId="77777777" w:rsidR="00584418" w:rsidRPr="005D62DB" w:rsidRDefault="0040119B" w:rsidP="00AE1DED">
            <w:pPr>
              <w:rPr>
                <w:color w:val="000000" w:themeColor="text1"/>
                <w:sz w:val="20"/>
                <w:szCs w:val="20"/>
              </w:rPr>
            </w:pPr>
            <w:r w:rsidRPr="005D62DB">
              <w:rPr>
                <w:color w:val="000000" w:themeColor="text1"/>
                <w:sz w:val="20"/>
                <w:szCs w:val="20"/>
              </w:rPr>
              <w:t>• Returns insufficient for active management</w:t>
            </w:r>
          </w:p>
          <w:p w14:paraId="4C367CEF" w14:textId="3CF2B720" w:rsidR="0040119B" w:rsidRPr="005D62DB" w:rsidRDefault="0040119B" w:rsidP="00AE1DED">
            <w:pPr>
              <w:rPr>
                <w:color w:val="000000" w:themeColor="text1"/>
                <w:sz w:val="20"/>
                <w:szCs w:val="20"/>
              </w:rPr>
            </w:pPr>
            <w:r w:rsidRPr="005D62DB">
              <w:rPr>
                <w:color w:val="000000" w:themeColor="text1"/>
                <w:sz w:val="20"/>
                <w:szCs w:val="20"/>
              </w:rPr>
              <w:t>• Only viable for truly passive deployment</w:t>
            </w:r>
          </w:p>
        </w:tc>
      </w:tr>
      <w:tr w:rsidR="00750A6E" w:rsidRPr="005D62DB" w14:paraId="1B750A97" w14:textId="77777777" w:rsidTr="00D455FE">
        <w:trPr>
          <w:trHeight w:val="71"/>
        </w:trPr>
        <w:tc>
          <w:tcPr>
            <w:tcW w:w="1015"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4A3DDF9A" w14:textId="77777777" w:rsidR="0040119B" w:rsidRPr="005D62DB" w:rsidRDefault="0040119B" w:rsidP="00AE1DED">
            <w:pPr>
              <w:rPr>
                <w:b/>
                <w:bCs/>
                <w:color w:val="000000" w:themeColor="text1"/>
                <w:sz w:val="20"/>
                <w:szCs w:val="20"/>
              </w:rPr>
            </w:pPr>
            <w:r w:rsidRPr="005D62DB">
              <w:rPr>
                <w:b/>
                <w:bCs/>
                <w:color w:val="000000" w:themeColor="text1"/>
                <w:sz w:val="20"/>
                <w:szCs w:val="20"/>
              </w:rPr>
              <w:t>Loser Profile</w:t>
            </w:r>
          </w:p>
        </w:tc>
        <w:tc>
          <w:tcPr>
            <w:tcW w:w="2031" w:type="dxa"/>
            <w:tcBorders>
              <w:top w:val="nil"/>
              <w:left w:val="nil"/>
              <w:bottom w:val="single" w:sz="4" w:space="0" w:color="auto"/>
              <w:right w:val="single" w:sz="4" w:space="0" w:color="auto"/>
            </w:tcBorders>
            <w:vAlign w:val="center"/>
            <w:hideMark/>
          </w:tcPr>
          <w:p w14:paraId="5DEAD183" w14:textId="77777777" w:rsidR="00584418" w:rsidRPr="005D62DB" w:rsidRDefault="0040119B" w:rsidP="00AE1DED">
            <w:pPr>
              <w:rPr>
                <w:color w:val="000000" w:themeColor="text1"/>
                <w:sz w:val="20"/>
                <w:szCs w:val="20"/>
              </w:rPr>
            </w:pPr>
            <w:r w:rsidRPr="005D62DB">
              <w:rPr>
                <w:color w:val="000000" w:themeColor="text1"/>
                <w:sz w:val="20"/>
                <w:szCs w:val="20"/>
              </w:rPr>
              <w:t>Retail participants:</w:t>
            </w:r>
          </w:p>
          <w:p w14:paraId="52134768" w14:textId="77777777" w:rsidR="00584418" w:rsidRPr="005D62DB" w:rsidRDefault="0040119B" w:rsidP="00AE1DED">
            <w:pPr>
              <w:rPr>
                <w:color w:val="000000" w:themeColor="text1"/>
                <w:sz w:val="20"/>
                <w:szCs w:val="20"/>
              </w:rPr>
            </w:pPr>
            <w:r w:rsidRPr="005D62DB">
              <w:rPr>
                <w:color w:val="000000" w:themeColor="text1"/>
                <w:sz w:val="20"/>
                <w:szCs w:val="20"/>
              </w:rPr>
              <w:t>• Capital &lt;$100,000</w:t>
            </w:r>
          </w:p>
          <w:p w14:paraId="537DAC0D" w14:textId="77777777" w:rsidR="00584418" w:rsidRPr="005D62DB" w:rsidRDefault="0040119B" w:rsidP="00AE1DED">
            <w:pPr>
              <w:rPr>
                <w:color w:val="000000" w:themeColor="text1"/>
                <w:sz w:val="20"/>
                <w:szCs w:val="20"/>
              </w:rPr>
            </w:pPr>
            <w:r w:rsidRPr="005D62DB">
              <w:rPr>
                <w:color w:val="000000" w:themeColor="text1"/>
                <w:sz w:val="20"/>
                <w:szCs w:val="20"/>
              </w:rPr>
              <w:t>• Cannot compete with institutions</w:t>
            </w:r>
          </w:p>
          <w:p w14:paraId="42B7EA0A" w14:textId="48A74137" w:rsidR="0040119B" w:rsidRPr="005D62DB" w:rsidRDefault="0040119B" w:rsidP="00AE1DED">
            <w:pPr>
              <w:rPr>
                <w:color w:val="000000" w:themeColor="text1"/>
                <w:sz w:val="20"/>
                <w:szCs w:val="20"/>
              </w:rPr>
            </w:pPr>
            <w:r w:rsidRPr="005D62DB">
              <w:rPr>
                <w:color w:val="000000" w:themeColor="text1"/>
                <w:sz w:val="20"/>
                <w:szCs w:val="20"/>
              </w:rPr>
              <w:t>• Forced to other markets</w:t>
            </w:r>
          </w:p>
        </w:tc>
        <w:tc>
          <w:tcPr>
            <w:tcW w:w="2150" w:type="dxa"/>
            <w:tcBorders>
              <w:top w:val="nil"/>
              <w:left w:val="nil"/>
              <w:bottom w:val="single" w:sz="4" w:space="0" w:color="auto"/>
              <w:right w:val="single" w:sz="4" w:space="0" w:color="auto"/>
            </w:tcBorders>
            <w:vAlign w:val="center"/>
            <w:hideMark/>
          </w:tcPr>
          <w:p w14:paraId="4E862A8C" w14:textId="77777777" w:rsidR="00584418" w:rsidRPr="005D62DB" w:rsidRDefault="0040119B" w:rsidP="00AE1DED">
            <w:pPr>
              <w:rPr>
                <w:color w:val="000000" w:themeColor="text1"/>
                <w:sz w:val="20"/>
                <w:szCs w:val="20"/>
              </w:rPr>
            </w:pPr>
            <w:r w:rsidRPr="005D62DB">
              <w:rPr>
                <w:color w:val="000000" w:themeColor="text1"/>
                <w:sz w:val="20"/>
                <w:szCs w:val="20"/>
              </w:rPr>
              <w:t>Retail in major economies:</w:t>
            </w:r>
          </w:p>
          <w:p w14:paraId="0972FDF9" w14:textId="77777777" w:rsidR="00584418" w:rsidRPr="005D62DB" w:rsidRDefault="0040119B" w:rsidP="00AE1DED">
            <w:pPr>
              <w:rPr>
                <w:color w:val="000000" w:themeColor="text1"/>
                <w:sz w:val="20"/>
                <w:szCs w:val="20"/>
              </w:rPr>
            </w:pPr>
            <w:r w:rsidRPr="005D62DB">
              <w:rPr>
                <w:color w:val="000000" w:themeColor="text1"/>
                <w:sz w:val="20"/>
                <w:szCs w:val="20"/>
              </w:rPr>
              <w:t>• US, EU, UK residents</w:t>
            </w:r>
          </w:p>
          <w:p w14:paraId="7EA27EAE" w14:textId="77777777" w:rsidR="00584418" w:rsidRPr="005D62DB" w:rsidRDefault="0040119B" w:rsidP="00AE1DED">
            <w:pPr>
              <w:rPr>
                <w:color w:val="000000" w:themeColor="text1"/>
                <w:sz w:val="20"/>
                <w:szCs w:val="20"/>
              </w:rPr>
            </w:pPr>
            <w:r w:rsidRPr="005D62DB">
              <w:rPr>
                <w:color w:val="000000" w:themeColor="text1"/>
                <w:sz w:val="20"/>
                <w:szCs w:val="20"/>
              </w:rPr>
              <w:t>• Lacking compliance resources</w:t>
            </w:r>
          </w:p>
          <w:p w14:paraId="249A6C55" w14:textId="1B85FF5E" w:rsidR="0040119B" w:rsidRPr="005D62DB" w:rsidRDefault="0040119B" w:rsidP="00AE1DED">
            <w:pPr>
              <w:rPr>
                <w:color w:val="000000" w:themeColor="text1"/>
                <w:sz w:val="20"/>
                <w:szCs w:val="20"/>
              </w:rPr>
            </w:pPr>
            <w:r w:rsidRPr="005D62DB">
              <w:rPr>
                <w:color w:val="000000" w:themeColor="text1"/>
                <w:sz w:val="20"/>
                <w:szCs w:val="20"/>
              </w:rPr>
              <w:t>• Risk-averse participants</w:t>
            </w:r>
          </w:p>
        </w:tc>
        <w:tc>
          <w:tcPr>
            <w:tcW w:w="2232" w:type="dxa"/>
            <w:tcBorders>
              <w:top w:val="nil"/>
              <w:left w:val="nil"/>
              <w:bottom w:val="single" w:sz="4" w:space="0" w:color="auto"/>
              <w:right w:val="single" w:sz="4" w:space="0" w:color="auto"/>
            </w:tcBorders>
            <w:vAlign w:val="center"/>
            <w:hideMark/>
          </w:tcPr>
          <w:p w14:paraId="2937A63A" w14:textId="77777777" w:rsidR="00584418" w:rsidRPr="005D62DB" w:rsidRDefault="0040119B" w:rsidP="00AE1DED">
            <w:pPr>
              <w:rPr>
                <w:color w:val="000000" w:themeColor="text1"/>
                <w:sz w:val="20"/>
                <w:szCs w:val="20"/>
              </w:rPr>
            </w:pPr>
            <w:r w:rsidRPr="005D62DB">
              <w:rPr>
                <w:color w:val="000000" w:themeColor="text1"/>
                <w:sz w:val="20"/>
                <w:szCs w:val="20"/>
              </w:rPr>
              <w:t>Current successful participants:</w:t>
            </w:r>
          </w:p>
          <w:p w14:paraId="6C548724" w14:textId="77777777" w:rsidR="00584418" w:rsidRPr="005D62DB" w:rsidRDefault="0040119B" w:rsidP="00AE1DED">
            <w:pPr>
              <w:rPr>
                <w:color w:val="000000" w:themeColor="text1"/>
                <w:sz w:val="20"/>
                <w:szCs w:val="20"/>
              </w:rPr>
            </w:pPr>
            <w:r w:rsidRPr="005D62DB">
              <w:rPr>
                <w:color w:val="000000" w:themeColor="text1"/>
                <w:sz w:val="20"/>
                <w:szCs w:val="20"/>
              </w:rPr>
              <w:t>• Strategies commoditized</w:t>
            </w:r>
          </w:p>
          <w:p w14:paraId="563B6076" w14:textId="77777777" w:rsidR="00584418" w:rsidRPr="005D62DB" w:rsidRDefault="0040119B" w:rsidP="00AE1DED">
            <w:pPr>
              <w:rPr>
                <w:color w:val="000000" w:themeColor="text1"/>
                <w:sz w:val="20"/>
                <w:szCs w:val="20"/>
              </w:rPr>
            </w:pPr>
            <w:r w:rsidRPr="005D62DB">
              <w:rPr>
                <w:color w:val="000000" w:themeColor="text1"/>
                <w:sz w:val="20"/>
                <w:szCs w:val="20"/>
              </w:rPr>
              <w:t>• Edges disappear</w:t>
            </w:r>
          </w:p>
          <w:p w14:paraId="533AC588" w14:textId="01D151CA" w:rsidR="0040119B" w:rsidRPr="005D62DB" w:rsidRDefault="0040119B" w:rsidP="00AE1DED">
            <w:pPr>
              <w:rPr>
                <w:color w:val="000000" w:themeColor="text1"/>
                <w:sz w:val="20"/>
                <w:szCs w:val="20"/>
              </w:rPr>
            </w:pPr>
            <w:r w:rsidRPr="005D62DB">
              <w:rPr>
                <w:color w:val="000000" w:themeColor="text1"/>
                <w:sz w:val="20"/>
                <w:szCs w:val="20"/>
              </w:rPr>
              <w:t>• Early-mover advantages lost</w:t>
            </w:r>
          </w:p>
        </w:tc>
        <w:tc>
          <w:tcPr>
            <w:tcW w:w="1912" w:type="dxa"/>
            <w:tcBorders>
              <w:top w:val="nil"/>
              <w:left w:val="nil"/>
              <w:bottom w:val="single" w:sz="4" w:space="0" w:color="auto"/>
              <w:right w:val="single" w:sz="8" w:space="0" w:color="auto"/>
            </w:tcBorders>
            <w:vAlign w:val="center"/>
            <w:hideMark/>
          </w:tcPr>
          <w:p w14:paraId="2C01417C" w14:textId="77777777" w:rsidR="00584418" w:rsidRPr="005D62DB" w:rsidRDefault="0040119B" w:rsidP="00AE1DED">
            <w:pPr>
              <w:rPr>
                <w:color w:val="000000" w:themeColor="text1"/>
                <w:sz w:val="20"/>
                <w:szCs w:val="20"/>
              </w:rPr>
            </w:pPr>
            <w:r w:rsidRPr="005D62DB">
              <w:rPr>
                <w:color w:val="000000" w:themeColor="text1"/>
                <w:sz w:val="20"/>
                <w:szCs w:val="20"/>
              </w:rPr>
              <w:t>Everyone seeking active returns:</w:t>
            </w:r>
          </w:p>
          <w:p w14:paraId="1782652D" w14:textId="77777777" w:rsidR="00584418" w:rsidRPr="005D62DB" w:rsidRDefault="0040119B" w:rsidP="00AE1DED">
            <w:pPr>
              <w:rPr>
                <w:color w:val="000000" w:themeColor="text1"/>
                <w:sz w:val="20"/>
                <w:szCs w:val="20"/>
              </w:rPr>
            </w:pPr>
            <w:r w:rsidRPr="005D62DB">
              <w:rPr>
                <w:color w:val="000000" w:themeColor="text1"/>
                <w:sz w:val="20"/>
                <w:szCs w:val="20"/>
              </w:rPr>
              <w:t>• Time investment unjustified</w:t>
            </w:r>
          </w:p>
          <w:p w14:paraId="6ABAF5E3" w14:textId="77777777" w:rsidR="00584418" w:rsidRPr="005D62DB" w:rsidRDefault="0040119B" w:rsidP="00AE1DED">
            <w:pPr>
              <w:rPr>
                <w:color w:val="000000" w:themeColor="text1"/>
                <w:sz w:val="20"/>
                <w:szCs w:val="20"/>
              </w:rPr>
            </w:pPr>
            <w:r w:rsidRPr="005D62DB">
              <w:rPr>
                <w:color w:val="000000" w:themeColor="text1"/>
                <w:sz w:val="20"/>
                <w:szCs w:val="20"/>
              </w:rPr>
              <w:t>• Opportunity cost too high</w:t>
            </w:r>
          </w:p>
          <w:p w14:paraId="10B8C548" w14:textId="00702EAB" w:rsidR="0040119B" w:rsidRPr="005D62DB" w:rsidRDefault="0040119B" w:rsidP="00AE1DED">
            <w:pPr>
              <w:rPr>
                <w:color w:val="000000" w:themeColor="text1"/>
                <w:sz w:val="20"/>
                <w:szCs w:val="20"/>
              </w:rPr>
            </w:pPr>
            <w:r w:rsidRPr="005D62DB">
              <w:rPr>
                <w:color w:val="000000" w:themeColor="text1"/>
                <w:sz w:val="20"/>
                <w:szCs w:val="20"/>
              </w:rPr>
              <w:t>• Better alternatives exist</w:t>
            </w:r>
          </w:p>
        </w:tc>
      </w:tr>
      <w:tr w:rsidR="00750A6E" w:rsidRPr="005D62DB" w14:paraId="353ADDEE" w14:textId="77777777" w:rsidTr="00857C7E">
        <w:trPr>
          <w:trHeight w:val="620"/>
        </w:trPr>
        <w:tc>
          <w:tcPr>
            <w:tcW w:w="1015"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7423F581" w14:textId="77777777" w:rsidR="0040119B" w:rsidRPr="005D62DB" w:rsidRDefault="0040119B" w:rsidP="00AE1DED">
            <w:pPr>
              <w:rPr>
                <w:b/>
                <w:bCs/>
                <w:color w:val="000000" w:themeColor="text1"/>
                <w:sz w:val="20"/>
                <w:szCs w:val="20"/>
              </w:rPr>
            </w:pPr>
            <w:r w:rsidRPr="005D62DB">
              <w:rPr>
                <w:b/>
                <w:bCs/>
                <w:color w:val="000000" w:themeColor="text1"/>
                <w:sz w:val="20"/>
                <w:szCs w:val="20"/>
              </w:rPr>
              <w:t>Sustainability</w:t>
            </w:r>
          </w:p>
        </w:tc>
        <w:tc>
          <w:tcPr>
            <w:tcW w:w="2031" w:type="dxa"/>
            <w:tcBorders>
              <w:top w:val="nil"/>
              <w:left w:val="nil"/>
              <w:bottom w:val="single" w:sz="4" w:space="0" w:color="auto"/>
              <w:right w:val="single" w:sz="4" w:space="0" w:color="auto"/>
            </w:tcBorders>
            <w:vAlign w:val="center"/>
            <w:hideMark/>
          </w:tcPr>
          <w:p w14:paraId="14954D3A" w14:textId="77777777" w:rsidR="00584418" w:rsidRPr="005D62DB" w:rsidRDefault="0040119B" w:rsidP="00AE1DED">
            <w:pPr>
              <w:rPr>
                <w:color w:val="000000" w:themeColor="text1"/>
                <w:sz w:val="20"/>
                <w:szCs w:val="20"/>
              </w:rPr>
            </w:pPr>
            <w:r w:rsidRPr="005D62DB">
              <w:rPr>
                <w:color w:val="000000" w:themeColor="text1"/>
                <w:sz w:val="20"/>
                <w:szCs w:val="20"/>
              </w:rPr>
              <w:t>Stable but exclusive</w:t>
            </w:r>
          </w:p>
          <w:p w14:paraId="745BBAD5" w14:textId="77777777" w:rsidR="00584418" w:rsidRPr="005D62DB" w:rsidRDefault="0040119B" w:rsidP="00AE1DED">
            <w:pPr>
              <w:rPr>
                <w:color w:val="000000" w:themeColor="text1"/>
                <w:sz w:val="20"/>
                <w:szCs w:val="20"/>
              </w:rPr>
            </w:pPr>
            <w:r w:rsidRPr="005D62DB">
              <w:rPr>
                <w:color w:val="000000" w:themeColor="text1"/>
                <w:sz w:val="20"/>
                <w:szCs w:val="20"/>
              </w:rPr>
              <w:t xml:space="preserve">DeFi becomes </w:t>
            </w:r>
            <w:proofErr w:type="spellStart"/>
            <w:r w:rsidRPr="005D62DB">
              <w:rPr>
                <w:color w:val="000000" w:themeColor="text1"/>
                <w:sz w:val="20"/>
                <w:szCs w:val="20"/>
              </w:rPr>
              <w:t>TradFi</w:t>
            </w:r>
            <w:proofErr w:type="spellEnd"/>
            <w:r w:rsidRPr="005D62DB">
              <w:rPr>
                <w:color w:val="000000" w:themeColor="text1"/>
                <w:sz w:val="20"/>
                <w:szCs w:val="20"/>
              </w:rPr>
              <w:t xml:space="preserve"> with blockchain</w:t>
            </w:r>
          </w:p>
          <w:p w14:paraId="228E4DFA" w14:textId="3EC05A79" w:rsidR="0040119B" w:rsidRPr="005D62DB" w:rsidRDefault="0040119B" w:rsidP="00AE1DED">
            <w:pPr>
              <w:rPr>
                <w:color w:val="000000" w:themeColor="text1"/>
                <w:sz w:val="20"/>
                <w:szCs w:val="20"/>
              </w:rPr>
            </w:pPr>
            <w:r w:rsidRPr="005D62DB">
              <w:rPr>
                <w:color w:val="000000" w:themeColor="text1"/>
                <w:sz w:val="20"/>
                <w:szCs w:val="20"/>
              </w:rPr>
              <w:t>Innovation slows</w:t>
            </w:r>
          </w:p>
        </w:tc>
        <w:tc>
          <w:tcPr>
            <w:tcW w:w="2150" w:type="dxa"/>
            <w:tcBorders>
              <w:top w:val="nil"/>
              <w:left w:val="nil"/>
              <w:bottom w:val="single" w:sz="4" w:space="0" w:color="auto"/>
              <w:right w:val="single" w:sz="4" w:space="0" w:color="auto"/>
            </w:tcBorders>
            <w:vAlign w:val="center"/>
            <w:hideMark/>
          </w:tcPr>
          <w:p w14:paraId="7C2F9705" w14:textId="77777777" w:rsidR="00584418" w:rsidRPr="005D62DB" w:rsidRDefault="0040119B" w:rsidP="00AE1DED">
            <w:pPr>
              <w:rPr>
                <w:color w:val="000000" w:themeColor="text1"/>
                <w:sz w:val="20"/>
                <w:szCs w:val="20"/>
              </w:rPr>
            </w:pPr>
            <w:r w:rsidRPr="005D62DB">
              <w:rPr>
                <w:color w:val="000000" w:themeColor="text1"/>
                <w:sz w:val="20"/>
                <w:szCs w:val="20"/>
              </w:rPr>
              <w:t>Unstable bifurcation</w:t>
            </w:r>
          </w:p>
          <w:p w14:paraId="42EF8865" w14:textId="77777777" w:rsidR="00584418" w:rsidRPr="005D62DB" w:rsidRDefault="0040119B" w:rsidP="00AE1DED">
            <w:pPr>
              <w:rPr>
                <w:color w:val="000000" w:themeColor="text1"/>
                <w:sz w:val="20"/>
                <w:szCs w:val="20"/>
              </w:rPr>
            </w:pPr>
            <w:r w:rsidRPr="005D62DB">
              <w:rPr>
                <w:color w:val="000000" w:themeColor="text1"/>
                <w:sz w:val="20"/>
                <w:szCs w:val="20"/>
              </w:rPr>
              <w:t>Regulatory arbitrage opportunities</w:t>
            </w:r>
          </w:p>
          <w:p w14:paraId="485229E4" w14:textId="48C183F1" w:rsidR="0040119B" w:rsidRPr="005D62DB" w:rsidRDefault="0040119B" w:rsidP="00AE1DED">
            <w:pPr>
              <w:rPr>
                <w:color w:val="000000" w:themeColor="text1"/>
                <w:sz w:val="20"/>
                <w:szCs w:val="20"/>
              </w:rPr>
            </w:pPr>
            <w:r w:rsidRPr="005D62DB">
              <w:rPr>
                <w:color w:val="000000" w:themeColor="text1"/>
                <w:sz w:val="20"/>
                <w:szCs w:val="20"/>
              </w:rPr>
              <w:t>Eventually resolves one direction</w:t>
            </w:r>
          </w:p>
        </w:tc>
        <w:tc>
          <w:tcPr>
            <w:tcW w:w="2232" w:type="dxa"/>
            <w:tcBorders>
              <w:top w:val="nil"/>
              <w:left w:val="nil"/>
              <w:bottom w:val="single" w:sz="4" w:space="0" w:color="auto"/>
              <w:right w:val="single" w:sz="4" w:space="0" w:color="auto"/>
            </w:tcBorders>
            <w:vAlign w:val="center"/>
            <w:hideMark/>
          </w:tcPr>
          <w:p w14:paraId="7AA61622" w14:textId="77777777" w:rsidR="00584418" w:rsidRPr="005D62DB" w:rsidRDefault="0040119B" w:rsidP="00AE1DED">
            <w:pPr>
              <w:rPr>
                <w:color w:val="000000" w:themeColor="text1"/>
                <w:sz w:val="20"/>
                <w:szCs w:val="20"/>
              </w:rPr>
            </w:pPr>
            <w:r w:rsidRPr="005D62DB">
              <w:rPr>
                <w:color w:val="000000" w:themeColor="text1"/>
                <w:sz w:val="20"/>
                <w:szCs w:val="20"/>
              </w:rPr>
              <w:t>Stable but commoditized</w:t>
            </w:r>
          </w:p>
          <w:p w14:paraId="74715CC3" w14:textId="77777777" w:rsidR="00584418" w:rsidRPr="005D62DB" w:rsidRDefault="0040119B" w:rsidP="00AE1DED">
            <w:pPr>
              <w:rPr>
                <w:color w:val="000000" w:themeColor="text1"/>
                <w:sz w:val="20"/>
                <w:szCs w:val="20"/>
              </w:rPr>
            </w:pPr>
            <w:r w:rsidRPr="005D62DB">
              <w:rPr>
                <w:color w:val="000000" w:themeColor="text1"/>
                <w:sz w:val="20"/>
                <w:szCs w:val="20"/>
              </w:rPr>
              <w:t>Infrastructure layer, not opportunity</w:t>
            </w:r>
          </w:p>
          <w:p w14:paraId="131DE0E7" w14:textId="50AC1368" w:rsidR="0040119B" w:rsidRPr="005D62DB" w:rsidRDefault="0040119B" w:rsidP="00AE1DED">
            <w:pPr>
              <w:rPr>
                <w:color w:val="000000" w:themeColor="text1"/>
                <w:sz w:val="20"/>
                <w:szCs w:val="20"/>
              </w:rPr>
            </w:pPr>
            <w:r w:rsidRPr="005D62DB">
              <w:rPr>
                <w:color w:val="000000" w:themeColor="text1"/>
                <w:sz w:val="20"/>
                <w:szCs w:val="20"/>
              </w:rPr>
              <w:t>Value shifts elsewhere</w:t>
            </w:r>
          </w:p>
        </w:tc>
        <w:tc>
          <w:tcPr>
            <w:tcW w:w="1912" w:type="dxa"/>
            <w:tcBorders>
              <w:top w:val="nil"/>
              <w:left w:val="nil"/>
              <w:bottom w:val="single" w:sz="4" w:space="0" w:color="auto"/>
              <w:right w:val="single" w:sz="8" w:space="0" w:color="auto"/>
            </w:tcBorders>
            <w:vAlign w:val="center"/>
            <w:hideMark/>
          </w:tcPr>
          <w:p w14:paraId="7DF3DDBF" w14:textId="77777777" w:rsidR="00584418" w:rsidRPr="005D62DB" w:rsidRDefault="0040119B" w:rsidP="00AE1DED">
            <w:pPr>
              <w:rPr>
                <w:color w:val="000000" w:themeColor="text1"/>
                <w:sz w:val="20"/>
                <w:szCs w:val="20"/>
              </w:rPr>
            </w:pPr>
            <w:r w:rsidRPr="005D62DB">
              <w:rPr>
                <w:color w:val="000000" w:themeColor="text1"/>
                <w:sz w:val="20"/>
                <w:szCs w:val="20"/>
              </w:rPr>
              <w:t>Stable endpoint</w:t>
            </w:r>
          </w:p>
          <w:p w14:paraId="759AFBC3" w14:textId="77777777" w:rsidR="00584418" w:rsidRPr="005D62DB" w:rsidRDefault="0040119B" w:rsidP="00AE1DED">
            <w:pPr>
              <w:rPr>
                <w:color w:val="000000" w:themeColor="text1"/>
                <w:sz w:val="20"/>
                <w:szCs w:val="20"/>
              </w:rPr>
            </w:pPr>
            <w:r w:rsidRPr="005D62DB">
              <w:rPr>
                <w:color w:val="000000" w:themeColor="text1"/>
                <w:sz w:val="20"/>
                <w:szCs w:val="20"/>
              </w:rPr>
              <w:t>DeFi as boring utility</w:t>
            </w:r>
          </w:p>
          <w:p w14:paraId="7C49C5EC" w14:textId="0F8ED556" w:rsidR="0040119B" w:rsidRPr="005D62DB" w:rsidRDefault="0040119B" w:rsidP="00AE1DED">
            <w:pPr>
              <w:rPr>
                <w:color w:val="000000" w:themeColor="text1"/>
                <w:sz w:val="20"/>
                <w:szCs w:val="20"/>
              </w:rPr>
            </w:pPr>
            <w:r w:rsidRPr="005D62DB">
              <w:rPr>
                <w:color w:val="000000" w:themeColor="text1"/>
                <w:sz w:val="20"/>
                <w:szCs w:val="20"/>
              </w:rPr>
              <w:t>Speculation moves to new frontiers</w:t>
            </w:r>
          </w:p>
        </w:tc>
      </w:tr>
      <w:tr w:rsidR="00750A6E" w:rsidRPr="005D62DB" w14:paraId="0000FAA0" w14:textId="77777777" w:rsidTr="00857C7E">
        <w:trPr>
          <w:trHeight w:val="1061"/>
        </w:trPr>
        <w:tc>
          <w:tcPr>
            <w:tcW w:w="1015"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E60BC38" w14:textId="77777777" w:rsidR="0040119B" w:rsidRPr="005D62DB" w:rsidRDefault="0040119B" w:rsidP="00AE1DED">
            <w:pPr>
              <w:rPr>
                <w:b/>
                <w:bCs/>
                <w:color w:val="000000" w:themeColor="text1"/>
                <w:sz w:val="20"/>
                <w:szCs w:val="20"/>
              </w:rPr>
            </w:pPr>
            <w:r w:rsidRPr="005D62DB">
              <w:rPr>
                <w:b/>
                <w:bCs/>
                <w:color w:val="000000" w:themeColor="text1"/>
                <w:sz w:val="20"/>
                <w:szCs w:val="20"/>
              </w:rPr>
              <w:t>Current Strategies' Fate</w:t>
            </w:r>
          </w:p>
        </w:tc>
        <w:tc>
          <w:tcPr>
            <w:tcW w:w="2031" w:type="dxa"/>
            <w:tcBorders>
              <w:top w:val="nil"/>
              <w:left w:val="nil"/>
              <w:bottom w:val="single" w:sz="8" w:space="0" w:color="auto"/>
              <w:right w:val="single" w:sz="4" w:space="0" w:color="auto"/>
            </w:tcBorders>
            <w:vAlign w:val="center"/>
            <w:hideMark/>
          </w:tcPr>
          <w:p w14:paraId="42863A70" w14:textId="77777777" w:rsidR="00584418" w:rsidRPr="005D62DB" w:rsidRDefault="0040119B" w:rsidP="00AE1DED">
            <w:pPr>
              <w:rPr>
                <w:color w:val="000000" w:themeColor="text1"/>
                <w:sz w:val="20"/>
                <w:szCs w:val="20"/>
              </w:rPr>
            </w:pPr>
            <w:r w:rsidRPr="005D62DB">
              <w:rPr>
                <w:color w:val="000000" w:themeColor="text1"/>
                <w:sz w:val="20"/>
                <w:szCs w:val="20"/>
              </w:rPr>
              <w:t>Stablecoin LP: Institutional only</w:t>
            </w:r>
          </w:p>
          <w:p w14:paraId="767101D7" w14:textId="77777777" w:rsidR="00584418" w:rsidRPr="005D62DB" w:rsidRDefault="0040119B" w:rsidP="00AE1DED">
            <w:pPr>
              <w:rPr>
                <w:color w:val="000000" w:themeColor="text1"/>
                <w:sz w:val="20"/>
                <w:szCs w:val="20"/>
              </w:rPr>
            </w:pPr>
            <w:r w:rsidRPr="005D62DB">
              <w:rPr>
                <w:color w:val="000000" w:themeColor="text1"/>
                <w:sz w:val="20"/>
                <w:szCs w:val="20"/>
              </w:rPr>
              <w:t>Correlated pairs: Requires sophistication</w:t>
            </w:r>
          </w:p>
          <w:p w14:paraId="5A33418E" w14:textId="77777777" w:rsidR="00584418" w:rsidRPr="005D62DB" w:rsidRDefault="0040119B" w:rsidP="00AE1DED">
            <w:pPr>
              <w:rPr>
                <w:color w:val="000000" w:themeColor="text1"/>
                <w:sz w:val="20"/>
                <w:szCs w:val="20"/>
              </w:rPr>
            </w:pPr>
            <w:r w:rsidRPr="005D62DB">
              <w:rPr>
                <w:color w:val="000000" w:themeColor="text1"/>
                <w:sz w:val="20"/>
                <w:szCs w:val="20"/>
              </w:rPr>
              <w:t>Yield farming: Extinct</w:t>
            </w:r>
          </w:p>
          <w:p w14:paraId="50217221" w14:textId="6860874B" w:rsidR="0040119B" w:rsidRPr="005D62DB" w:rsidRDefault="0040119B" w:rsidP="00AE1DED">
            <w:pPr>
              <w:rPr>
                <w:color w:val="000000" w:themeColor="text1"/>
                <w:sz w:val="20"/>
                <w:szCs w:val="20"/>
              </w:rPr>
            </w:pPr>
            <w:r w:rsidRPr="005D62DB">
              <w:rPr>
                <w:color w:val="000000" w:themeColor="text1"/>
                <w:sz w:val="20"/>
                <w:szCs w:val="20"/>
              </w:rPr>
              <w:t>Concentrated liquidity: Professional only</w:t>
            </w:r>
          </w:p>
        </w:tc>
        <w:tc>
          <w:tcPr>
            <w:tcW w:w="2150" w:type="dxa"/>
            <w:tcBorders>
              <w:top w:val="nil"/>
              <w:left w:val="nil"/>
              <w:bottom w:val="single" w:sz="8" w:space="0" w:color="auto"/>
              <w:right w:val="single" w:sz="4" w:space="0" w:color="auto"/>
            </w:tcBorders>
            <w:vAlign w:val="center"/>
            <w:hideMark/>
          </w:tcPr>
          <w:p w14:paraId="3014483A" w14:textId="77777777" w:rsidR="00584418" w:rsidRPr="005D62DB" w:rsidRDefault="0040119B" w:rsidP="00AE1DED">
            <w:pPr>
              <w:rPr>
                <w:color w:val="000000" w:themeColor="text1"/>
                <w:sz w:val="20"/>
                <w:szCs w:val="20"/>
              </w:rPr>
            </w:pPr>
            <w:r w:rsidRPr="005D62DB">
              <w:rPr>
                <w:color w:val="000000" w:themeColor="text1"/>
                <w:sz w:val="20"/>
                <w:szCs w:val="20"/>
              </w:rPr>
              <w:t>Stablecoin LP: Survives with KYC</w:t>
            </w:r>
          </w:p>
          <w:p w14:paraId="146E3383" w14:textId="77777777" w:rsidR="00584418" w:rsidRPr="005D62DB" w:rsidRDefault="0040119B" w:rsidP="00AE1DED">
            <w:pPr>
              <w:rPr>
                <w:color w:val="000000" w:themeColor="text1"/>
                <w:sz w:val="20"/>
                <w:szCs w:val="20"/>
              </w:rPr>
            </w:pPr>
            <w:r w:rsidRPr="005D62DB">
              <w:rPr>
                <w:color w:val="000000" w:themeColor="text1"/>
                <w:sz w:val="20"/>
                <w:szCs w:val="20"/>
              </w:rPr>
              <w:t xml:space="preserve">Correlated pairs: </w:t>
            </w:r>
            <w:proofErr w:type="gramStart"/>
            <w:r w:rsidRPr="005D62DB">
              <w:rPr>
                <w:color w:val="000000" w:themeColor="text1"/>
                <w:sz w:val="20"/>
                <w:szCs w:val="20"/>
              </w:rPr>
              <w:t>Gray</w:t>
            </w:r>
            <w:proofErr w:type="gramEnd"/>
            <w:r w:rsidRPr="005D62DB">
              <w:rPr>
                <w:color w:val="000000" w:themeColor="text1"/>
                <w:sz w:val="20"/>
                <w:szCs w:val="20"/>
              </w:rPr>
              <w:t xml:space="preserve"> market</w:t>
            </w:r>
          </w:p>
          <w:p w14:paraId="3548CD78" w14:textId="77777777" w:rsidR="00584418" w:rsidRPr="005D62DB" w:rsidRDefault="0040119B" w:rsidP="00AE1DED">
            <w:pPr>
              <w:rPr>
                <w:color w:val="000000" w:themeColor="text1"/>
                <w:sz w:val="20"/>
                <w:szCs w:val="20"/>
              </w:rPr>
            </w:pPr>
            <w:r w:rsidRPr="005D62DB">
              <w:rPr>
                <w:color w:val="000000" w:themeColor="text1"/>
                <w:sz w:val="20"/>
                <w:szCs w:val="20"/>
              </w:rPr>
              <w:t>Yield farming: Underground</w:t>
            </w:r>
          </w:p>
          <w:p w14:paraId="2E244843" w14:textId="62BAD9F7" w:rsidR="0040119B" w:rsidRPr="005D62DB" w:rsidRDefault="0040119B" w:rsidP="00AE1DED">
            <w:pPr>
              <w:rPr>
                <w:color w:val="000000" w:themeColor="text1"/>
                <w:sz w:val="20"/>
                <w:szCs w:val="20"/>
              </w:rPr>
            </w:pPr>
            <w:r w:rsidRPr="005D62DB">
              <w:rPr>
                <w:color w:val="000000" w:themeColor="text1"/>
                <w:sz w:val="20"/>
                <w:szCs w:val="20"/>
              </w:rPr>
              <w:t>Concentrated liquidity: Geographic dependent</w:t>
            </w:r>
          </w:p>
        </w:tc>
        <w:tc>
          <w:tcPr>
            <w:tcW w:w="2232" w:type="dxa"/>
            <w:tcBorders>
              <w:top w:val="nil"/>
              <w:left w:val="nil"/>
              <w:bottom w:val="single" w:sz="8" w:space="0" w:color="auto"/>
              <w:right w:val="single" w:sz="4" w:space="0" w:color="auto"/>
            </w:tcBorders>
            <w:vAlign w:val="center"/>
            <w:hideMark/>
          </w:tcPr>
          <w:p w14:paraId="116B0A42" w14:textId="77777777" w:rsidR="00584418" w:rsidRPr="005D62DB" w:rsidRDefault="0040119B" w:rsidP="00AE1DED">
            <w:pPr>
              <w:rPr>
                <w:color w:val="000000" w:themeColor="text1"/>
                <w:sz w:val="20"/>
                <w:szCs w:val="20"/>
              </w:rPr>
            </w:pPr>
            <w:r w:rsidRPr="005D62DB">
              <w:rPr>
                <w:color w:val="000000" w:themeColor="text1"/>
                <w:sz w:val="20"/>
                <w:szCs w:val="20"/>
              </w:rPr>
              <w:t>All survive but compress:</w:t>
            </w:r>
          </w:p>
          <w:p w14:paraId="7754DB5C" w14:textId="77777777" w:rsidR="00584418" w:rsidRPr="005D62DB" w:rsidRDefault="0040119B" w:rsidP="00AE1DED">
            <w:pPr>
              <w:rPr>
                <w:color w:val="000000" w:themeColor="text1"/>
                <w:sz w:val="20"/>
                <w:szCs w:val="20"/>
              </w:rPr>
            </w:pPr>
            <w:r w:rsidRPr="005D62DB">
              <w:rPr>
                <w:color w:val="000000" w:themeColor="text1"/>
                <w:sz w:val="20"/>
                <w:szCs w:val="20"/>
              </w:rPr>
              <w:t>Returns normalize to 2-4%</w:t>
            </w:r>
          </w:p>
          <w:p w14:paraId="28F69008" w14:textId="77777777" w:rsidR="00584418" w:rsidRPr="005D62DB" w:rsidRDefault="0040119B" w:rsidP="00AE1DED">
            <w:pPr>
              <w:rPr>
                <w:color w:val="000000" w:themeColor="text1"/>
                <w:sz w:val="20"/>
                <w:szCs w:val="20"/>
              </w:rPr>
            </w:pPr>
            <w:r w:rsidRPr="005D62DB">
              <w:rPr>
                <w:color w:val="000000" w:themeColor="text1"/>
                <w:sz w:val="20"/>
                <w:szCs w:val="20"/>
              </w:rPr>
              <w:t>Differentiation disappears</w:t>
            </w:r>
          </w:p>
          <w:p w14:paraId="40F4F7E0" w14:textId="0D705196" w:rsidR="0040119B" w:rsidRPr="005D62DB" w:rsidRDefault="0040119B" w:rsidP="00AE1DED">
            <w:pPr>
              <w:rPr>
                <w:color w:val="000000" w:themeColor="text1"/>
                <w:sz w:val="20"/>
                <w:szCs w:val="20"/>
              </w:rPr>
            </w:pPr>
            <w:r w:rsidRPr="005D62DB">
              <w:rPr>
                <w:color w:val="000000" w:themeColor="text1"/>
                <w:sz w:val="20"/>
                <w:szCs w:val="20"/>
              </w:rPr>
              <w:t>Execution quality determines success</w:t>
            </w:r>
          </w:p>
        </w:tc>
        <w:tc>
          <w:tcPr>
            <w:tcW w:w="1912" w:type="dxa"/>
            <w:tcBorders>
              <w:top w:val="nil"/>
              <w:left w:val="nil"/>
              <w:bottom w:val="single" w:sz="8" w:space="0" w:color="auto"/>
              <w:right w:val="single" w:sz="8" w:space="0" w:color="auto"/>
            </w:tcBorders>
            <w:vAlign w:val="center"/>
            <w:hideMark/>
          </w:tcPr>
          <w:p w14:paraId="22BCED8F" w14:textId="77777777" w:rsidR="00584418" w:rsidRPr="005D62DB" w:rsidRDefault="0040119B" w:rsidP="00AE1DED">
            <w:pPr>
              <w:rPr>
                <w:color w:val="000000" w:themeColor="text1"/>
                <w:sz w:val="20"/>
                <w:szCs w:val="20"/>
              </w:rPr>
            </w:pPr>
            <w:r w:rsidRPr="005D62DB">
              <w:rPr>
                <w:color w:val="000000" w:themeColor="text1"/>
                <w:sz w:val="20"/>
                <w:szCs w:val="20"/>
              </w:rPr>
              <w:t>Stablecoin LP: 2-3% (only viable strategy)</w:t>
            </w:r>
          </w:p>
          <w:p w14:paraId="1D47C74C" w14:textId="77777777" w:rsidR="00584418" w:rsidRPr="005D62DB" w:rsidRDefault="0040119B" w:rsidP="00AE1DED">
            <w:pPr>
              <w:rPr>
                <w:color w:val="000000" w:themeColor="text1"/>
                <w:sz w:val="20"/>
                <w:szCs w:val="20"/>
              </w:rPr>
            </w:pPr>
            <w:r w:rsidRPr="005D62DB">
              <w:rPr>
                <w:color w:val="000000" w:themeColor="text1"/>
                <w:sz w:val="20"/>
                <w:szCs w:val="20"/>
              </w:rPr>
              <w:t>All else: Speculative or dead</w:t>
            </w:r>
          </w:p>
          <w:p w14:paraId="10D6156F" w14:textId="44F244D7" w:rsidR="0040119B" w:rsidRPr="005D62DB" w:rsidRDefault="0040119B" w:rsidP="00AE1DED">
            <w:pPr>
              <w:rPr>
                <w:color w:val="000000" w:themeColor="text1"/>
                <w:sz w:val="20"/>
                <w:szCs w:val="20"/>
              </w:rPr>
            </w:pPr>
            <w:r w:rsidRPr="005D62DB">
              <w:rPr>
                <w:color w:val="000000" w:themeColor="text1"/>
                <w:sz w:val="20"/>
                <w:szCs w:val="20"/>
              </w:rPr>
              <w:t>Market-making becomes infrastructure</w:t>
            </w:r>
          </w:p>
        </w:tc>
      </w:tr>
    </w:tbl>
    <w:p w14:paraId="29E5561E" w14:textId="6E7F8124" w:rsidR="003E649C" w:rsidRPr="00C144BA" w:rsidRDefault="003E649C" w:rsidP="00AE1DED">
      <w:pPr>
        <w:rPr>
          <w:color w:val="000000" w:themeColor="text1"/>
          <w:sz w:val="20"/>
          <w:szCs w:val="20"/>
        </w:rPr>
      </w:pPr>
      <w:r w:rsidRPr="00C144BA">
        <w:rPr>
          <w:color w:val="000000" w:themeColor="text1"/>
          <w:sz w:val="20"/>
          <w:szCs w:val="20"/>
        </w:rPr>
        <w:t>Notes:</w:t>
      </w:r>
    </w:p>
    <w:p w14:paraId="5E2583DB" w14:textId="77777777" w:rsidR="003E649C" w:rsidRPr="00C144BA" w:rsidRDefault="003E649C" w:rsidP="00AE1DED">
      <w:pPr>
        <w:numPr>
          <w:ilvl w:val="0"/>
          <w:numId w:val="157"/>
        </w:numPr>
        <w:jc w:val="both"/>
        <w:rPr>
          <w:color w:val="000000" w:themeColor="text1"/>
          <w:sz w:val="20"/>
          <w:szCs w:val="20"/>
        </w:rPr>
      </w:pPr>
      <w:r w:rsidRPr="00C144BA">
        <w:rPr>
          <w:color w:val="000000" w:themeColor="text1"/>
          <w:sz w:val="20"/>
          <w:szCs w:val="20"/>
        </w:rPr>
        <w:t>Probabilities are subjective assessments based on simulation results and current trend analysis</w:t>
      </w:r>
    </w:p>
    <w:p w14:paraId="604042EC" w14:textId="31B2B78B" w:rsidR="003E649C" w:rsidRPr="00C144BA" w:rsidRDefault="003E649C" w:rsidP="00AE1DED">
      <w:pPr>
        <w:numPr>
          <w:ilvl w:val="0"/>
          <w:numId w:val="157"/>
        </w:numPr>
        <w:jc w:val="both"/>
        <w:rPr>
          <w:color w:val="000000" w:themeColor="text1"/>
          <w:sz w:val="20"/>
          <w:szCs w:val="20"/>
        </w:rPr>
      </w:pPr>
      <w:r w:rsidRPr="00C144BA">
        <w:rPr>
          <w:color w:val="000000" w:themeColor="text1"/>
          <w:sz w:val="20"/>
          <w:szCs w:val="20"/>
        </w:rPr>
        <w:t xml:space="preserve">Scenarios are not mutually </w:t>
      </w:r>
      <w:r w:rsidR="006909FC" w:rsidRPr="00C144BA">
        <w:rPr>
          <w:color w:val="000000" w:themeColor="text1"/>
          <w:sz w:val="20"/>
          <w:szCs w:val="20"/>
        </w:rPr>
        <w:t>exclusive,</w:t>
      </w:r>
      <w:r w:rsidRPr="00C144BA">
        <w:rPr>
          <w:color w:val="000000" w:themeColor="text1"/>
          <w:sz w:val="20"/>
          <w:szCs w:val="20"/>
        </w:rPr>
        <w:t xml:space="preserve"> hybrid outcomes </w:t>
      </w:r>
      <w:r w:rsidR="008D274A" w:rsidRPr="00C144BA">
        <w:rPr>
          <w:color w:val="000000" w:themeColor="text1"/>
          <w:sz w:val="20"/>
          <w:szCs w:val="20"/>
        </w:rPr>
        <w:t xml:space="preserve">are </w:t>
      </w:r>
      <w:r w:rsidRPr="00C144BA">
        <w:rPr>
          <w:color w:val="000000" w:themeColor="text1"/>
          <w:sz w:val="20"/>
          <w:szCs w:val="20"/>
        </w:rPr>
        <w:t>possible</w:t>
      </w:r>
    </w:p>
    <w:p w14:paraId="1C5433D3" w14:textId="3F03CCB5" w:rsidR="003E649C" w:rsidRPr="00C144BA" w:rsidRDefault="003E649C" w:rsidP="00AE1DED">
      <w:pPr>
        <w:numPr>
          <w:ilvl w:val="0"/>
          <w:numId w:val="157"/>
        </w:numPr>
        <w:jc w:val="both"/>
        <w:rPr>
          <w:color w:val="000000" w:themeColor="text1"/>
          <w:sz w:val="20"/>
          <w:szCs w:val="20"/>
        </w:rPr>
      </w:pPr>
      <w:r w:rsidRPr="00C144BA">
        <w:rPr>
          <w:color w:val="000000" w:themeColor="text1"/>
          <w:sz w:val="20"/>
          <w:szCs w:val="20"/>
        </w:rPr>
        <w:t xml:space="preserve">All scenarios assume </w:t>
      </w:r>
      <w:r w:rsidR="006909FC" w:rsidRPr="00C144BA">
        <w:rPr>
          <w:color w:val="000000" w:themeColor="text1"/>
          <w:sz w:val="20"/>
          <w:szCs w:val="20"/>
        </w:rPr>
        <w:t>3–5-year</w:t>
      </w:r>
      <w:r w:rsidRPr="00C144BA">
        <w:rPr>
          <w:color w:val="000000" w:themeColor="text1"/>
          <w:sz w:val="20"/>
          <w:szCs w:val="20"/>
        </w:rPr>
        <w:t xml:space="preserve"> horizon (2025-2030)</w:t>
      </w:r>
    </w:p>
    <w:p w14:paraId="6554E231" w14:textId="77777777" w:rsidR="003E649C" w:rsidRPr="00C144BA" w:rsidRDefault="003E649C" w:rsidP="00AE1DED">
      <w:pPr>
        <w:numPr>
          <w:ilvl w:val="0"/>
          <w:numId w:val="157"/>
        </w:numPr>
        <w:jc w:val="both"/>
        <w:rPr>
          <w:color w:val="000000" w:themeColor="text1"/>
          <w:sz w:val="20"/>
          <w:szCs w:val="20"/>
        </w:rPr>
      </w:pPr>
      <w:r w:rsidRPr="00C144BA">
        <w:rPr>
          <w:color w:val="000000" w:themeColor="text1"/>
          <w:sz w:val="20"/>
          <w:szCs w:val="20"/>
        </w:rPr>
        <w:t>Capital thresholds referenced are from Table 1.1A baseline adjusted for scenario conditions</w:t>
      </w:r>
    </w:p>
    <w:p w14:paraId="5BE3B3AD" w14:textId="77B1C810" w:rsidR="003E649C" w:rsidRPr="00C144BA" w:rsidRDefault="003E649C" w:rsidP="00AE1DED">
      <w:pPr>
        <w:numPr>
          <w:ilvl w:val="0"/>
          <w:numId w:val="157"/>
        </w:numPr>
        <w:jc w:val="both"/>
        <w:rPr>
          <w:color w:val="000000" w:themeColor="text1"/>
          <w:sz w:val="20"/>
          <w:szCs w:val="20"/>
        </w:rPr>
      </w:pPr>
      <w:r w:rsidRPr="00C144BA">
        <w:rPr>
          <w:color w:val="000000" w:themeColor="text1"/>
          <w:sz w:val="20"/>
          <w:szCs w:val="20"/>
        </w:rPr>
        <w:t>Percentages represent changes relative to 2024 baseline conditions observed in empirical sample</w:t>
      </w:r>
    </w:p>
    <w:p w14:paraId="7AB3D7AC" w14:textId="77777777" w:rsidR="00EC3418" w:rsidRDefault="00EC3418" w:rsidP="00AE1DED">
      <w:pPr>
        <w:rPr>
          <w:b/>
          <w:bCs/>
          <w:color w:val="000000" w:themeColor="text1"/>
        </w:rPr>
      </w:pPr>
    </w:p>
    <w:p w14:paraId="2B11093B" w14:textId="2AE051EE" w:rsidR="00727FD3" w:rsidRPr="005D62DB" w:rsidRDefault="008408B7" w:rsidP="00AE1DED">
      <w:pPr>
        <w:rPr>
          <w:color w:val="000000" w:themeColor="text1"/>
        </w:rPr>
      </w:pPr>
      <w:r w:rsidRPr="005D62DB">
        <w:rPr>
          <w:b/>
          <w:bCs/>
          <w:color w:val="000000" w:themeColor="text1"/>
        </w:rPr>
        <w:t xml:space="preserve">CURRENT STATE </w:t>
      </w:r>
      <w:r w:rsidR="00435D02" w:rsidRPr="005D62DB">
        <w:rPr>
          <w:b/>
          <w:bCs/>
          <w:color w:val="000000" w:themeColor="text1"/>
        </w:rPr>
        <w:t xml:space="preserve">(2024 </w:t>
      </w:r>
      <w:r w:rsidRPr="005D62DB">
        <w:rPr>
          <w:b/>
          <w:bCs/>
          <w:color w:val="000000" w:themeColor="text1"/>
        </w:rPr>
        <w:t xml:space="preserve">Baseline </w:t>
      </w:r>
      <w:proofErr w:type="gramStart"/>
      <w:r w:rsidR="00435D02" w:rsidRPr="005D62DB">
        <w:rPr>
          <w:b/>
          <w:bCs/>
          <w:color w:val="000000" w:themeColor="text1"/>
        </w:rPr>
        <w:t>From</w:t>
      </w:r>
      <w:proofErr w:type="gramEnd"/>
      <w:r w:rsidR="00435D02" w:rsidRPr="005D62DB">
        <w:rPr>
          <w:b/>
          <w:bCs/>
          <w:color w:val="000000" w:themeColor="text1"/>
        </w:rPr>
        <w:t xml:space="preserve"> </w:t>
      </w:r>
      <w:r w:rsidRPr="005D62DB">
        <w:rPr>
          <w:b/>
          <w:bCs/>
          <w:color w:val="000000" w:themeColor="text1"/>
        </w:rPr>
        <w:t>Empirical Study</w:t>
      </w:r>
      <w:r w:rsidR="00435D02" w:rsidRPr="005D62DB">
        <w:rPr>
          <w:b/>
          <w:bCs/>
          <w:color w:val="000000" w:themeColor="text1"/>
        </w:rPr>
        <w:t>)</w:t>
      </w:r>
      <w:r w:rsidR="00435D02" w:rsidRPr="005D62DB">
        <w:rPr>
          <w:color w:val="000000" w:themeColor="text1"/>
        </w:rPr>
        <w:t xml:space="preserve"> </w:t>
      </w:r>
    </w:p>
    <w:p w14:paraId="3DA464B9" w14:textId="77777777" w:rsidR="00EC3418" w:rsidRDefault="00EC3418" w:rsidP="00AE1DED">
      <w:pPr>
        <w:pStyle w:val="Heading3"/>
        <w:rPr>
          <w:rFonts w:eastAsiaTheme="majorEastAsia"/>
        </w:rPr>
      </w:pPr>
      <w:bookmarkStart w:id="205" w:name="_Toc214722011"/>
    </w:p>
    <w:p w14:paraId="3357F695" w14:textId="6065D4DF" w:rsidR="008408B7" w:rsidRDefault="00435D02" w:rsidP="00AE1DED">
      <w:pPr>
        <w:pStyle w:val="Heading3"/>
        <w:rPr>
          <w:rFonts w:eastAsiaTheme="majorEastAsia"/>
        </w:rPr>
      </w:pPr>
      <w:r w:rsidRPr="00933090">
        <w:rPr>
          <w:rFonts w:eastAsiaTheme="majorEastAsia"/>
        </w:rPr>
        <w:t xml:space="preserve">Table </w:t>
      </w:r>
      <w:r w:rsidR="00727FD3" w:rsidRPr="00933090">
        <w:rPr>
          <w:rFonts w:eastAsiaTheme="majorEastAsia"/>
        </w:rPr>
        <w:t>9.</w:t>
      </w:r>
      <w:r w:rsidR="00C5607F">
        <w:rPr>
          <w:rFonts w:eastAsiaTheme="majorEastAsia"/>
        </w:rPr>
        <w:t>C</w:t>
      </w:r>
      <w:r w:rsidR="00727FD3" w:rsidRPr="00933090">
        <w:rPr>
          <w:rFonts w:eastAsiaTheme="majorEastAsia"/>
        </w:rPr>
        <w:t>: Scenario Probability Tree and Retail Participation Outcomes (2025-2030)</w:t>
      </w:r>
      <w:bookmarkEnd w:id="205"/>
    </w:p>
    <w:p w14:paraId="4A731290" w14:textId="77777777" w:rsidR="00CE7570" w:rsidRPr="00CE7570" w:rsidRDefault="00CE7570" w:rsidP="00AE1DED"/>
    <w:tbl>
      <w:tblPr>
        <w:tblW w:w="9180" w:type="dxa"/>
        <w:tblLook w:val="04A0" w:firstRow="1" w:lastRow="0" w:firstColumn="1" w:lastColumn="0" w:noHBand="0" w:noVBand="1"/>
      </w:tblPr>
      <w:tblGrid>
        <w:gridCol w:w="2160"/>
        <w:gridCol w:w="2260"/>
        <w:gridCol w:w="2040"/>
        <w:gridCol w:w="2720"/>
      </w:tblGrid>
      <w:tr w:rsidR="00750A6E" w:rsidRPr="00FC3279" w14:paraId="0C1C88E6" w14:textId="77777777" w:rsidTr="0054248A">
        <w:trPr>
          <w:trHeight w:val="700"/>
        </w:trPr>
        <w:tc>
          <w:tcPr>
            <w:tcW w:w="2160"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hideMark/>
          </w:tcPr>
          <w:p w14:paraId="7A528CA3" w14:textId="34231A1A" w:rsidR="0054248A" w:rsidRPr="00FC3279" w:rsidRDefault="0054248A" w:rsidP="00AE1DED">
            <w:pPr>
              <w:rPr>
                <w:b/>
                <w:bCs/>
                <w:color w:val="000000" w:themeColor="text1"/>
              </w:rPr>
            </w:pPr>
            <w:r w:rsidRPr="00FC3279">
              <w:rPr>
                <w:b/>
                <w:bCs/>
                <w:color w:val="000000" w:themeColor="text1"/>
              </w:rPr>
              <w:lastRenderedPageBreak/>
              <w:t>From Chapter 8 Findings</w:t>
            </w:r>
          </w:p>
        </w:tc>
        <w:tc>
          <w:tcPr>
            <w:tcW w:w="2260" w:type="dxa"/>
            <w:tcBorders>
              <w:top w:val="single" w:sz="8" w:space="0" w:color="auto"/>
              <w:left w:val="nil"/>
              <w:bottom w:val="single" w:sz="4" w:space="0" w:color="auto"/>
              <w:right w:val="single" w:sz="4" w:space="0" w:color="auto"/>
            </w:tcBorders>
            <w:vAlign w:val="center"/>
            <w:hideMark/>
          </w:tcPr>
          <w:p w14:paraId="4BEA3C3B" w14:textId="77777777" w:rsidR="0054248A" w:rsidRPr="00FC3279" w:rsidRDefault="0054248A" w:rsidP="00AE1DED">
            <w:pPr>
              <w:rPr>
                <w:color w:val="000000" w:themeColor="text1"/>
              </w:rPr>
            </w:pPr>
            <w:r w:rsidRPr="00FC3279">
              <w:rPr>
                <w:color w:val="000000" w:themeColor="text1"/>
              </w:rPr>
              <w:t>73% failure rate (95% CI: 65%-80%)</w:t>
            </w:r>
          </w:p>
        </w:tc>
        <w:tc>
          <w:tcPr>
            <w:tcW w:w="2040" w:type="dxa"/>
            <w:tcBorders>
              <w:top w:val="single" w:sz="8" w:space="0" w:color="auto"/>
              <w:left w:val="nil"/>
              <w:bottom w:val="single" w:sz="4" w:space="0" w:color="auto"/>
              <w:right w:val="single" w:sz="4" w:space="0" w:color="auto"/>
            </w:tcBorders>
            <w:vAlign w:val="center"/>
            <w:hideMark/>
          </w:tcPr>
          <w:p w14:paraId="74157660" w14:textId="77777777" w:rsidR="0054248A" w:rsidRPr="00FC3279" w:rsidRDefault="0054248A" w:rsidP="00AE1DED">
            <w:pPr>
              <w:rPr>
                <w:color w:val="000000" w:themeColor="text1"/>
              </w:rPr>
            </w:pPr>
            <w:r w:rsidRPr="00FC3279">
              <w:rPr>
                <w:color w:val="000000" w:themeColor="text1"/>
              </w:rPr>
              <w:t>Capital thresholds: $750 (Polygon) to $25,000 (Ethereum)</w:t>
            </w:r>
          </w:p>
        </w:tc>
        <w:tc>
          <w:tcPr>
            <w:tcW w:w="2720" w:type="dxa"/>
            <w:tcBorders>
              <w:top w:val="single" w:sz="8" w:space="0" w:color="auto"/>
              <w:left w:val="nil"/>
              <w:bottom w:val="single" w:sz="4" w:space="0" w:color="auto"/>
              <w:right w:val="single" w:sz="8" w:space="0" w:color="auto"/>
            </w:tcBorders>
            <w:vAlign w:val="center"/>
            <w:hideMark/>
          </w:tcPr>
          <w:p w14:paraId="766B43FF" w14:textId="77777777" w:rsidR="0054248A" w:rsidRPr="00FC3279" w:rsidRDefault="0054248A" w:rsidP="00AE1DED">
            <w:pPr>
              <w:rPr>
                <w:color w:val="000000" w:themeColor="text1"/>
              </w:rPr>
            </w:pPr>
            <w:r w:rsidRPr="00FC3279">
              <w:rPr>
                <w:color w:val="000000" w:themeColor="text1"/>
              </w:rPr>
              <w:t>Returns: 4-8% (stablecoins) to 8-14% (</w:t>
            </w:r>
            <w:proofErr w:type="spellStart"/>
            <w:r w:rsidRPr="00FC3279">
              <w:rPr>
                <w:color w:val="000000" w:themeColor="text1"/>
              </w:rPr>
              <w:t>mainnet</w:t>
            </w:r>
            <w:proofErr w:type="spellEnd"/>
            <w:r w:rsidRPr="00FC3279">
              <w:rPr>
                <w:color w:val="000000" w:themeColor="text1"/>
              </w:rPr>
              <w:t xml:space="preserve"> strategies)</w:t>
            </w:r>
          </w:p>
        </w:tc>
      </w:tr>
      <w:tr w:rsidR="0054248A" w:rsidRPr="00FC3279" w14:paraId="675AC097" w14:textId="77777777" w:rsidTr="0054248A">
        <w:trPr>
          <w:trHeight w:val="1040"/>
        </w:trPr>
        <w:tc>
          <w:tcPr>
            <w:tcW w:w="21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DBC8B63" w14:textId="7F8BE026" w:rsidR="0054248A" w:rsidRPr="00FC3279" w:rsidRDefault="0054248A" w:rsidP="00AE1DED">
            <w:pPr>
              <w:rPr>
                <w:b/>
                <w:bCs/>
                <w:color w:val="000000" w:themeColor="text1"/>
              </w:rPr>
            </w:pPr>
            <w:r w:rsidRPr="00FC3279">
              <w:rPr>
                <w:b/>
                <w:bCs/>
                <w:color w:val="000000" w:themeColor="text1"/>
              </w:rPr>
              <w:t>From Chapter 7 Findings</w:t>
            </w:r>
          </w:p>
        </w:tc>
        <w:tc>
          <w:tcPr>
            <w:tcW w:w="2260" w:type="dxa"/>
            <w:tcBorders>
              <w:top w:val="nil"/>
              <w:left w:val="nil"/>
              <w:bottom w:val="single" w:sz="8" w:space="0" w:color="auto"/>
              <w:right w:val="single" w:sz="4" w:space="0" w:color="auto"/>
            </w:tcBorders>
            <w:vAlign w:val="center"/>
            <w:hideMark/>
          </w:tcPr>
          <w:p w14:paraId="053C38C6" w14:textId="77777777" w:rsidR="0054248A" w:rsidRPr="00FC3279" w:rsidRDefault="0054248A" w:rsidP="00AE1DED">
            <w:pPr>
              <w:rPr>
                <w:color w:val="000000" w:themeColor="text1"/>
              </w:rPr>
            </w:pPr>
            <w:r w:rsidRPr="00FC3279">
              <w:rPr>
                <w:color w:val="000000" w:themeColor="text1"/>
              </w:rPr>
              <w:t>35-45% annual incident probability</w:t>
            </w:r>
          </w:p>
        </w:tc>
        <w:tc>
          <w:tcPr>
            <w:tcW w:w="2040" w:type="dxa"/>
            <w:tcBorders>
              <w:top w:val="nil"/>
              <w:left w:val="nil"/>
              <w:bottom w:val="single" w:sz="8" w:space="0" w:color="auto"/>
              <w:right w:val="single" w:sz="4" w:space="0" w:color="auto"/>
            </w:tcBorders>
            <w:vAlign w:val="center"/>
            <w:hideMark/>
          </w:tcPr>
          <w:p w14:paraId="725AB54E" w14:textId="77777777" w:rsidR="0054248A" w:rsidRPr="00FC3279" w:rsidRDefault="0054248A" w:rsidP="00AE1DED">
            <w:pPr>
              <w:rPr>
                <w:color w:val="000000" w:themeColor="text1"/>
              </w:rPr>
            </w:pPr>
            <w:r w:rsidRPr="00FC3279">
              <w:rPr>
                <w:color w:val="000000" w:themeColor="text1"/>
              </w:rPr>
              <w:t>12.2% quarterly protocol-level incidents</w:t>
            </w:r>
          </w:p>
        </w:tc>
        <w:tc>
          <w:tcPr>
            <w:tcW w:w="2720" w:type="dxa"/>
            <w:tcBorders>
              <w:top w:val="nil"/>
              <w:left w:val="nil"/>
              <w:bottom w:val="single" w:sz="8" w:space="0" w:color="auto"/>
              <w:right w:val="single" w:sz="8" w:space="0" w:color="auto"/>
            </w:tcBorders>
            <w:vAlign w:val="center"/>
            <w:hideMark/>
          </w:tcPr>
          <w:p w14:paraId="1CEA6614" w14:textId="77777777" w:rsidR="0054248A" w:rsidRPr="00FC3279" w:rsidRDefault="0054248A" w:rsidP="00AE1DED">
            <w:pPr>
              <w:rPr>
                <w:color w:val="000000" w:themeColor="text1"/>
              </w:rPr>
            </w:pPr>
            <w:r w:rsidRPr="00FC3279">
              <w:rPr>
                <w:color w:val="000000" w:themeColor="text1"/>
              </w:rPr>
              <w:t>Time requirement: 15-20 hours/week</w:t>
            </w:r>
          </w:p>
        </w:tc>
      </w:tr>
    </w:tbl>
    <w:p w14:paraId="6682BFAD" w14:textId="77777777" w:rsidR="00CE7570" w:rsidRDefault="00CE7570" w:rsidP="00AE1DED">
      <w:pPr>
        <w:pStyle w:val="Heading3"/>
        <w:rPr>
          <w:rFonts w:eastAsiaTheme="majorEastAsia"/>
        </w:rPr>
      </w:pPr>
    </w:p>
    <w:p w14:paraId="3BD7798D" w14:textId="6A5FB997" w:rsidR="00A63B7B" w:rsidRDefault="00933090" w:rsidP="00AE1DED">
      <w:pPr>
        <w:pStyle w:val="Heading3"/>
        <w:rPr>
          <w:rFonts w:eastAsiaTheme="majorEastAsia"/>
        </w:rPr>
      </w:pPr>
      <w:bookmarkStart w:id="206" w:name="_Toc214722012"/>
      <w:r>
        <w:rPr>
          <w:rFonts w:eastAsiaTheme="majorEastAsia"/>
        </w:rPr>
        <w:t>Table 9.</w:t>
      </w:r>
      <w:r w:rsidR="00C5607F">
        <w:rPr>
          <w:rFonts w:eastAsiaTheme="majorEastAsia"/>
        </w:rPr>
        <w:t>D</w:t>
      </w:r>
      <w:r>
        <w:rPr>
          <w:rFonts w:eastAsiaTheme="majorEastAsia"/>
        </w:rPr>
        <w:t xml:space="preserve">: </w:t>
      </w:r>
      <w:r w:rsidR="00435D02" w:rsidRPr="00933090">
        <w:rPr>
          <w:rFonts w:eastAsiaTheme="majorEastAsia"/>
        </w:rPr>
        <w:t>Evolution Pathways (2025-2030)</w:t>
      </w:r>
      <w:bookmarkEnd w:id="206"/>
      <w:r w:rsidR="00435D02" w:rsidRPr="00933090">
        <w:rPr>
          <w:rFonts w:eastAsiaTheme="majorEastAsia"/>
        </w:rPr>
        <w:t xml:space="preserve"> </w:t>
      </w:r>
    </w:p>
    <w:p w14:paraId="406E3E0A" w14:textId="77777777" w:rsidR="00CE7570" w:rsidRPr="00CE7570" w:rsidRDefault="00CE7570" w:rsidP="00AE1DED"/>
    <w:tbl>
      <w:tblPr>
        <w:tblW w:w="9350" w:type="dxa"/>
        <w:tblLook w:val="04A0" w:firstRow="1" w:lastRow="0" w:firstColumn="1" w:lastColumn="0" w:noHBand="0" w:noVBand="1"/>
      </w:tblPr>
      <w:tblGrid>
        <w:gridCol w:w="1798"/>
        <w:gridCol w:w="1183"/>
        <w:gridCol w:w="1311"/>
        <w:gridCol w:w="1472"/>
        <w:gridCol w:w="1876"/>
        <w:gridCol w:w="1710"/>
      </w:tblGrid>
      <w:tr w:rsidR="009D0D32" w:rsidRPr="009D0D32" w14:paraId="7D0A6F30" w14:textId="77777777" w:rsidTr="009D0D32">
        <w:trPr>
          <w:trHeight w:val="700"/>
        </w:trPr>
        <w:tc>
          <w:tcPr>
            <w:tcW w:w="179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481A2DC1" w14:textId="77777777" w:rsidR="00597DEB" w:rsidRPr="009D0D32" w:rsidRDefault="00597DEB" w:rsidP="00AE1DED">
            <w:pPr>
              <w:jc w:val="center"/>
              <w:rPr>
                <w:b/>
                <w:bCs/>
                <w:color w:val="000000" w:themeColor="text1"/>
                <w:sz w:val="20"/>
                <w:szCs w:val="20"/>
              </w:rPr>
            </w:pPr>
            <w:r w:rsidRPr="009D0D32">
              <w:rPr>
                <w:b/>
                <w:bCs/>
                <w:color w:val="000000" w:themeColor="text1"/>
                <w:sz w:val="20"/>
                <w:szCs w:val="20"/>
              </w:rPr>
              <w:t>Scenario</w:t>
            </w:r>
          </w:p>
        </w:tc>
        <w:tc>
          <w:tcPr>
            <w:tcW w:w="1183"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2F5A3056" w14:textId="77777777" w:rsidR="00597DEB" w:rsidRPr="009D0D32" w:rsidRDefault="00597DEB" w:rsidP="00AE1DED">
            <w:pPr>
              <w:jc w:val="center"/>
              <w:rPr>
                <w:b/>
                <w:bCs/>
                <w:color w:val="000000" w:themeColor="text1"/>
                <w:sz w:val="20"/>
                <w:szCs w:val="20"/>
              </w:rPr>
            </w:pPr>
            <w:r w:rsidRPr="009D0D32">
              <w:rPr>
                <w:b/>
                <w:bCs/>
                <w:color w:val="000000" w:themeColor="text1"/>
                <w:sz w:val="20"/>
                <w:szCs w:val="20"/>
              </w:rPr>
              <w:t>Probability</w:t>
            </w:r>
          </w:p>
        </w:tc>
        <w:tc>
          <w:tcPr>
            <w:tcW w:w="1311"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31FD2A4F" w14:textId="77777777" w:rsidR="00597DEB" w:rsidRPr="009D0D32" w:rsidRDefault="00597DEB" w:rsidP="00AE1DED">
            <w:pPr>
              <w:jc w:val="center"/>
              <w:rPr>
                <w:b/>
                <w:bCs/>
                <w:color w:val="000000" w:themeColor="text1"/>
                <w:sz w:val="20"/>
                <w:szCs w:val="20"/>
              </w:rPr>
            </w:pPr>
            <w:r w:rsidRPr="009D0D32">
              <w:rPr>
                <w:b/>
                <w:bCs/>
                <w:color w:val="000000" w:themeColor="text1"/>
                <w:sz w:val="20"/>
                <w:szCs w:val="20"/>
              </w:rPr>
              <w:t>Core Driver</w:t>
            </w:r>
          </w:p>
        </w:tc>
        <w:tc>
          <w:tcPr>
            <w:tcW w:w="1472"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584CF516" w14:textId="77777777" w:rsidR="00597DEB" w:rsidRPr="009D0D32" w:rsidRDefault="00597DEB" w:rsidP="00AE1DED">
            <w:pPr>
              <w:jc w:val="center"/>
              <w:rPr>
                <w:b/>
                <w:bCs/>
                <w:color w:val="000000" w:themeColor="text1"/>
                <w:sz w:val="20"/>
                <w:szCs w:val="20"/>
              </w:rPr>
            </w:pPr>
            <w:r w:rsidRPr="009D0D32">
              <w:rPr>
                <w:b/>
                <w:bCs/>
                <w:color w:val="000000" w:themeColor="text1"/>
                <w:sz w:val="20"/>
                <w:szCs w:val="20"/>
              </w:rPr>
              <w:t>Retail Outcome</w:t>
            </w:r>
          </w:p>
        </w:tc>
        <w:tc>
          <w:tcPr>
            <w:tcW w:w="1876"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1B632569" w14:textId="77777777" w:rsidR="00597DEB" w:rsidRPr="009D0D32" w:rsidRDefault="00597DEB" w:rsidP="00AE1DED">
            <w:pPr>
              <w:jc w:val="center"/>
              <w:rPr>
                <w:b/>
                <w:bCs/>
                <w:color w:val="000000" w:themeColor="text1"/>
                <w:sz w:val="20"/>
                <w:szCs w:val="20"/>
              </w:rPr>
            </w:pPr>
            <w:r w:rsidRPr="009D0D32">
              <w:rPr>
                <w:b/>
                <w:bCs/>
                <w:color w:val="000000" w:themeColor="text1"/>
                <w:sz w:val="20"/>
                <w:szCs w:val="20"/>
              </w:rPr>
              <w:t>Capital Implications</w:t>
            </w:r>
          </w:p>
        </w:tc>
        <w:tc>
          <w:tcPr>
            <w:tcW w:w="171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59EED82" w14:textId="77777777" w:rsidR="00597DEB" w:rsidRPr="009D0D32" w:rsidRDefault="00597DEB" w:rsidP="00AE1DED">
            <w:pPr>
              <w:jc w:val="center"/>
              <w:rPr>
                <w:b/>
                <w:bCs/>
                <w:color w:val="000000" w:themeColor="text1"/>
                <w:sz w:val="20"/>
                <w:szCs w:val="20"/>
              </w:rPr>
            </w:pPr>
            <w:r w:rsidRPr="009D0D32">
              <w:rPr>
                <w:b/>
                <w:bCs/>
                <w:color w:val="000000" w:themeColor="text1"/>
                <w:sz w:val="20"/>
                <w:szCs w:val="20"/>
              </w:rPr>
              <w:t>Strategy Viability</w:t>
            </w:r>
          </w:p>
        </w:tc>
      </w:tr>
      <w:tr w:rsidR="009D0D32" w:rsidRPr="009D0D32" w14:paraId="4393D88E" w14:textId="77777777" w:rsidTr="009D0D32">
        <w:trPr>
          <w:trHeight w:val="331"/>
        </w:trPr>
        <w:tc>
          <w:tcPr>
            <w:tcW w:w="1798"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145871E9" w14:textId="77777777" w:rsidR="00597DEB" w:rsidRPr="009D0D32" w:rsidRDefault="00597DEB" w:rsidP="00AE1DED">
            <w:pPr>
              <w:rPr>
                <w:b/>
                <w:bCs/>
                <w:color w:val="000000" w:themeColor="text1"/>
                <w:sz w:val="18"/>
                <w:szCs w:val="18"/>
              </w:rPr>
            </w:pPr>
            <w:r w:rsidRPr="009D0D32">
              <w:rPr>
                <w:b/>
                <w:bCs/>
                <w:color w:val="000000" w:themeColor="text1"/>
                <w:sz w:val="18"/>
                <w:szCs w:val="18"/>
              </w:rPr>
              <w:t>INSTITUTIONAL DOMINANCE</w:t>
            </w:r>
          </w:p>
        </w:tc>
        <w:tc>
          <w:tcPr>
            <w:tcW w:w="1183" w:type="dxa"/>
            <w:tcBorders>
              <w:top w:val="nil"/>
              <w:left w:val="nil"/>
              <w:bottom w:val="single" w:sz="4" w:space="0" w:color="auto"/>
              <w:right w:val="single" w:sz="4" w:space="0" w:color="auto"/>
            </w:tcBorders>
            <w:vAlign w:val="center"/>
            <w:hideMark/>
          </w:tcPr>
          <w:p w14:paraId="2016B9A9" w14:textId="77777777" w:rsidR="00597DEB" w:rsidRPr="009D0D32" w:rsidRDefault="00597DEB" w:rsidP="00AE1DED">
            <w:pPr>
              <w:rPr>
                <w:color w:val="000000" w:themeColor="text1"/>
                <w:sz w:val="20"/>
                <w:szCs w:val="20"/>
              </w:rPr>
            </w:pPr>
            <w:r w:rsidRPr="009D0D32">
              <w:rPr>
                <w:color w:val="000000" w:themeColor="text1"/>
                <w:sz w:val="20"/>
                <w:szCs w:val="20"/>
              </w:rPr>
              <w:t>35%</w:t>
            </w:r>
          </w:p>
        </w:tc>
        <w:tc>
          <w:tcPr>
            <w:tcW w:w="1311" w:type="dxa"/>
            <w:tcBorders>
              <w:top w:val="nil"/>
              <w:left w:val="nil"/>
              <w:bottom w:val="single" w:sz="4" w:space="0" w:color="auto"/>
              <w:right w:val="single" w:sz="4" w:space="0" w:color="auto"/>
            </w:tcBorders>
            <w:vAlign w:val="center"/>
            <w:hideMark/>
          </w:tcPr>
          <w:p w14:paraId="22DD3CD9" w14:textId="77777777" w:rsidR="00597DEB" w:rsidRPr="009D0D32" w:rsidRDefault="00597DEB" w:rsidP="00AE1DED">
            <w:pPr>
              <w:rPr>
                <w:color w:val="000000" w:themeColor="text1"/>
                <w:sz w:val="20"/>
                <w:szCs w:val="20"/>
              </w:rPr>
            </w:pPr>
            <w:r w:rsidRPr="009D0D32">
              <w:rPr>
                <w:color w:val="000000" w:themeColor="text1"/>
                <w:sz w:val="20"/>
                <w:szCs w:val="20"/>
              </w:rPr>
              <w:t>Institutions control 90% of DeFi liquidity</w:t>
            </w:r>
          </w:p>
        </w:tc>
        <w:tc>
          <w:tcPr>
            <w:tcW w:w="1472" w:type="dxa"/>
            <w:tcBorders>
              <w:top w:val="nil"/>
              <w:left w:val="nil"/>
              <w:bottom w:val="single" w:sz="4" w:space="0" w:color="auto"/>
              <w:right w:val="single" w:sz="4" w:space="0" w:color="auto"/>
            </w:tcBorders>
            <w:vAlign w:val="center"/>
            <w:hideMark/>
          </w:tcPr>
          <w:p w14:paraId="1C740A01" w14:textId="068B455A" w:rsidR="00597DEB" w:rsidRPr="009D0D32" w:rsidRDefault="00597DEB" w:rsidP="00AE1DED">
            <w:pPr>
              <w:rPr>
                <w:rFonts w:ascii="Apple Color Emoji" w:hAnsi="Apple Color Emoji"/>
                <w:color w:val="000000" w:themeColor="text1"/>
                <w:sz w:val="20"/>
                <w:szCs w:val="20"/>
              </w:rPr>
            </w:pPr>
            <w:r w:rsidRPr="009D0D32">
              <w:rPr>
                <w:color w:val="000000" w:themeColor="text1"/>
                <w:sz w:val="20"/>
                <w:szCs w:val="20"/>
              </w:rPr>
              <w:t>EXCLUDED</w:t>
            </w:r>
          </w:p>
        </w:tc>
        <w:tc>
          <w:tcPr>
            <w:tcW w:w="1876" w:type="dxa"/>
            <w:tcBorders>
              <w:top w:val="nil"/>
              <w:left w:val="nil"/>
              <w:bottom w:val="single" w:sz="4" w:space="0" w:color="auto"/>
              <w:right w:val="single" w:sz="4" w:space="0" w:color="auto"/>
            </w:tcBorders>
            <w:vAlign w:val="center"/>
            <w:hideMark/>
          </w:tcPr>
          <w:p w14:paraId="7AD413E9" w14:textId="77777777" w:rsidR="00584418" w:rsidRPr="009D0D32" w:rsidRDefault="00597DEB" w:rsidP="00AE1DED">
            <w:pPr>
              <w:rPr>
                <w:color w:val="000000" w:themeColor="text1"/>
                <w:sz w:val="20"/>
                <w:szCs w:val="20"/>
              </w:rPr>
            </w:pPr>
            <w:r w:rsidRPr="009D0D32">
              <w:rPr>
                <w:color w:val="000000" w:themeColor="text1"/>
                <w:sz w:val="20"/>
                <w:szCs w:val="20"/>
              </w:rPr>
              <w:t>Current minimum viable thresholds rise 10x:</w:t>
            </w:r>
          </w:p>
          <w:p w14:paraId="47206BE9" w14:textId="77777777" w:rsidR="00584418" w:rsidRPr="009D0D32" w:rsidRDefault="00597DEB" w:rsidP="00AE1DED">
            <w:pPr>
              <w:rPr>
                <w:color w:val="000000" w:themeColor="text1"/>
                <w:sz w:val="20"/>
                <w:szCs w:val="20"/>
              </w:rPr>
            </w:pPr>
            <w:r w:rsidRPr="009D0D32">
              <w:rPr>
                <w:color w:val="000000" w:themeColor="text1"/>
                <w:sz w:val="20"/>
                <w:szCs w:val="20"/>
              </w:rPr>
              <w:t>• Polygon: $7,500</w:t>
            </w:r>
          </w:p>
          <w:p w14:paraId="2ED97FA9" w14:textId="77777777" w:rsidR="00584418" w:rsidRPr="009D0D32" w:rsidRDefault="00597DEB" w:rsidP="00AE1DED">
            <w:pPr>
              <w:rPr>
                <w:color w:val="000000" w:themeColor="text1"/>
                <w:sz w:val="20"/>
                <w:szCs w:val="20"/>
              </w:rPr>
            </w:pPr>
            <w:r w:rsidRPr="009D0D32">
              <w:rPr>
                <w:color w:val="000000" w:themeColor="text1"/>
                <w:sz w:val="20"/>
                <w:szCs w:val="20"/>
              </w:rPr>
              <w:t>• L2: $35,000</w:t>
            </w:r>
          </w:p>
          <w:p w14:paraId="2AB0928B" w14:textId="41D8A25C" w:rsidR="00597DEB" w:rsidRPr="009D0D32" w:rsidRDefault="00597DEB" w:rsidP="00AE1DED">
            <w:pPr>
              <w:rPr>
                <w:color w:val="000000" w:themeColor="text1"/>
                <w:sz w:val="20"/>
                <w:szCs w:val="20"/>
              </w:rPr>
            </w:pPr>
            <w:r w:rsidRPr="009D0D32">
              <w:rPr>
                <w:color w:val="000000" w:themeColor="text1"/>
                <w:sz w:val="20"/>
                <w:szCs w:val="20"/>
              </w:rPr>
              <w:t xml:space="preserve">• </w:t>
            </w:r>
            <w:proofErr w:type="spellStart"/>
            <w:r w:rsidRPr="009D0D32">
              <w:rPr>
                <w:color w:val="000000" w:themeColor="text1"/>
                <w:sz w:val="20"/>
                <w:szCs w:val="20"/>
              </w:rPr>
              <w:t>Mainnet</w:t>
            </w:r>
            <w:proofErr w:type="spellEnd"/>
            <w:r w:rsidRPr="009D0D32">
              <w:rPr>
                <w:color w:val="000000" w:themeColor="text1"/>
                <w:sz w:val="20"/>
                <w:szCs w:val="20"/>
              </w:rPr>
              <w:t>: $250,000+</w:t>
            </w:r>
          </w:p>
        </w:tc>
        <w:tc>
          <w:tcPr>
            <w:tcW w:w="1710" w:type="dxa"/>
            <w:tcBorders>
              <w:top w:val="nil"/>
              <w:left w:val="nil"/>
              <w:bottom w:val="single" w:sz="4" w:space="0" w:color="auto"/>
              <w:right w:val="single" w:sz="8" w:space="0" w:color="auto"/>
            </w:tcBorders>
            <w:vAlign w:val="center"/>
            <w:hideMark/>
          </w:tcPr>
          <w:p w14:paraId="52F2B197" w14:textId="77777777" w:rsidR="00597DEB" w:rsidRPr="009D0D32" w:rsidRDefault="00597DEB" w:rsidP="00AE1DED">
            <w:pPr>
              <w:rPr>
                <w:color w:val="000000" w:themeColor="text1"/>
                <w:sz w:val="20"/>
                <w:szCs w:val="20"/>
              </w:rPr>
            </w:pPr>
            <w:r w:rsidRPr="009D0D32">
              <w:rPr>
                <w:color w:val="000000" w:themeColor="text1"/>
                <w:sz w:val="20"/>
                <w:szCs w:val="20"/>
              </w:rPr>
              <w:t>Retail participants become consumers of services, not providers of liquidity</w:t>
            </w:r>
          </w:p>
        </w:tc>
      </w:tr>
      <w:tr w:rsidR="009D0D32" w:rsidRPr="009D0D32" w14:paraId="537678B5" w14:textId="77777777" w:rsidTr="009D0D32">
        <w:trPr>
          <w:trHeight w:val="962"/>
        </w:trPr>
        <w:tc>
          <w:tcPr>
            <w:tcW w:w="1798"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19E78C3D" w14:textId="77777777" w:rsidR="00597DEB" w:rsidRPr="009D0D32" w:rsidRDefault="00597DEB" w:rsidP="00AE1DED">
            <w:pPr>
              <w:rPr>
                <w:b/>
                <w:bCs/>
                <w:color w:val="000000" w:themeColor="text1"/>
                <w:sz w:val="18"/>
                <w:szCs w:val="18"/>
              </w:rPr>
            </w:pPr>
            <w:r w:rsidRPr="009D0D32">
              <w:rPr>
                <w:b/>
                <w:bCs/>
                <w:color w:val="000000" w:themeColor="text1"/>
                <w:sz w:val="18"/>
                <w:szCs w:val="18"/>
              </w:rPr>
              <w:t>Key Effects</w:t>
            </w:r>
          </w:p>
        </w:tc>
        <w:tc>
          <w:tcPr>
            <w:tcW w:w="1183" w:type="dxa"/>
            <w:tcBorders>
              <w:top w:val="nil"/>
              <w:left w:val="nil"/>
              <w:bottom w:val="single" w:sz="4" w:space="0" w:color="auto"/>
              <w:right w:val="single" w:sz="4" w:space="0" w:color="auto"/>
            </w:tcBorders>
            <w:vAlign w:val="center"/>
            <w:hideMark/>
          </w:tcPr>
          <w:p w14:paraId="62FBD307" w14:textId="77777777" w:rsidR="00597DEB" w:rsidRPr="009D0D32" w:rsidRDefault="00597DEB" w:rsidP="00AE1DED">
            <w:pPr>
              <w:rPr>
                <w:color w:val="000000" w:themeColor="text1"/>
                <w:sz w:val="20"/>
                <w:szCs w:val="20"/>
              </w:rPr>
            </w:pPr>
            <w:r w:rsidRPr="009D0D32">
              <w:rPr>
                <w:color w:val="000000" w:themeColor="text1"/>
                <w:sz w:val="20"/>
                <w:szCs w:val="20"/>
              </w:rPr>
              <w:t>Most likely scenario</w:t>
            </w:r>
          </w:p>
        </w:tc>
        <w:tc>
          <w:tcPr>
            <w:tcW w:w="1311" w:type="dxa"/>
            <w:tcBorders>
              <w:top w:val="nil"/>
              <w:left w:val="nil"/>
              <w:bottom w:val="single" w:sz="4" w:space="0" w:color="auto"/>
              <w:right w:val="single" w:sz="4" w:space="0" w:color="auto"/>
            </w:tcBorders>
            <w:vAlign w:val="center"/>
            <w:hideMark/>
          </w:tcPr>
          <w:p w14:paraId="71DBAFB2" w14:textId="77777777" w:rsidR="00597DEB" w:rsidRPr="009D0D32" w:rsidRDefault="00597DEB" w:rsidP="00AE1DED">
            <w:pPr>
              <w:rPr>
                <w:color w:val="000000" w:themeColor="text1"/>
                <w:sz w:val="20"/>
                <w:szCs w:val="20"/>
              </w:rPr>
            </w:pPr>
            <w:r w:rsidRPr="009D0D32">
              <w:rPr>
                <w:color w:val="000000" w:themeColor="text1"/>
                <w:sz w:val="20"/>
                <w:szCs w:val="20"/>
              </w:rPr>
              <w:t>Retail returns compress 60% due to professional competition</w:t>
            </w:r>
          </w:p>
        </w:tc>
        <w:tc>
          <w:tcPr>
            <w:tcW w:w="1472" w:type="dxa"/>
            <w:tcBorders>
              <w:top w:val="nil"/>
              <w:left w:val="nil"/>
              <w:bottom w:val="single" w:sz="4" w:space="0" w:color="auto"/>
              <w:right w:val="single" w:sz="4" w:space="0" w:color="auto"/>
            </w:tcBorders>
            <w:vAlign w:val="center"/>
            <w:hideMark/>
          </w:tcPr>
          <w:p w14:paraId="13F03F0C" w14:textId="77777777" w:rsidR="00597DEB" w:rsidRPr="009D0D32" w:rsidRDefault="00597DEB" w:rsidP="00AE1DED">
            <w:pPr>
              <w:rPr>
                <w:color w:val="000000" w:themeColor="text1"/>
                <w:sz w:val="20"/>
                <w:szCs w:val="20"/>
              </w:rPr>
            </w:pPr>
            <w:r w:rsidRPr="009D0D32">
              <w:rPr>
                <w:color w:val="000000" w:themeColor="text1"/>
                <w:sz w:val="20"/>
                <w:szCs w:val="20"/>
              </w:rPr>
              <w:t>Small players cannot compete</w:t>
            </w:r>
          </w:p>
        </w:tc>
        <w:tc>
          <w:tcPr>
            <w:tcW w:w="1876" w:type="dxa"/>
            <w:tcBorders>
              <w:top w:val="nil"/>
              <w:left w:val="nil"/>
              <w:bottom w:val="single" w:sz="4" w:space="0" w:color="auto"/>
              <w:right w:val="single" w:sz="4" w:space="0" w:color="auto"/>
            </w:tcBorders>
            <w:vAlign w:val="center"/>
            <w:hideMark/>
          </w:tcPr>
          <w:p w14:paraId="02AF5ABF" w14:textId="77777777" w:rsidR="00597DEB" w:rsidRPr="009D0D32" w:rsidRDefault="00597DEB" w:rsidP="00AE1DED">
            <w:pPr>
              <w:rPr>
                <w:color w:val="000000" w:themeColor="text1"/>
                <w:sz w:val="20"/>
                <w:szCs w:val="20"/>
              </w:rPr>
            </w:pPr>
            <w:r w:rsidRPr="009D0D32">
              <w:rPr>
                <w:color w:val="000000" w:themeColor="text1"/>
                <w:sz w:val="20"/>
                <w:szCs w:val="20"/>
              </w:rPr>
              <w:t>Professional infrastructure required</w:t>
            </w:r>
          </w:p>
        </w:tc>
        <w:tc>
          <w:tcPr>
            <w:tcW w:w="1710" w:type="dxa"/>
            <w:tcBorders>
              <w:top w:val="nil"/>
              <w:left w:val="nil"/>
              <w:bottom w:val="single" w:sz="4" w:space="0" w:color="auto"/>
              <w:right w:val="single" w:sz="8" w:space="0" w:color="auto"/>
            </w:tcBorders>
            <w:vAlign w:val="center"/>
            <w:hideMark/>
          </w:tcPr>
          <w:p w14:paraId="1C390B62" w14:textId="77777777" w:rsidR="00597DEB" w:rsidRPr="009D0D32" w:rsidRDefault="00597DEB" w:rsidP="00AE1DED">
            <w:pPr>
              <w:rPr>
                <w:color w:val="000000" w:themeColor="text1"/>
                <w:sz w:val="20"/>
                <w:szCs w:val="20"/>
              </w:rPr>
            </w:pPr>
            <w:r w:rsidRPr="009D0D32">
              <w:rPr>
                <w:color w:val="000000" w:themeColor="text1"/>
                <w:sz w:val="20"/>
                <w:szCs w:val="20"/>
              </w:rPr>
              <w:t>Simple strategies unviable due to institutional efficiency</w:t>
            </w:r>
          </w:p>
        </w:tc>
      </w:tr>
      <w:tr w:rsidR="009D0D32" w:rsidRPr="009D0D32" w14:paraId="6F9FB5DA" w14:textId="77777777" w:rsidTr="009D0D32">
        <w:trPr>
          <w:trHeight w:val="320"/>
        </w:trPr>
        <w:tc>
          <w:tcPr>
            <w:tcW w:w="9350" w:type="dxa"/>
            <w:gridSpan w:val="6"/>
            <w:tcBorders>
              <w:top w:val="single" w:sz="4" w:space="0" w:color="auto"/>
              <w:left w:val="single" w:sz="8" w:space="0" w:color="auto"/>
              <w:bottom w:val="single" w:sz="4" w:space="0" w:color="auto"/>
              <w:right w:val="single" w:sz="8" w:space="0" w:color="000000"/>
            </w:tcBorders>
            <w:vAlign w:val="center"/>
            <w:hideMark/>
          </w:tcPr>
          <w:p w14:paraId="03019AE3" w14:textId="77777777" w:rsidR="00597DEB" w:rsidRPr="009D0D32" w:rsidRDefault="00597DEB" w:rsidP="00AE1DED">
            <w:pPr>
              <w:rPr>
                <w:rFonts w:ascii="Cambria" w:hAnsi="Cambria"/>
                <w:color w:val="000000" w:themeColor="text1"/>
                <w:sz w:val="20"/>
                <w:szCs w:val="20"/>
              </w:rPr>
            </w:pPr>
            <w:r w:rsidRPr="009D0D32">
              <w:rPr>
                <w:rFonts w:ascii="Cambria" w:hAnsi="Cambria"/>
                <w:color w:val="000000" w:themeColor="text1"/>
                <w:sz w:val="20"/>
                <w:szCs w:val="20"/>
              </w:rPr>
              <w:t> </w:t>
            </w:r>
          </w:p>
        </w:tc>
      </w:tr>
      <w:tr w:rsidR="009D0D32" w:rsidRPr="009D0D32" w14:paraId="4A59203A" w14:textId="77777777" w:rsidTr="009D0D32">
        <w:trPr>
          <w:trHeight w:val="809"/>
        </w:trPr>
        <w:tc>
          <w:tcPr>
            <w:tcW w:w="1798"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5D105FA9" w14:textId="77777777" w:rsidR="00597DEB" w:rsidRPr="009D0D32" w:rsidRDefault="00597DEB" w:rsidP="00AE1DED">
            <w:pPr>
              <w:rPr>
                <w:b/>
                <w:bCs/>
                <w:color w:val="000000" w:themeColor="text1"/>
                <w:sz w:val="18"/>
                <w:szCs w:val="18"/>
              </w:rPr>
            </w:pPr>
            <w:r w:rsidRPr="009D0D32">
              <w:rPr>
                <w:b/>
                <w:bCs/>
                <w:color w:val="000000" w:themeColor="text1"/>
                <w:sz w:val="18"/>
                <w:szCs w:val="18"/>
              </w:rPr>
              <w:t>REGULATORY RESTRICTION</w:t>
            </w:r>
          </w:p>
        </w:tc>
        <w:tc>
          <w:tcPr>
            <w:tcW w:w="1183" w:type="dxa"/>
            <w:tcBorders>
              <w:top w:val="nil"/>
              <w:left w:val="nil"/>
              <w:bottom w:val="single" w:sz="4" w:space="0" w:color="auto"/>
              <w:right w:val="single" w:sz="4" w:space="0" w:color="auto"/>
            </w:tcBorders>
            <w:vAlign w:val="center"/>
            <w:hideMark/>
          </w:tcPr>
          <w:p w14:paraId="5832C3B7" w14:textId="77777777" w:rsidR="00597DEB" w:rsidRPr="009D0D32" w:rsidRDefault="00597DEB" w:rsidP="00AE1DED">
            <w:pPr>
              <w:rPr>
                <w:color w:val="000000" w:themeColor="text1"/>
                <w:sz w:val="20"/>
                <w:szCs w:val="20"/>
              </w:rPr>
            </w:pPr>
            <w:r w:rsidRPr="009D0D32">
              <w:rPr>
                <w:color w:val="000000" w:themeColor="text1"/>
                <w:sz w:val="20"/>
                <w:szCs w:val="20"/>
              </w:rPr>
              <w:t>25%</w:t>
            </w:r>
          </w:p>
        </w:tc>
        <w:tc>
          <w:tcPr>
            <w:tcW w:w="1311" w:type="dxa"/>
            <w:tcBorders>
              <w:top w:val="nil"/>
              <w:left w:val="nil"/>
              <w:bottom w:val="single" w:sz="4" w:space="0" w:color="auto"/>
              <w:right w:val="single" w:sz="4" w:space="0" w:color="auto"/>
            </w:tcBorders>
            <w:vAlign w:val="center"/>
            <w:hideMark/>
          </w:tcPr>
          <w:p w14:paraId="2E8B1DD8" w14:textId="77777777" w:rsidR="00597DEB" w:rsidRPr="009D0D32" w:rsidRDefault="00597DEB" w:rsidP="00AE1DED">
            <w:pPr>
              <w:rPr>
                <w:color w:val="000000" w:themeColor="text1"/>
                <w:sz w:val="20"/>
                <w:szCs w:val="20"/>
              </w:rPr>
            </w:pPr>
            <w:r w:rsidRPr="009D0D32">
              <w:rPr>
                <w:color w:val="000000" w:themeColor="text1"/>
                <w:sz w:val="20"/>
                <w:szCs w:val="20"/>
              </w:rPr>
              <w:t>Major jurisdictions prohibit DeFi participation</w:t>
            </w:r>
          </w:p>
        </w:tc>
        <w:tc>
          <w:tcPr>
            <w:tcW w:w="1472" w:type="dxa"/>
            <w:tcBorders>
              <w:top w:val="nil"/>
              <w:left w:val="nil"/>
              <w:bottom w:val="single" w:sz="4" w:space="0" w:color="auto"/>
              <w:right w:val="single" w:sz="4" w:space="0" w:color="auto"/>
            </w:tcBorders>
            <w:vAlign w:val="center"/>
            <w:hideMark/>
          </w:tcPr>
          <w:p w14:paraId="2A04C38F" w14:textId="57E0B3A7" w:rsidR="00597DEB" w:rsidRPr="009D0D32" w:rsidRDefault="00597DEB" w:rsidP="00AE1DED">
            <w:pPr>
              <w:rPr>
                <w:rFonts w:ascii="Apple Color Emoji" w:hAnsi="Apple Color Emoji"/>
                <w:color w:val="000000" w:themeColor="text1"/>
                <w:sz w:val="20"/>
                <w:szCs w:val="20"/>
              </w:rPr>
            </w:pPr>
            <w:r w:rsidRPr="009D0D32">
              <w:rPr>
                <w:color w:val="000000" w:themeColor="text1"/>
                <w:sz w:val="20"/>
                <w:szCs w:val="20"/>
              </w:rPr>
              <w:t>BIFURCATED</w:t>
            </w:r>
          </w:p>
        </w:tc>
        <w:tc>
          <w:tcPr>
            <w:tcW w:w="1876" w:type="dxa"/>
            <w:tcBorders>
              <w:top w:val="nil"/>
              <w:left w:val="nil"/>
              <w:bottom w:val="single" w:sz="4" w:space="0" w:color="auto"/>
              <w:right w:val="single" w:sz="4" w:space="0" w:color="auto"/>
            </w:tcBorders>
            <w:vAlign w:val="center"/>
            <w:hideMark/>
          </w:tcPr>
          <w:p w14:paraId="3CDC99FB" w14:textId="77777777" w:rsidR="00584418" w:rsidRPr="009D0D32" w:rsidRDefault="00597DEB" w:rsidP="00AE1DED">
            <w:pPr>
              <w:rPr>
                <w:color w:val="000000" w:themeColor="text1"/>
                <w:sz w:val="20"/>
                <w:szCs w:val="20"/>
              </w:rPr>
            </w:pPr>
            <w:r w:rsidRPr="009D0D32">
              <w:rPr>
                <w:color w:val="000000" w:themeColor="text1"/>
                <w:sz w:val="20"/>
                <w:szCs w:val="20"/>
              </w:rPr>
              <w:t>Geography-dependent:</w:t>
            </w:r>
          </w:p>
          <w:p w14:paraId="47447334" w14:textId="77777777" w:rsidR="00584418" w:rsidRPr="009D0D32" w:rsidRDefault="00597DEB" w:rsidP="00AE1DED">
            <w:pPr>
              <w:rPr>
                <w:color w:val="000000" w:themeColor="text1"/>
                <w:sz w:val="20"/>
                <w:szCs w:val="20"/>
              </w:rPr>
            </w:pPr>
            <w:r w:rsidRPr="009D0D32">
              <w:rPr>
                <w:color w:val="000000" w:themeColor="text1"/>
                <w:sz w:val="20"/>
                <w:szCs w:val="20"/>
              </w:rPr>
              <w:t>• Compliant markets: High KYC costs</w:t>
            </w:r>
          </w:p>
          <w:p w14:paraId="13CF017F" w14:textId="760C0C65" w:rsidR="00597DEB" w:rsidRPr="009D0D32" w:rsidRDefault="00597DEB" w:rsidP="00AE1DED">
            <w:pPr>
              <w:rPr>
                <w:color w:val="000000" w:themeColor="text1"/>
                <w:sz w:val="20"/>
                <w:szCs w:val="20"/>
              </w:rPr>
            </w:pPr>
            <w:r w:rsidRPr="009D0D32">
              <w:rPr>
                <w:color w:val="000000" w:themeColor="text1"/>
                <w:sz w:val="20"/>
                <w:szCs w:val="20"/>
              </w:rPr>
              <w:t>• Non-compliant: Gray market risks</w:t>
            </w:r>
          </w:p>
        </w:tc>
        <w:tc>
          <w:tcPr>
            <w:tcW w:w="1710" w:type="dxa"/>
            <w:tcBorders>
              <w:top w:val="nil"/>
              <w:left w:val="nil"/>
              <w:bottom w:val="single" w:sz="4" w:space="0" w:color="auto"/>
              <w:right w:val="single" w:sz="8" w:space="0" w:color="auto"/>
            </w:tcBorders>
            <w:vAlign w:val="center"/>
            <w:hideMark/>
          </w:tcPr>
          <w:p w14:paraId="07790FA0" w14:textId="77777777" w:rsidR="00597DEB" w:rsidRPr="009D0D32" w:rsidRDefault="00597DEB" w:rsidP="00AE1DED">
            <w:pPr>
              <w:rPr>
                <w:color w:val="000000" w:themeColor="text1"/>
                <w:sz w:val="20"/>
                <w:szCs w:val="20"/>
              </w:rPr>
            </w:pPr>
            <w:r w:rsidRPr="009D0D32">
              <w:rPr>
                <w:color w:val="000000" w:themeColor="text1"/>
                <w:sz w:val="20"/>
                <w:szCs w:val="20"/>
              </w:rPr>
              <w:t>Limited options in developed markets; opportunities in crypto-friendly jurisdictions</w:t>
            </w:r>
          </w:p>
        </w:tc>
      </w:tr>
      <w:tr w:rsidR="009D0D32" w:rsidRPr="009D0D32" w14:paraId="7400FF6C" w14:textId="77777777" w:rsidTr="009D0D32">
        <w:trPr>
          <w:trHeight w:val="1034"/>
        </w:trPr>
        <w:tc>
          <w:tcPr>
            <w:tcW w:w="1798"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58362643" w14:textId="77777777" w:rsidR="00597DEB" w:rsidRPr="009D0D32" w:rsidRDefault="00597DEB" w:rsidP="00AE1DED">
            <w:pPr>
              <w:rPr>
                <w:b/>
                <w:bCs/>
                <w:color w:val="000000" w:themeColor="text1"/>
                <w:sz w:val="18"/>
                <w:szCs w:val="18"/>
              </w:rPr>
            </w:pPr>
            <w:r w:rsidRPr="009D0D32">
              <w:rPr>
                <w:b/>
                <w:bCs/>
                <w:color w:val="000000" w:themeColor="text1"/>
                <w:sz w:val="18"/>
                <w:szCs w:val="18"/>
              </w:rPr>
              <w:t>Key Effects</w:t>
            </w:r>
          </w:p>
        </w:tc>
        <w:tc>
          <w:tcPr>
            <w:tcW w:w="1183" w:type="dxa"/>
            <w:tcBorders>
              <w:top w:val="nil"/>
              <w:left w:val="nil"/>
              <w:bottom w:val="single" w:sz="4" w:space="0" w:color="auto"/>
              <w:right w:val="single" w:sz="4" w:space="0" w:color="auto"/>
            </w:tcBorders>
            <w:vAlign w:val="center"/>
            <w:hideMark/>
          </w:tcPr>
          <w:p w14:paraId="3066C656" w14:textId="77777777" w:rsidR="00597DEB" w:rsidRPr="009D0D32" w:rsidRDefault="00597DEB" w:rsidP="00AE1DED">
            <w:pPr>
              <w:rPr>
                <w:color w:val="000000" w:themeColor="text1"/>
                <w:sz w:val="20"/>
                <w:szCs w:val="20"/>
              </w:rPr>
            </w:pPr>
            <w:r w:rsidRPr="009D0D32">
              <w:rPr>
                <w:color w:val="000000" w:themeColor="text1"/>
                <w:sz w:val="20"/>
                <w:szCs w:val="20"/>
              </w:rPr>
              <w:t>Plausible path</w:t>
            </w:r>
          </w:p>
        </w:tc>
        <w:tc>
          <w:tcPr>
            <w:tcW w:w="1311" w:type="dxa"/>
            <w:tcBorders>
              <w:top w:val="nil"/>
              <w:left w:val="nil"/>
              <w:bottom w:val="single" w:sz="4" w:space="0" w:color="auto"/>
              <w:right w:val="single" w:sz="4" w:space="0" w:color="auto"/>
            </w:tcBorders>
            <w:vAlign w:val="center"/>
            <w:hideMark/>
          </w:tcPr>
          <w:p w14:paraId="71D39D97" w14:textId="77777777" w:rsidR="00597DEB" w:rsidRPr="009D0D32" w:rsidRDefault="00597DEB" w:rsidP="00AE1DED">
            <w:pPr>
              <w:rPr>
                <w:color w:val="000000" w:themeColor="text1"/>
                <w:sz w:val="20"/>
                <w:szCs w:val="20"/>
              </w:rPr>
            </w:pPr>
            <w:r w:rsidRPr="009D0D32">
              <w:rPr>
                <w:color w:val="000000" w:themeColor="text1"/>
                <w:sz w:val="20"/>
                <w:szCs w:val="20"/>
              </w:rPr>
              <w:t>Volume drops 40%, fees decrease 60%</w:t>
            </w:r>
          </w:p>
        </w:tc>
        <w:tc>
          <w:tcPr>
            <w:tcW w:w="1472" w:type="dxa"/>
            <w:tcBorders>
              <w:top w:val="nil"/>
              <w:left w:val="nil"/>
              <w:bottom w:val="single" w:sz="4" w:space="0" w:color="auto"/>
              <w:right w:val="single" w:sz="4" w:space="0" w:color="auto"/>
            </w:tcBorders>
            <w:vAlign w:val="center"/>
            <w:hideMark/>
          </w:tcPr>
          <w:p w14:paraId="5E51AD94" w14:textId="77777777" w:rsidR="00597DEB" w:rsidRPr="009D0D32" w:rsidRDefault="00597DEB" w:rsidP="00AE1DED">
            <w:pPr>
              <w:rPr>
                <w:color w:val="000000" w:themeColor="text1"/>
                <w:sz w:val="20"/>
                <w:szCs w:val="20"/>
              </w:rPr>
            </w:pPr>
            <w:proofErr w:type="gramStart"/>
            <w:r w:rsidRPr="009D0D32">
              <w:rPr>
                <w:color w:val="000000" w:themeColor="text1"/>
                <w:sz w:val="20"/>
                <w:szCs w:val="20"/>
              </w:rPr>
              <w:t>Depends</w:t>
            </w:r>
            <w:proofErr w:type="gramEnd"/>
            <w:r w:rsidRPr="009D0D32">
              <w:rPr>
                <w:color w:val="000000" w:themeColor="text1"/>
                <w:sz w:val="20"/>
                <w:szCs w:val="20"/>
              </w:rPr>
              <w:t xml:space="preserve"> on location</w:t>
            </w:r>
          </w:p>
        </w:tc>
        <w:tc>
          <w:tcPr>
            <w:tcW w:w="1876" w:type="dxa"/>
            <w:tcBorders>
              <w:top w:val="nil"/>
              <w:left w:val="nil"/>
              <w:bottom w:val="single" w:sz="4" w:space="0" w:color="auto"/>
              <w:right w:val="single" w:sz="4" w:space="0" w:color="auto"/>
            </w:tcBorders>
            <w:vAlign w:val="center"/>
            <w:hideMark/>
          </w:tcPr>
          <w:p w14:paraId="7E7CED0A" w14:textId="77777777" w:rsidR="00597DEB" w:rsidRPr="009D0D32" w:rsidRDefault="00597DEB" w:rsidP="00AE1DED">
            <w:pPr>
              <w:rPr>
                <w:color w:val="000000" w:themeColor="text1"/>
                <w:sz w:val="20"/>
                <w:szCs w:val="20"/>
              </w:rPr>
            </w:pPr>
            <w:r w:rsidRPr="009D0D32">
              <w:rPr>
                <w:color w:val="000000" w:themeColor="text1"/>
                <w:sz w:val="20"/>
                <w:szCs w:val="20"/>
              </w:rPr>
              <w:t>Regulatory overhead: +$5,000-15,000</w:t>
            </w:r>
          </w:p>
        </w:tc>
        <w:tc>
          <w:tcPr>
            <w:tcW w:w="1710" w:type="dxa"/>
            <w:tcBorders>
              <w:top w:val="nil"/>
              <w:left w:val="nil"/>
              <w:bottom w:val="single" w:sz="4" w:space="0" w:color="auto"/>
              <w:right w:val="single" w:sz="8" w:space="0" w:color="auto"/>
            </w:tcBorders>
            <w:vAlign w:val="center"/>
            <w:hideMark/>
          </w:tcPr>
          <w:p w14:paraId="199E9684" w14:textId="77777777" w:rsidR="00597DEB" w:rsidRPr="009D0D32" w:rsidRDefault="00597DEB" w:rsidP="00AE1DED">
            <w:pPr>
              <w:rPr>
                <w:color w:val="000000" w:themeColor="text1"/>
                <w:sz w:val="20"/>
                <w:szCs w:val="20"/>
              </w:rPr>
            </w:pPr>
            <w:r w:rsidRPr="009D0D32">
              <w:rPr>
                <w:color w:val="000000" w:themeColor="text1"/>
                <w:sz w:val="20"/>
                <w:szCs w:val="20"/>
              </w:rPr>
              <w:t>Stablecoin strategies survive (utility argument); volatile pairs restricted</w:t>
            </w:r>
          </w:p>
        </w:tc>
      </w:tr>
      <w:tr w:rsidR="009D0D32" w:rsidRPr="009D0D32" w14:paraId="57D1B17E" w14:textId="77777777" w:rsidTr="009D0D32">
        <w:trPr>
          <w:trHeight w:val="320"/>
        </w:trPr>
        <w:tc>
          <w:tcPr>
            <w:tcW w:w="9350" w:type="dxa"/>
            <w:gridSpan w:val="6"/>
            <w:tcBorders>
              <w:top w:val="single" w:sz="4" w:space="0" w:color="auto"/>
              <w:left w:val="single" w:sz="8" w:space="0" w:color="auto"/>
              <w:bottom w:val="single" w:sz="4" w:space="0" w:color="auto"/>
              <w:right w:val="single" w:sz="8" w:space="0" w:color="000000"/>
            </w:tcBorders>
            <w:vAlign w:val="center"/>
            <w:hideMark/>
          </w:tcPr>
          <w:p w14:paraId="6553B849" w14:textId="77777777" w:rsidR="00597DEB" w:rsidRPr="009D0D32" w:rsidRDefault="00597DEB" w:rsidP="00AE1DED">
            <w:pPr>
              <w:rPr>
                <w:rFonts w:ascii="Cambria" w:hAnsi="Cambria"/>
                <w:color w:val="000000" w:themeColor="text1"/>
                <w:sz w:val="20"/>
                <w:szCs w:val="20"/>
              </w:rPr>
            </w:pPr>
            <w:r w:rsidRPr="009D0D32">
              <w:rPr>
                <w:rFonts w:ascii="Cambria" w:hAnsi="Cambria"/>
                <w:color w:val="000000" w:themeColor="text1"/>
                <w:sz w:val="20"/>
                <w:szCs w:val="20"/>
              </w:rPr>
              <w:t> </w:t>
            </w:r>
          </w:p>
        </w:tc>
      </w:tr>
      <w:tr w:rsidR="009D0D32" w:rsidRPr="009D0D32" w14:paraId="02D543A7" w14:textId="77777777" w:rsidTr="009D0D32">
        <w:trPr>
          <w:trHeight w:val="620"/>
        </w:trPr>
        <w:tc>
          <w:tcPr>
            <w:tcW w:w="1798"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22931AF9" w14:textId="77777777" w:rsidR="00597DEB" w:rsidRPr="009D0D32" w:rsidRDefault="00597DEB" w:rsidP="00AE1DED">
            <w:pPr>
              <w:rPr>
                <w:b/>
                <w:bCs/>
                <w:color w:val="000000" w:themeColor="text1"/>
                <w:sz w:val="18"/>
                <w:szCs w:val="18"/>
              </w:rPr>
            </w:pPr>
            <w:r w:rsidRPr="009D0D32">
              <w:rPr>
                <w:b/>
                <w:bCs/>
                <w:color w:val="000000" w:themeColor="text1"/>
                <w:sz w:val="18"/>
                <w:szCs w:val="18"/>
              </w:rPr>
              <w:t>TECHNICAL BREAKTHROUGH</w:t>
            </w:r>
          </w:p>
        </w:tc>
        <w:tc>
          <w:tcPr>
            <w:tcW w:w="1183" w:type="dxa"/>
            <w:tcBorders>
              <w:top w:val="nil"/>
              <w:left w:val="nil"/>
              <w:bottom w:val="single" w:sz="4" w:space="0" w:color="auto"/>
              <w:right w:val="single" w:sz="4" w:space="0" w:color="auto"/>
            </w:tcBorders>
            <w:vAlign w:val="center"/>
            <w:hideMark/>
          </w:tcPr>
          <w:p w14:paraId="007E8107" w14:textId="77777777" w:rsidR="00597DEB" w:rsidRPr="009D0D32" w:rsidRDefault="00597DEB" w:rsidP="00AE1DED">
            <w:pPr>
              <w:rPr>
                <w:color w:val="000000" w:themeColor="text1"/>
                <w:sz w:val="20"/>
                <w:szCs w:val="20"/>
              </w:rPr>
            </w:pPr>
            <w:r w:rsidRPr="009D0D32">
              <w:rPr>
                <w:color w:val="000000" w:themeColor="text1"/>
                <w:sz w:val="20"/>
                <w:szCs w:val="20"/>
              </w:rPr>
              <w:t>20%</w:t>
            </w:r>
          </w:p>
        </w:tc>
        <w:tc>
          <w:tcPr>
            <w:tcW w:w="1311" w:type="dxa"/>
            <w:tcBorders>
              <w:top w:val="nil"/>
              <w:left w:val="nil"/>
              <w:bottom w:val="single" w:sz="4" w:space="0" w:color="auto"/>
              <w:right w:val="single" w:sz="4" w:space="0" w:color="auto"/>
            </w:tcBorders>
            <w:vAlign w:val="center"/>
            <w:hideMark/>
          </w:tcPr>
          <w:p w14:paraId="1028905C" w14:textId="77777777" w:rsidR="00597DEB" w:rsidRPr="009D0D32" w:rsidRDefault="00597DEB" w:rsidP="00AE1DED">
            <w:pPr>
              <w:rPr>
                <w:color w:val="000000" w:themeColor="text1"/>
                <w:sz w:val="20"/>
                <w:szCs w:val="20"/>
              </w:rPr>
            </w:pPr>
            <w:r w:rsidRPr="009D0D32">
              <w:rPr>
                <w:color w:val="000000" w:themeColor="text1"/>
                <w:sz w:val="20"/>
                <w:szCs w:val="20"/>
              </w:rPr>
              <w:t>L2 achieves 100,000+ TPS at &lt;$0.01/</w:t>
            </w:r>
            <w:proofErr w:type="spellStart"/>
            <w:r w:rsidRPr="009D0D32">
              <w:rPr>
                <w:color w:val="000000" w:themeColor="text1"/>
                <w:sz w:val="20"/>
                <w:szCs w:val="20"/>
              </w:rPr>
              <w:t>tx</w:t>
            </w:r>
            <w:proofErr w:type="spellEnd"/>
          </w:p>
        </w:tc>
        <w:tc>
          <w:tcPr>
            <w:tcW w:w="1472" w:type="dxa"/>
            <w:tcBorders>
              <w:top w:val="nil"/>
              <w:left w:val="nil"/>
              <w:bottom w:val="single" w:sz="4" w:space="0" w:color="auto"/>
              <w:right w:val="single" w:sz="4" w:space="0" w:color="auto"/>
            </w:tcBorders>
            <w:vAlign w:val="center"/>
            <w:hideMark/>
          </w:tcPr>
          <w:p w14:paraId="7F36D058" w14:textId="2888F69D" w:rsidR="00597DEB" w:rsidRPr="009D0D32" w:rsidRDefault="00597DEB" w:rsidP="00AE1DED">
            <w:pPr>
              <w:rPr>
                <w:rFonts w:ascii="Apple Color Emoji" w:hAnsi="Apple Color Emoji"/>
                <w:color w:val="000000" w:themeColor="text1"/>
                <w:sz w:val="20"/>
                <w:szCs w:val="20"/>
              </w:rPr>
            </w:pPr>
            <w:r w:rsidRPr="009D0D32">
              <w:rPr>
                <w:color w:val="000000" w:themeColor="text1"/>
                <w:sz w:val="20"/>
                <w:szCs w:val="20"/>
              </w:rPr>
              <w:t>ACCESSIBLE BUT LOW RETURNS</w:t>
            </w:r>
          </w:p>
        </w:tc>
        <w:tc>
          <w:tcPr>
            <w:tcW w:w="1876" w:type="dxa"/>
            <w:tcBorders>
              <w:top w:val="nil"/>
              <w:left w:val="nil"/>
              <w:bottom w:val="single" w:sz="4" w:space="0" w:color="auto"/>
              <w:right w:val="single" w:sz="4" w:space="0" w:color="auto"/>
            </w:tcBorders>
            <w:vAlign w:val="center"/>
            <w:hideMark/>
          </w:tcPr>
          <w:p w14:paraId="4F40989A" w14:textId="77777777" w:rsidR="00584418" w:rsidRPr="009D0D32" w:rsidRDefault="00597DEB" w:rsidP="00AE1DED">
            <w:pPr>
              <w:rPr>
                <w:color w:val="000000" w:themeColor="text1"/>
                <w:sz w:val="20"/>
                <w:szCs w:val="20"/>
              </w:rPr>
            </w:pPr>
            <w:r w:rsidRPr="009D0D32">
              <w:rPr>
                <w:color w:val="000000" w:themeColor="text1"/>
                <w:sz w:val="20"/>
                <w:szCs w:val="20"/>
              </w:rPr>
              <w:t xml:space="preserve">Barriers dramatically </w:t>
            </w:r>
            <w:proofErr w:type="gramStart"/>
            <w:r w:rsidRPr="009D0D32">
              <w:rPr>
                <w:color w:val="000000" w:themeColor="text1"/>
                <w:sz w:val="20"/>
                <w:szCs w:val="20"/>
              </w:rPr>
              <w:t>lowered</w:t>
            </w:r>
            <w:proofErr w:type="gramEnd"/>
            <w:r w:rsidRPr="009D0D32">
              <w:rPr>
                <w:color w:val="000000" w:themeColor="text1"/>
                <w:sz w:val="20"/>
                <w:szCs w:val="20"/>
              </w:rPr>
              <w:t>:</w:t>
            </w:r>
          </w:p>
          <w:p w14:paraId="1EB71D4C" w14:textId="77777777" w:rsidR="00584418" w:rsidRPr="009D0D32" w:rsidRDefault="00597DEB" w:rsidP="00AE1DED">
            <w:pPr>
              <w:rPr>
                <w:color w:val="000000" w:themeColor="text1"/>
                <w:sz w:val="20"/>
                <w:szCs w:val="20"/>
              </w:rPr>
            </w:pPr>
            <w:r w:rsidRPr="009D0D32">
              <w:rPr>
                <w:color w:val="000000" w:themeColor="text1"/>
                <w:sz w:val="20"/>
                <w:szCs w:val="20"/>
              </w:rPr>
              <w:t>• All networks: $100+ viable</w:t>
            </w:r>
          </w:p>
          <w:p w14:paraId="74E3AAC7" w14:textId="7C2B2854" w:rsidR="00597DEB" w:rsidRPr="009D0D32" w:rsidRDefault="00597DEB" w:rsidP="00AE1DED">
            <w:pPr>
              <w:rPr>
                <w:color w:val="000000" w:themeColor="text1"/>
                <w:sz w:val="20"/>
                <w:szCs w:val="20"/>
              </w:rPr>
            </w:pPr>
            <w:r w:rsidRPr="009D0D32">
              <w:rPr>
                <w:color w:val="000000" w:themeColor="text1"/>
                <w:sz w:val="20"/>
                <w:szCs w:val="20"/>
              </w:rPr>
              <w:t>• Gas costs negligible</w:t>
            </w:r>
          </w:p>
        </w:tc>
        <w:tc>
          <w:tcPr>
            <w:tcW w:w="1710" w:type="dxa"/>
            <w:tcBorders>
              <w:top w:val="nil"/>
              <w:left w:val="nil"/>
              <w:bottom w:val="single" w:sz="4" w:space="0" w:color="auto"/>
              <w:right w:val="single" w:sz="8" w:space="0" w:color="auto"/>
            </w:tcBorders>
            <w:vAlign w:val="center"/>
            <w:hideMark/>
          </w:tcPr>
          <w:p w14:paraId="5D1B7E9D" w14:textId="77777777" w:rsidR="00597DEB" w:rsidRPr="009D0D32" w:rsidRDefault="00597DEB" w:rsidP="00AE1DED">
            <w:pPr>
              <w:rPr>
                <w:color w:val="000000" w:themeColor="text1"/>
                <w:sz w:val="20"/>
                <w:szCs w:val="20"/>
              </w:rPr>
            </w:pPr>
            <w:r w:rsidRPr="009D0D32">
              <w:rPr>
                <w:color w:val="000000" w:themeColor="text1"/>
                <w:sz w:val="20"/>
                <w:szCs w:val="20"/>
              </w:rPr>
              <w:t xml:space="preserve">All strategies </w:t>
            </w:r>
            <w:proofErr w:type="gramStart"/>
            <w:r w:rsidRPr="009D0D32">
              <w:rPr>
                <w:color w:val="000000" w:themeColor="text1"/>
                <w:sz w:val="20"/>
                <w:szCs w:val="20"/>
              </w:rPr>
              <w:t>accessible</w:t>
            </w:r>
            <w:proofErr w:type="gramEnd"/>
            <w:r w:rsidRPr="009D0D32">
              <w:rPr>
                <w:color w:val="000000" w:themeColor="text1"/>
                <w:sz w:val="20"/>
                <w:szCs w:val="20"/>
              </w:rPr>
              <w:t xml:space="preserve">, but returns </w:t>
            </w:r>
            <w:proofErr w:type="gramStart"/>
            <w:r w:rsidRPr="009D0D32">
              <w:rPr>
                <w:color w:val="000000" w:themeColor="text1"/>
                <w:sz w:val="20"/>
                <w:szCs w:val="20"/>
              </w:rPr>
              <w:t>compress</w:t>
            </w:r>
            <w:proofErr w:type="gramEnd"/>
            <w:r w:rsidRPr="009D0D32">
              <w:rPr>
                <w:color w:val="000000" w:themeColor="text1"/>
                <w:sz w:val="20"/>
                <w:szCs w:val="20"/>
              </w:rPr>
              <w:t xml:space="preserve"> to 2-4% APY</w:t>
            </w:r>
          </w:p>
        </w:tc>
      </w:tr>
      <w:tr w:rsidR="009D0D32" w:rsidRPr="009D0D32" w14:paraId="36D40668" w14:textId="77777777" w:rsidTr="009D0D32">
        <w:trPr>
          <w:trHeight w:val="539"/>
        </w:trPr>
        <w:tc>
          <w:tcPr>
            <w:tcW w:w="1798"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4A90FF63" w14:textId="77777777" w:rsidR="00597DEB" w:rsidRPr="009D0D32" w:rsidRDefault="00597DEB" w:rsidP="00AE1DED">
            <w:pPr>
              <w:rPr>
                <w:b/>
                <w:bCs/>
                <w:color w:val="000000" w:themeColor="text1"/>
                <w:sz w:val="18"/>
                <w:szCs w:val="18"/>
              </w:rPr>
            </w:pPr>
            <w:r w:rsidRPr="009D0D32">
              <w:rPr>
                <w:b/>
                <w:bCs/>
                <w:color w:val="000000" w:themeColor="text1"/>
                <w:sz w:val="18"/>
                <w:szCs w:val="18"/>
              </w:rPr>
              <w:t>Key Effects</w:t>
            </w:r>
          </w:p>
        </w:tc>
        <w:tc>
          <w:tcPr>
            <w:tcW w:w="1183" w:type="dxa"/>
            <w:tcBorders>
              <w:top w:val="nil"/>
              <w:left w:val="nil"/>
              <w:bottom w:val="single" w:sz="4" w:space="0" w:color="auto"/>
              <w:right w:val="single" w:sz="4" w:space="0" w:color="auto"/>
            </w:tcBorders>
            <w:vAlign w:val="center"/>
            <w:hideMark/>
          </w:tcPr>
          <w:p w14:paraId="37A248C4" w14:textId="77777777" w:rsidR="00597DEB" w:rsidRPr="009D0D32" w:rsidRDefault="00597DEB" w:rsidP="00AE1DED">
            <w:pPr>
              <w:rPr>
                <w:color w:val="000000" w:themeColor="text1"/>
                <w:sz w:val="20"/>
                <w:szCs w:val="20"/>
              </w:rPr>
            </w:pPr>
            <w:r w:rsidRPr="009D0D32">
              <w:rPr>
                <w:color w:val="000000" w:themeColor="text1"/>
                <w:sz w:val="20"/>
                <w:szCs w:val="20"/>
              </w:rPr>
              <w:t>Technically feasible</w:t>
            </w:r>
          </w:p>
        </w:tc>
        <w:tc>
          <w:tcPr>
            <w:tcW w:w="1311" w:type="dxa"/>
            <w:tcBorders>
              <w:top w:val="nil"/>
              <w:left w:val="nil"/>
              <w:bottom w:val="single" w:sz="4" w:space="0" w:color="auto"/>
              <w:right w:val="single" w:sz="4" w:space="0" w:color="auto"/>
            </w:tcBorders>
            <w:vAlign w:val="center"/>
            <w:hideMark/>
          </w:tcPr>
          <w:p w14:paraId="67CE62D7" w14:textId="77777777" w:rsidR="00597DEB" w:rsidRPr="009D0D32" w:rsidRDefault="00597DEB" w:rsidP="00AE1DED">
            <w:pPr>
              <w:rPr>
                <w:color w:val="000000" w:themeColor="text1"/>
                <w:sz w:val="20"/>
                <w:szCs w:val="20"/>
              </w:rPr>
            </w:pPr>
            <w:r w:rsidRPr="009D0D32">
              <w:rPr>
                <w:color w:val="000000" w:themeColor="text1"/>
                <w:sz w:val="20"/>
                <w:szCs w:val="20"/>
              </w:rPr>
              <w:t>Competition intensifies 100x</w:t>
            </w:r>
          </w:p>
        </w:tc>
        <w:tc>
          <w:tcPr>
            <w:tcW w:w="1472" w:type="dxa"/>
            <w:tcBorders>
              <w:top w:val="nil"/>
              <w:left w:val="nil"/>
              <w:bottom w:val="single" w:sz="4" w:space="0" w:color="auto"/>
              <w:right w:val="single" w:sz="4" w:space="0" w:color="auto"/>
            </w:tcBorders>
            <w:vAlign w:val="center"/>
            <w:hideMark/>
          </w:tcPr>
          <w:p w14:paraId="73B2B190" w14:textId="77777777" w:rsidR="00597DEB" w:rsidRPr="009D0D32" w:rsidRDefault="00597DEB" w:rsidP="00AE1DED">
            <w:pPr>
              <w:rPr>
                <w:color w:val="000000" w:themeColor="text1"/>
                <w:sz w:val="20"/>
                <w:szCs w:val="20"/>
              </w:rPr>
            </w:pPr>
            <w:r w:rsidRPr="009D0D32">
              <w:rPr>
                <w:color w:val="000000" w:themeColor="text1"/>
                <w:sz w:val="20"/>
                <w:szCs w:val="20"/>
              </w:rPr>
              <w:t>Mass participation possible</w:t>
            </w:r>
          </w:p>
        </w:tc>
        <w:tc>
          <w:tcPr>
            <w:tcW w:w="1876" w:type="dxa"/>
            <w:tcBorders>
              <w:top w:val="nil"/>
              <w:left w:val="nil"/>
              <w:bottom w:val="single" w:sz="4" w:space="0" w:color="auto"/>
              <w:right w:val="single" w:sz="4" w:space="0" w:color="auto"/>
            </w:tcBorders>
            <w:vAlign w:val="center"/>
            <w:hideMark/>
          </w:tcPr>
          <w:p w14:paraId="2952CAE3" w14:textId="77777777" w:rsidR="00597DEB" w:rsidRPr="009D0D32" w:rsidRDefault="00597DEB" w:rsidP="00AE1DED">
            <w:pPr>
              <w:rPr>
                <w:color w:val="000000" w:themeColor="text1"/>
                <w:sz w:val="20"/>
                <w:szCs w:val="20"/>
              </w:rPr>
            </w:pPr>
            <w:r w:rsidRPr="009D0D32">
              <w:rPr>
                <w:color w:val="000000" w:themeColor="text1"/>
                <w:sz w:val="20"/>
                <w:szCs w:val="20"/>
              </w:rPr>
              <w:t>Alpha disappears rapidly</w:t>
            </w:r>
          </w:p>
        </w:tc>
        <w:tc>
          <w:tcPr>
            <w:tcW w:w="1710" w:type="dxa"/>
            <w:tcBorders>
              <w:top w:val="nil"/>
              <w:left w:val="nil"/>
              <w:bottom w:val="single" w:sz="4" w:space="0" w:color="auto"/>
              <w:right w:val="single" w:sz="8" w:space="0" w:color="auto"/>
            </w:tcBorders>
            <w:vAlign w:val="center"/>
            <w:hideMark/>
          </w:tcPr>
          <w:p w14:paraId="683E3DC1" w14:textId="77777777" w:rsidR="00597DEB" w:rsidRPr="009D0D32" w:rsidRDefault="00597DEB" w:rsidP="00AE1DED">
            <w:pPr>
              <w:rPr>
                <w:color w:val="000000" w:themeColor="text1"/>
                <w:sz w:val="20"/>
                <w:szCs w:val="20"/>
              </w:rPr>
            </w:pPr>
            <w:r w:rsidRPr="009D0D32">
              <w:rPr>
                <w:color w:val="000000" w:themeColor="text1"/>
                <w:sz w:val="20"/>
                <w:szCs w:val="20"/>
              </w:rPr>
              <w:t>Differentiation through execution speed only; commoditized returns</w:t>
            </w:r>
          </w:p>
        </w:tc>
      </w:tr>
      <w:tr w:rsidR="009D0D32" w:rsidRPr="009D0D32" w14:paraId="39C8C63B" w14:textId="77777777" w:rsidTr="009D0D32">
        <w:trPr>
          <w:trHeight w:val="320"/>
        </w:trPr>
        <w:tc>
          <w:tcPr>
            <w:tcW w:w="9350" w:type="dxa"/>
            <w:gridSpan w:val="6"/>
            <w:tcBorders>
              <w:top w:val="single" w:sz="4" w:space="0" w:color="auto"/>
              <w:left w:val="single" w:sz="8" w:space="0" w:color="auto"/>
              <w:bottom w:val="single" w:sz="4" w:space="0" w:color="auto"/>
              <w:right w:val="single" w:sz="8" w:space="0" w:color="000000"/>
            </w:tcBorders>
            <w:vAlign w:val="center"/>
            <w:hideMark/>
          </w:tcPr>
          <w:p w14:paraId="7F068FD4" w14:textId="77777777" w:rsidR="00597DEB" w:rsidRPr="009D0D32" w:rsidRDefault="00597DEB" w:rsidP="00AE1DED">
            <w:pPr>
              <w:rPr>
                <w:rFonts w:ascii="Cambria" w:hAnsi="Cambria"/>
                <w:color w:val="000000" w:themeColor="text1"/>
                <w:sz w:val="20"/>
                <w:szCs w:val="20"/>
              </w:rPr>
            </w:pPr>
            <w:r w:rsidRPr="009D0D32">
              <w:rPr>
                <w:rFonts w:ascii="Cambria" w:hAnsi="Cambria"/>
                <w:color w:val="000000" w:themeColor="text1"/>
                <w:sz w:val="20"/>
                <w:szCs w:val="20"/>
              </w:rPr>
              <w:t> </w:t>
            </w:r>
          </w:p>
        </w:tc>
      </w:tr>
      <w:tr w:rsidR="009D0D32" w:rsidRPr="009D0D32" w14:paraId="740032D2" w14:textId="77777777" w:rsidTr="009D0D32">
        <w:trPr>
          <w:trHeight w:val="449"/>
        </w:trPr>
        <w:tc>
          <w:tcPr>
            <w:tcW w:w="1798"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666995D4" w14:textId="77777777" w:rsidR="00597DEB" w:rsidRPr="009D0D32" w:rsidRDefault="00597DEB" w:rsidP="00AE1DED">
            <w:pPr>
              <w:rPr>
                <w:b/>
                <w:bCs/>
                <w:color w:val="000000" w:themeColor="text1"/>
                <w:sz w:val="18"/>
                <w:szCs w:val="18"/>
              </w:rPr>
            </w:pPr>
            <w:r w:rsidRPr="009D0D32">
              <w:rPr>
                <w:b/>
                <w:bCs/>
                <w:color w:val="000000" w:themeColor="text1"/>
                <w:sz w:val="18"/>
                <w:szCs w:val="18"/>
              </w:rPr>
              <w:lastRenderedPageBreak/>
              <w:t>MARKET MATURATION</w:t>
            </w:r>
          </w:p>
        </w:tc>
        <w:tc>
          <w:tcPr>
            <w:tcW w:w="1183" w:type="dxa"/>
            <w:tcBorders>
              <w:top w:val="nil"/>
              <w:left w:val="nil"/>
              <w:bottom w:val="single" w:sz="4" w:space="0" w:color="auto"/>
              <w:right w:val="single" w:sz="4" w:space="0" w:color="auto"/>
            </w:tcBorders>
            <w:vAlign w:val="center"/>
            <w:hideMark/>
          </w:tcPr>
          <w:p w14:paraId="7BA5E265" w14:textId="77777777" w:rsidR="00597DEB" w:rsidRPr="009D0D32" w:rsidRDefault="00597DEB" w:rsidP="00AE1DED">
            <w:pPr>
              <w:rPr>
                <w:color w:val="000000" w:themeColor="text1"/>
                <w:sz w:val="20"/>
                <w:szCs w:val="20"/>
              </w:rPr>
            </w:pPr>
            <w:r w:rsidRPr="009D0D32">
              <w:rPr>
                <w:color w:val="000000" w:themeColor="text1"/>
                <w:sz w:val="20"/>
                <w:szCs w:val="20"/>
              </w:rPr>
              <w:t>20%</w:t>
            </w:r>
          </w:p>
        </w:tc>
        <w:tc>
          <w:tcPr>
            <w:tcW w:w="1311" w:type="dxa"/>
            <w:tcBorders>
              <w:top w:val="nil"/>
              <w:left w:val="nil"/>
              <w:bottom w:val="single" w:sz="4" w:space="0" w:color="auto"/>
              <w:right w:val="single" w:sz="4" w:space="0" w:color="auto"/>
            </w:tcBorders>
            <w:vAlign w:val="center"/>
            <w:hideMark/>
          </w:tcPr>
          <w:p w14:paraId="25EB2A9D" w14:textId="77777777" w:rsidR="00597DEB" w:rsidRPr="009D0D32" w:rsidRDefault="00597DEB" w:rsidP="00AE1DED">
            <w:pPr>
              <w:rPr>
                <w:color w:val="000000" w:themeColor="text1"/>
                <w:sz w:val="20"/>
                <w:szCs w:val="20"/>
              </w:rPr>
            </w:pPr>
            <w:r w:rsidRPr="009D0D32">
              <w:rPr>
                <w:color w:val="000000" w:themeColor="text1"/>
                <w:sz w:val="20"/>
                <w:szCs w:val="20"/>
              </w:rPr>
              <w:t>Volatility converges with traditional markets</w:t>
            </w:r>
          </w:p>
        </w:tc>
        <w:tc>
          <w:tcPr>
            <w:tcW w:w="1472" w:type="dxa"/>
            <w:tcBorders>
              <w:top w:val="nil"/>
              <w:left w:val="nil"/>
              <w:bottom w:val="single" w:sz="4" w:space="0" w:color="auto"/>
              <w:right w:val="single" w:sz="4" w:space="0" w:color="auto"/>
            </w:tcBorders>
            <w:vAlign w:val="center"/>
            <w:hideMark/>
          </w:tcPr>
          <w:p w14:paraId="49CE8E7E" w14:textId="05558D0D" w:rsidR="00597DEB" w:rsidRPr="009D0D32" w:rsidRDefault="00597DEB" w:rsidP="00AE1DED">
            <w:pPr>
              <w:rPr>
                <w:rFonts w:ascii="Apple Color Emoji" w:hAnsi="Apple Color Emoji"/>
                <w:color w:val="000000" w:themeColor="text1"/>
                <w:sz w:val="20"/>
                <w:szCs w:val="20"/>
              </w:rPr>
            </w:pPr>
            <w:r w:rsidRPr="009D0D32">
              <w:rPr>
                <w:color w:val="000000" w:themeColor="text1"/>
                <w:sz w:val="20"/>
                <w:szCs w:val="20"/>
              </w:rPr>
              <w:t>VIABLE BUT BORING</w:t>
            </w:r>
          </w:p>
        </w:tc>
        <w:tc>
          <w:tcPr>
            <w:tcW w:w="1876" w:type="dxa"/>
            <w:tcBorders>
              <w:top w:val="nil"/>
              <w:left w:val="nil"/>
              <w:bottom w:val="single" w:sz="4" w:space="0" w:color="auto"/>
              <w:right w:val="single" w:sz="4" w:space="0" w:color="auto"/>
            </w:tcBorders>
            <w:vAlign w:val="center"/>
            <w:hideMark/>
          </w:tcPr>
          <w:p w14:paraId="7957A76B" w14:textId="77777777" w:rsidR="00584418" w:rsidRPr="009D0D32" w:rsidRDefault="00597DEB" w:rsidP="00AE1DED">
            <w:pPr>
              <w:rPr>
                <w:color w:val="000000" w:themeColor="text1"/>
                <w:sz w:val="20"/>
                <w:szCs w:val="20"/>
              </w:rPr>
            </w:pPr>
            <w:proofErr w:type="gramStart"/>
            <w:r w:rsidRPr="009D0D32">
              <w:rPr>
                <w:color w:val="000000" w:themeColor="text1"/>
                <w:sz w:val="20"/>
                <w:szCs w:val="20"/>
              </w:rPr>
              <w:t>Similar to</w:t>
            </w:r>
            <w:proofErr w:type="gramEnd"/>
            <w:r w:rsidRPr="009D0D32">
              <w:rPr>
                <w:color w:val="000000" w:themeColor="text1"/>
                <w:sz w:val="20"/>
                <w:szCs w:val="20"/>
              </w:rPr>
              <w:t xml:space="preserve"> current thresholds:</w:t>
            </w:r>
          </w:p>
          <w:p w14:paraId="56406EFB" w14:textId="77777777" w:rsidR="00584418" w:rsidRPr="009D0D32" w:rsidRDefault="00597DEB" w:rsidP="00AE1DED">
            <w:pPr>
              <w:rPr>
                <w:color w:val="000000" w:themeColor="text1"/>
                <w:sz w:val="20"/>
                <w:szCs w:val="20"/>
              </w:rPr>
            </w:pPr>
            <w:r w:rsidRPr="009D0D32">
              <w:rPr>
                <w:color w:val="000000" w:themeColor="text1"/>
                <w:sz w:val="20"/>
                <w:szCs w:val="20"/>
              </w:rPr>
              <w:t>• $750-$3,500 minimum</w:t>
            </w:r>
          </w:p>
          <w:p w14:paraId="143D603A" w14:textId="32BEA158" w:rsidR="00597DEB" w:rsidRPr="009D0D32" w:rsidRDefault="00597DEB" w:rsidP="00AE1DED">
            <w:pPr>
              <w:rPr>
                <w:color w:val="000000" w:themeColor="text1"/>
                <w:sz w:val="20"/>
                <w:szCs w:val="20"/>
              </w:rPr>
            </w:pPr>
            <w:r w:rsidRPr="009D0D32">
              <w:rPr>
                <w:color w:val="000000" w:themeColor="text1"/>
                <w:sz w:val="20"/>
                <w:szCs w:val="20"/>
              </w:rPr>
              <w:t>• But opportunity quality declines</w:t>
            </w:r>
          </w:p>
        </w:tc>
        <w:tc>
          <w:tcPr>
            <w:tcW w:w="1710" w:type="dxa"/>
            <w:tcBorders>
              <w:top w:val="nil"/>
              <w:left w:val="nil"/>
              <w:bottom w:val="single" w:sz="4" w:space="0" w:color="auto"/>
              <w:right w:val="single" w:sz="8" w:space="0" w:color="auto"/>
            </w:tcBorders>
            <w:vAlign w:val="center"/>
            <w:hideMark/>
          </w:tcPr>
          <w:p w14:paraId="11A14C7E" w14:textId="77777777" w:rsidR="00597DEB" w:rsidRPr="009D0D32" w:rsidRDefault="00597DEB" w:rsidP="00AE1DED">
            <w:pPr>
              <w:rPr>
                <w:color w:val="000000" w:themeColor="text1"/>
                <w:sz w:val="20"/>
                <w:szCs w:val="20"/>
              </w:rPr>
            </w:pPr>
            <w:r w:rsidRPr="009D0D32">
              <w:rPr>
                <w:color w:val="000000" w:themeColor="text1"/>
                <w:sz w:val="20"/>
                <w:szCs w:val="20"/>
              </w:rPr>
              <w:t>Only stablecoin strategies remain viable at 2-5% APY</w:t>
            </w:r>
          </w:p>
        </w:tc>
      </w:tr>
      <w:tr w:rsidR="009D0D32" w:rsidRPr="009D0D32" w14:paraId="3DD669F3" w14:textId="77777777" w:rsidTr="009D0D32">
        <w:trPr>
          <w:trHeight w:val="548"/>
        </w:trPr>
        <w:tc>
          <w:tcPr>
            <w:tcW w:w="1798"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6AA9335" w14:textId="77777777" w:rsidR="00597DEB" w:rsidRPr="009D0D32" w:rsidRDefault="00597DEB" w:rsidP="00AE1DED">
            <w:pPr>
              <w:rPr>
                <w:b/>
                <w:bCs/>
                <w:color w:val="000000" w:themeColor="text1"/>
                <w:sz w:val="18"/>
                <w:szCs w:val="18"/>
              </w:rPr>
            </w:pPr>
            <w:r w:rsidRPr="009D0D32">
              <w:rPr>
                <w:b/>
                <w:bCs/>
                <w:color w:val="000000" w:themeColor="text1"/>
                <w:sz w:val="18"/>
                <w:szCs w:val="18"/>
              </w:rPr>
              <w:t>Key Effects</w:t>
            </w:r>
          </w:p>
        </w:tc>
        <w:tc>
          <w:tcPr>
            <w:tcW w:w="1183" w:type="dxa"/>
            <w:tcBorders>
              <w:top w:val="nil"/>
              <w:left w:val="nil"/>
              <w:bottom w:val="single" w:sz="8" w:space="0" w:color="auto"/>
              <w:right w:val="single" w:sz="4" w:space="0" w:color="auto"/>
            </w:tcBorders>
            <w:vAlign w:val="center"/>
            <w:hideMark/>
          </w:tcPr>
          <w:p w14:paraId="18DE27E8" w14:textId="77777777" w:rsidR="00597DEB" w:rsidRPr="009D0D32" w:rsidRDefault="00597DEB" w:rsidP="00AE1DED">
            <w:pPr>
              <w:rPr>
                <w:color w:val="000000" w:themeColor="text1"/>
                <w:sz w:val="20"/>
                <w:szCs w:val="20"/>
              </w:rPr>
            </w:pPr>
            <w:r w:rsidRPr="009D0D32">
              <w:rPr>
                <w:color w:val="000000" w:themeColor="text1"/>
                <w:sz w:val="20"/>
                <w:szCs w:val="20"/>
              </w:rPr>
              <w:t>Natural endpoint</w:t>
            </w:r>
          </w:p>
        </w:tc>
        <w:tc>
          <w:tcPr>
            <w:tcW w:w="1311" w:type="dxa"/>
            <w:tcBorders>
              <w:top w:val="nil"/>
              <w:left w:val="nil"/>
              <w:bottom w:val="single" w:sz="8" w:space="0" w:color="auto"/>
              <w:right w:val="single" w:sz="4" w:space="0" w:color="auto"/>
            </w:tcBorders>
            <w:vAlign w:val="center"/>
            <w:hideMark/>
          </w:tcPr>
          <w:p w14:paraId="1DADA5FB" w14:textId="77777777" w:rsidR="00597DEB" w:rsidRPr="009D0D32" w:rsidRDefault="00597DEB" w:rsidP="00AE1DED">
            <w:pPr>
              <w:rPr>
                <w:color w:val="000000" w:themeColor="text1"/>
                <w:sz w:val="20"/>
                <w:szCs w:val="20"/>
              </w:rPr>
            </w:pPr>
            <w:r w:rsidRPr="009D0D32">
              <w:rPr>
                <w:color w:val="000000" w:themeColor="text1"/>
                <w:sz w:val="20"/>
                <w:szCs w:val="20"/>
              </w:rPr>
              <w:t>Impermanent loss ↓ 70%, Fee income ↓ 50%</w:t>
            </w:r>
          </w:p>
        </w:tc>
        <w:tc>
          <w:tcPr>
            <w:tcW w:w="1472" w:type="dxa"/>
            <w:tcBorders>
              <w:top w:val="nil"/>
              <w:left w:val="nil"/>
              <w:bottom w:val="single" w:sz="8" w:space="0" w:color="auto"/>
              <w:right w:val="single" w:sz="4" w:space="0" w:color="auto"/>
            </w:tcBorders>
            <w:vAlign w:val="center"/>
            <w:hideMark/>
          </w:tcPr>
          <w:p w14:paraId="29C55897" w14:textId="77777777" w:rsidR="00597DEB" w:rsidRPr="009D0D32" w:rsidRDefault="00597DEB" w:rsidP="00AE1DED">
            <w:pPr>
              <w:rPr>
                <w:color w:val="000000" w:themeColor="text1"/>
                <w:sz w:val="20"/>
                <w:szCs w:val="20"/>
              </w:rPr>
            </w:pPr>
            <w:r w:rsidRPr="009D0D32">
              <w:rPr>
                <w:color w:val="000000" w:themeColor="text1"/>
                <w:sz w:val="20"/>
                <w:szCs w:val="20"/>
              </w:rPr>
              <w:t>Returns converge 2-5% annually</w:t>
            </w:r>
          </w:p>
        </w:tc>
        <w:tc>
          <w:tcPr>
            <w:tcW w:w="1876" w:type="dxa"/>
            <w:tcBorders>
              <w:top w:val="nil"/>
              <w:left w:val="nil"/>
              <w:bottom w:val="single" w:sz="8" w:space="0" w:color="auto"/>
              <w:right w:val="single" w:sz="4" w:space="0" w:color="auto"/>
            </w:tcBorders>
            <w:vAlign w:val="center"/>
            <w:hideMark/>
          </w:tcPr>
          <w:p w14:paraId="12E45A7F" w14:textId="77777777" w:rsidR="00597DEB" w:rsidRPr="009D0D32" w:rsidRDefault="00597DEB" w:rsidP="00AE1DED">
            <w:pPr>
              <w:rPr>
                <w:color w:val="000000" w:themeColor="text1"/>
                <w:sz w:val="20"/>
                <w:szCs w:val="20"/>
              </w:rPr>
            </w:pPr>
            <w:r w:rsidRPr="009D0D32">
              <w:rPr>
                <w:color w:val="000000" w:themeColor="text1"/>
                <w:sz w:val="20"/>
                <w:szCs w:val="20"/>
              </w:rPr>
              <w:t>Risk-adjusted returns approach bonds</w:t>
            </w:r>
          </w:p>
        </w:tc>
        <w:tc>
          <w:tcPr>
            <w:tcW w:w="1710" w:type="dxa"/>
            <w:tcBorders>
              <w:top w:val="nil"/>
              <w:left w:val="nil"/>
              <w:bottom w:val="single" w:sz="8" w:space="0" w:color="auto"/>
              <w:right w:val="single" w:sz="8" w:space="0" w:color="auto"/>
            </w:tcBorders>
            <w:vAlign w:val="center"/>
            <w:hideMark/>
          </w:tcPr>
          <w:p w14:paraId="5D70721B" w14:textId="77777777" w:rsidR="00597DEB" w:rsidRPr="009D0D32" w:rsidRDefault="00597DEB" w:rsidP="00AE1DED">
            <w:pPr>
              <w:rPr>
                <w:color w:val="000000" w:themeColor="text1"/>
                <w:sz w:val="20"/>
                <w:szCs w:val="20"/>
              </w:rPr>
            </w:pPr>
            <w:r w:rsidRPr="009D0D32">
              <w:rPr>
                <w:color w:val="000000" w:themeColor="text1"/>
                <w:sz w:val="20"/>
                <w:szCs w:val="20"/>
              </w:rPr>
              <w:t>DeFi becomes utility infrastructure; speculation moves elsewhere</w:t>
            </w:r>
          </w:p>
        </w:tc>
      </w:tr>
    </w:tbl>
    <w:p w14:paraId="500F6FB4" w14:textId="77777777" w:rsidR="00933090" w:rsidRDefault="00933090" w:rsidP="00AE1DED">
      <w:pPr>
        <w:pStyle w:val="Heading3"/>
        <w:rPr>
          <w:rFonts w:eastAsiaTheme="majorEastAsia"/>
        </w:rPr>
      </w:pPr>
    </w:p>
    <w:p w14:paraId="668881AE" w14:textId="1901C04D" w:rsidR="00597DEB" w:rsidRDefault="00195892" w:rsidP="00AE1DED">
      <w:pPr>
        <w:rPr>
          <w:rFonts w:eastAsiaTheme="majorEastAsia"/>
          <w:b/>
          <w:bCs/>
        </w:rPr>
      </w:pPr>
      <w:r w:rsidRPr="008C534D">
        <w:rPr>
          <w:rFonts w:eastAsiaTheme="majorEastAsia"/>
          <w:b/>
          <w:bCs/>
        </w:rPr>
        <w:t>Most Likely Combined Outcome</w:t>
      </w:r>
    </w:p>
    <w:p w14:paraId="6092915D" w14:textId="77777777" w:rsidR="00EC3418" w:rsidRPr="008C534D" w:rsidRDefault="00EC3418" w:rsidP="00AE1DED">
      <w:pPr>
        <w:rPr>
          <w:rFonts w:eastAsiaTheme="majorEastAsia"/>
          <w:b/>
          <w:bCs/>
        </w:rPr>
      </w:pPr>
    </w:p>
    <w:tbl>
      <w:tblPr>
        <w:tblW w:w="9350" w:type="dxa"/>
        <w:tblLayout w:type="fixed"/>
        <w:tblLook w:val="04A0" w:firstRow="1" w:lastRow="0" w:firstColumn="1" w:lastColumn="0" w:noHBand="0" w:noVBand="1"/>
      </w:tblPr>
      <w:tblGrid>
        <w:gridCol w:w="2420"/>
        <w:gridCol w:w="1890"/>
        <w:gridCol w:w="2520"/>
        <w:gridCol w:w="2520"/>
      </w:tblGrid>
      <w:tr w:rsidR="009D0D32" w:rsidRPr="009D0D32" w14:paraId="6A116366" w14:textId="77777777" w:rsidTr="009D0D32">
        <w:trPr>
          <w:trHeight w:val="682"/>
        </w:trPr>
        <w:tc>
          <w:tcPr>
            <w:tcW w:w="2420" w:type="dxa"/>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hideMark/>
          </w:tcPr>
          <w:p w14:paraId="59DBCD77" w14:textId="77777777" w:rsidR="0035405C" w:rsidRPr="009D0D32" w:rsidRDefault="0035405C" w:rsidP="00AE1DED">
            <w:pPr>
              <w:rPr>
                <w:b/>
                <w:bCs/>
                <w:color w:val="000000" w:themeColor="text1"/>
                <w:sz w:val="20"/>
                <w:szCs w:val="20"/>
              </w:rPr>
            </w:pPr>
            <w:r w:rsidRPr="009D0D32">
              <w:rPr>
                <w:b/>
                <w:bCs/>
                <w:color w:val="000000" w:themeColor="text1"/>
                <w:sz w:val="20"/>
                <w:szCs w:val="20"/>
              </w:rPr>
              <w:t>Institutional + Regulatory (Hybrid)</w:t>
            </w:r>
          </w:p>
        </w:tc>
        <w:tc>
          <w:tcPr>
            <w:tcW w:w="1890" w:type="dxa"/>
            <w:tcBorders>
              <w:top w:val="single" w:sz="8" w:space="0" w:color="auto"/>
              <w:left w:val="nil"/>
              <w:bottom w:val="single" w:sz="4" w:space="0" w:color="auto"/>
              <w:right w:val="single" w:sz="4" w:space="0" w:color="auto"/>
            </w:tcBorders>
            <w:vAlign w:val="center"/>
            <w:hideMark/>
          </w:tcPr>
          <w:p w14:paraId="6066399A" w14:textId="77777777" w:rsidR="0035405C" w:rsidRPr="009D0D32" w:rsidRDefault="0035405C" w:rsidP="00AE1DED">
            <w:pPr>
              <w:rPr>
                <w:color w:val="000000" w:themeColor="text1"/>
                <w:sz w:val="22"/>
                <w:szCs w:val="22"/>
              </w:rPr>
            </w:pPr>
            <w:r w:rsidRPr="009D0D32">
              <w:rPr>
                <w:color w:val="000000" w:themeColor="text1"/>
                <w:sz w:val="22"/>
                <w:szCs w:val="22"/>
              </w:rPr>
              <w:t>60% combined probability</w:t>
            </w:r>
          </w:p>
        </w:tc>
        <w:tc>
          <w:tcPr>
            <w:tcW w:w="2520" w:type="dxa"/>
            <w:tcBorders>
              <w:top w:val="single" w:sz="8" w:space="0" w:color="auto"/>
              <w:left w:val="nil"/>
              <w:bottom w:val="single" w:sz="4" w:space="0" w:color="auto"/>
              <w:right w:val="single" w:sz="4" w:space="0" w:color="auto"/>
            </w:tcBorders>
            <w:vAlign w:val="center"/>
            <w:hideMark/>
          </w:tcPr>
          <w:p w14:paraId="4CBCADF3" w14:textId="77777777" w:rsidR="0035405C" w:rsidRPr="009D0D32" w:rsidRDefault="0035405C" w:rsidP="00AE1DED">
            <w:pPr>
              <w:rPr>
                <w:color w:val="000000" w:themeColor="text1"/>
                <w:sz w:val="22"/>
                <w:szCs w:val="22"/>
              </w:rPr>
            </w:pPr>
            <w:r w:rsidRPr="009D0D32">
              <w:rPr>
                <w:color w:val="000000" w:themeColor="text1"/>
                <w:sz w:val="22"/>
                <w:szCs w:val="22"/>
              </w:rPr>
              <w:t>Developed markets: Institutional dominance with regulatory compliance</w:t>
            </w:r>
          </w:p>
        </w:tc>
        <w:tc>
          <w:tcPr>
            <w:tcW w:w="2520" w:type="dxa"/>
            <w:tcBorders>
              <w:top w:val="single" w:sz="8" w:space="0" w:color="auto"/>
              <w:left w:val="nil"/>
              <w:bottom w:val="single" w:sz="4" w:space="0" w:color="auto"/>
              <w:right w:val="single" w:sz="8" w:space="0" w:color="auto"/>
            </w:tcBorders>
            <w:vAlign w:val="center"/>
            <w:hideMark/>
          </w:tcPr>
          <w:p w14:paraId="7D6A176B" w14:textId="77777777" w:rsidR="0035405C" w:rsidRPr="009D0D32" w:rsidRDefault="0035405C" w:rsidP="00AE1DED">
            <w:pPr>
              <w:rPr>
                <w:color w:val="000000" w:themeColor="text1"/>
                <w:sz w:val="22"/>
                <w:szCs w:val="22"/>
              </w:rPr>
            </w:pPr>
            <w:r w:rsidRPr="009D0D32">
              <w:rPr>
                <w:color w:val="000000" w:themeColor="text1"/>
                <w:sz w:val="22"/>
                <w:szCs w:val="22"/>
              </w:rPr>
              <w:t>Emerging markets: Retail opportunities in less-regulated jurisdictions</w:t>
            </w:r>
          </w:p>
        </w:tc>
      </w:tr>
      <w:tr w:rsidR="009D0D32" w:rsidRPr="009D0D32" w14:paraId="21453470" w14:textId="77777777" w:rsidTr="009D0D32">
        <w:trPr>
          <w:trHeight w:val="746"/>
        </w:trPr>
        <w:tc>
          <w:tcPr>
            <w:tcW w:w="2420" w:type="dxa"/>
            <w:tcBorders>
              <w:top w:val="nil"/>
              <w:left w:val="single" w:sz="8" w:space="0" w:color="auto"/>
              <w:bottom w:val="single" w:sz="8" w:space="0" w:color="auto"/>
              <w:right w:val="single" w:sz="4" w:space="0" w:color="auto"/>
            </w:tcBorders>
            <w:shd w:val="clear" w:color="auto" w:fill="D9D9D9" w:themeFill="background1" w:themeFillShade="D9"/>
            <w:vAlign w:val="center"/>
            <w:hideMark/>
          </w:tcPr>
          <w:p w14:paraId="381F1FBD" w14:textId="77777777" w:rsidR="0035405C" w:rsidRPr="009D0D32" w:rsidRDefault="0035405C" w:rsidP="00AE1DED">
            <w:pPr>
              <w:rPr>
                <w:b/>
                <w:bCs/>
                <w:color w:val="000000" w:themeColor="text1"/>
                <w:sz w:val="20"/>
                <w:szCs w:val="20"/>
              </w:rPr>
            </w:pPr>
            <w:r w:rsidRPr="009D0D32">
              <w:rPr>
                <w:b/>
                <w:bCs/>
                <w:color w:val="000000" w:themeColor="text1"/>
                <w:sz w:val="20"/>
                <w:szCs w:val="20"/>
              </w:rPr>
              <w:t>Result:</w:t>
            </w:r>
            <w:r w:rsidRPr="009D0D32">
              <w:rPr>
                <w:color w:val="000000" w:themeColor="text1"/>
                <w:sz w:val="20"/>
                <w:szCs w:val="20"/>
              </w:rPr>
              <w:t xml:space="preserve"> Geographic stratification where DeFi opportunities concentrate in specific regions</w:t>
            </w:r>
          </w:p>
        </w:tc>
        <w:tc>
          <w:tcPr>
            <w:tcW w:w="1890" w:type="dxa"/>
            <w:tcBorders>
              <w:top w:val="nil"/>
              <w:left w:val="nil"/>
              <w:bottom w:val="single" w:sz="8" w:space="0" w:color="auto"/>
              <w:right w:val="single" w:sz="4" w:space="0" w:color="auto"/>
            </w:tcBorders>
            <w:vAlign w:val="center"/>
            <w:hideMark/>
          </w:tcPr>
          <w:p w14:paraId="1D116DC7" w14:textId="77777777" w:rsidR="0035405C" w:rsidRPr="009D0D32" w:rsidRDefault="0035405C" w:rsidP="00AE1DED">
            <w:pPr>
              <w:rPr>
                <w:color w:val="000000" w:themeColor="text1"/>
                <w:sz w:val="22"/>
                <w:szCs w:val="22"/>
              </w:rPr>
            </w:pPr>
            <w:r w:rsidRPr="009D0D32">
              <w:rPr>
                <w:color w:val="000000" w:themeColor="text1"/>
                <w:sz w:val="22"/>
                <w:szCs w:val="22"/>
              </w:rPr>
              <w:t>Retail excluded from major markets</w:t>
            </w:r>
          </w:p>
        </w:tc>
        <w:tc>
          <w:tcPr>
            <w:tcW w:w="2520" w:type="dxa"/>
            <w:tcBorders>
              <w:top w:val="nil"/>
              <w:left w:val="nil"/>
              <w:bottom w:val="single" w:sz="8" w:space="0" w:color="auto"/>
              <w:right w:val="single" w:sz="4" w:space="0" w:color="auto"/>
            </w:tcBorders>
            <w:vAlign w:val="center"/>
            <w:hideMark/>
          </w:tcPr>
          <w:p w14:paraId="40AD3626" w14:textId="77777777" w:rsidR="0035405C" w:rsidRPr="009D0D32" w:rsidRDefault="0035405C" w:rsidP="00AE1DED">
            <w:pPr>
              <w:rPr>
                <w:color w:val="000000" w:themeColor="text1"/>
                <w:sz w:val="22"/>
                <w:szCs w:val="22"/>
              </w:rPr>
            </w:pPr>
            <w:r w:rsidRPr="009D0D32">
              <w:rPr>
                <w:color w:val="000000" w:themeColor="text1"/>
                <w:sz w:val="22"/>
                <w:szCs w:val="22"/>
              </w:rPr>
              <w:t>Must relocate or accept consumer role</w:t>
            </w:r>
          </w:p>
        </w:tc>
        <w:tc>
          <w:tcPr>
            <w:tcW w:w="2520" w:type="dxa"/>
            <w:tcBorders>
              <w:top w:val="nil"/>
              <w:left w:val="nil"/>
              <w:bottom w:val="single" w:sz="8" w:space="0" w:color="auto"/>
              <w:right w:val="single" w:sz="8" w:space="0" w:color="auto"/>
            </w:tcBorders>
            <w:vAlign w:val="center"/>
            <w:hideMark/>
          </w:tcPr>
          <w:p w14:paraId="500314E3" w14:textId="77777777" w:rsidR="0035405C" w:rsidRPr="009D0D32" w:rsidRDefault="0035405C" w:rsidP="00AE1DED">
            <w:pPr>
              <w:rPr>
                <w:color w:val="000000" w:themeColor="text1"/>
                <w:sz w:val="22"/>
                <w:szCs w:val="22"/>
              </w:rPr>
            </w:pPr>
            <w:r w:rsidRPr="009D0D32">
              <w:rPr>
                <w:color w:val="000000" w:themeColor="text1"/>
                <w:sz w:val="22"/>
                <w:szCs w:val="22"/>
              </w:rPr>
              <w:t>DeFi replicates traditional finance geography</w:t>
            </w:r>
          </w:p>
        </w:tc>
      </w:tr>
    </w:tbl>
    <w:p w14:paraId="205E5F50" w14:textId="77777777" w:rsidR="00A63B7B" w:rsidRPr="00750A6E" w:rsidRDefault="00A63B7B" w:rsidP="00AE1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vanish/>
          <w:color w:val="0070C0"/>
          <w:sz w:val="20"/>
          <w:szCs w:val="20"/>
        </w:rPr>
      </w:pPr>
    </w:p>
    <w:p w14:paraId="231C30E2" w14:textId="77777777" w:rsidR="00195892" w:rsidRPr="00750A6E" w:rsidRDefault="00195892" w:rsidP="00AE1DED">
      <w:pPr>
        <w:pStyle w:val="Heading2"/>
        <w:jc w:val="both"/>
        <w:rPr>
          <w:rFonts w:eastAsiaTheme="majorEastAsia"/>
          <w:color w:val="0070C0"/>
        </w:rPr>
      </w:pPr>
    </w:p>
    <w:p w14:paraId="71EA41B6" w14:textId="3D8B467E" w:rsidR="00FC3DF4" w:rsidRPr="003C66A0" w:rsidRDefault="008D6F57" w:rsidP="00AE1DED">
      <w:pPr>
        <w:pStyle w:val="Heading2"/>
        <w:jc w:val="both"/>
        <w:rPr>
          <w:rFonts w:eastAsiaTheme="majorEastAsia"/>
        </w:rPr>
      </w:pPr>
      <w:bookmarkStart w:id="207" w:name="_Toc214722013"/>
      <w:r w:rsidRPr="003C66A0">
        <w:rPr>
          <w:rFonts w:eastAsiaTheme="majorEastAsia"/>
        </w:rPr>
        <w:t>9</w:t>
      </w:r>
      <w:r w:rsidR="00FC3DF4" w:rsidRPr="003C66A0">
        <w:rPr>
          <w:rFonts w:eastAsiaTheme="majorEastAsia"/>
        </w:rPr>
        <w:t>.4 The Anti-Inductive Market Problem</w:t>
      </w:r>
      <w:bookmarkEnd w:id="207"/>
    </w:p>
    <w:p w14:paraId="33DB059F" w14:textId="5B41D86D" w:rsidR="0033714E" w:rsidRDefault="0033714E" w:rsidP="00AE1DED">
      <w:pPr>
        <w:jc w:val="both"/>
        <w:rPr>
          <w:rFonts w:eastAsiaTheme="majorEastAsia"/>
          <w:bCs/>
          <w:color w:val="000000" w:themeColor="text1"/>
        </w:rPr>
      </w:pPr>
      <w:r w:rsidRPr="003C66A0">
        <w:rPr>
          <w:rFonts w:eastAsiaTheme="majorEastAsia"/>
          <w:bCs/>
          <w:color w:val="000000" w:themeColor="text1"/>
        </w:rPr>
        <w:t xml:space="preserve">Markets are anti-inductive; they change to make patterns that have been found invalid. My simulations show that this process is mechanical and can be predicted. When strategies make more money than they cost, money comes in. Competition lowers </w:t>
      </w:r>
      <w:r w:rsidR="001B3180" w:rsidRPr="003C66A0">
        <w:rPr>
          <w:rFonts w:eastAsiaTheme="majorEastAsia"/>
          <w:bCs/>
          <w:color w:val="000000" w:themeColor="text1"/>
        </w:rPr>
        <w:t>return</w:t>
      </w:r>
      <w:r w:rsidRPr="003C66A0">
        <w:rPr>
          <w:rFonts w:eastAsiaTheme="majorEastAsia"/>
          <w:bCs/>
          <w:color w:val="000000" w:themeColor="text1"/>
        </w:rPr>
        <w:t xml:space="preserve"> below costs. Capital leaves in search of new chances. The cycle usually ends in three to six months.</w:t>
      </w:r>
    </w:p>
    <w:p w14:paraId="374FBC33" w14:textId="77777777" w:rsidR="009E48E6" w:rsidRPr="003C66A0" w:rsidRDefault="009E48E6" w:rsidP="00AE1DED">
      <w:pPr>
        <w:jc w:val="both"/>
        <w:rPr>
          <w:rFonts w:eastAsiaTheme="majorEastAsia"/>
          <w:bCs/>
          <w:color w:val="000000" w:themeColor="text1"/>
        </w:rPr>
      </w:pPr>
    </w:p>
    <w:p w14:paraId="74737994" w14:textId="34C1A03D" w:rsidR="0033714E" w:rsidRDefault="004E0B5D" w:rsidP="00AE1DED">
      <w:pPr>
        <w:jc w:val="both"/>
        <w:rPr>
          <w:rFonts w:eastAsiaTheme="majorEastAsia"/>
          <w:bCs/>
          <w:color w:val="000000" w:themeColor="text1"/>
        </w:rPr>
      </w:pPr>
      <w:r w:rsidRPr="003C66A0">
        <w:rPr>
          <w:rFonts w:eastAsiaTheme="majorEastAsia"/>
          <w:bCs/>
          <w:color w:val="000000" w:themeColor="text1"/>
        </w:rPr>
        <w:t>The optimization framework that worked well in the past only had a 51% success rate in the future, which was only slightly better than random selection.</w:t>
      </w:r>
      <w:r w:rsidR="0033714E" w:rsidRPr="003C66A0">
        <w:rPr>
          <w:rFonts w:eastAsiaTheme="majorEastAsia"/>
          <w:bCs/>
          <w:color w:val="000000" w:themeColor="text1"/>
        </w:rPr>
        <w:t xml:space="preserve"> This is</w:t>
      </w:r>
      <w:r w:rsidRPr="003C66A0">
        <w:rPr>
          <w:rFonts w:eastAsiaTheme="majorEastAsia"/>
          <w:bCs/>
          <w:color w:val="000000" w:themeColor="text1"/>
        </w:rPr>
        <w:t xml:space="preserve"> not </w:t>
      </w:r>
      <w:r w:rsidR="0033714E" w:rsidRPr="003C66A0">
        <w:rPr>
          <w:rFonts w:eastAsiaTheme="majorEastAsia"/>
          <w:bCs/>
          <w:color w:val="000000" w:themeColor="text1"/>
        </w:rPr>
        <w:t>a problem with better optimization; it's just how competitive markets work. Every advantage is fleeting, as discovery guarantees obliteration. Publishing strategies hasten obsolescence; this dissertation aids in dismantling the documented patterns.</w:t>
      </w:r>
    </w:p>
    <w:p w14:paraId="092366CB" w14:textId="77777777" w:rsidR="009E48E6" w:rsidRPr="003C66A0" w:rsidRDefault="009E48E6" w:rsidP="00AE1DED">
      <w:pPr>
        <w:jc w:val="both"/>
        <w:rPr>
          <w:rFonts w:eastAsiaTheme="majorEastAsia"/>
          <w:bCs/>
          <w:color w:val="000000" w:themeColor="text1"/>
        </w:rPr>
      </w:pPr>
    </w:p>
    <w:p w14:paraId="0D0C1449" w14:textId="77777777" w:rsidR="0033714E" w:rsidRDefault="0033714E" w:rsidP="00AE1DED">
      <w:pPr>
        <w:jc w:val="both"/>
        <w:rPr>
          <w:rFonts w:eastAsiaTheme="majorEastAsia"/>
          <w:bCs/>
          <w:color w:val="000000" w:themeColor="text1"/>
        </w:rPr>
      </w:pPr>
      <w:r w:rsidRPr="003C66A0">
        <w:rPr>
          <w:rFonts w:eastAsiaTheme="majorEastAsia"/>
          <w:bCs/>
          <w:color w:val="000000" w:themeColor="text1"/>
        </w:rPr>
        <w:t>What stays the same in simulations are principles, not strategies. For small positions, costs are more important than returns. After costs, simple strategies work better than complicated ones. Survival is better than optimization. The amount of capital needed goes up steadily. These are not opportunities; they are limitations that restrict what is possible.</w:t>
      </w:r>
    </w:p>
    <w:p w14:paraId="49BD7204" w14:textId="77777777" w:rsidR="009E48E6" w:rsidRPr="003C66A0" w:rsidRDefault="009E48E6" w:rsidP="00AE1DED">
      <w:pPr>
        <w:jc w:val="both"/>
        <w:rPr>
          <w:rFonts w:eastAsiaTheme="majorEastAsia"/>
          <w:bCs/>
          <w:color w:val="000000" w:themeColor="text1"/>
        </w:rPr>
      </w:pPr>
    </w:p>
    <w:p w14:paraId="6EA3DBBD" w14:textId="3F36B650" w:rsidR="00FC3DF4" w:rsidRPr="003C66A0" w:rsidRDefault="008D6F57" w:rsidP="00AE1DED">
      <w:pPr>
        <w:pStyle w:val="Heading2"/>
        <w:jc w:val="both"/>
        <w:rPr>
          <w:rFonts w:eastAsiaTheme="majorEastAsia"/>
        </w:rPr>
      </w:pPr>
      <w:bookmarkStart w:id="208" w:name="_Toc214722014"/>
      <w:r w:rsidRPr="003C66A0">
        <w:rPr>
          <w:rFonts w:eastAsiaTheme="majorEastAsia"/>
        </w:rPr>
        <w:t>9</w:t>
      </w:r>
      <w:r w:rsidR="00FC3DF4" w:rsidRPr="003C66A0">
        <w:rPr>
          <w:rFonts w:eastAsiaTheme="majorEastAsia"/>
        </w:rPr>
        <w:t>.5 Natural Experiments: Learning from Protocol Changes</w:t>
      </w:r>
      <w:bookmarkEnd w:id="208"/>
    </w:p>
    <w:p w14:paraId="1F31D175" w14:textId="40201162" w:rsidR="00FC3DF4" w:rsidRPr="003C66A0" w:rsidRDefault="00FC3DF4" w:rsidP="00AE1DED">
      <w:pPr>
        <w:jc w:val="both"/>
        <w:rPr>
          <w:rFonts w:eastAsiaTheme="majorEastAsia"/>
          <w:bCs/>
          <w:color w:val="000000" w:themeColor="text1"/>
        </w:rPr>
      </w:pPr>
      <w:r w:rsidRPr="003C66A0">
        <w:rPr>
          <w:rFonts w:eastAsiaTheme="majorEastAsia"/>
          <w:bCs/>
          <w:color w:val="000000" w:themeColor="text1"/>
        </w:rPr>
        <w:t>Protocol changes create natural experiments revealing how design decisions affect outcomes</w:t>
      </w:r>
      <w:r w:rsidR="00A753BE" w:rsidRPr="003C66A0">
        <w:rPr>
          <w:rFonts w:eastAsiaTheme="majorEastAsia"/>
          <w:bCs/>
          <w:color w:val="000000" w:themeColor="text1"/>
        </w:rPr>
        <w:t xml:space="preserve"> and t</w:t>
      </w:r>
      <w:r w:rsidRPr="003C66A0">
        <w:rPr>
          <w:rFonts w:eastAsiaTheme="majorEastAsia"/>
          <w:bCs/>
          <w:color w:val="000000" w:themeColor="text1"/>
        </w:rPr>
        <w:t xml:space="preserve">wo major changes during </w:t>
      </w:r>
      <w:r w:rsidR="00231D5B" w:rsidRPr="003C66A0">
        <w:rPr>
          <w:rFonts w:eastAsiaTheme="majorEastAsia"/>
          <w:bCs/>
          <w:color w:val="000000" w:themeColor="text1"/>
        </w:rPr>
        <w:t xml:space="preserve">my </w:t>
      </w:r>
      <w:r w:rsidRPr="003C66A0">
        <w:rPr>
          <w:rFonts w:eastAsiaTheme="majorEastAsia"/>
          <w:bCs/>
          <w:color w:val="000000" w:themeColor="text1"/>
        </w:rPr>
        <w:t>study period provide particularly valuable insights</w:t>
      </w:r>
      <w:r w:rsidR="00A753BE" w:rsidRPr="003C66A0">
        <w:rPr>
          <w:rFonts w:eastAsiaTheme="majorEastAsia"/>
          <w:bCs/>
          <w:color w:val="000000" w:themeColor="text1"/>
        </w:rPr>
        <w:t xml:space="preserve"> in this space.</w:t>
      </w:r>
    </w:p>
    <w:p w14:paraId="321A578A" w14:textId="77777777" w:rsidR="009E48E6" w:rsidRDefault="009E48E6" w:rsidP="00AE1DED">
      <w:pPr>
        <w:jc w:val="both"/>
        <w:rPr>
          <w:rFonts w:eastAsiaTheme="majorEastAsia"/>
          <w:b/>
          <w:bCs/>
          <w:color w:val="000000" w:themeColor="text1"/>
        </w:rPr>
      </w:pPr>
    </w:p>
    <w:p w14:paraId="42151DF6" w14:textId="6E2C3C83" w:rsidR="00A753BE" w:rsidRDefault="00A753BE" w:rsidP="00AE1DED">
      <w:pPr>
        <w:jc w:val="both"/>
        <w:rPr>
          <w:rFonts w:eastAsiaTheme="majorEastAsia"/>
          <w:color w:val="000000" w:themeColor="text1"/>
        </w:rPr>
      </w:pPr>
      <w:r w:rsidRPr="003C66A0">
        <w:rPr>
          <w:rFonts w:eastAsiaTheme="majorEastAsia"/>
          <w:b/>
          <w:bCs/>
          <w:color w:val="000000" w:themeColor="text1"/>
        </w:rPr>
        <w:t xml:space="preserve">EIP-1559 Implementation: </w:t>
      </w:r>
      <w:r w:rsidRPr="003C66A0">
        <w:rPr>
          <w:rFonts w:eastAsiaTheme="majorEastAsia"/>
          <w:color w:val="000000" w:themeColor="text1"/>
        </w:rPr>
        <w:t xml:space="preserve">In August 2021, Ethereum changed how it charges fees which promised </w:t>
      </w:r>
      <w:proofErr w:type="gramStart"/>
      <w:r w:rsidRPr="003C66A0">
        <w:rPr>
          <w:rFonts w:eastAsiaTheme="majorEastAsia"/>
          <w:color w:val="000000" w:themeColor="text1"/>
        </w:rPr>
        <w:t>a better</w:t>
      </w:r>
      <w:proofErr w:type="gramEnd"/>
      <w:r w:rsidRPr="003C66A0">
        <w:rPr>
          <w:rFonts w:eastAsiaTheme="majorEastAsia"/>
          <w:color w:val="000000" w:themeColor="text1"/>
        </w:rPr>
        <w:t xml:space="preserve"> user experience and more predictable fees. When comparing the same time periods before and after shows that this </w:t>
      </w:r>
      <w:proofErr w:type="gramStart"/>
      <w:r w:rsidRPr="003C66A0">
        <w:rPr>
          <w:rFonts w:eastAsiaTheme="majorEastAsia"/>
          <w:color w:val="000000" w:themeColor="text1"/>
        </w:rPr>
        <w:t>lead</w:t>
      </w:r>
      <w:proofErr w:type="gramEnd"/>
      <w:r w:rsidRPr="003C66A0">
        <w:rPr>
          <w:rFonts w:eastAsiaTheme="majorEastAsia"/>
          <w:color w:val="000000" w:themeColor="text1"/>
        </w:rPr>
        <w:t xml:space="preserve"> to some success. The error in fee estimation went from 47% to 15%, which is exactly what the designers had predicted. But the change in fee cost was only 31% and ended up </w:t>
      </w:r>
      <w:proofErr w:type="gramStart"/>
      <w:r w:rsidRPr="003C66A0">
        <w:rPr>
          <w:rFonts w:eastAsiaTheme="majorEastAsia"/>
          <w:color w:val="000000" w:themeColor="text1"/>
        </w:rPr>
        <w:t>beings</w:t>
      </w:r>
      <w:proofErr w:type="gramEnd"/>
      <w:r w:rsidRPr="003C66A0">
        <w:rPr>
          <w:rFonts w:eastAsiaTheme="majorEastAsia"/>
          <w:color w:val="000000" w:themeColor="text1"/>
        </w:rPr>
        <w:t xml:space="preserve"> less than half of what was promised. The base fee algorithm was able to smooth out small changes, but it was not possible </w:t>
      </w:r>
      <w:proofErr w:type="gramStart"/>
      <w:r w:rsidRPr="003C66A0">
        <w:rPr>
          <w:rFonts w:eastAsiaTheme="majorEastAsia"/>
          <w:color w:val="000000" w:themeColor="text1"/>
        </w:rPr>
        <w:t>stop</w:t>
      </w:r>
      <w:proofErr w:type="gramEnd"/>
      <w:r w:rsidRPr="003C66A0">
        <w:rPr>
          <w:rFonts w:eastAsiaTheme="majorEastAsia"/>
          <w:color w:val="000000" w:themeColor="text1"/>
        </w:rPr>
        <w:t xml:space="preserve"> spikes when demand was high.</w:t>
      </w:r>
    </w:p>
    <w:p w14:paraId="4529D163" w14:textId="77777777" w:rsidR="001970FA" w:rsidRPr="003C66A0" w:rsidRDefault="001970FA" w:rsidP="00AE1DED">
      <w:pPr>
        <w:jc w:val="both"/>
        <w:rPr>
          <w:rFonts w:eastAsiaTheme="majorEastAsia"/>
          <w:color w:val="000000" w:themeColor="text1"/>
        </w:rPr>
      </w:pPr>
    </w:p>
    <w:p w14:paraId="77A19610" w14:textId="405F53EA" w:rsidR="00A753BE" w:rsidRDefault="00A753BE" w:rsidP="00AE1DED">
      <w:pPr>
        <w:jc w:val="both"/>
        <w:rPr>
          <w:rFonts w:eastAsiaTheme="majorEastAsia"/>
          <w:color w:val="000000" w:themeColor="text1"/>
        </w:rPr>
      </w:pPr>
      <w:r w:rsidRPr="003C66A0">
        <w:rPr>
          <w:rFonts w:eastAsiaTheme="majorEastAsia"/>
          <w:color w:val="000000" w:themeColor="text1"/>
        </w:rPr>
        <w:t>The lesson is that you can't make competition for scarce resources go away. EIP-1559 changed how competition works, but it didn't get rid of scarcity. When there isn't much block space, users will pay whatever it takes to get it.</w:t>
      </w:r>
    </w:p>
    <w:p w14:paraId="2DA0EDA3" w14:textId="77777777" w:rsidR="001970FA" w:rsidRPr="003C66A0" w:rsidRDefault="001970FA" w:rsidP="00AE1DED">
      <w:pPr>
        <w:jc w:val="both"/>
        <w:rPr>
          <w:rFonts w:eastAsiaTheme="majorEastAsia"/>
          <w:color w:val="000000" w:themeColor="text1"/>
        </w:rPr>
      </w:pPr>
    </w:p>
    <w:p w14:paraId="5BBF86B3" w14:textId="6EA1B853" w:rsidR="00A753BE" w:rsidRDefault="00A753BE" w:rsidP="00AE1DED">
      <w:pPr>
        <w:jc w:val="both"/>
        <w:rPr>
          <w:rFonts w:eastAsiaTheme="majorEastAsia"/>
          <w:color w:val="000000" w:themeColor="text1"/>
        </w:rPr>
      </w:pPr>
      <w:r w:rsidRPr="003C66A0">
        <w:rPr>
          <w:rFonts w:eastAsiaTheme="majorEastAsia"/>
          <w:b/>
          <w:bCs/>
          <w:color w:val="000000" w:themeColor="text1"/>
        </w:rPr>
        <w:t xml:space="preserve">Launch of Uniswap v3: </w:t>
      </w:r>
      <w:r w:rsidRPr="003C66A0">
        <w:rPr>
          <w:rFonts w:eastAsiaTheme="majorEastAsia"/>
          <w:color w:val="000000" w:themeColor="text1"/>
        </w:rPr>
        <w:t>The concentrated liquidity promised to make market making more democratic by making capital more efficient. The truth is that performance is based on how advanced you are. The top 10% made 23–47% more money and improved their efficiency by 4–10 times. The middle 40% made 5–12% returns with 2–4 times the improvements. The bottom 50% lost money, which was worse than what v2 would have given them.</w:t>
      </w:r>
    </w:p>
    <w:p w14:paraId="736022CF" w14:textId="77777777" w:rsidR="001970FA" w:rsidRPr="003C66A0" w:rsidRDefault="001970FA" w:rsidP="00AE1DED">
      <w:pPr>
        <w:jc w:val="both"/>
        <w:rPr>
          <w:rFonts w:eastAsiaTheme="majorEastAsia"/>
          <w:color w:val="000000" w:themeColor="text1"/>
        </w:rPr>
      </w:pPr>
    </w:p>
    <w:p w14:paraId="5D9F6A3A" w14:textId="77777777" w:rsidR="00A753BE" w:rsidRDefault="00A753BE" w:rsidP="00AE1DED">
      <w:pPr>
        <w:jc w:val="both"/>
        <w:rPr>
          <w:rFonts w:eastAsiaTheme="majorEastAsia"/>
          <w:color w:val="000000" w:themeColor="text1"/>
        </w:rPr>
      </w:pPr>
      <w:r w:rsidRPr="003C66A0">
        <w:rPr>
          <w:rFonts w:eastAsiaTheme="majorEastAsia"/>
          <w:color w:val="000000" w:themeColor="text1"/>
        </w:rPr>
        <w:t xml:space="preserve">The new idea didn't make it easier for everyone to provide liquidity; it made it more professional. Complexity requirements made it hard for casual participants to get in. Professional market makers now control v3, taking 73% of fees and </w:t>
      </w:r>
      <w:proofErr w:type="gramStart"/>
      <w:r w:rsidRPr="003C66A0">
        <w:rPr>
          <w:rFonts w:eastAsiaTheme="majorEastAsia"/>
          <w:color w:val="000000" w:themeColor="text1"/>
        </w:rPr>
        <w:t>putting in</w:t>
      </w:r>
      <w:proofErr w:type="gramEnd"/>
      <w:r w:rsidRPr="003C66A0">
        <w:rPr>
          <w:rFonts w:eastAsiaTheme="majorEastAsia"/>
          <w:color w:val="000000" w:themeColor="text1"/>
        </w:rPr>
        <w:t xml:space="preserve"> 31% of capital.</w:t>
      </w:r>
    </w:p>
    <w:p w14:paraId="703EC63B" w14:textId="77777777" w:rsidR="001970FA" w:rsidRPr="003C66A0" w:rsidRDefault="001970FA" w:rsidP="00AE1DED">
      <w:pPr>
        <w:jc w:val="both"/>
        <w:rPr>
          <w:rFonts w:eastAsiaTheme="majorEastAsia"/>
          <w:color w:val="000000" w:themeColor="text1"/>
        </w:rPr>
      </w:pPr>
    </w:p>
    <w:p w14:paraId="0807A983" w14:textId="73ADCF31" w:rsidR="00FC3DF4" w:rsidRPr="003C66A0" w:rsidRDefault="008D6F57" w:rsidP="00AE1DED">
      <w:pPr>
        <w:pStyle w:val="Heading2"/>
        <w:jc w:val="both"/>
        <w:rPr>
          <w:rFonts w:eastAsiaTheme="majorEastAsia"/>
        </w:rPr>
      </w:pPr>
      <w:bookmarkStart w:id="209" w:name="_Toc214722015"/>
      <w:r w:rsidRPr="003C66A0">
        <w:rPr>
          <w:rFonts w:eastAsiaTheme="majorEastAsia"/>
        </w:rPr>
        <w:t>9</w:t>
      </w:r>
      <w:r w:rsidR="00FC3DF4" w:rsidRPr="003C66A0">
        <w:rPr>
          <w:rFonts w:eastAsiaTheme="majorEastAsia"/>
        </w:rPr>
        <w:t>.6 Critical Limitations and Uncertainty</w:t>
      </w:r>
      <w:bookmarkEnd w:id="209"/>
    </w:p>
    <w:p w14:paraId="7615AC0C" w14:textId="187348A8" w:rsidR="002B10B1" w:rsidRPr="003C66A0" w:rsidRDefault="002B10B1" w:rsidP="00AE1DED">
      <w:pPr>
        <w:jc w:val="both"/>
        <w:rPr>
          <w:rFonts w:eastAsiaTheme="majorEastAsia"/>
          <w:bCs/>
          <w:color w:val="000000" w:themeColor="text1"/>
        </w:rPr>
      </w:pPr>
      <w:r w:rsidRPr="003C66A0">
        <w:rPr>
          <w:rFonts w:eastAsiaTheme="majorEastAsia"/>
          <w:bCs/>
          <w:color w:val="000000" w:themeColor="text1"/>
        </w:rPr>
        <w:t xml:space="preserve">The simulations in my research are limited and so are the conclusions that can be drawn from these. The parameter uncertainty pervades every assumption as it is difficult to know true distributions of risk tolerance, capital, or behavior. Structural uncertainty derived from modeling choices about agent interactions and the emergent behavior in complex systems cannot be predicted from the components itself. </w:t>
      </w:r>
      <w:proofErr w:type="gramStart"/>
      <w:r w:rsidRPr="003C66A0">
        <w:rPr>
          <w:rFonts w:eastAsiaTheme="majorEastAsia"/>
          <w:bCs/>
          <w:color w:val="000000" w:themeColor="text1"/>
        </w:rPr>
        <w:t>Last but not least</w:t>
      </w:r>
      <w:proofErr w:type="gramEnd"/>
      <w:r w:rsidRPr="003C66A0">
        <w:rPr>
          <w:rFonts w:eastAsiaTheme="majorEastAsia"/>
          <w:bCs/>
          <w:color w:val="000000" w:themeColor="text1"/>
        </w:rPr>
        <w:t xml:space="preserve"> the temporal validity assumes relationships persist, but cryptocurrency markets are non-stationarity and currently provide limited data to be analyzed.</w:t>
      </w:r>
    </w:p>
    <w:p w14:paraId="3876409F" w14:textId="77777777" w:rsidR="002B10B1" w:rsidRPr="003C66A0" w:rsidRDefault="002B10B1" w:rsidP="00AE1DED">
      <w:pPr>
        <w:jc w:val="both"/>
        <w:rPr>
          <w:rFonts w:eastAsiaTheme="majorEastAsia"/>
          <w:bCs/>
          <w:color w:val="000000" w:themeColor="text1"/>
        </w:rPr>
      </w:pPr>
    </w:p>
    <w:p w14:paraId="4890DD66" w14:textId="3DC3BCA0" w:rsidR="002B10B1" w:rsidRDefault="002B10B1" w:rsidP="00AE1DED">
      <w:pPr>
        <w:jc w:val="both"/>
        <w:rPr>
          <w:rFonts w:eastAsiaTheme="majorEastAsia"/>
          <w:bCs/>
          <w:color w:val="000000" w:themeColor="text1"/>
        </w:rPr>
      </w:pPr>
      <w:r w:rsidRPr="003C66A0">
        <w:rPr>
          <w:rFonts w:eastAsiaTheme="majorEastAsia"/>
          <w:bCs/>
          <w:color w:val="000000" w:themeColor="text1"/>
        </w:rPr>
        <w:t xml:space="preserve">The 2020-2024 observation period recorded exceptional circumstances that are improbable to </w:t>
      </w:r>
      <w:r w:rsidR="001B3180" w:rsidRPr="003C66A0">
        <w:rPr>
          <w:rFonts w:eastAsiaTheme="majorEastAsia"/>
          <w:bCs/>
          <w:color w:val="000000" w:themeColor="text1"/>
        </w:rPr>
        <w:t>recur,</w:t>
      </w:r>
      <w:r w:rsidRPr="003C66A0">
        <w:rPr>
          <w:rFonts w:eastAsiaTheme="majorEastAsia"/>
          <w:bCs/>
          <w:color w:val="000000" w:themeColor="text1"/>
        </w:rPr>
        <w:t xml:space="preserve"> and these conditions presented opportunities that may never appear again.</w:t>
      </w:r>
    </w:p>
    <w:p w14:paraId="62D1F768" w14:textId="77777777" w:rsidR="001970FA" w:rsidRPr="003C66A0" w:rsidRDefault="001970FA" w:rsidP="00AE1DED">
      <w:pPr>
        <w:jc w:val="both"/>
        <w:rPr>
          <w:rFonts w:eastAsiaTheme="majorEastAsia"/>
          <w:bCs/>
          <w:color w:val="000000" w:themeColor="text1"/>
        </w:rPr>
      </w:pPr>
    </w:p>
    <w:p w14:paraId="788A5ACF" w14:textId="09B12749" w:rsidR="002B10B1" w:rsidRDefault="002B10B1" w:rsidP="00AE1DED">
      <w:pPr>
        <w:jc w:val="both"/>
        <w:rPr>
          <w:rFonts w:eastAsiaTheme="majorEastAsia"/>
          <w:bCs/>
          <w:color w:val="000000" w:themeColor="text1"/>
        </w:rPr>
      </w:pPr>
      <w:r w:rsidRPr="003C66A0">
        <w:rPr>
          <w:rFonts w:eastAsiaTheme="majorEastAsia"/>
          <w:bCs/>
          <w:color w:val="000000" w:themeColor="text1"/>
        </w:rPr>
        <w:t xml:space="preserve">True failures leave no trace, even when people try to include them. There are $1.2 billion in forgotten positions in abandoned wallets. Rage-quit protocols got rid of their data. Traders who fail don't talk about their losses. The universe we can see might only be half of what is really going on. The </w:t>
      </w:r>
      <w:r w:rsidR="003441C8" w:rsidRPr="003C66A0">
        <w:rPr>
          <w:rFonts w:eastAsiaTheme="majorEastAsia"/>
          <w:bCs/>
          <w:color w:val="000000" w:themeColor="text1"/>
        </w:rPr>
        <w:t xml:space="preserve">previously established </w:t>
      </w:r>
      <w:r w:rsidRPr="003C66A0">
        <w:rPr>
          <w:rFonts w:eastAsiaTheme="majorEastAsia"/>
          <w:bCs/>
          <w:color w:val="000000" w:themeColor="text1"/>
        </w:rPr>
        <w:t>failure rate of could be as high as 90% if I could see everything.</w:t>
      </w:r>
    </w:p>
    <w:p w14:paraId="12E36803" w14:textId="77777777" w:rsidR="001970FA" w:rsidRPr="003C66A0" w:rsidRDefault="001970FA" w:rsidP="00AE1DED">
      <w:pPr>
        <w:jc w:val="both"/>
        <w:rPr>
          <w:rFonts w:eastAsiaTheme="majorEastAsia"/>
          <w:bCs/>
          <w:color w:val="000000" w:themeColor="text1"/>
        </w:rPr>
      </w:pPr>
    </w:p>
    <w:p w14:paraId="15F5B899" w14:textId="08FA2316" w:rsidR="00FC3DF4" w:rsidRPr="003C66A0" w:rsidRDefault="008D6F57" w:rsidP="00AE1DED">
      <w:pPr>
        <w:pStyle w:val="Heading2"/>
        <w:jc w:val="both"/>
        <w:rPr>
          <w:rFonts w:eastAsiaTheme="majorEastAsia"/>
        </w:rPr>
      </w:pPr>
      <w:bookmarkStart w:id="210" w:name="_Toc214722016"/>
      <w:r w:rsidRPr="003C66A0">
        <w:rPr>
          <w:rFonts w:eastAsiaTheme="majorEastAsia"/>
        </w:rPr>
        <w:t>9</w:t>
      </w:r>
      <w:r w:rsidR="00FC3DF4" w:rsidRPr="003C66A0">
        <w:rPr>
          <w:rFonts w:eastAsiaTheme="majorEastAsia"/>
        </w:rPr>
        <w:t>.7 Synthesis: Bounded Opportunities in Constrained Environments</w:t>
      </w:r>
      <w:bookmarkEnd w:id="210"/>
    </w:p>
    <w:p w14:paraId="0EB78DD1" w14:textId="0583F347" w:rsidR="00FC3DF4" w:rsidRDefault="00577CF7" w:rsidP="00AE1DED">
      <w:pPr>
        <w:jc w:val="both"/>
        <w:rPr>
          <w:rFonts w:eastAsiaTheme="majorEastAsia"/>
          <w:bCs/>
          <w:color w:val="000000" w:themeColor="text1"/>
        </w:rPr>
      </w:pPr>
      <w:r w:rsidRPr="003C66A0">
        <w:rPr>
          <w:rFonts w:eastAsiaTheme="majorEastAsia"/>
          <w:bCs/>
          <w:color w:val="000000" w:themeColor="text1"/>
        </w:rPr>
        <w:t>The e</w:t>
      </w:r>
      <w:r w:rsidR="00FC3DF4" w:rsidRPr="003C66A0">
        <w:rPr>
          <w:rFonts w:eastAsiaTheme="majorEastAsia"/>
          <w:bCs/>
          <w:color w:val="000000" w:themeColor="text1"/>
        </w:rPr>
        <w:t xml:space="preserve">xtended empirical analysis </w:t>
      </w:r>
      <w:r w:rsidRPr="003C66A0">
        <w:rPr>
          <w:rFonts w:eastAsiaTheme="majorEastAsia"/>
          <w:bCs/>
          <w:color w:val="000000" w:themeColor="text1"/>
        </w:rPr>
        <w:t xml:space="preserve">- </w:t>
      </w:r>
      <w:r w:rsidR="00FC3DF4" w:rsidRPr="003C66A0">
        <w:rPr>
          <w:rFonts w:eastAsiaTheme="majorEastAsia"/>
          <w:bCs/>
          <w:color w:val="000000" w:themeColor="text1"/>
        </w:rPr>
        <w:t xml:space="preserve">combining simulation, natural experiments, and practitioner experiences </w:t>
      </w:r>
      <w:r w:rsidRPr="003C66A0">
        <w:rPr>
          <w:rFonts w:eastAsiaTheme="majorEastAsia"/>
          <w:bCs/>
          <w:color w:val="000000" w:themeColor="text1"/>
        </w:rPr>
        <w:t xml:space="preserve">– shows </w:t>
      </w:r>
      <w:r w:rsidR="009E48E6" w:rsidRPr="003C66A0">
        <w:rPr>
          <w:rFonts w:eastAsiaTheme="majorEastAsia"/>
          <w:bCs/>
          <w:color w:val="000000" w:themeColor="text1"/>
        </w:rPr>
        <w:t>that cryptocurrency</w:t>
      </w:r>
      <w:r w:rsidR="00FC3DF4" w:rsidRPr="003C66A0">
        <w:rPr>
          <w:rFonts w:eastAsiaTheme="majorEastAsia"/>
          <w:bCs/>
          <w:color w:val="000000" w:themeColor="text1"/>
        </w:rPr>
        <w:t xml:space="preserve"> passive income operates within </w:t>
      </w:r>
      <w:r w:rsidRPr="003C66A0">
        <w:rPr>
          <w:rFonts w:eastAsiaTheme="majorEastAsia"/>
          <w:bCs/>
          <w:color w:val="000000" w:themeColor="text1"/>
        </w:rPr>
        <w:t xml:space="preserve">very </w:t>
      </w:r>
      <w:r w:rsidR="00FC3DF4" w:rsidRPr="003C66A0">
        <w:rPr>
          <w:rFonts w:eastAsiaTheme="majorEastAsia"/>
          <w:bCs/>
          <w:color w:val="000000" w:themeColor="text1"/>
        </w:rPr>
        <w:t>narrow boundaries</w:t>
      </w:r>
      <w:r w:rsidRPr="003C66A0">
        <w:rPr>
          <w:rFonts w:eastAsiaTheme="majorEastAsia"/>
          <w:bCs/>
          <w:color w:val="000000" w:themeColor="text1"/>
        </w:rPr>
        <w:t xml:space="preserve">. This is reflected in the results, showing </w:t>
      </w:r>
      <w:r w:rsidR="009E48E6" w:rsidRPr="003C66A0">
        <w:rPr>
          <w:rFonts w:eastAsiaTheme="majorEastAsia"/>
          <w:bCs/>
          <w:color w:val="000000" w:themeColor="text1"/>
        </w:rPr>
        <w:t>that</w:t>
      </w:r>
      <w:r w:rsidRPr="003C66A0">
        <w:rPr>
          <w:rFonts w:eastAsiaTheme="majorEastAsia"/>
          <w:bCs/>
          <w:color w:val="000000" w:themeColor="text1"/>
        </w:rPr>
        <w:t xml:space="preserve"> </w:t>
      </w:r>
      <w:r w:rsidR="00FC3DF4" w:rsidRPr="003C66A0">
        <w:rPr>
          <w:rFonts w:eastAsiaTheme="majorEastAsia"/>
          <w:bCs/>
          <w:color w:val="000000" w:themeColor="text1"/>
        </w:rPr>
        <w:t xml:space="preserve">most participants cannot navigate </w:t>
      </w:r>
      <w:r w:rsidRPr="003C66A0">
        <w:rPr>
          <w:rFonts w:eastAsiaTheme="majorEastAsia"/>
          <w:bCs/>
          <w:color w:val="000000" w:themeColor="text1"/>
        </w:rPr>
        <w:t xml:space="preserve">this </w:t>
      </w:r>
      <w:r w:rsidR="00FC3DF4" w:rsidRPr="003C66A0">
        <w:rPr>
          <w:rFonts w:eastAsiaTheme="majorEastAsia"/>
          <w:bCs/>
          <w:color w:val="000000" w:themeColor="text1"/>
        </w:rPr>
        <w:t>successfully.</w:t>
      </w:r>
    </w:p>
    <w:p w14:paraId="323869FB" w14:textId="77777777" w:rsidR="001970FA" w:rsidRPr="003C66A0" w:rsidRDefault="001970FA" w:rsidP="00AE1DED">
      <w:pPr>
        <w:jc w:val="both"/>
        <w:rPr>
          <w:rFonts w:eastAsiaTheme="majorEastAsia"/>
          <w:bCs/>
          <w:color w:val="000000" w:themeColor="text1"/>
        </w:rPr>
      </w:pPr>
    </w:p>
    <w:p w14:paraId="32C8424D" w14:textId="3D73AF3C" w:rsidR="00FC3DF4" w:rsidRDefault="00FC3DF4" w:rsidP="00AE1DED">
      <w:pPr>
        <w:jc w:val="both"/>
        <w:rPr>
          <w:rFonts w:eastAsiaTheme="majorEastAsia"/>
          <w:bCs/>
          <w:color w:val="000000" w:themeColor="text1"/>
        </w:rPr>
      </w:pPr>
      <w:r w:rsidRPr="003C66A0">
        <w:rPr>
          <w:rFonts w:eastAsiaTheme="majorEastAsia"/>
          <w:bCs/>
          <w:color w:val="000000" w:themeColor="text1"/>
        </w:rPr>
        <w:t>Five key findings emerge</w:t>
      </w:r>
      <w:r w:rsidR="00577CF7" w:rsidRPr="003C66A0">
        <w:rPr>
          <w:rFonts w:eastAsiaTheme="majorEastAsia"/>
          <w:bCs/>
          <w:color w:val="000000" w:themeColor="text1"/>
        </w:rPr>
        <w:t>d</w:t>
      </w:r>
      <w:r w:rsidRPr="003C66A0">
        <w:rPr>
          <w:rFonts w:eastAsiaTheme="majorEastAsia"/>
          <w:bCs/>
          <w:color w:val="000000" w:themeColor="text1"/>
        </w:rPr>
        <w:t xml:space="preserve"> with moderate confidence despite limitations:</w:t>
      </w:r>
    </w:p>
    <w:p w14:paraId="4D412D5D" w14:textId="77777777" w:rsidR="008D7B36" w:rsidRPr="003C66A0" w:rsidRDefault="008D7B36" w:rsidP="00AE1DED">
      <w:pPr>
        <w:jc w:val="both"/>
        <w:rPr>
          <w:rFonts w:eastAsiaTheme="majorEastAsia"/>
          <w:bCs/>
          <w:color w:val="000000" w:themeColor="text1"/>
        </w:rPr>
      </w:pPr>
    </w:p>
    <w:p w14:paraId="47A4405D" w14:textId="6E9F18D2" w:rsidR="00FC3DF4" w:rsidRPr="003C66A0" w:rsidRDefault="00FC3DF4" w:rsidP="00AE1DED">
      <w:pPr>
        <w:numPr>
          <w:ilvl w:val="0"/>
          <w:numId w:val="258"/>
        </w:numPr>
        <w:jc w:val="both"/>
        <w:rPr>
          <w:rFonts w:eastAsiaTheme="majorEastAsia"/>
          <w:bCs/>
          <w:color w:val="000000" w:themeColor="text1"/>
        </w:rPr>
      </w:pPr>
      <w:r w:rsidRPr="003C66A0">
        <w:rPr>
          <w:rFonts w:eastAsiaTheme="majorEastAsia"/>
          <w:b/>
          <w:bCs/>
          <w:color w:val="000000" w:themeColor="text1"/>
        </w:rPr>
        <w:t>Anti-inductivity kills optimization.</w:t>
      </w:r>
      <w:r w:rsidRPr="003C66A0">
        <w:rPr>
          <w:rFonts w:eastAsiaTheme="majorEastAsia"/>
          <w:bCs/>
          <w:color w:val="000000" w:themeColor="text1"/>
        </w:rPr>
        <w:t xml:space="preserve"> </w:t>
      </w:r>
      <w:r w:rsidR="00577CF7" w:rsidRPr="003C66A0">
        <w:rPr>
          <w:rFonts w:eastAsiaTheme="majorEastAsia"/>
          <w:bCs/>
          <w:color w:val="000000" w:themeColor="text1"/>
        </w:rPr>
        <w:t>New opportunities</w:t>
      </w:r>
      <w:r w:rsidRPr="003C66A0">
        <w:rPr>
          <w:rFonts w:eastAsiaTheme="majorEastAsia"/>
          <w:bCs/>
          <w:color w:val="000000" w:themeColor="text1"/>
        </w:rPr>
        <w:t xml:space="preserve"> </w:t>
      </w:r>
      <w:proofErr w:type="gramStart"/>
      <w:r w:rsidRPr="003C66A0">
        <w:rPr>
          <w:rFonts w:eastAsiaTheme="majorEastAsia"/>
          <w:bCs/>
          <w:color w:val="000000" w:themeColor="text1"/>
        </w:rPr>
        <w:t>ha</w:t>
      </w:r>
      <w:r w:rsidR="00577CF7" w:rsidRPr="003C66A0">
        <w:rPr>
          <w:rFonts w:eastAsiaTheme="majorEastAsia"/>
          <w:bCs/>
          <w:color w:val="000000" w:themeColor="text1"/>
        </w:rPr>
        <w:t>ve</w:t>
      </w:r>
      <w:r w:rsidRPr="003C66A0">
        <w:rPr>
          <w:rFonts w:eastAsiaTheme="majorEastAsia"/>
          <w:bCs/>
          <w:color w:val="000000" w:themeColor="text1"/>
        </w:rPr>
        <w:t>s</w:t>
      </w:r>
      <w:proofErr w:type="gramEnd"/>
      <w:r w:rsidRPr="003C66A0">
        <w:rPr>
          <w:rFonts w:eastAsiaTheme="majorEastAsia"/>
          <w:bCs/>
          <w:color w:val="000000" w:themeColor="text1"/>
        </w:rPr>
        <w:t xml:space="preserve"> a half-life of approximately six months. The only sustainable edge </w:t>
      </w:r>
      <w:proofErr w:type="gramStart"/>
      <w:r w:rsidR="00577CF7" w:rsidRPr="003C66A0">
        <w:rPr>
          <w:rFonts w:eastAsiaTheme="majorEastAsia"/>
          <w:bCs/>
          <w:color w:val="000000" w:themeColor="text1"/>
        </w:rPr>
        <w:t>here is</w:t>
      </w:r>
      <w:proofErr w:type="gramEnd"/>
      <w:r w:rsidR="00577CF7" w:rsidRPr="003C66A0">
        <w:rPr>
          <w:rFonts w:eastAsiaTheme="majorEastAsia"/>
          <w:bCs/>
          <w:color w:val="000000" w:themeColor="text1"/>
        </w:rPr>
        <w:t xml:space="preserve"> </w:t>
      </w:r>
      <w:proofErr w:type="spellStart"/>
      <w:r w:rsidRPr="003C66A0">
        <w:rPr>
          <w:rFonts w:eastAsiaTheme="majorEastAsia"/>
          <w:bCs/>
          <w:color w:val="000000" w:themeColor="text1"/>
        </w:rPr>
        <w:t>is</w:t>
      </w:r>
      <w:proofErr w:type="spellEnd"/>
      <w:r w:rsidRPr="003C66A0">
        <w:rPr>
          <w:rFonts w:eastAsiaTheme="majorEastAsia"/>
          <w:bCs/>
          <w:color w:val="000000" w:themeColor="text1"/>
        </w:rPr>
        <w:t xml:space="preserve"> continuously discovering new edges.</w:t>
      </w:r>
    </w:p>
    <w:p w14:paraId="03461910" w14:textId="36783B67" w:rsidR="00FC3DF4" w:rsidRPr="003C66A0" w:rsidRDefault="00FC3DF4" w:rsidP="00AE1DED">
      <w:pPr>
        <w:numPr>
          <w:ilvl w:val="0"/>
          <w:numId w:val="258"/>
        </w:numPr>
        <w:jc w:val="both"/>
        <w:rPr>
          <w:rFonts w:eastAsiaTheme="majorEastAsia"/>
          <w:bCs/>
          <w:color w:val="000000" w:themeColor="text1"/>
        </w:rPr>
      </w:pPr>
      <w:r w:rsidRPr="003C66A0">
        <w:rPr>
          <w:rFonts w:eastAsiaTheme="majorEastAsia"/>
          <w:b/>
          <w:bCs/>
          <w:color w:val="000000" w:themeColor="text1"/>
        </w:rPr>
        <w:t>Minimum viable scales are prohibitive and rising.</w:t>
      </w:r>
      <w:r w:rsidRPr="003C66A0">
        <w:rPr>
          <w:rFonts w:eastAsiaTheme="majorEastAsia"/>
          <w:bCs/>
          <w:color w:val="000000" w:themeColor="text1"/>
        </w:rPr>
        <w:t xml:space="preserve"> Current requirements ($750-$</w:t>
      </w:r>
      <w:r w:rsidR="00577CF7" w:rsidRPr="003C66A0">
        <w:rPr>
          <w:rFonts w:eastAsiaTheme="majorEastAsia"/>
          <w:bCs/>
          <w:color w:val="000000" w:themeColor="text1"/>
        </w:rPr>
        <w:t>25</w:t>
      </w:r>
      <w:r w:rsidRPr="003C66A0">
        <w:rPr>
          <w:rFonts w:eastAsiaTheme="majorEastAsia"/>
          <w:bCs/>
          <w:color w:val="000000" w:themeColor="text1"/>
        </w:rPr>
        <w:t>,000) already exclude most potential participants</w:t>
      </w:r>
      <w:r w:rsidR="00577CF7" w:rsidRPr="003C66A0">
        <w:rPr>
          <w:rFonts w:eastAsiaTheme="majorEastAsia"/>
          <w:bCs/>
          <w:color w:val="000000" w:themeColor="text1"/>
        </w:rPr>
        <w:t>. The requirements show</w:t>
      </w:r>
      <w:r w:rsidRPr="003C66A0">
        <w:rPr>
          <w:rFonts w:eastAsiaTheme="majorEastAsia"/>
          <w:bCs/>
          <w:color w:val="000000" w:themeColor="text1"/>
        </w:rPr>
        <w:t xml:space="preserve"> increase</w:t>
      </w:r>
      <w:r w:rsidR="00577CF7" w:rsidRPr="003C66A0">
        <w:rPr>
          <w:rFonts w:eastAsiaTheme="majorEastAsia"/>
          <w:bCs/>
          <w:color w:val="000000" w:themeColor="text1"/>
        </w:rPr>
        <w:t>s</w:t>
      </w:r>
      <w:r w:rsidRPr="003C66A0">
        <w:rPr>
          <w:rFonts w:eastAsiaTheme="majorEastAsia"/>
          <w:bCs/>
          <w:color w:val="000000" w:themeColor="text1"/>
        </w:rPr>
        <w:t xml:space="preserve"> </w:t>
      </w:r>
      <w:r w:rsidR="00577CF7" w:rsidRPr="003C66A0">
        <w:rPr>
          <w:rFonts w:eastAsiaTheme="majorEastAsia"/>
          <w:bCs/>
          <w:color w:val="000000" w:themeColor="text1"/>
        </w:rPr>
        <w:t xml:space="preserve">between </w:t>
      </w:r>
      <w:r w:rsidRPr="003C66A0">
        <w:rPr>
          <w:rFonts w:eastAsiaTheme="majorEastAsia"/>
          <w:bCs/>
          <w:color w:val="000000" w:themeColor="text1"/>
        </w:rPr>
        <w:t>20-30% annually.</w:t>
      </w:r>
    </w:p>
    <w:p w14:paraId="333C3628" w14:textId="05B0F0EB" w:rsidR="00FC3DF4" w:rsidRPr="003C66A0" w:rsidRDefault="00FC3DF4" w:rsidP="00AE1DED">
      <w:pPr>
        <w:numPr>
          <w:ilvl w:val="0"/>
          <w:numId w:val="258"/>
        </w:numPr>
        <w:jc w:val="both"/>
        <w:rPr>
          <w:rFonts w:eastAsiaTheme="majorEastAsia"/>
          <w:bCs/>
          <w:color w:val="000000" w:themeColor="text1"/>
        </w:rPr>
      </w:pPr>
      <w:r w:rsidRPr="003C66A0">
        <w:rPr>
          <w:rFonts w:eastAsiaTheme="majorEastAsia"/>
          <w:b/>
          <w:bCs/>
          <w:color w:val="000000" w:themeColor="text1"/>
        </w:rPr>
        <w:t>Costs dominate returns at small scales.</w:t>
      </w:r>
      <w:r w:rsidRPr="003C66A0">
        <w:rPr>
          <w:rFonts w:eastAsiaTheme="majorEastAsia"/>
          <w:bCs/>
          <w:color w:val="000000" w:themeColor="text1"/>
        </w:rPr>
        <w:t xml:space="preserve"> Below $25,000, </w:t>
      </w:r>
      <w:r w:rsidR="00860F9C" w:rsidRPr="003C66A0">
        <w:rPr>
          <w:rFonts w:eastAsiaTheme="majorEastAsia"/>
          <w:bCs/>
          <w:color w:val="000000" w:themeColor="text1"/>
        </w:rPr>
        <w:t xml:space="preserve">the </w:t>
      </w:r>
      <w:r w:rsidRPr="003C66A0">
        <w:rPr>
          <w:rFonts w:eastAsiaTheme="majorEastAsia"/>
          <w:bCs/>
          <w:color w:val="000000" w:themeColor="text1"/>
        </w:rPr>
        <w:t>operational costs typically exceed gross returns.</w:t>
      </w:r>
    </w:p>
    <w:p w14:paraId="27F670FB" w14:textId="0D373E18" w:rsidR="00FC3DF4" w:rsidRPr="003C66A0" w:rsidRDefault="00FC3DF4" w:rsidP="00AE1DED">
      <w:pPr>
        <w:numPr>
          <w:ilvl w:val="0"/>
          <w:numId w:val="258"/>
        </w:numPr>
        <w:jc w:val="both"/>
        <w:rPr>
          <w:rFonts w:eastAsiaTheme="majorEastAsia"/>
          <w:bCs/>
          <w:color w:val="000000" w:themeColor="text1"/>
        </w:rPr>
      </w:pPr>
      <w:r w:rsidRPr="003C66A0">
        <w:rPr>
          <w:rFonts w:eastAsiaTheme="majorEastAsia"/>
          <w:b/>
          <w:bCs/>
          <w:color w:val="000000" w:themeColor="text1"/>
        </w:rPr>
        <w:t>Risk-adjusted returns</w:t>
      </w:r>
      <w:r w:rsidR="00934AAA" w:rsidRPr="003C66A0">
        <w:rPr>
          <w:rFonts w:eastAsiaTheme="majorEastAsia"/>
          <w:b/>
          <w:bCs/>
          <w:color w:val="000000" w:themeColor="text1"/>
        </w:rPr>
        <w:t xml:space="preserve"> do not </w:t>
      </w:r>
      <w:r w:rsidRPr="003C66A0">
        <w:rPr>
          <w:rFonts w:eastAsiaTheme="majorEastAsia"/>
          <w:b/>
          <w:bCs/>
          <w:color w:val="000000" w:themeColor="text1"/>
        </w:rPr>
        <w:t>justify complexity.</w:t>
      </w:r>
      <w:r w:rsidRPr="003C66A0">
        <w:rPr>
          <w:rFonts w:eastAsiaTheme="majorEastAsia"/>
          <w:bCs/>
          <w:color w:val="000000" w:themeColor="text1"/>
        </w:rPr>
        <w:t xml:space="preserve"> Most strategies deliver bond-like returns with equity-like risks.</w:t>
      </w:r>
    </w:p>
    <w:p w14:paraId="34590C80" w14:textId="29042E4D" w:rsidR="00FC3DF4" w:rsidRDefault="00FC3DF4" w:rsidP="00AE1DED">
      <w:pPr>
        <w:numPr>
          <w:ilvl w:val="0"/>
          <w:numId w:val="258"/>
        </w:numPr>
        <w:jc w:val="both"/>
        <w:rPr>
          <w:rFonts w:eastAsiaTheme="majorEastAsia"/>
          <w:bCs/>
          <w:color w:val="000000" w:themeColor="text1"/>
        </w:rPr>
      </w:pPr>
      <w:r w:rsidRPr="003C66A0">
        <w:rPr>
          <w:rFonts w:eastAsiaTheme="majorEastAsia"/>
          <w:b/>
          <w:bCs/>
          <w:color w:val="000000" w:themeColor="text1"/>
        </w:rPr>
        <w:lastRenderedPageBreak/>
        <w:t>Sustainable opportunities cluster in boring strategies.</w:t>
      </w:r>
      <w:r w:rsidRPr="003C66A0">
        <w:rPr>
          <w:rFonts w:eastAsiaTheme="majorEastAsia"/>
          <w:bCs/>
          <w:color w:val="000000" w:themeColor="text1"/>
        </w:rPr>
        <w:t xml:space="preserve"> Stablecoin liquidity provision offers genuine 4-8% returns. Everything else </w:t>
      </w:r>
      <w:r w:rsidR="00860F9C" w:rsidRPr="003C66A0">
        <w:rPr>
          <w:rFonts w:eastAsiaTheme="majorEastAsia"/>
          <w:bCs/>
          <w:color w:val="000000" w:themeColor="text1"/>
        </w:rPr>
        <w:t xml:space="preserve">is </w:t>
      </w:r>
      <w:r w:rsidRPr="003C66A0">
        <w:rPr>
          <w:rFonts w:eastAsiaTheme="majorEastAsia"/>
          <w:bCs/>
          <w:color w:val="000000" w:themeColor="text1"/>
        </w:rPr>
        <w:t>speculation.</w:t>
      </w:r>
    </w:p>
    <w:p w14:paraId="60FCB078" w14:textId="77777777" w:rsidR="001970FA" w:rsidRPr="003C66A0" w:rsidRDefault="001970FA" w:rsidP="00AE1DED">
      <w:pPr>
        <w:ind w:left="720"/>
        <w:jc w:val="both"/>
        <w:rPr>
          <w:rFonts w:eastAsiaTheme="majorEastAsia"/>
          <w:bCs/>
          <w:color w:val="000000" w:themeColor="text1"/>
        </w:rPr>
      </w:pPr>
    </w:p>
    <w:p w14:paraId="655A8C51" w14:textId="77777777" w:rsidR="00C5548C" w:rsidRPr="003C66A0" w:rsidRDefault="00C5548C" w:rsidP="00AE1DED">
      <w:pPr>
        <w:jc w:val="both"/>
        <w:rPr>
          <w:rFonts w:eastAsiaTheme="majorEastAsia"/>
          <w:bCs/>
          <w:color w:val="000000" w:themeColor="text1"/>
        </w:rPr>
      </w:pPr>
      <w:r w:rsidRPr="003C66A0">
        <w:rPr>
          <w:rFonts w:eastAsiaTheme="majorEastAsia"/>
          <w:bCs/>
          <w:color w:val="000000" w:themeColor="text1"/>
        </w:rPr>
        <w:t xml:space="preserve">These results limit potential participation to a restricted segment: those possessing $5,000-50,000 in true risk capital, technical proficiency, emotional stability, reasonable expectations, and a weekly availability of 10-20 hours. This describes maybe 5% of the people that are now involved and 0.01% of the world's population. </w:t>
      </w:r>
    </w:p>
    <w:p w14:paraId="5DC5E52D" w14:textId="77777777" w:rsidR="00C5548C" w:rsidRPr="003C66A0" w:rsidRDefault="00C5548C" w:rsidP="00AE1DED">
      <w:pPr>
        <w:jc w:val="both"/>
        <w:rPr>
          <w:rFonts w:eastAsiaTheme="majorEastAsia"/>
          <w:bCs/>
          <w:color w:val="000000" w:themeColor="text1"/>
        </w:rPr>
      </w:pPr>
    </w:p>
    <w:p w14:paraId="0C396A2C" w14:textId="30414072" w:rsidR="0070681F" w:rsidRPr="003C66A0" w:rsidRDefault="0070681F" w:rsidP="00AE1DED">
      <w:pPr>
        <w:jc w:val="both"/>
        <w:rPr>
          <w:rFonts w:eastAsiaTheme="majorEastAsia"/>
          <w:bCs/>
          <w:color w:val="000000" w:themeColor="text1"/>
        </w:rPr>
      </w:pPr>
      <w:r w:rsidRPr="003C66A0">
        <w:rPr>
          <w:rFonts w:eastAsiaTheme="majorEastAsia"/>
          <w:bCs/>
          <w:color w:val="000000" w:themeColor="text1"/>
        </w:rPr>
        <w:t>The simulation results indicate that current market structures favor concentration rather than distribution of opportunities, with viable participation zones narrowing rather than expanding over time.</w:t>
      </w:r>
    </w:p>
    <w:p w14:paraId="78A0EF3F" w14:textId="77777777" w:rsidR="00C5607F" w:rsidRDefault="00C5607F" w:rsidP="00AE1DED">
      <w:pPr>
        <w:rPr>
          <w:rFonts w:eastAsiaTheme="majorEastAsia"/>
          <w:b/>
          <w:kern w:val="2"/>
          <w:sz w:val="32"/>
        </w:rPr>
      </w:pPr>
      <w:r>
        <w:rPr>
          <w:rFonts w:eastAsiaTheme="majorEastAsia"/>
        </w:rPr>
        <w:br w:type="page"/>
      </w:r>
    </w:p>
    <w:p w14:paraId="2D453173" w14:textId="755FD5FB" w:rsidR="00BC193E" w:rsidRPr="003C66A0" w:rsidRDefault="00BC193E" w:rsidP="00AE1DED">
      <w:pPr>
        <w:pStyle w:val="Heading1"/>
        <w:jc w:val="center"/>
        <w:rPr>
          <w:rFonts w:eastAsiaTheme="majorEastAsia"/>
        </w:rPr>
      </w:pPr>
      <w:bookmarkStart w:id="211" w:name="_Toc214722017"/>
      <w:r w:rsidRPr="003C66A0">
        <w:rPr>
          <w:rFonts w:eastAsiaTheme="majorEastAsia"/>
        </w:rPr>
        <w:lastRenderedPageBreak/>
        <w:t xml:space="preserve">CHAPTER </w:t>
      </w:r>
      <w:r w:rsidR="008D6F57" w:rsidRPr="003C66A0">
        <w:rPr>
          <w:rFonts w:eastAsiaTheme="majorEastAsia"/>
        </w:rPr>
        <w:t>10</w:t>
      </w:r>
      <w:r w:rsidRPr="003C66A0">
        <w:rPr>
          <w:rFonts w:eastAsiaTheme="majorEastAsia"/>
        </w:rPr>
        <w:t xml:space="preserve">: </w:t>
      </w:r>
      <w:r w:rsidR="0076579E" w:rsidRPr="003C66A0">
        <w:rPr>
          <w:rFonts w:eastAsiaTheme="majorEastAsia"/>
        </w:rPr>
        <w:t>IMPLEMENTATION GUIDANCE AND OPTIMIZATION REALITIES</w:t>
      </w:r>
      <w:bookmarkEnd w:id="211"/>
    </w:p>
    <w:p w14:paraId="75B60C26" w14:textId="77777777" w:rsidR="009E48E6" w:rsidRDefault="009E48E6" w:rsidP="00AE1DED">
      <w:pPr>
        <w:jc w:val="both"/>
        <w:rPr>
          <w:rFonts w:eastAsiaTheme="majorEastAsia"/>
          <w:b/>
          <w:bCs/>
          <w:color w:val="000000" w:themeColor="text1"/>
        </w:rPr>
      </w:pPr>
    </w:p>
    <w:p w14:paraId="327C029F" w14:textId="77777777" w:rsidR="001B3180" w:rsidRDefault="001B3180" w:rsidP="00AE1DED">
      <w:pPr>
        <w:jc w:val="both"/>
        <w:rPr>
          <w:rFonts w:eastAsiaTheme="majorEastAsia"/>
          <w:b/>
          <w:bCs/>
          <w:color w:val="000000" w:themeColor="text1"/>
        </w:rPr>
      </w:pPr>
    </w:p>
    <w:p w14:paraId="641C2ED7" w14:textId="32189FC5" w:rsidR="0076579E" w:rsidRPr="003C66A0" w:rsidRDefault="008D6F57" w:rsidP="00AE1DED">
      <w:pPr>
        <w:pStyle w:val="Heading2"/>
        <w:jc w:val="both"/>
        <w:rPr>
          <w:rFonts w:eastAsiaTheme="majorEastAsia"/>
        </w:rPr>
      </w:pPr>
      <w:bookmarkStart w:id="212" w:name="_Toc214722018"/>
      <w:r w:rsidRPr="003C66A0">
        <w:rPr>
          <w:rFonts w:eastAsiaTheme="majorEastAsia"/>
        </w:rPr>
        <w:t>10</w:t>
      </w:r>
      <w:r w:rsidR="0076579E" w:rsidRPr="003C66A0">
        <w:rPr>
          <w:rFonts w:eastAsiaTheme="majorEastAsia"/>
        </w:rPr>
        <w:t>.1 Introduction: When Optimization Helps and When It Hurts</w:t>
      </w:r>
      <w:bookmarkEnd w:id="212"/>
    </w:p>
    <w:p w14:paraId="7275F92D" w14:textId="77777777" w:rsidR="000C10C2" w:rsidRPr="003C66A0" w:rsidRDefault="000C10C2" w:rsidP="00AE1DED">
      <w:pPr>
        <w:autoSpaceDE w:val="0"/>
        <w:autoSpaceDN w:val="0"/>
        <w:adjustRightInd w:val="0"/>
        <w:jc w:val="both"/>
        <w:rPr>
          <w:rFonts w:eastAsiaTheme="majorEastAsia"/>
          <w:color w:val="000000" w:themeColor="text1"/>
        </w:rPr>
      </w:pPr>
      <w:r w:rsidRPr="003C66A0">
        <w:rPr>
          <w:rFonts w:eastAsiaTheme="majorEastAsia"/>
          <w:color w:val="000000" w:themeColor="text1"/>
        </w:rPr>
        <w:t>This chapter looks at how theoretical ideas connect with market reality. It looks at 156 positions and collects insights from 27 practitioners about their implementation experiences. The findings show a paradox where advanced optimization usually lowers returns for most participants. However, some optimizations are key for sustainable performance (</w:t>
      </w:r>
      <w:proofErr w:type="spellStart"/>
      <w:r w:rsidRPr="003C66A0">
        <w:rPr>
          <w:rFonts w:eastAsiaTheme="majorEastAsia"/>
          <w:color w:val="000000" w:themeColor="text1"/>
        </w:rPr>
        <w:t>Gigerenzer</w:t>
      </w:r>
      <w:proofErr w:type="spellEnd"/>
      <w:r w:rsidRPr="003C66A0">
        <w:rPr>
          <w:rFonts w:eastAsiaTheme="majorEastAsia"/>
          <w:color w:val="000000" w:themeColor="text1"/>
        </w:rPr>
        <w:t xml:space="preserve"> &amp; Brighton, 2009).</w:t>
      </w:r>
    </w:p>
    <w:p w14:paraId="4C8A1AB2" w14:textId="77777777" w:rsidR="000C10C2" w:rsidRPr="003C66A0" w:rsidRDefault="000C10C2" w:rsidP="00AE1DED">
      <w:pPr>
        <w:autoSpaceDE w:val="0"/>
        <w:autoSpaceDN w:val="0"/>
        <w:adjustRightInd w:val="0"/>
        <w:jc w:val="both"/>
        <w:rPr>
          <w:rFonts w:eastAsiaTheme="majorEastAsia"/>
          <w:color w:val="000000" w:themeColor="text1"/>
        </w:rPr>
      </w:pPr>
    </w:p>
    <w:p w14:paraId="1E02F974" w14:textId="5FDFA757" w:rsidR="000C10C2" w:rsidRPr="003C66A0" w:rsidRDefault="000C10C2" w:rsidP="00AE1DED">
      <w:pPr>
        <w:autoSpaceDE w:val="0"/>
        <w:autoSpaceDN w:val="0"/>
        <w:adjustRightInd w:val="0"/>
        <w:jc w:val="both"/>
        <w:rPr>
          <w:rFonts w:eastAsiaTheme="majorEastAsia"/>
          <w:color w:val="000000" w:themeColor="text1"/>
        </w:rPr>
      </w:pPr>
      <w:r w:rsidRPr="003C66A0">
        <w:rPr>
          <w:rFonts w:eastAsiaTheme="majorEastAsia"/>
          <w:color w:val="000000" w:themeColor="text1"/>
        </w:rPr>
        <w:t xml:space="preserve">Here, 'optimization' refers to efforts that increase returns. This can be done through active management, advanced strategies, or complex instruments. My observation that optimization often reduces returns should be taken carefully. Not all enhancements harm the </w:t>
      </w:r>
      <w:r w:rsidR="008D7B36" w:rsidRPr="003C66A0">
        <w:rPr>
          <w:rFonts w:eastAsiaTheme="majorEastAsia"/>
          <w:color w:val="000000" w:themeColor="text1"/>
        </w:rPr>
        <w:t>performance,</w:t>
      </w:r>
      <w:r w:rsidRPr="003C66A0">
        <w:rPr>
          <w:rFonts w:eastAsiaTheme="majorEastAsia"/>
          <w:color w:val="000000" w:themeColor="text1"/>
        </w:rPr>
        <w:t xml:space="preserve"> but when things get too complex for someone's skills, it often lowers the value, even if the strategy is good. The L2 solutions cut this to $3,500, while alternative chains like Polygon allowed profitability starting at $750. </w:t>
      </w:r>
    </w:p>
    <w:p w14:paraId="7328A703" w14:textId="77777777" w:rsidR="000C10C2" w:rsidRPr="003C66A0" w:rsidRDefault="000C10C2" w:rsidP="00AE1DED">
      <w:pPr>
        <w:autoSpaceDE w:val="0"/>
        <w:autoSpaceDN w:val="0"/>
        <w:adjustRightInd w:val="0"/>
        <w:jc w:val="both"/>
        <w:rPr>
          <w:rFonts w:eastAsiaTheme="majorEastAsia"/>
          <w:color w:val="000000" w:themeColor="text1"/>
        </w:rPr>
      </w:pPr>
    </w:p>
    <w:p w14:paraId="799C100D" w14:textId="77777777" w:rsidR="000C10C2" w:rsidRPr="003C66A0" w:rsidRDefault="000C10C2" w:rsidP="00AE1DED">
      <w:pPr>
        <w:autoSpaceDE w:val="0"/>
        <w:autoSpaceDN w:val="0"/>
        <w:adjustRightInd w:val="0"/>
        <w:jc w:val="both"/>
        <w:rPr>
          <w:rFonts w:eastAsiaTheme="majorEastAsia"/>
          <w:color w:val="000000" w:themeColor="text1"/>
        </w:rPr>
      </w:pPr>
      <w:r w:rsidRPr="003C66A0">
        <w:rPr>
          <w:rFonts w:eastAsiaTheme="majorEastAsia"/>
          <w:color w:val="000000" w:themeColor="text1"/>
        </w:rPr>
        <w:t>Success correlates more with matching strategy complexity to participant capabilities than with strategy sophistication itself (Barber &amp; Odean, 2000). A simple strategy well-executed beats a complex strategy poorly implemented consistently (Kahneman, 2011). But "simple" and "complex" vary dramatically based on individual background, resources, and temperament (Dunning, 2011).</w:t>
      </w:r>
    </w:p>
    <w:p w14:paraId="1FDB126C" w14:textId="77777777" w:rsidR="0010086C" w:rsidRPr="003C66A0" w:rsidRDefault="0010086C" w:rsidP="00AE1DED">
      <w:pPr>
        <w:jc w:val="both"/>
        <w:rPr>
          <w:rFonts w:eastAsiaTheme="majorEastAsia"/>
          <w:color w:val="000000" w:themeColor="text1"/>
        </w:rPr>
      </w:pPr>
    </w:p>
    <w:p w14:paraId="47162016" w14:textId="3C2A547E" w:rsidR="0076579E" w:rsidRPr="003C66A0" w:rsidRDefault="0076579E" w:rsidP="00AE1DED">
      <w:pPr>
        <w:jc w:val="both"/>
        <w:rPr>
          <w:rFonts w:eastAsiaTheme="majorEastAsia"/>
          <w:color w:val="000000" w:themeColor="text1"/>
        </w:rPr>
      </w:pPr>
      <w:r w:rsidRPr="003C66A0">
        <w:rPr>
          <w:rFonts w:eastAsiaTheme="majorEastAsia"/>
          <w:color w:val="000000" w:themeColor="text1"/>
        </w:rPr>
        <w:t>The uncomfortable reality</w:t>
      </w:r>
      <w:r w:rsidR="000C10C2" w:rsidRPr="003C66A0">
        <w:rPr>
          <w:rFonts w:eastAsiaTheme="majorEastAsia"/>
          <w:color w:val="000000" w:themeColor="text1"/>
        </w:rPr>
        <w:t xml:space="preserve"> is that</w:t>
      </w:r>
      <w:r w:rsidRPr="003C66A0">
        <w:rPr>
          <w:rFonts w:eastAsiaTheme="majorEastAsia"/>
          <w:color w:val="000000" w:themeColor="text1"/>
        </w:rPr>
        <w:t xml:space="preserve"> most participants would achieve better results doing less, not more (Schwartz, 2004)</w:t>
      </w:r>
      <w:r w:rsidR="000C10C2" w:rsidRPr="003C66A0">
        <w:rPr>
          <w:rFonts w:eastAsiaTheme="majorEastAsia"/>
          <w:color w:val="000000" w:themeColor="text1"/>
        </w:rPr>
        <w:t xml:space="preserve"> and this is also shown in this study</w:t>
      </w:r>
      <w:r w:rsidRPr="003C66A0">
        <w:rPr>
          <w:rFonts w:eastAsiaTheme="majorEastAsia"/>
          <w:color w:val="000000" w:themeColor="text1"/>
        </w:rPr>
        <w:t>. But that "less" needs to be the right less—focused on high-impact decisions rather than marginal optimizations (Pareto, 1896).</w:t>
      </w:r>
    </w:p>
    <w:p w14:paraId="6FB90308" w14:textId="77777777" w:rsidR="0010086C" w:rsidRPr="003C66A0" w:rsidRDefault="0010086C" w:rsidP="00AE1DED">
      <w:pPr>
        <w:jc w:val="both"/>
        <w:rPr>
          <w:rFonts w:eastAsiaTheme="majorEastAsia"/>
          <w:color w:val="000000" w:themeColor="text1"/>
        </w:rPr>
      </w:pPr>
    </w:p>
    <w:p w14:paraId="36D9CE13" w14:textId="10DB1D9D" w:rsidR="0076579E" w:rsidRPr="003C66A0" w:rsidRDefault="008D6F57" w:rsidP="00AE1DED">
      <w:pPr>
        <w:pStyle w:val="Heading2"/>
        <w:jc w:val="both"/>
        <w:rPr>
          <w:rFonts w:eastAsiaTheme="majorEastAsia"/>
        </w:rPr>
      </w:pPr>
      <w:bookmarkStart w:id="213" w:name="_Toc214722019"/>
      <w:r w:rsidRPr="003C66A0">
        <w:rPr>
          <w:rFonts w:eastAsiaTheme="majorEastAsia"/>
        </w:rPr>
        <w:t>10.</w:t>
      </w:r>
      <w:r w:rsidR="0076579E" w:rsidRPr="003C66A0">
        <w:rPr>
          <w:rFonts w:eastAsiaTheme="majorEastAsia"/>
        </w:rPr>
        <w:t>2 Operational Efficiency: The Optimization Trap</w:t>
      </w:r>
      <w:bookmarkEnd w:id="213"/>
    </w:p>
    <w:p w14:paraId="1457A7C0" w14:textId="7DD41238" w:rsidR="0010086C" w:rsidRDefault="00B86C9F" w:rsidP="00AE1DED">
      <w:pPr>
        <w:jc w:val="both"/>
        <w:rPr>
          <w:color w:val="000000" w:themeColor="text1"/>
        </w:rPr>
      </w:pPr>
      <w:r w:rsidRPr="003C66A0">
        <w:rPr>
          <w:color w:val="000000" w:themeColor="text1"/>
        </w:rPr>
        <w:t xml:space="preserve">Gas optimization shows how using math can boost real returns such as conducting transactions during off-peak hours. This can result in savings of 30-45% on gas fees (Ethereum Gas Report, 2024). However, the implementation leads to unforeseen challenges which then minimize returns. Some of the observed challenges were with participants who improved their gas </w:t>
      </w:r>
      <w:proofErr w:type="gramStart"/>
      <w:r w:rsidRPr="003C66A0">
        <w:rPr>
          <w:color w:val="000000" w:themeColor="text1"/>
        </w:rPr>
        <w:t>timing</w:t>
      </w:r>
      <w:proofErr w:type="gramEnd"/>
      <w:r w:rsidRPr="003C66A0">
        <w:rPr>
          <w:color w:val="000000" w:themeColor="text1"/>
        </w:rPr>
        <w:t xml:space="preserve"> </w:t>
      </w:r>
      <w:proofErr w:type="gramStart"/>
      <w:r w:rsidRPr="003C66A0">
        <w:rPr>
          <w:color w:val="000000" w:themeColor="text1"/>
        </w:rPr>
        <w:t>saved</w:t>
      </w:r>
      <w:proofErr w:type="gramEnd"/>
      <w:r w:rsidRPr="003C66A0">
        <w:rPr>
          <w:color w:val="000000" w:themeColor="text1"/>
        </w:rPr>
        <w:t xml:space="preserve"> about $200 in three </w:t>
      </w:r>
      <w:proofErr w:type="gramStart"/>
      <w:r w:rsidRPr="003C66A0">
        <w:rPr>
          <w:color w:val="000000" w:themeColor="text1"/>
        </w:rPr>
        <w:t>months—</w:t>
      </w:r>
      <w:proofErr w:type="gramEnd"/>
      <w:r w:rsidRPr="003C66A0">
        <w:rPr>
          <w:color w:val="000000" w:themeColor="text1"/>
        </w:rPr>
        <w:t xml:space="preserve">actual savings. While waiting for optimal gas windows, they missed opportunities averaging $3,000 based on my empirical sample. They focused on the wrong variable while they won some battles and </w:t>
      </w:r>
      <w:proofErr w:type="gramStart"/>
      <w:r w:rsidRPr="003C66A0">
        <w:rPr>
          <w:color w:val="000000" w:themeColor="text1"/>
        </w:rPr>
        <w:t>risks</w:t>
      </w:r>
      <w:proofErr w:type="gramEnd"/>
      <w:r w:rsidRPr="003C66A0">
        <w:rPr>
          <w:color w:val="000000" w:themeColor="text1"/>
        </w:rPr>
        <w:t xml:space="preserve"> they lost the bigger opportunities (Clausewitz, 1832).</w:t>
      </w:r>
    </w:p>
    <w:p w14:paraId="5D617E0B" w14:textId="77777777" w:rsidR="001970FA" w:rsidRPr="003C66A0" w:rsidRDefault="001970FA" w:rsidP="00AE1DED">
      <w:pPr>
        <w:jc w:val="both"/>
        <w:rPr>
          <w:color w:val="000000" w:themeColor="text1"/>
        </w:rPr>
      </w:pPr>
    </w:p>
    <w:p w14:paraId="675D235F" w14:textId="689568C4" w:rsidR="000048F5" w:rsidRPr="003C66A0" w:rsidRDefault="000048F5" w:rsidP="00AE1DED">
      <w:pPr>
        <w:jc w:val="both"/>
        <w:rPr>
          <w:color w:val="000000" w:themeColor="text1"/>
        </w:rPr>
      </w:pPr>
      <w:r w:rsidRPr="003C66A0">
        <w:rPr>
          <w:color w:val="000000" w:themeColor="text1"/>
        </w:rPr>
        <w:t xml:space="preserve">Batching strategies show very similar dynamics. Combining various operations saves between 35-45% on gas (Ethereum Foundation, 2023). But batched transactions also have 28% failure rates versus 9% for simple transactions based on my data. It has shown that complex transactions create more failure points (Perrow, 1984) and when batched transactions fail, the recovery requires unbundling operations, which </w:t>
      </w:r>
      <w:proofErr w:type="gramStart"/>
      <w:r w:rsidRPr="003C66A0">
        <w:rPr>
          <w:color w:val="000000" w:themeColor="text1"/>
        </w:rPr>
        <w:t>is</w:t>
      </w:r>
      <w:proofErr w:type="gramEnd"/>
      <w:r w:rsidRPr="003C66A0">
        <w:rPr>
          <w:color w:val="000000" w:themeColor="text1"/>
        </w:rPr>
        <w:t xml:space="preserve"> often done at worse prices.</w:t>
      </w:r>
    </w:p>
    <w:p w14:paraId="525DCB70" w14:textId="77777777" w:rsidR="000048F5" w:rsidRPr="003C66A0" w:rsidRDefault="000048F5" w:rsidP="00AE1DED">
      <w:pPr>
        <w:jc w:val="both"/>
        <w:rPr>
          <w:color w:val="000000" w:themeColor="text1"/>
        </w:rPr>
      </w:pPr>
    </w:p>
    <w:p w14:paraId="700B05E6" w14:textId="265B4BED" w:rsidR="0076579E" w:rsidRPr="003C66A0" w:rsidRDefault="0076579E" w:rsidP="00AE1DED">
      <w:pPr>
        <w:jc w:val="both"/>
        <w:rPr>
          <w:color w:val="000000" w:themeColor="text1"/>
        </w:rPr>
      </w:pPr>
      <w:r w:rsidRPr="003C66A0">
        <w:rPr>
          <w:color w:val="000000" w:themeColor="text1"/>
        </w:rPr>
        <w:t xml:space="preserve">The </w:t>
      </w:r>
      <w:r w:rsidR="000048F5" w:rsidRPr="003C66A0">
        <w:rPr>
          <w:color w:val="000000" w:themeColor="text1"/>
        </w:rPr>
        <w:t>guidelines</w:t>
      </w:r>
      <w:r w:rsidRPr="003C66A0">
        <w:rPr>
          <w:color w:val="000000" w:themeColor="text1"/>
        </w:rPr>
        <w:t xml:space="preserve"> </w:t>
      </w:r>
      <w:r w:rsidR="000048F5" w:rsidRPr="003C66A0">
        <w:rPr>
          <w:color w:val="000000" w:themeColor="text1"/>
        </w:rPr>
        <w:t>identified</w:t>
      </w:r>
      <w:r w:rsidRPr="003C66A0">
        <w:rPr>
          <w:color w:val="000000" w:themeColor="text1"/>
        </w:rPr>
        <w:t xml:space="preserve"> from </w:t>
      </w:r>
      <w:r w:rsidR="00231D5B" w:rsidRPr="003C66A0">
        <w:rPr>
          <w:color w:val="000000" w:themeColor="text1"/>
        </w:rPr>
        <w:t xml:space="preserve">my </w:t>
      </w:r>
      <w:r w:rsidRPr="003C66A0">
        <w:rPr>
          <w:color w:val="000000" w:themeColor="text1"/>
        </w:rPr>
        <w:t>analysis:</w:t>
      </w:r>
    </w:p>
    <w:p w14:paraId="6B759D01" w14:textId="77777777" w:rsidR="0010086C" w:rsidRPr="003C66A0" w:rsidRDefault="0010086C" w:rsidP="00AE1DED">
      <w:pPr>
        <w:jc w:val="both"/>
        <w:rPr>
          <w:color w:val="000000" w:themeColor="text1"/>
        </w:rPr>
      </w:pPr>
    </w:p>
    <w:p w14:paraId="71EE4276" w14:textId="77777777" w:rsidR="0076579E" w:rsidRPr="003C66A0" w:rsidRDefault="0076579E" w:rsidP="00AE1DED">
      <w:pPr>
        <w:numPr>
          <w:ilvl w:val="0"/>
          <w:numId w:val="73"/>
        </w:numPr>
        <w:jc w:val="both"/>
        <w:rPr>
          <w:color w:val="000000" w:themeColor="text1"/>
        </w:rPr>
      </w:pPr>
      <w:r w:rsidRPr="003C66A0">
        <w:rPr>
          <w:color w:val="000000" w:themeColor="text1"/>
        </w:rPr>
        <w:t>Optimize gas when it represents &gt;10% of expected returns</w:t>
      </w:r>
    </w:p>
    <w:p w14:paraId="5C789716" w14:textId="497DA3B7" w:rsidR="0076579E" w:rsidRPr="003C66A0" w:rsidRDefault="0076579E" w:rsidP="00AE1DED">
      <w:pPr>
        <w:numPr>
          <w:ilvl w:val="0"/>
          <w:numId w:val="73"/>
        </w:numPr>
        <w:jc w:val="both"/>
        <w:rPr>
          <w:rFonts w:eastAsiaTheme="majorEastAsia"/>
          <w:color w:val="000000" w:themeColor="text1"/>
        </w:rPr>
      </w:pPr>
      <w:r w:rsidRPr="003C66A0">
        <w:rPr>
          <w:rFonts w:eastAsiaTheme="majorEastAsia"/>
          <w:color w:val="000000" w:themeColor="text1"/>
        </w:rPr>
        <w:t xml:space="preserve">Ignore gas optimization when </w:t>
      </w:r>
      <w:r w:rsidR="00934AAA" w:rsidRPr="003C66A0">
        <w:rPr>
          <w:rFonts w:eastAsiaTheme="majorEastAsia"/>
          <w:color w:val="000000" w:themeColor="text1"/>
        </w:rPr>
        <w:t xml:space="preserve">it is </w:t>
      </w:r>
      <w:r w:rsidRPr="003C66A0">
        <w:rPr>
          <w:rFonts w:eastAsiaTheme="majorEastAsia"/>
          <w:color w:val="000000" w:themeColor="text1"/>
        </w:rPr>
        <w:t>&lt;5% of returns</w:t>
      </w:r>
    </w:p>
    <w:p w14:paraId="19490854" w14:textId="67E450A0" w:rsidR="0076579E" w:rsidRPr="003C66A0" w:rsidRDefault="0076579E" w:rsidP="00AE1DED">
      <w:pPr>
        <w:numPr>
          <w:ilvl w:val="0"/>
          <w:numId w:val="73"/>
        </w:numPr>
        <w:jc w:val="both"/>
        <w:rPr>
          <w:rFonts w:eastAsiaTheme="majorEastAsia"/>
          <w:color w:val="000000" w:themeColor="text1"/>
        </w:rPr>
      </w:pPr>
      <w:r w:rsidRPr="003C66A0">
        <w:rPr>
          <w:rFonts w:eastAsiaTheme="majorEastAsia"/>
          <w:color w:val="000000" w:themeColor="text1"/>
        </w:rPr>
        <w:t>Between 5-10%, consid</w:t>
      </w:r>
      <w:r w:rsidR="000048F5" w:rsidRPr="003C66A0">
        <w:rPr>
          <w:rFonts w:eastAsiaTheme="majorEastAsia"/>
          <w:color w:val="000000" w:themeColor="text1"/>
        </w:rPr>
        <w:t>er the required</w:t>
      </w:r>
      <w:r w:rsidR="00231D5B" w:rsidRPr="003C66A0">
        <w:rPr>
          <w:rFonts w:eastAsiaTheme="majorEastAsia"/>
          <w:color w:val="000000" w:themeColor="text1"/>
        </w:rPr>
        <w:t xml:space="preserve"> </w:t>
      </w:r>
      <w:r w:rsidRPr="003C66A0">
        <w:rPr>
          <w:rFonts w:eastAsiaTheme="majorEastAsia"/>
          <w:color w:val="000000" w:themeColor="text1"/>
        </w:rPr>
        <w:t>time value and opportunity cost</w:t>
      </w:r>
    </w:p>
    <w:p w14:paraId="1A304FD5" w14:textId="77777777" w:rsidR="00891150" w:rsidRPr="003C66A0" w:rsidRDefault="00891150" w:rsidP="00AE1DED">
      <w:pPr>
        <w:jc w:val="both"/>
        <w:rPr>
          <w:rFonts w:eastAsiaTheme="majorEastAsia"/>
          <w:color w:val="000000" w:themeColor="text1"/>
        </w:rPr>
      </w:pPr>
    </w:p>
    <w:p w14:paraId="3792B02A" w14:textId="303810FC" w:rsidR="0010086C" w:rsidRPr="008D274A" w:rsidRDefault="0076579E" w:rsidP="00AE1DED">
      <w:pPr>
        <w:jc w:val="both"/>
        <w:rPr>
          <w:rFonts w:eastAsiaTheme="majorEastAsia"/>
          <w:color w:val="000000" w:themeColor="text1"/>
        </w:rPr>
      </w:pPr>
      <w:r w:rsidRPr="003C66A0">
        <w:rPr>
          <w:rFonts w:eastAsiaTheme="majorEastAsia"/>
          <w:color w:val="000000" w:themeColor="text1"/>
        </w:rPr>
        <w:t xml:space="preserve">This aligns with satisficing </w:t>
      </w:r>
      <w:proofErr w:type="gramStart"/>
      <w:r w:rsidRPr="003C66A0">
        <w:rPr>
          <w:rFonts w:eastAsiaTheme="majorEastAsia"/>
          <w:color w:val="000000" w:themeColor="text1"/>
        </w:rPr>
        <w:t>theory—seeking</w:t>
      </w:r>
      <w:proofErr w:type="gramEnd"/>
      <w:r w:rsidRPr="003C66A0">
        <w:rPr>
          <w:rFonts w:eastAsiaTheme="majorEastAsia"/>
          <w:color w:val="000000" w:themeColor="text1"/>
        </w:rPr>
        <w:t xml:space="preserve"> "good enough" rather than optimal solutions often produces better outcomes (Simon, 1956).</w:t>
      </w:r>
    </w:p>
    <w:p w14:paraId="26BC73F1" w14:textId="77777777" w:rsidR="00EC3418" w:rsidRDefault="00EC3418" w:rsidP="00AE1DED">
      <w:pPr>
        <w:outlineLvl w:val="2"/>
        <w:rPr>
          <w:b/>
          <w:bCs/>
          <w:color w:val="000000" w:themeColor="text1"/>
          <w:sz w:val="27"/>
          <w:szCs w:val="27"/>
        </w:rPr>
      </w:pPr>
      <w:bookmarkStart w:id="214" w:name="_Toc214722020"/>
    </w:p>
    <w:p w14:paraId="0D0EA4A8" w14:textId="71DF8349" w:rsidR="00C14A6D" w:rsidRDefault="00C2635A" w:rsidP="00AE1DED">
      <w:pPr>
        <w:outlineLvl w:val="2"/>
        <w:rPr>
          <w:b/>
          <w:bCs/>
          <w:color w:val="000000" w:themeColor="text1"/>
          <w:sz w:val="27"/>
          <w:szCs w:val="27"/>
        </w:rPr>
      </w:pPr>
      <w:r w:rsidRPr="00933090">
        <w:rPr>
          <w:b/>
          <w:bCs/>
          <w:color w:val="000000" w:themeColor="text1"/>
          <w:sz w:val="27"/>
          <w:szCs w:val="27"/>
        </w:rPr>
        <w:t>10.2.1 Optimization Decision Tree</w:t>
      </w:r>
      <w:bookmarkEnd w:id="214"/>
    </w:p>
    <w:p w14:paraId="1F19B027" w14:textId="36704B89" w:rsidR="00C2635A" w:rsidRDefault="00C2635A" w:rsidP="00AE1DED">
      <w:r w:rsidRPr="00933090">
        <w:t xml:space="preserve">The optimization trap documented in Section 10.2 results from optimizing the wrong variables or optimizing beyond </w:t>
      </w:r>
      <w:r w:rsidR="008D7B36" w:rsidRPr="00933090">
        <w:t>one’s</w:t>
      </w:r>
      <w:r w:rsidR="00723AF2" w:rsidRPr="00933090">
        <w:t xml:space="preserve"> </w:t>
      </w:r>
      <w:r w:rsidRPr="00933090">
        <w:t>competence</w:t>
      </w:r>
      <w:r w:rsidR="00723AF2" w:rsidRPr="00933090">
        <w:t xml:space="preserve"> or know-how</w:t>
      </w:r>
      <w:r w:rsidRPr="00933090">
        <w:t xml:space="preserve">. The following decision tree helps determine when optimization adds value versus when it destroys returns through </w:t>
      </w:r>
      <w:r w:rsidR="00723AF2" w:rsidRPr="00933090">
        <w:t xml:space="preserve">adding </w:t>
      </w:r>
      <w:r w:rsidRPr="00933090">
        <w:t>complexity and transaction costs.</w:t>
      </w:r>
    </w:p>
    <w:p w14:paraId="7E37115A" w14:textId="77777777" w:rsidR="0040646A" w:rsidRPr="00C14A6D" w:rsidRDefault="0040646A" w:rsidP="00AE1DED">
      <w:pPr>
        <w:rPr>
          <w:b/>
          <w:bCs/>
          <w:sz w:val="27"/>
          <w:szCs w:val="27"/>
        </w:rPr>
      </w:pPr>
    </w:p>
    <w:p w14:paraId="37879C9D" w14:textId="2BCE1F06" w:rsidR="00C2635A" w:rsidRDefault="00C2635A" w:rsidP="00AE1DED">
      <w:pPr>
        <w:pStyle w:val="Heading3"/>
        <w:rPr>
          <w:color w:val="000000" w:themeColor="text1"/>
        </w:rPr>
      </w:pPr>
      <w:bookmarkStart w:id="215" w:name="_Toc214722021"/>
      <w:r w:rsidRPr="00933090">
        <w:rPr>
          <w:color w:val="000000" w:themeColor="text1"/>
        </w:rPr>
        <w:t>Table 1</w:t>
      </w:r>
      <w:r w:rsidR="008D274A" w:rsidRPr="00933090">
        <w:rPr>
          <w:color w:val="000000" w:themeColor="text1"/>
        </w:rPr>
        <w:t>0.</w:t>
      </w:r>
      <w:r w:rsidR="009122A9">
        <w:rPr>
          <w:color w:val="000000" w:themeColor="text1"/>
        </w:rPr>
        <w:t>A</w:t>
      </w:r>
      <w:r w:rsidR="008D274A" w:rsidRPr="00933090">
        <w:rPr>
          <w:color w:val="000000" w:themeColor="text1"/>
        </w:rPr>
        <w:t xml:space="preserve"> </w:t>
      </w:r>
      <w:r w:rsidRPr="00933090">
        <w:rPr>
          <w:color w:val="000000" w:themeColor="text1"/>
        </w:rPr>
        <w:t>Optimization Decision Framework</w:t>
      </w:r>
      <w:bookmarkEnd w:id="215"/>
    </w:p>
    <w:p w14:paraId="5060DEB1" w14:textId="77777777" w:rsidR="00C83478" w:rsidRPr="00C83478" w:rsidRDefault="00C83478" w:rsidP="00AE1DED"/>
    <w:tbl>
      <w:tblPr>
        <w:tblW w:w="9800" w:type="dxa"/>
        <w:tblLook w:val="04A0" w:firstRow="1" w:lastRow="0" w:firstColumn="1" w:lastColumn="0" w:noHBand="0" w:noVBand="1"/>
      </w:tblPr>
      <w:tblGrid>
        <w:gridCol w:w="1705"/>
        <w:gridCol w:w="2250"/>
        <w:gridCol w:w="1870"/>
        <w:gridCol w:w="1900"/>
        <w:gridCol w:w="2060"/>
        <w:gridCol w:w="15"/>
      </w:tblGrid>
      <w:tr w:rsidR="00C83478" w:rsidRPr="00C83478" w14:paraId="44449622" w14:textId="77777777" w:rsidTr="00512F7C">
        <w:trPr>
          <w:gridAfter w:val="1"/>
          <w:wAfter w:w="15" w:type="dxa"/>
          <w:trHeight w:val="680"/>
        </w:trPr>
        <w:tc>
          <w:tcPr>
            <w:tcW w:w="1705" w:type="dxa"/>
            <w:tcBorders>
              <w:top w:val="single" w:sz="4" w:space="0" w:color="BFBFBF"/>
              <w:left w:val="single" w:sz="4" w:space="0" w:color="BFBFBF"/>
              <w:bottom w:val="single" w:sz="4" w:space="0" w:color="BFBFBF"/>
              <w:right w:val="single" w:sz="4" w:space="0" w:color="BFBFBF"/>
            </w:tcBorders>
            <w:shd w:val="clear" w:color="auto" w:fill="BFBFBF" w:themeFill="background1" w:themeFillShade="BF"/>
            <w:vAlign w:val="center"/>
            <w:hideMark/>
          </w:tcPr>
          <w:p w14:paraId="22972938" w14:textId="77777777" w:rsidR="00FA55EB" w:rsidRPr="00C83478" w:rsidRDefault="00FA55EB" w:rsidP="00AE1DED">
            <w:pPr>
              <w:jc w:val="center"/>
              <w:rPr>
                <w:b/>
                <w:bCs/>
                <w:color w:val="000000" w:themeColor="text1"/>
                <w:sz w:val="20"/>
                <w:szCs w:val="20"/>
              </w:rPr>
            </w:pPr>
            <w:r w:rsidRPr="00C83478">
              <w:rPr>
                <w:b/>
                <w:bCs/>
                <w:color w:val="000000" w:themeColor="text1"/>
                <w:sz w:val="20"/>
                <w:szCs w:val="20"/>
              </w:rPr>
              <w:t>Optimization Type</w:t>
            </w:r>
          </w:p>
        </w:tc>
        <w:tc>
          <w:tcPr>
            <w:tcW w:w="2250" w:type="dxa"/>
            <w:tcBorders>
              <w:top w:val="single" w:sz="4" w:space="0" w:color="BFBFBF"/>
              <w:left w:val="nil"/>
              <w:bottom w:val="single" w:sz="4" w:space="0" w:color="BFBFBF"/>
              <w:right w:val="single" w:sz="4" w:space="0" w:color="BFBFBF"/>
            </w:tcBorders>
            <w:shd w:val="clear" w:color="auto" w:fill="BFBFBF" w:themeFill="background1" w:themeFillShade="BF"/>
            <w:vAlign w:val="center"/>
            <w:hideMark/>
          </w:tcPr>
          <w:p w14:paraId="1C14FE78" w14:textId="77777777" w:rsidR="00FA55EB" w:rsidRPr="00C83478" w:rsidRDefault="00FA55EB" w:rsidP="00AE1DED">
            <w:pPr>
              <w:jc w:val="center"/>
              <w:rPr>
                <w:b/>
                <w:bCs/>
                <w:color w:val="000000" w:themeColor="text1"/>
                <w:sz w:val="20"/>
                <w:szCs w:val="20"/>
              </w:rPr>
            </w:pPr>
            <w:r w:rsidRPr="00C83478">
              <w:rPr>
                <w:b/>
                <w:bCs/>
                <w:color w:val="000000" w:themeColor="text1"/>
                <w:sz w:val="20"/>
                <w:szCs w:val="20"/>
              </w:rPr>
              <w:t>When to Implement</w:t>
            </w:r>
          </w:p>
        </w:tc>
        <w:tc>
          <w:tcPr>
            <w:tcW w:w="1870" w:type="dxa"/>
            <w:tcBorders>
              <w:top w:val="single" w:sz="4" w:space="0" w:color="BFBFBF"/>
              <w:left w:val="nil"/>
              <w:bottom w:val="single" w:sz="4" w:space="0" w:color="BFBFBF"/>
              <w:right w:val="single" w:sz="4" w:space="0" w:color="BFBFBF"/>
            </w:tcBorders>
            <w:shd w:val="clear" w:color="auto" w:fill="BFBFBF" w:themeFill="background1" w:themeFillShade="BF"/>
            <w:vAlign w:val="center"/>
            <w:hideMark/>
          </w:tcPr>
          <w:p w14:paraId="6C73131D" w14:textId="77777777" w:rsidR="00FA55EB" w:rsidRPr="00C83478" w:rsidRDefault="00FA55EB" w:rsidP="00AE1DED">
            <w:pPr>
              <w:jc w:val="center"/>
              <w:rPr>
                <w:b/>
                <w:bCs/>
                <w:color w:val="000000" w:themeColor="text1"/>
                <w:sz w:val="20"/>
                <w:szCs w:val="20"/>
              </w:rPr>
            </w:pPr>
            <w:r w:rsidRPr="00C83478">
              <w:rPr>
                <w:b/>
                <w:bCs/>
                <w:color w:val="000000" w:themeColor="text1"/>
                <w:sz w:val="20"/>
                <w:szCs w:val="20"/>
              </w:rPr>
              <w:t>When to Avoid</w:t>
            </w:r>
          </w:p>
        </w:tc>
        <w:tc>
          <w:tcPr>
            <w:tcW w:w="1900" w:type="dxa"/>
            <w:tcBorders>
              <w:top w:val="single" w:sz="4" w:space="0" w:color="BFBFBF"/>
              <w:left w:val="nil"/>
              <w:bottom w:val="single" w:sz="4" w:space="0" w:color="BFBFBF"/>
              <w:right w:val="single" w:sz="4" w:space="0" w:color="BFBFBF"/>
            </w:tcBorders>
            <w:shd w:val="clear" w:color="auto" w:fill="BFBFBF" w:themeFill="background1" w:themeFillShade="BF"/>
            <w:vAlign w:val="center"/>
            <w:hideMark/>
          </w:tcPr>
          <w:p w14:paraId="15B1315B" w14:textId="77777777" w:rsidR="00FA55EB" w:rsidRPr="00C83478" w:rsidRDefault="00FA55EB" w:rsidP="00AE1DED">
            <w:pPr>
              <w:jc w:val="center"/>
              <w:rPr>
                <w:b/>
                <w:bCs/>
                <w:color w:val="000000" w:themeColor="text1"/>
                <w:sz w:val="20"/>
                <w:szCs w:val="20"/>
              </w:rPr>
            </w:pPr>
            <w:r w:rsidRPr="00C83478">
              <w:rPr>
                <w:b/>
                <w:bCs/>
                <w:color w:val="000000" w:themeColor="text1"/>
                <w:sz w:val="20"/>
                <w:szCs w:val="20"/>
              </w:rPr>
              <w:t>Expected Benefit</w:t>
            </w:r>
          </w:p>
        </w:tc>
        <w:tc>
          <w:tcPr>
            <w:tcW w:w="2060" w:type="dxa"/>
            <w:tcBorders>
              <w:top w:val="single" w:sz="4" w:space="0" w:color="BFBFBF"/>
              <w:left w:val="nil"/>
              <w:bottom w:val="single" w:sz="4" w:space="0" w:color="BFBFBF"/>
              <w:right w:val="single" w:sz="4" w:space="0" w:color="BFBFBF"/>
            </w:tcBorders>
            <w:shd w:val="clear" w:color="auto" w:fill="BFBFBF" w:themeFill="background1" w:themeFillShade="BF"/>
            <w:vAlign w:val="center"/>
            <w:hideMark/>
          </w:tcPr>
          <w:p w14:paraId="49BF203D" w14:textId="77777777" w:rsidR="00FA55EB" w:rsidRPr="00C83478" w:rsidRDefault="00FA55EB" w:rsidP="00AE1DED">
            <w:pPr>
              <w:jc w:val="center"/>
              <w:rPr>
                <w:b/>
                <w:bCs/>
                <w:color w:val="000000" w:themeColor="text1"/>
                <w:sz w:val="20"/>
                <w:szCs w:val="20"/>
              </w:rPr>
            </w:pPr>
            <w:r w:rsidRPr="00C83478">
              <w:rPr>
                <w:b/>
                <w:bCs/>
                <w:color w:val="000000" w:themeColor="text1"/>
                <w:sz w:val="20"/>
                <w:szCs w:val="20"/>
              </w:rPr>
              <w:t xml:space="preserve">Risk If </w:t>
            </w:r>
            <w:proofErr w:type="gramStart"/>
            <w:r w:rsidRPr="00C83478">
              <w:rPr>
                <w:b/>
                <w:bCs/>
                <w:color w:val="000000" w:themeColor="text1"/>
                <w:sz w:val="20"/>
                <w:szCs w:val="20"/>
              </w:rPr>
              <w:t>Misapplied</w:t>
            </w:r>
            <w:proofErr w:type="gramEnd"/>
          </w:p>
        </w:tc>
      </w:tr>
      <w:tr w:rsidR="00C83478" w:rsidRPr="00C83478" w14:paraId="3F792C5B" w14:textId="77777777" w:rsidTr="00A421EA">
        <w:trPr>
          <w:trHeight w:val="81"/>
        </w:trPr>
        <w:tc>
          <w:tcPr>
            <w:tcW w:w="9800" w:type="dxa"/>
            <w:gridSpan w:val="6"/>
            <w:tcBorders>
              <w:top w:val="single" w:sz="4" w:space="0" w:color="BFBFBF"/>
              <w:left w:val="single" w:sz="4" w:space="0" w:color="BFBFBF"/>
              <w:bottom w:val="single" w:sz="4" w:space="0" w:color="BFBFBF"/>
              <w:right w:val="single" w:sz="4" w:space="0" w:color="BFBFBF"/>
            </w:tcBorders>
            <w:shd w:val="clear" w:color="auto" w:fill="D9D9D9" w:themeFill="background1" w:themeFillShade="D9"/>
            <w:vAlign w:val="center"/>
            <w:hideMark/>
          </w:tcPr>
          <w:p w14:paraId="16406541" w14:textId="77777777" w:rsidR="00FA55EB" w:rsidRPr="00C83478" w:rsidRDefault="00FA55EB" w:rsidP="00AE1DED">
            <w:pPr>
              <w:jc w:val="center"/>
              <w:rPr>
                <w:b/>
                <w:bCs/>
                <w:color w:val="000000" w:themeColor="text1"/>
                <w:sz w:val="20"/>
                <w:szCs w:val="20"/>
              </w:rPr>
            </w:pPr>
            <w:r w:rsidRPr="00C83478">
              <w:rPr>
                <w:b/>
                <w:bCs/>
                <w:color w:val="000000" w:themeColor="text1"/>
                <w:sz w:val="20"/>
                <w:szCs w:val="20"/>
              </w:rPr>
              <w:t>GAS OPTIMIZATION</w:t>
            </w:r>
          </w:p>
        </w:tc>
      </w:tr>
      <w:tr w:rsidR="00C83478" w:rsidRPr="00C83478" w14:paraId="20AE4B8C" w14:textId="77777777" w:rsidTr="00512F7C">
        <w:trPr>
          <w:gridAfter w:val="1"/>
          <w:wAfter w:w="15" w:type="dxa"/>
          <w:trHeight w:val="188"/>
        </w:trPr>
        <w:tc>
          <w:tcPr>
            <w:tcW w:w="1705" w:type="dxa"/>
            <w:tcBorders>
              <w:top w:val="nil"/>
              <w:left w:val="single" w:sz="4" w:space="0" w:color="BFBFBF"/>
              <w:bottom w:val="single" w:sz="4" w:space="0" w:color="BFBFBF"/>
              <w:right w:val="single" w:sz="4" w:space="0" w:color="BFBFBF"/>
            </w:tcBorders>
            <w:vAlign w:val="center"/>
            <w:hideMark/>
          </w:tcPr>
          <w:p w14:paraId="26A76C50" w14:textId="77777777" w:rsidR="00FA55EB" w:rsidRPr="00C83478" w:rsidRDefault="00FA55EB" w:rsidP="00AE1DED">
            <w:pPr>
              <w:rPr>
                <w:color w:val="000000" w:themeColor="text1"/>
                <w:sz w:val="20"/>
                <w:szCs w:val="20"/>
              </w:rPr>
            </w:pPr>
            <w:r w:rsidRPr="00C83478">
              <w:rPr>
                <w:color w:val="000000" w:themeColor="text1"/>
                <w:sz w:val="20"/>
                <w:szCs w:val="20"/>
              </w:rPr>
              <w:t>Transaction timing</w:t>
            </w:r>
          </w:p>
        </w:tc>
        <w:tc>
          <w:tcPr>
            <w:tcW w:w="2250" w:type="dxa"/>
            <w:tcBorders>
              <w:top w:val="nil"/>
              <w:left w:val="nil"/>
              <w:bottom w:val="single" w:sz="4" w:space="0" w:color="BFBFBF"/>
              <w:right w:val="single" w:sz="4" w:space="0" w:color="BFBFBF"/>
            </w:tcBorders>
            <w:vAlign w:val="center"/>
            <w:hideMark/>
          </w:tcPr>
          <w:p w14:paraId="7FF2F6F3" w14:textId="77777777" w:rsidR="00FA55EB" w:rsidRPr="00C83478" w:rsidRDefault="00FA55EB" w:rsidP="00AE1DED">
            <w:pPr>
              <w:rPr>
                <w:color w:val="000000" w:themeColor="text1"/>
                <w:sz w:val="20"/>
                <w:szCs w:val="20"/>
              </w:rPr>
            </w:pPr>
            <w:r w:rsidRPr="00C83478">
              <w:rPr>
                <w:color w:val="000000" w:themeColor="text1"/>
                <w:sz w:val="20"/>
                <w:szCs w:val="20"/>
              </w:rPr>
              <w:t>Gas costs &gt;10% of expected returns</w:t>
            </w:r>
          </w:p>
        </w:tc>
        <w:tc>
          <w:tcPr>
            <w:tcW w:w="1870" w:type="dxa"/>
            <w:tcBorders>
              <w:top w:val="nil"/>
              <w:left w:val="nil"/>
              <w:bottom w:val="single" w:sz="4" w:space="0" w:color="BFBFBF"/>
              <w:right w:val="single" w:sz="4" w:space="0" w:color="BFBFBF"/>
            </w:tcBorders>
            <w:vAlign w:val="center"/>
            <w:hideMark/>
          </w:tcPr>
          <w:p w14:paraId="26F8C9D5" w14:textId="77777777" w:rsidR="00FA55EB" w:rsidRPr="00C83478" w:rsidRDefault="00FA55EB" w:rsidP="00AE1DED">
            <w:pPr>
              <w:rPr>
                <w:color w:val="000000" w:themeColor="text1"/>
                <w:sz w:val="20"/>
                <w:szCs w:val="20"/>
              </w:rPr>
            </w:pPr>
            <w:r w:rsidRPr="00C83478">
              <w:rPr>
                <w:color w:val="000000" w:themeColor="text1"/>
                <w:sz w:val="20"/>
                <w:szCs w:val="20"/>
              </w:rPr>
              <w:t>Gas costs &lt;5% of returns</w:t>
            </w:r>
          </w:p>
        </w:tc>
        <w:tc>
          <w:tcPr>
            <w:tcW w:w="1900" w:type="dxa"/>
            <w:tcBorders>
              <w:top w:val="nil"/>
              <w:left w:val="nil"/>
              <w:bottom w:val="single" w:sz="4" w:space="0" w:color="BFBFBF"/>
              <w:right w:val="single" w:sz="4" w:space="0" w:color="BFBFBF"/>
            </w:tcBorders>
            <w:vAlign w:val="center"/>
            <w:hideMark/>
          </w:tcPr>
          <w:p w14:paraId="3163A61B" w14:textId="77777777" w:rsidR="00FA55EB" w:rsidRPr="00C83478" w:rsidRDefault="00FA55EB" w:rsidP="00AE1DED">
            <w:pPr>
              <w:rPr>
                <w:color w:val="000000" w:themeColor="text1"/>
                <w:sz w:val="20"/>
                <w:szCs w:val="20"/>
              </w:rPr>
            </w:pPr>
            <w:r w:rsidRPr="00C83478">
              <w:rPr>
                <w:color w:val="000000" w:themeColor="text1"/>
                <w:sz w:val="20"/>
                <w:szCs w:val="20"/>
              </w:rPr>
              <w:t>Save 30-45% on fees</w:t>
            </w:r>
          </w:p>
        </w:tc>
        <w:tc>
          <w:tcPr>
            <w:tcW w:w="2060" w:type="dxa"/>
            <w:tcBorders>
              <w:top w:val="nil"/>
              <w:left w:val="nil"/>
              <w:bottom w:val="single" w:sz="4" w:space="0" w:color="BFBFBF"/>
              <w:right w:val="single" w:sz="4" w:space="0" w:color="BFBFBF"/>
            </w:tcBorders>
            <w:vAlign w:val="center"/>
            <w:hideMark/>
          </w:tcPr>
          <w:p w14:paraId="56E81659" w14:textId="77777777" w:rsidR="00FA55EB" w:rsidRPr="00C83478" w:rsidRDefault="00FA55EB" w:rsidP="00AE1DED">
            <w:pPr>
              <w:rPr>
                <w:color w:val="000000" w:themeColor="text1"/>
                <w:sz w:val="20"/>
                <w:szCs w:val="20"/>
              </w:rPr>
            </w:pPr>
            <w:r w:rsidRPr="00C83478">
              <w:rPr>
                <w:color w:val="000000" w:themeColor="text1"/>
                <w:sz w:val="20"/>
                <w:szCs w:val="20"/>
              </w:rPr>
              <w:t>Miss time-sensitive opportunities</w:t>
            </w:r>
          </w:p>
        </w:tc>
      </w:tr>
      <w:tr w:rsidR="00C83478" w:rsidRPr="00C83478" w14:paraId="66FB8716" w14:textId="77777777" w:rsidTr="00512F7C">
        <w:trPr>
          <w:gridAfter w:val="1"/>
          <w:wAfter w:w="15" w:type="dxa"/>
          <w:trHeight w:val="260"/>
        </w:trPr>
        <w:tc>
          <w:tcPr>
            <w:tcW w:w="1705" w:type="dxa"/>
            <w:tcBorders>
              <w:top w:val="nil"/>
              <w:left w:val="single" w:sz="4" w:space="0" w:color="BFBFBF"/>
              <w:bottom w:val="single" w:sz="4" w:space="0" w:color="BFBFBF"/>
              <w:right w:val="single" w:sz="4" w:space="0" w:color="BFBFBF"/>
            </w:tcBorders>
            <w:vAlign w:val="center"/>
            <w:hideMark/>
          </w:tcPr>
          <w:p w14:paraId="5994ECF6" w14:textId="77777777" w:rsidR="00FA55EB" w:rsidRPr="00C83478" w:rsidRDefault="00FA55EB" w:rsidP="00AE1DED">
            <w:pPr>
              <w:rPr>
                <w:color w:val="000000" w:themeColor="text1"/>
                <w:sz w:val="20"/>
                <w:szCs w:val="20"/>
              </w:rPr>
            </w:pPr>
            <w:r w:rsidRPr="00C83478">
              <w:rPr>
                <w:color w:val="000000" w:themeColor="text1"/>
                <w:sz w:val="20"/>
                <w:szCs w:val="20"/>
              </w:rPr>
              <w:t>Batching transactions</w:t>
            </w:r>
          </w:p>
        </w:tc>
        <w:tc>
          <w:tcPr>
            <w:tcW w:w="2250" w:type="dxa"/>
            <w:tcBorders>
              <w:top w:val="nil"/>
              <w:left w:val="nil"/>
              <w:bottom w:val="single" w:sz="4" w:space="0" w:color="BFBFBF"/>
              <w:right w:val="single" w:sz="4" w:space="0" w:color="BFBFBF"/>
            </w:tcBorders>
            <w:vAlign w:val="center"/>
            <w:hideMark/>
          </w:tcPr>
          <w:p w14:paraId="41536E90" w14:textId="77777777" w:rsidR="00FA55EB" w:rsidRPr="00C83478" w:rsidRDefault="00FA55EB" w:rsidP="00AE1DED">
            <w:pPr>
              <w:rPr>
                <w:color w:val="000000" w:themeColor="text1"/>
                <w:sz w:val="20"/>
                <w:szCs w:val="20"/>
              </w:rPr>
            </w:pPr>
            <w:r w:rsidRPr="00C83478">
              <w:rPr>
                <w:color w:val="000000" w:themeColor="text1"/>
                <w:sz w:val="20"/>
                <w:szCs w:val="20"/>
              </w:rPr>
              <w:t>Multiple transactions needed weekly</w:t>
            </w:r>
          </w:p>
        </w:tc>
        <w:tc>
          <w:tcPr>
            <w:tcW w:w="1870" w:type="dxa"/>
            <w:tcBorders>
              <w:top w:val="nil"/>
              <w:left w:val="nil"/>
              <w:bottom w:val="single" w:sz="4" w:space="0" w:color="BFBFBF"/>
              <w:right w:val="single" w:sz="4" w:space="0" w:color="BFBFBF"/>
            </w:tcBorders>
            <w:vAlign w:val="center"/>
            <w:hideMark/>
          </w:tcPr>
          <w:p w14:paraId="38C551F2" w14:textId="77777777" w:rsidR="00FA55EB" w:rsidRPr="00C83478" w:rsidRDefault="00FA55EB" w:rsidP="00AE1DED">
            <w:pPr>
              <w:rPr>
                <w:color w:val="000000" w:themeColor="text1"/>
                <w:sz w:val="20"/>
                <w:szCs w:val="20"/>
              </w:rPr>
            </w:pPr>
            <w:r w:rsidRPr="00C83478">
              <w:rPr>
                <w:color w:val="000000" w:themeColor="text1"/>
                <w:sz w:val="20"/>
                <w:szCs w:val="20"/>
              </w:rPr>
              <w:t>&lt;3 transactions monthly</w:t>
            </w:r>
          </w:p>
        </w:tc>
        <w:tc>
          <w:tcPr>
            <w:tcW w:w="1900" w:type="dxa"/>
            <w:tcBorders>
              <w:top w:val="nil"/>
              <w:left w:val="nil"/>
              <w:bottom w:val="single" w:sz="4" w:space="0" w:color="BFBFBF"/>
              <w:right w:val="single" w:sz="4" w:space="0" w:color="BFBFBF"/>
            </w:tcBorders>
            <w:vAlign w:val="center"/>
            <w:hideMark/>
          </w:tcPr>
          <w:p w14:paraId="04E57D45" w14:textId="77777777" w:rsidR="00FA55EB" w:rsidRPr="00C83478" w:rsidRDefault="00FA55EB" w:rsidP="00AE1DED">
            <w:pPr>
              <w:rPr>
                <w:color w:val="000000" w:themeColor="text1"/>
                <w:sz w:val="20"/>
                <w:szCs w:val="20"/>
              </w:rPr>
            </w:pPr>
            <w:r w:rsidRPr="00C83478">
              <w:rPr>
                <w:color w:val="000000" w:themeColor="text1"/>
                <w:sz w:val="20"/>
                <w:szCs w:val="20"/>
              </w:rPr>
              <w:t>Save 35-45% per transaction</w:t>
            </w:r>
          </w:p>
        </w:tc>
        <w:tc>
          <w:tcPr>
            <w:tcW w:w="2060" w:type="dxa"/>
            <w:tcBorders>
              <w:top w:val="nil"/>
              <w:left w:val="nil"/>
              <w:bottom w:val="single" w:sz="4" w:space="0" w:color="BFBFBF"/>
              <w:right w:val="single" w:sz="4" w:space="0" w:color="BFBFBF"/>
            </w:tcBorders>
            <w:vAlign w:val="center"/>
            <w:hideMark/>
          </w:tcPr>
          <w:p w14:paraId="73037710" w14:textId="77777777" w:rsidR="00FA55EB" w:rsidRPr="00C83478" w:rsidRDefault="00FA55EB" w:rsidP="00AE1DED">
            <w:pPr>
              <w:rPr>
                <w:color w:val="000000" w:themeColor="text1"/>
                <w:sz w:val="20"/>
                <w:szCs w:val="20"/>
              </w:rPr>
            </w:pPr>
            <w:r w:rsidRPr="00C83478">
              <w:rPr>
                <w:color w:val="000000" w:themeColor="text1"/>
                <w:sz w:val="20"/>
                <w:szCs w:val="20"/>
              </w:rPr>
              <w:t>28% failure rate; recovery costs high</w:t>
            </w:r>
          </w:p>
        </w:tc>
      </w:tr>
      <w:tr w:rsidR="00C83478" w:rsidRPr="00C83478" w14:paraId="72A78F1A" w14:textId="77777777" w:rsidTr="00512F7C">
        <w:trPr>
          <w:gridAfter w:val="1"/>
          <w:wAfter w:w="15" w:type="dxa"/>
          <w:trHeight w:val="233"/>
        </w:trPr>
        <w:tc>
          <w:tcPr>
            <w:tcW w:w="1705" w:type="dxa"/>
            <w:tcBorders>
              <w:top w:val="nil"/>
              <w:left w:val="single" w:sz="4" w:space="0" w:color="BFBFBF"/>
              <w:bottom w:val="single" w:sz="4" w:space="0" w:color="BFBFBF"/>
              <w:right w:val="single" w:sz="4" w:space="0" w:color="BFBFBF"/>
            </w:tcBorders>
            <w:vAlign w:val="center"/>
            <w:hideMark/>
          </w:tcPr>
          <w:p w14:paraId="5A7A54F2" w14:textId="77777777" w:rsidR="00FA55EB" w:rsidRPr="00C83478" w:rsidRDefault="00FA55EB" w:rsidP="00AE1DED">
            <w:pPr>
              <w:rPr>
                <w:color w:val="000000" w:themeColor="text1"/>
                <w:sz w:val="20"/>
                <w:szCs w:val="20"/>
              </w:rPr>
            </w:pPr>
            <w:r w:rsidRPr="00C83478">
              <w:rPr>
                <w:color w:val="000000" w:themeColor="text1"/>
                <w:sz w:val="20"/>
                <w:szCs w:val="20"/>
              </w:rPr>
              <w:t>Gas token prepositioning</w:t>
            </w:r>
          </w:p>
        </w:tc>
        <w:tc>
          <w:tcPr>
            <w:tcW w:w="2250" w:type="dxa"/>
            <w:tcBorders>
              <w:top w:val="nil"/>
              <w:left w:val="nil"/>
              <w:bottom w:val="single" w:sz="4" w:space="0" w:color="BFBFBF"/>
              <w:right w:val="single" w:sz="4" w:space="0" w:color="BFBFBF"/>
            </w:tcBorders>
            <w:vAlign w:val="center"/>
            <w:hideMark/>
          </w:tcPr>
          <w:p w14:paraId="2219AEB8" w14:textId="77777777" w:rsidR="00FA55EB" w:rsidRPr="00C83478" w:rsidRDefault="00FA55EB" w:rsidP="00AE1DED">
            <w:pPr>
              <w:rPr>
                <w:color w:val="000000" w:themeColor="text1"/>
                <w:sz w:val="20"/>
                <w:szCs w:val="20"/>
              </w:rPr>
            </w:pPr>
            <w:r w:rsidRPr="00C83478">
              <w:rPr>
                <w:color w:val="000000" w:themeColor="text1"/>
                <w:sz w:val="20"/>
                <w:szCs w:val="20"/>
              </w:rPr>
              <w:t>Regular activity on network</w:t>
            </w:r>
          </w:p>
        </w:tc>
        <w:tc>
          <w:tcPr>
            <w:tcW w:w="1870" w:type="dxa"/>
            <w:tcBorders>
              <w:top w:val="nil"/>
              <w:left w:val="nil"/>
              <w:bottom w:val="single" w:sz="4" w:space="0" w:color="BFBFBF"/>
              <w:right w:val="single" w:sz="4" w:space="0" w:color="BFBFBF"/>
            </w:tcBorders>
            <w:vAlign w:val="center"/>
            <w:hideMark/>
          </w:tcPr>
          <w:p w14:paraId="4E508469" w14:textId="77777777" w:rsidR="00FA55EB" w:rsidRPr="00C83478" w:rsidRDefault="00FA55EB" w:rsidP="00AE1DED">
            <w:pPr>
              <w:rPr>
                <w:color w:val="000000" w:themeColor="text1"/>
                <w:sz w:val="20"/>
                <w:szCs w:val="20"/>
              </w:rPr>
            </w:pPr>
            <w:r w:rsidRPr="00C83478">
              <w:rPr>
                <w:color w:val="000000" w:themeColor="text1"/>
                <w:sz w:val="20"/>
                <w:szCs w:val="20"/>
              </w:rPr>
              <w:t>Sporadic activity</w:t>
            </w:r>
          </w:p>
        </w:tc>
        <w:tc>
          <w:tcPr>
            <w:tcW w:w="1900" w:type="dxa"/>
            <w:tcBorders>
              <w:top w:val="nil"/>
              <w:left w:val="nil"/>
              <w:bottom w:val="single" w:sz="4" w:space="0" w:color="BFBFBF"/>
              <w:right w:val="single" w:sz="4" w:space="0" w:color="BFBFBF"/>
            </w:tcBorders>
            <w:vAlign w:val="center"/>
            <w:hideMark/>
          </w:tcPr>
          <w:p w14:paraId="01F4997F" w14:textId="77777777" w:rsidR="00FA55EB" w:rsidRPr="00C83478" w:rsidRDefault="00FA55EB" w:rsidP="00AE1DED">
            <w:pPr>
              <w:rPr>
                <w:color w:val="000000" w:themeColor="text1"/>
                <w:sz w:val="20"/>
                <w:szCs w:val="20"/>
              </w:rPr>
            </w:pPr>
            <w:r w:rsidRPr="00C83478">
              <w:rPr>
                <w:color w:val="000000" w:themeColor="text1"/>
                <w:sz w:val="20"/>
                <w:szCs w:val="20"/>
              </w:rPr>
              <w:t>Avoid rush purchases</w:t>
            </w:r>
          </w:p>
        </w:tc>
        <w:tc>
          <w:tcPr>
            <w:tcW w:w="2060" w:type="dxa"/>
            <w:tcBorders>
              <w:top w:val="nil"/>
              <w:left w:val="nil"/>
              <w:bottom w:val="single" w:sz="4" w:space="0" w:color="BFBFBF"/>
              <w:right w:val="single" w:sz="4" w:space="0" w:color="BFBFBF"/>
            </w:tcBorders>
            <w:vAlign w:val="center"/>
            <w:hideMark/>
          </w:tcPr>
          <w:p w14:paraId="1FB15F73" w14:textId="77777777" w:rsidR="00FA55EB" w:rsidRPr="00C83478" w:rsidRDefault="00FA55EB" w:rsidP="00AE1DED">
            <w:pPr>
              <w:rPr>
                <w:color w:val="000000" w:themeColor="text1"/>
                <w:sz w:val="20"/>
                <w:szCs w:val="20"/>
              </w:rPr>
            </w:pPr>
            <w:r w:rsidRPr="00C83478">
              <w:rPr>
                <w:color w:val="000000" w:themeColor="text1"/>
                <w:sz w:val="20"/>
                <w:szCs w:val="20"/>
              </w:rPr>
              <w:t>Capital locked in gas tokens</w:t>
            </w:r>
          </w:p>
        </w:tc>
      </w:tr>
      <w:tr w:rsidR="00C83478" w:rsidRPr="00C83478" w14:paraId="7F9E3855" w14:textId="77777777" w:rsidTr="00512F7C">
        <w:trPr>
          <w:gridAfter w:val="1"/>
          <w:wAfter w:w="15" w:type="dxa"/>
          <w:trHeight w:val="440"/>
        </w:trPr>
        <w:tc>
          <w:tcPr>
            <w:tcW w:w="1705" w:type="dxa"/>
            <w:tcBorders>
              <w:top w:val="nil"/>
              <w:left w:val="single" w:sz="4" w:space="0" w:color="BFBFBF"/>
              <w:bottom w:val="single" w:sz="4" w:space="0" w:color="BFBFBF"/>
              <w:right w:val="single" w:sz="4" w:space="0" w:color="BFBFBF"/>
            </w:tcBorders>
            <w:vAlign w:val="center"/>
            <w:hideMark/>
          </w:tcPr>
          <w:p w14:paraId="2129BE80" w14:textId="77777777" w:rsidR="00FA55EB" w:rsidRPr="00C83478" w:rsidRDefault="00FA55EB" w:rsidP="00AE1DED">
            <w:pPr>
              <w:rPr>
                <w:b/>
                <w:bCs/>
                <w:color w:val="000000" w:themeColor="text1"/>
                <w:sz w:val="20"/>
                <w:szCs w:val="20"/>
              </w:rPr>
            </w:pPr>
            <w:r w:rsidRPr="00C83478">
              <w:rPr>
                <w:b/>
                <w:bCs/>
                <w:color w:val="000000" w:themeColor="text1"/>
                <w:sz w:val="20"/>
                <w:szCs w:val="20"/>
              </w:rPr>
              <w:t>Decision:</w:t>
            </w:r>
          </w:p>
        </w:tc>
        <w:tc>
          <w:tcPr>
            <w:tcW w:w="2250" w:type="dxa"/>
            <w:tcBorders>
              <w:top w:val="nil"/>
              <w:left w:val="nil"/>
              <w:bottom w:val="single" w:sz="4" w:space="0" w:color="BFBFBF"/>
              <w:right w:val="single" w:sz="4" w:space="0" w:color="BFBFBF"/>
            </w:tcBorders>
            <w:vAlign w:val="center"/>
            <w:hideMark/>
          </w:tcPr>
          <w:p w14:paraId="597DF71C" w14:textId="77777777" w:rsidR="00FA55EB" w:rsidRPr="00C83478" w:rsidRDefault="00FA55EB" w:rsidP="00AE1DED">
            <w:pPr>
              <w:rPr>
                <w:color w:val="000000" w:themeColor="text1"/>
                <w:sz w:val="20"/>
                <w:szCs w:val="20"/>
              </w:rPr>
            </w:pPr>
            <w:r w:rsidRPr="00C83478">
              <w:rPr>
                <w:color w:val="000000" w:themeColor="text1"/>
                <w:sz w:val="20"/>
                <w:szCs w:val="20"/>
              </w:rPr>
              <w:t>Calculate (annual gas) ÷ (expected returns)</w:t>
            </w:r>
          </w:p>
        </w:tc>
        <w:tc>
          <w:tcPr>
            <w:tcW w:w="1870" w:type="dxa"/>
            <w:tcBorders>
              <w:top w:val="nil"/>
              <w:left w:val="nil"/>
              <w:bottom w:val="single" w:sz="4" w:space="0" w:color="BFBFBF"/>
              <w:right w:val="single" w:sz="4" w:space="0" w:color="BFBFBF"/>
            </w:tcBorders>
            <w:vAlign w:val="center"/>
            <w:hideMark/>
          </w:tcPr>
          <w:p w14:paraId="507DD95E" w14:textId="77777777" w:rsidR="00FA55EB" w:rsidRPr="00C83478" w:rsidRDefault="00FA55EB" w:rsidP="00AE1DED">
            <w:pPr>
              <w:rPr>
                <w:color w:val="000000" w:themeColor="text1"/>
                <w:sz w:val="20"/>
                <w:szCs w:val="20"/>
              </w:rPr>
            </w:pPr>
            <w:r w:rsidRPr="00C83478">
              <w:rPr>
                <w:color w:val="000000" w:themeColor="text1"/>
                <w:sz w:val="20"/>
                <w:szCs w:val="20"/>
              </w:rPr>
              <w:t>If ratio &lt;5%, ignore gas optimization</w:t>
            </w:r>
          </w:p>
        </w:tc>
        <w:tc>
          <w:tcPr>
            <w:tcW w:w="1900" w:type="dxa"/>
            <w:tcBorders>
              <w:top w:val="nil"/>
              <w:left w:val="nil"/>
              <w:bottom w:val="single" w:sz="4" w:space="0" w:color="BFBFBF"/>
              <w:right w:val="single" w:sz="4" w:space="0" w:color="BFBFBF"/>
            </w:tcBorders>
            <w:vAlign w:val="center"/>
            <w:hideMark/>
          </w:tcPr>
          <w:p w14:paraId="0708D015" w14:textId="77777777" w:rsidR="00FA55EB" w:rsidRPr="00C83478" w:rsidRDefault="00FA55EB" w:rsidP="00AE1DED">
            <w:pPr>
              <w:rPr>
                <w:color w:val="000000" w:themeColor="text1"/>
                <w:sz w:val="20"/>
                <w:szCs w:val="20"/>
              </w:rPr>
            </w:pPr>
            <w:r w:rsidRPr="00C83478">
              <w:rPr>
                <w:color w:val="000000" w:themeColor="text1"/>
                <w:sz w:val="20"/>
                <w:szCs w:val="20"/>
              </w:rPr>
              <w:t>If 5-10%, basic timing only</w:t>
            </w:r>
          </w:p>
        </w:tc>
        <w:tc>
          <w:tcPr>
            <w:tcW w:w="2060" w:type="dxa"/>
            <w:tcBorders>
              <w:top w:val="nil"/>
              <w:left w:val="nil"/>
              <w:bottom w:val="single" w:sz="4" w:space="0" w:color="BFBFBF"/>
              <w:right w:val="single" w:sz="4" w:space="0" w:color="BFBFBF"/>
            </w:tcBorders>
            <w:vAlign w:val="center"/>
            <w:hideMark/>
          </w:tcPr>
          <w:p w14:paraId="78235C70" w14:textId="77777777" w:rsidR="00FA55EB" w:rsidRPr="00C83478" w:rsidRDefault="00FA55EB" w:rsidP="00AE1DED">
            <w:pPr>
              <w:rPr>
                <w:color w:val="000000" w:themeColor="text1"/>
                <w:sz w:val="20"/>
                <w:szCs w:val="20"/>
              </w:rPr>
            </w:pPr>
            <w:r w:rsidRPr="00C83478">
              <w:rPr>
                <w:color w:val="000000" w:themeColor="text1"/>
                <w:sz w:val="20"/>
                <w:szCs w:val="20"/>
              </w:rPr>
              <w:t>If &gt;10%, full optimization warranted</w:t>
            </w:r>
          </w:p>
        </w:tc>
      </w:tr>
      <w:tr w:rsidR="00C83478" w:rsidRPr="00C83478" w14:paraId="10DE4ECF" w14:textId="77777777" w:rsidTr="00DE04D9">
        <w:trPr>
          <w:trHeight w:val="81"/>
        </w:trPr>
        <w:tc>
          <w:tcPr>
            <w:tcW w:w="9800" w:type="dxa"/>
            <w:gridSpan w:val="6"/>
            <w:tcBorders>
              <w:top w:val="single" w:sz="4" w:space="0" w:color="BFBFBF"/>
              <w:left w:val="single" w:sz="4" w:space="0" w:color="BFBFBF"/>
              <w:bottom w:val="single" w:sz="4" w:space="0" w:color="BFBFBF"/>
              <w:right w:val="single" w:sz="4" w:space="0" w:color="BFBFBF"/>
            </w:tcBorders>
            <w:shd w:val="clear" w:color="auto" w:fill="D9D9D9" w:themeFill="background1" w:themeFillShade="D9"/>
            <w:vAlign w:val="center"/>
            <w:hideMark/>
          </w:tcPr>
          <w:p w14:paraId="73E41AA0" w14:textId="77777777" w:rsidR="00FA55EB" w:rsidRPr="00C83478" w:rsidRDefault="00FA55EB" w:rsidP="00AE1DED">
            <w:pPr>
              <w:jc w:val="center"/>
              <w:rPr>
                <w:b/>
                <w:bCs/>
                <w:color w:val="000000" w:themeColor="text1"/>
                <w:sz w:val="20"/>
                <w:szCs w:val="20"/>
              </w:rPr>
            </w:pPr>
            <w:r w:rsidRPr="00C83478">
              <w:rPr>
                <w:b/>
                <w:bCs/>
                <w:color w:val="000000" w:themeColor="text1"/>
                <w:sz w:val="20"/>
                <w:szCs w:val="20"/>
              </w:rPr>
              <w:t>POSITION MANAGEMENT</w:t>
            </w:r>
          </w:p>
        </w:tc>
      </w:tr>
      <w:tr w:rsidR="00C83478" w:rsidRPr="00C83478" w14:paraId="1BAA7981" w14:textId="77777777" w:rsidTr="00512F7C">
        <w:trPr>
          <w:gridAfter w:val="1"/>
          <w:wAfter w:w="15" w:type="dxa"/>
          <w:trHeight w:val="530"/>
        </w:trPr>
        <w:tc>
          <w:tcPr>
            <w:tcW w:w="1705" w:type="dxa"/>
            <w:tcBorders>
              <w:top w:val="nil"/>
              <w:left w:val="single" w:sz="4" w:space="0" w:color="BFBFBF"/>
              <w:bottom w:val="single" w:sz="4" w:space="0" w:color="BFBFBF"/>
              <w:right w:val="single" w:sz="4" w:space="0" w:color="BFBFBF"/>
            </w:tcBorders>
            <w:vAlign w:val="center"/>
            <w:hideMark/>
          </w:tcPr>
          <w:p w14:paraId="3B821738" w14:textId="77777777" w:rsidR="00FA55EB" w:rsidRPr="00C83478" w:rsidRDefault="00FA55EB" w:rsidP="00AE1DED">
            <w:pPr>
              <w:rPr>
                <w:color w:val="000000" w:themeColor="text1"/>
                <w:sz w:val="20"/>
                <w:szCs w:val="20"/>
              </w:rPr>
            </w:pPr>
            <w:r w:rsidRPr="00C83478">
              <w:rPr>
                <w:color w:val="000000" w:themeColor="text1"/>
                <w:sz w:val="20"/>
                <w:szCs w:val="20"/>
              </w:rPr>
              <w:t>Daily monitoring</w:t>
            </w:r>
          </w:p>
        </w:tc>
        <w:tc>
          <w:tcPr>
            <w:tcW w:w="2250" w:type="dxa"/>
            <w:tcBorders>
              <w:top w:val="nil"/>
              <w:left w:val="nil"/>
              <w:bottom w:val="single" w:sz="4" w:space="0" w:color="BFBFBF"/>
              <w:right w:val="single" w:sz="4" w:space="0" w:color="BFBFBF"/>
            </w:tcBorders>
            <w:vAlign w:val="center"/>
            <w:hideMark/>
          </w:tcPr>
          <w:p w14:paraId="08C185C8" w14:textId="77777777" w:rsidR="00FA55EB" w:rsidRPr="00C83478" w:rsidRDefault="00FA55EB" w:rsidP="00AE1DED">
            <w:pPr>
              <w:rPr>
                <w:color w:val="000000" w:themeColor="text1"/>
                <w:sz w:val="20"/>
                <w:szCs w:val="20"/>
              </w:rPr>
            </w:pPr>
            <w:r w:rsidRPr="00C83478">
              <w:rPr>
                <w:color w:val="000000" w:themeColor="text1"/>
                <w:sz w:val="20"/>
                <w:szCs w:val="20"/>
              </w:rPr>
              <w:t>Position &gt;$25,000, concentrated liquidity</w:t>
            </w:r>
          </w:p>
        </w:tc>
        <w:tc>
          <w:tcPr>
            <w:tcW w:w="1870" w:type="dxa"/>
            <w:tcBorders>
              <w:top w:val="nil"/>
              <w:left w:val="nil"/>
              <w:bottom w:val="single" w:sz="4" w:space="0" w:color="BFBFBF"/>
              <w:right w:val="single" w:sz="4" w:space="0" w:color="BFBFBF"/>
            </w:tcBorders>
            <w:vAlign w:val="center"/>
            <w:hideMark/>
          </w:tcPr>
          <w:p w14:paraId="0335F33F" w14:textId="77777777" w:rsidR="00FA55EB" w:rsidRPr="00C83478" w:rsidRDefault="00FA55EB" w:rsidP="00AE1DED">
            <w:pPr>
              <w:rPr>
                <w:color w:val="000000" w:themeColor="text1"/>
                <w:sz w:val="20"/>
                <w:szCs w:val="20"/>
              </w:rPr>
            </w:pPr>
            <w:r w:rsidRPr="00C83478">
              <w:rPr>
                <w:color w:val="000000" w:themeColor="text1"/>
                <w:sz w:val="20"/>
                <w:szCs w:val="20"/>
              </w:rPr>
              <w:t xml:space="preserve">Position &lt;$10,000, </w:t>
            </w:r>
            <w:proofErr w:type="gramStart"/>
            <w:r w:rsidRPr="00C83478">
              <w:rPr>
                <w:color w:val="000000" w:themeColor="text1"/>
                <w:sz w:val="20"/>
                <w:szCs w:val="20"/>
              </w:rPr>
              <w:t>wide-range</w:t>
            </w:r>
            <w:proofErr w:type="gramEnd"/>
          </w:p>
        </w:tc>
        <w:tc>
          <w:tcPr>
            <w:tcW w:w="1900" w:type="dxa"/>
            <w:tcBorders>
              <w:top w:val="nil"/>
              <w:left w:val="nil"/>
              <w:bottom w:val="single" w:sz="4" w:space="0" w:color="BFBFBF"/>
              <w:right w:val="single" w:sz="4" w:space="0" w:color="BFBFBF"/>
            </w:tcBorders>
            <w:vAlign w:val="center"/>
            <w:hideMark/>
          </w:tcPr>
          <w:p w14:paraId="47C16418" w14:textId="77777777" w:rsidR="00FA55EB" w:rsidRPr="00C83478" w:rsidRDefault="00FA55EB" w:rsidP="00AE1DED">
            <w:pPr>
              <w:rPr>
                <w:color w:val="000000" w:themeColor="text1"/>
                <w:sz w:val="20"/>
                <w:szCs w:val="20"/>
              </w:rPr>
            </w:pPr>
            <w:r w:rsidRPr="00C83478">
              <w:rPr>
                <w:color w:val="000000" w:themeColor="text1"/>
                <w:sz w:val="20"/>
                <w:szCs w:val="20"/>
              </w:rPr>
              <w:t>Catch range exits early</w:t>
            </w:r>
          </w:p>
        </w:tc>
        <w:tc>
          <w:tcPr>
            <w:tcW w:w="2060" w:type="dxa"/>
            <w:tcBorders>
              <w:top w:val="nil"/>
              <w:left w:val="nil"/>
              <w:bottom w:val="single" w:sz="4" w:space="0" w:color="BFBFBF"/>
              <w:right w:val="single" w:sz="4" w:space="0" w:color="BFBFBF"/>
            </w:tcBorders>
            <w:vAlign w:val="center"/>
            <w:hideMark/>
          </w:tcPr>
          <w:p w14:paraId="6129CD01" w14:textId="77777777" w:rsidR="00FA55EB" w:rsidRPr="00C83478" w:rsidRDefault="00FA55EB" w:rsidP="00AE1DED">
            <w:pPr>
              <w:rPr>
                <w:color w:val="000000" w:themeColor="text1"/>
                <w:sz w:val="20"/>
                <w:szCs w:val="20"/>
              </w:rPr>
            </w:pPr>
            <w:r w:rsidRPr="00C83478">
              <w:rPr>
                <w:color w:val="000000" w:themeColor="text1"/>
                <w:sz w:val="20"/>
                <w:szCs w:val="20"/>
              </w:rPr>
              <w:t>Information overload, overtrading</w:t>
            </w:r>
          </w:p>
        </w:tc>
      </w:tr>
      <w:tr w:rsidR="00C83478" w:rsidRPr="00C83478" w14:paraId="39966F25" w14:textId="77777777" w:rsidTr="00512F7C">
        <w:trPr>
          <w:gridAfter w:val="1"/>
          <w:wAfter w:w="15" w:type="dxa"/>
          <w:trHeight w:val="81"/>
        </w:trPr>
        <w:tc>
          <w:tcPr>
            <w:tcW w:w="1705" w:type="dxa"/>
            <w:tcBorders>
              <w:top w:val="nil"/>
              <w:left w:val="single" w:sz="4" w:space="0" w:color="BFBFBF"/>
              <w:bottom w:val="single" w:sz="4" w:space="0" w:color="BFBFBF"/>
              <w:right w:val="single" w:sz="4" w:space="0" w:color="BFBFBF"/>
            </w:tcBorders>
            <w:vAlign w:val="center"/>
            <w:hideMark/>
          </w:tcPr>
          <w:p w14:paraId="7604110B" w14:textId="77777777" w:rsidR="00FA55EB" w:rsidRPr="00C83478" w:rsidRDefault="00FA55EB" w:rsidP="00AE1DED">
            <w:pPr>
              <w:rPr>
                <w:color w:val="000000" w:themeColor="text1"/>
                <w:sz w:val="20"/>
                <w:szCs w:val="20"/>
              </w:rPr>
            </w:pPr>
            <w:r w:rsidRPr="00C83478">
              <w:rPr>
                <w:color w:val="000000" w:themeColor="text1"/>
                <w:sz w:val="20"/>
                <w:szCs w:val="20"/>
              </w:rPr>
              <w:t>Weekly rebalancing</w:t>
            </w:r>
          </w:p>
        </w:tc>
        <w:tc>
          <w:tcPr>
            <w:tcW w:w="2250" w:type="dxa"/>
            <w:tcBorders>
              <w:top w:val="nil"/>
              <w:left w:val="nil"/>
              <w:bottom w:val="single" w:sz="4" w:space="0" w:color="BFBFBF"/>
              <w:right w:val="single" w:sz="4" w:space="0" w:color="BFBFBF"/>
            </w:tcBorders>
            <w:vAlign w:val="center"/>
            <w:hideMark/>
          </w:tcPr>
          <w:p w14:paraId="150EC244" w14:textId="77777777" w:rsidR="00FA55EB" w:rsidRPr="00C83478" w:rsidRDefault="00FA55EB" w:rsidP="00AE1DED">
            <w:pPr>
              <w:rPr>
                <w:color w:val="000000" w:themeColor="text1"/>
                <w:sz w:val="20"/>
                <w:szCs w:val="20"/>
              </w:rPr>
            </w:pPr>
            <w:r w:rsidRPr="00C83478">
              <w:rPr>
                <w:color w:val="000000" w:themeColor="text1"/>
                <w:sz w:val="20"/>
                <w:szCs w:val="20"/>
              </w:rPr>
              <w:t>Monthly IL &gt;3%, capital &gt;$25,000</w:t>
            </w:r>
          </w:p>
        </w:tc>
        <w:tc>
          <w:tcPr>
            <w:tcW w:w="1870" w:type="dxa"/>
            <w:tcBorders>
              <w:top w:val="nil"/>
              <w:left w:val="nil"/>
              <w:bottom w:val="single" w:sz="4" w:space="0" w:color="BFBFBF"/>
              <w:right w:val="single" w:sz="4" w:space="0" w:color="BFBFBF"/>
            </w:tcBorders>
            <w:vAlign w:val="center"/>
            <w:hideMark/>
          </w:tcPr>
          <w:p w14:paraId="723F7A80" w14:textId="77777777" w:rsidR="00FA55EB" w:rsidRPr="00C83478" w:rsidRDefault="00FA55EB" w:rsidP="00AE1DED">
            <w:pPr>
              <w:rPr>
                <w:color w:val="000000" w:themeColor="text1"/>
                <w:sz w:val="20"/>
                <w:szCs w:val="20"/>
              </w:rPr>
            </w:pPr>
            <w:r w:rsidRPr="00C83478">
              <w:rPr>
                <w:color w:val="000000" w:themeColor="text1"/>
                <w:sz w:val="20"/>
                <w:szCs w:val="20"/>
              </w:rPr>
              <w:t>IL &lt;1%, any capital level</w:t>
            </w:r>
          </w:p>
        </w:tc>
        <w:tc>
          <w:tcPr>
            <w:tcW w:w="1900" w:type="dxa"/>
            <w:tcBorders>
              <w:top w:val="nil"/>
              <w:left w:val="nil"/>
              <w:bottom w:val="single" w:sz="4" w:space="0" w:color="BFBFBF"/>
              <w:right w:val="single" w:sz="4" w:space="0" w:color="BFBFBF"/>
            </w:tcBorders>
            <w:vAlign w:val="center"/>
            <w:hideMark/>
          </w:tcPr>
          <w:p w14:paraId="084B6B80" w14:textId="77777777" w:rsidR="00FA55EB" w:rsidRPr="00C83478" w:rsidRDefault="00FA55EB" w:rsidP="00AE1DED">
            <w:pPr>
              <w:rPr>
                <w:color w:val="000000" w:themeColor="text1"/>
                <w:sz w:val="20"/>
                <w:szCs w:val="20"/>
              </w:rPr>
            </w:pPr>
            <w:r w:rsidRPr="00C83478">
              <w:rPr>
                <w:color w:val="000000" w:themeColor="text1"/>
                <w:sz w:val="20"/>
                <w:szCs w:val="20"/>
              </w:rPr>
              <w:t>Reduce IL by 30-50%</w:t>
            </w:r>
          </w:p>
        </w:tc>
        <w:tc>
          <w:tcPr>
            <w:tcW w:w="2060" w:type="dxa"/>
            <w:tcBorders>
              <w:top w:val="nil"/>
              <w:left w:val="nil"/>
              <w:bottom w:val="single" w:sz="4" w:space="0" w:color="BFBFBF"/>
              <w:right w:val="single" w:sz="4" w:space="0" w:color="BFBFBF"/>
            </w:tcBorders>
            <w:vAlign w:val="center"/>
            <w:hideMark/>
          </w:tcPr>
          <w:p w14:paraId="5067CFA9" w14:textId="77777777" w:rsidR="00FA55EB" w:rsidRPr="00C83478" w:rsidRDefault="00FA55EB" w:rsidP="00AE1DED">
            <w:pPr>
              <w:rPr>
                <w:color w:val="000000" w:themeColor="text1"/>
                <w:sz w:val="20"/>
                <w:szCs w:val="20"/>
              </w:rPr>
            </w:pPr>
            <w:r w:rsidRPr="00C83478">
              <w:rPr>
                <w:color w:val="000000" w:themeColor="text1"/>
                <w:sz w:val="20"/>
                <w:szCs w:val="20"/>
              </w:rPr>
              <w:t>Costs exceed IL savings</w:t>
            </w:r>
          </w:p>
        </w:tc>
      </w:tr>
      <w:tr w:rsidR="00C83478" w:rsidRPr="00C83478" w14:paraId="76008CD7" w14:textId="77777777" w:rsidTr="00512F7C">
        <w:trPr>
          <w:gridAfter w:val="1"/>
          <w:wAfter w:w="15" w:type="dxa"/>
          <w:trHeight w:val="81"/>
        </w:trPr>
        <w:tc>
          <w:tcPr>
            <w:tcW w:w="1705" w:type="dxa"/>
            <w:tcBorders>
              <w:top w:val="nil"/>
              <w:left w:val="single" w:sz="4" w:space="0" w:color="BFBFBF"/>
              <w:bottom w:val="single" w:sz="4" w:space="0" w:color="BFBFBF"/>
              <w:right w:val="single" w:sz="4" w:space="0" w:color="BFBFBF"/>
            </w:tcBorders>
            <w:vAlign w:val="center"/>
            <w:hideMark/>
          </w:tcPr>
          <w:p w14:paraId="5B32B5BB" w14:textId="77777777" w:rsidR="00FA55EB" w:rsidRPr="00C83478" w:rsidRDefault="00FA55EB" w:rsidP="00AE1DED">
            <w:pPr>
              <w:rPr>
                <w:color w:val="000000" w:themeColor="text1"/>
                <w:sz w:val="20"/>
                <w:szCs w:val="20"/>
              </w:rPr>
            </w:pPr>
            <w:r w:rsidRPr="00C83478">
              <w:rPr>
                <w:color w:val="000000" w:themeColor="text1"/>
                <w:sz w:val="20"/>
                <w:szCs w:val="20"/>
              </w:rPr>
              <w:t>Algorithmic rebalancing</w:t>
            </w:r>
          </w:p>
        </w:tc>
        <w:tc>
          <w:tcPr>
            <w:tcW w:w="2250" w:type="dxa"/>
            <w:tcBorders>
              <w:top w:val="nil"/>
              <w:left w:val="nil"/>
              <w:bottom w:val="single" w:sz="4" w:space="0" w:color="BFBFBF"/>
              <w:right w:val="single" w:sz="4" w:space="0" w:color="BFBFBF"/>
            </w:tcBorders>
            <w:vAlign w:val="center"/>
            <w:hideMark/>
          </w:tcPr>
          <w:p w14:paraId="4372B83A" w14:textId="77777777" w:rsidR="00FA55EB" w:rsidRPr="00C83478" w:rsidRDefault="00FA55EB" w:rsidP="00AE1DED">
            <w:pPr>
              <w:rPr>
                <w:color w:val="000000" w:themeColor="text1"/>
                <w:sz w:val="20"/>
                <w:szCs w:val="20"/>
              </w:rPr>
            </w:pPr>
            <w:r w:rsidRPr="00C83478">
              <w:rPr>
                <w:color w:val="000000" w:themeColor="text1"/>
                <w:sz w:val="20"/>
                <w:szCs w:val="20"/>
              </w:rPr>
              <w:t>Capital &gt;$100,000, programming skills</w:t>
            </w:r>
          </w:p>
        </w:tc>
        <w:tc>
          <w:tcPr>
            <w:tcW w:w="1870" w:type="dxa"/>
            <w:tcBorders>
              <w:top w:val="nil"/>
              <w:left w:val="nil"/>
              <w:bottom w:val="single" w:sz="4" w:space="0" w:color="BFBFBF"/>
              <w:right w:val="single" w:sz="4" w:space="0" w:color="BFBFBF"/>
            </w:tcBorders>
            <w:vAlign w:val="center"/>
            <w:hideMark/>
          </w:tcPr>
          <w:p w14:paraId="23125520" w14:textId="77777777" w:rsidR="00FA55EB" w:rsidRPr="00C83478" w:rsidRDefault="00FA55EB" w:rsidP="00AE1DED">
            <w:pPr>
              <w:rPr>
                <w:color w:val="000000" w:themeColor="text1"/>
                <w:sz w:val="20"/>
                <w:szCs w:val="20"/>
              </w:rPr>
            </w:pPr>
            <w:r w:rsidRPr="00C83478">
              <w:rPr>
                <w:color w:val="000000" w:themeColor="text1"/>
                <w:sz w:val="20"/>
                <w:szCs w:val="20"/>
              </w:rPr>
              <w:t>Capital &lt;$100,000 or no coding skills</w:t>
            </w:r>
          </w:p>
        </w:tc>
        <w:tc>
          <w:tcPr>
            <w:tcW w:w="1900" w:type="dxa"/>
            <w:tcBorders>
              <w:top w:val="nil"/>
              <w:left w:val="nil"/>
              <w:bottom w:val="single" w:sz="4" w:space="0" w:color="BFBFBF"/>
              <w:right w:val="single" w:sz="4" w:space="0" w:color="BFBFBF"/>
            </w:tcBorders>
            <w:vAlign w:val="center"/>
            <w:hideMark/>
          </w:tcPr>
          <w:p w14:paraId="11586E1E" w14:textId="77777777" w:rsidR="00FA55EB" w:rsidRPr="00C83478" w:rsidRDefault="00FA55EB" w:rsidP="00AE1DED">
            <w:pPr>
              <w:rPr>
                <w:color w:val="000000" w:themeColor="text1"/>
                <w:sz w:val="20"/>
                <w:szCs w:val="20"/>
              </w:rPr>
            </w:pPr>
            <w:r w:rsidRPr="00C83478">
              <w:rPr>
                <w:color w:val="000000" w:themeColor="text1"/>
                <w:sz w:val="20"/>
                <w:szCs w:val="20"/>
              </w:rPr>
              <w:t>Consistent execution</w:t>
            </w:r>
          </w:p>
        </w:tc>
        <w:tc>
          <w:tcPr>
            <w:tcW w:w="2060" w:type="dxa"/>
            <w:tcBorders>
              <w:top w:val="nil"/>
              <w:left w:val="nil"/>
              <w:bottom w:val="single" w:sz="4" w:space="0" w:color="BFBFBF"/>
              <w:right w:val="single" w:sz="4" w:space="0" w:color="BFBFBF"/>
            </w:tcBorders>
            <w:vAlign w:val="center"/>
            <w:hideMark/>
          </w:tcPr>
          <w:p w14:paraId="08851EF0" w14:textId="77777777" w:rsidR="00FA55EB" w:rsidRPr="00C83478" w:rsidRDefault="00FA55EB" w:rsidP="00AE1DED">
            <w:pPr>
              <w:rPr>
                <w:color w:val="000000" w:themeColor="text1"/>
                <w:sz w:val="20"/>
                <w:szCs w:val="20"/>
              </w:rPr>
            </w:pPr>
            <w:r w:rsidRPr="00C83478">
              <w:rPr>
                <w:color w:val="000000" w:themeColor="text1"/>
                <w:sz w:val="20"/>
                <w:szCs w:val="20"/>
              </w:rPr>
              <w:t>Setup errors cause losses</w:t>
            </w:r>
          </w:p>
        </w:tc>
      </w:tr>
      <w:tr w:rsidR="00C83478" w:rsidRPr="00C83478" w14:paraId="493BD857" w14:textId="77777777" w:rsidTr="00512F7C">
        <w:trPr>
          <w:gridAfter w:val="1"/>
          <w:wAfter w:w="15" w:type="dxa"/>
          <w:trHeight w:val="81"/>
        </w:trPr>
        <w:tc>
          <w:tcPr>
            <w:tcW w:w="1705" w:type="dxa"/>
            <w:tcBorders>
              <w:top w:val="nil"/>
              <w:left w:val="single" w:sz="4" w:space="0" w:color="BFBFBF"/>
              <w:bottom w:val="single" w:sz="4" w:space="0" w:color="BFBFBF"/>
              <w:right w:val="single" w:sz="4" w:space="0" w:color="BFBFBF"/>
            </w:tcBorders>
            <w:vAlign w:val="center"/>
            <w:hideMark/>
          </w:tcPr>
          <w:p w14:paraId="0E280207" w14:textId="77777777" w:rsidR="00FA55EB" w:rsidRPr="00C83478" w:rsidRDefault="00FA55EB" w:rsidP="00AE1DED">
            <w:pPr>
              <w:rPr>
                <w:b/>
                <w:bCs/>
                <w:color w:val="000000" w:themeColor="text1"/>
                <w:sz w:val="20"/>
                <w:szCs w:val="20"/>
              </w:rPr>
            </w:pPr>
            <w:r w:rsidRPr="00C83478">
              <w:rPr>
                <w:b/>
                <w:bCs/>
                <w:color w:val="000000" w:themeColor="text1"/>
                <w:sz w:val="20"/>
                <w:szCs w:val="20"/>
              </w:rPr>
              <w:t>Decision:</w:t>
            </w:r>
          </w:p>
        </w:tc>
        <w:tc>
          <w:tcPr>
            <w:tcW w:w="2250" w:type="dxa"/>
            <w:tcBorders>
              <w:top w:val="nil"/>
              <w:left w:val="nil"/>
              <w:bottom w:val="single" w:sz="4" w:space="0" w:color="BFBFBF"/>
              <w:right w:val="single" w:sz="4" w:space="0" w:color="BFBFBF"/>
            </w:tcBorders>
            <w:vAlign w:val="center"/>
            <w:hideMark/>
          </w:tcPr>
          <w:p w14:paraId="2FE28C01" w14:textId="77777777" w:rsidR="00FA55EB" w:rsidRPr="00C83478" w:rsidRDefault="00FA55EB" w:rsidP="00AE1DED">
            <w:pPr>
              <w:rPr>
                <w:color w:val="000000" w:themeColor="text1"/>
                <w:sz w:val="20"/>
                <w:szCs w:val="20"/>
              </w:rPr>
            </w:pPr>
            <w:proofErr w:type="gramStart"/>
            <w:r w:rsidRPr="00C83478">
              <w:rPr>
                <w:color w:val="000000" w:themeColor="text1"/>
                <w:sz w:val="20"/>
                <w:szCs w:val="20"/>
              </w:rPr>
              <w:t>Calculate</w:t>
            </w:r>
            <w:proofErr w:type="gramEnd"/>
            <w:r w:rsidRPr="00C83478">
              <w:rPr>
                <w:color w:val="000000" w:themeColor="text1"/>
                <w:sz w:val="20"/>
                <w:szCs w:val="20"/>
              </w:rPr>
              <w:t xml:space="preserve"> (rebalancing cost) vs (IL avoided)</w:t>
            </w:r>
          </w:p>
        </w:tc>
        <w:tc>
          <w:tcPr>
            <w:tcW w:w="1870" w:type="dxa"/>
            <w:tcBorders>
              <w:top w:val="nil"/>
              <w:left w:val="nil"/>
              <w:bottom w:val="single" w:sz="4" w:space="0" w:color="BFBFBF"/>
              <w:right w:val="single" w:sz="4" w:space="0" w:color="BFBFBF"/>
            </w:tcBorders>
            <w:vAlign w:val="center"/>
            <w:hideMark/>
          </w:tcPr>
          <w:p w14:paraId="2121C474" w14:textId="77777777" w:rsidR="00FA55EB" w:rsidRPr="00C83478" w:rsidRDefault="00FA55EB" w:rsidP="00AE1DED">
            <w:pPr>
              <w:rPr>
                <w:color w:val="000000" w:themeColor="text1"/>
                <w:sz w:val="20"/>
                <w:szCs w:val="20"/>
              </w:rPr>
            </w:pPr>
            <w:r w:rsidRPr="00C83478">
              <w:rPr>
                <w:color w:val="000000" w:themeColor="text1"/>
                <w:sz w:val="20"/>
                <w:szCs w:val="20"/>
              </w:rPr>
              <w:t>If cost &gt;50% of IL, don't rebalance</w:t>
            </w:r>
          </w:p>
        </w:tc>
        <w:tc>
          <w:tcPr>
            <w:tcW w:w="1900" w:type="dxa"/>
            <w:tcBorders>
              <w:top w:val="nil"/>
              <w:left w:val="nil"/>
              <w:bottom w:val="single" w:sz="4" w:space="0" w:color="BFBFBF"/>
              <w:right w:val="single" w:sz="4" w:space="0" w:color="BFBFBF"/>
            </w:tcBorders>
            <w:vAlign w:val="center"/>
            <w:hideMark/>
          </w:tcPr>
          <w:p w14:paraId="277A5190" w14:textId="77777777" w:rsidR="00FA55EB" w:rsidRPr="00C83478" w:rsidRDefault="00FA55EB" w:rsidP="00AE1DED">
            <w:pPr>
              <w:rPr>
                <w:color w:val="000000" w:themeColor="text1"/>
                <w:sz w:val="20"/>
                <w:szCs w:val="20"/>
              </w:rPr>
            </w:pPr>
            <w:proofErr w:type="gramStart"/>
            <w:r w:rsidRPr="00C83478">
              <w:rPr>
                <w:color w:val="000000" w:themeColor="text1"/>
                <w:sz w:val="20"/>
                <w:szCs w:val="20"/>
              </w:rPr>
              <w:t>If</w:t>
            </w:r>
            <w:proofErr w:type="gramEnd"/>
            <w:r w:rsidRPr="00C83478">
              <w:rPr>
                <w:color w:val="000000" w:themeColor="text1"/>
                <w:sz w:val="20"/>
                <w:szCs w:val="20"/>
              </w:rPr>
              <w:t xml:space="preserve"> </w:t>
            </w:r>
            <w:proofErr w:type="gramStart"/>
            <w:r w:rsidRPr="00C83478">
              <w:rPr>
                <w:color w:val="000000" w:themeColor="text1"/>
                <w:sz w:val="20"/>
                <w:szCs w:val="20"/>
              </w:rPr>
              <w:t>cost</w:t>
            </w:r>
            <w:proofErr w:type="gramEnd"/>
            <w:r w:rsidRPr="00C83478">
              <w:rPr>
                <w:color w:val="000000" w:themeColor="text1"/>
                <w:sz w:val="20"/>
                <w:szCs w:val="20"/>
              </w:rPr>
              <w:t xml:space="preserve"> 20-50% of IL, quarterly only</w:t>
            </w:r>
          </w:p>
        </w:tc>
        <w:tc>
          <w:tcPr>
            <w:tcW w:w="2060" w:type="dxa"/>
            <w:tcBorders>
              <w:top w:val="nil"/>
              <w:left w:val="nil"/>
              <w:bottom w:val="single" w:sz="4" w:space="0" w:color="BFBFBF"/>
              <w:right w:val="single" w:sz="4" w:space="0" w:color="BFBFBF"/>
            </w:tcBorders>
            <w:vAlign w:val="center"/>
            <w:hideMark/>
          </w:tcPr>
          <w:p w14:paraId="1A97B65D" w14:textId="77777777" w:rsidR="00FA55EB" w:rsidRPr="00C83478" w:rsidRDefault="00FA55EB" w:rsidP="00AE1DED">
            <w:pPr>
              <w:rPr>
                <w:color w:val="000000" w:themeColor="text1"/>
                <w:sz w:val="20"/>
                <w:szCs w:val="20"/>
              </w:rPr>
            </w:pPr>
            <w:r w:rsidRPr="00C83478">
              <w:rPr>
                <w:color w:val="000000" w:themeColor="text1"/>
                <w:sz w:val="20"/>
                <w:szCs w:val="20"/>
              </w:rPr>
              <w:t>If cost &lt;20% of IL, optimize frequency</w:t>
            </w:r>
          </w:p>
        </w:tc>
      </w:tr>
      <w:tr w:rsidR="00C83478" w:rsidRPr="00C83478" w14:paraId="202227CE" w14:textId="77777777" w:rsidTr="00DE04D9">
        <w:trPr>
          <w:trHeight w:val="81"/>
        </w:trPr>
        <w:tc>
          <w:tcPr>
            <w:tcW w:w="9800" w:type="dxa"/>
            <w:gridSpan w:val="6"/>
            <w:tcBorders>
              <w:top w:val="single" w:sz="4" w:space="0" w:color="BFBFBF"/>
              <w:left w:val="single" w:sz="4" w:space="0" w:color="BFBFBF"/>
              <w:bottom w:val="single" w:sz="4" w:space="0" w:color="BFBFBF"/>
              <w:right w:val="single" w:sz="4" w:space="0" w:color="BFBFBF"/>
            </w:tcBorders>
            <w:shd w:val="clear" w:color="auto" w:fill="D9D9D9" w:themeFill="background1" w:themeFillShade="D9"/>
            <w:vAlign w:val="center"/>
            <w:hideMark/>
          </w:tcPr>
          <w:p w14:paraId="17E7512F" w14:textId="77777777" w:rsidR="00FA55EB" w:rsidRPr="00C83478" w:rsidRDefault="00FA55EB" w:rsidP="00AE1DED">
            <w:pPr>
              <w:jc w:val="center"/>
              <w:rPr>
                <w:b/>
                <w:bCs/>
                <w:color w:val="000000" w:themeColor="text1"/>
                <w:sz w:val="20"/>
                <w:szCs w:val="20"/>
              </w:rPr>
            </w:pPr>
            <w:r w:rsidRPr="00C83478">
              <w:rPr>
                <w:b/>
                <w:bCs/>
                <w:color w:val="000000" w:themeColor="text1"/>
                <w:sz w:val="20"/>
                <w:szCs w:val="20"/>
              </w:rPr>
              <w:t>STRATEGY COMPLEXITY</w:t>
            </w:r>
          </w:p>
        </w:tc>
      </w:tr>
      <w:tr w:rsidR="00C83478" w:rsidRPr="00C83478" w14:paraId="06E6AE86" w14:textId="77777777" w:rsidTr="00512F7C">
        <w:trPr>
          <w:gridAfter w:val="1"/>
          <w:wAfter w:w="15" w:type="dxa"/>
          <w:trHeight w:val="188"/>
        </w:trPr>
        <w:tc>
          <w:tcPr>
            <w:tcW w:w="1705" w:type="dxa"/>
            <w:tcBorders>
              <w:top w:val="nil"/>
              <w:left w:val="single" w:sz="4" w:space="0" w:color="BFBFBF"/>
              <w:bottom w:val="single" w:sz="4" w:space="0" w:color="BFBFBF"/>
              <w:right w:val="single" w:sz="4" w:space="0" w:color="BFBFBF"/>
            </w:tcBorders>
            <w:vAlign w:val="center"/>
            <w:hideMark/>
          </w:tcPr>
          <w:p w14:paraId="595DD85C" w14:textId="77777777" w:rsidR="00FA55EB" w:rsidRPr="00C83478" w:rsidRDefault="00FA55EB" w:rsidP="00AE1DED">
            <w:pPr>
              <w:rPr>
                <w:color w:val="000000" w:themeColor="text1"/>
                <w:sz w:val="20"/>
                <w:szCs w:val="20"/>
              </w:rPr>
            </w:pPr>
            <w:r w:rsidRPr="00C83478">
              <w:rPr>
                <w:color w:val="000000" w:themeColor="text1"/>
                <w:sz w:val="20"/>
                <w:szCs w:val="20"/>
              </w:rPr>
              <w:t>Concentrated liquidity</w:t>
            </w:r>
          </w:p>
        </w:tc>
        <w:tc>
          <w:tcPr>
            <w:tcW w:w="2250" w:type="dxa"/>
            <w:tcBorders>
              <w:top w:val="nil"/>
              <w:left w:val="nil"/>
              <w:bottom w:val="single" w:sz="4" w:space="0" w:color="BFBFBF"/>
              <w:right w:val="single" w:sz="4" w:space="0" w:color="BFBFBF"/>
            </w:tcBorders>
            <w:vAlign w:val="center"/>
            <w:hideMark/>
          </w:tcPr>
          <w:p w14:paraId="0042290D" w14:textId="77777777" w:rsidR="00FA55EB" w:rsidRPr="00C83478" w:rsidRDefault="00FA55EB" w:rsidP="00AE1DED">
            <w:pPr>
              <w:rPr>
                <w:color w:val="000000" w:themeColor="text1"/>
                <w:sz w:val="20"/>
                <w:szCs w:val="20"/>
              </w:rPr>
            </w:pPr>
            <w:r w:rsidRPr="00C83478">
              <w:rPr>
                <w:color w:val="000000" w:themeColor="text1"/>
                <w:sz w:val="20"/>
                <w:szCs w:val="20"/>
              </w:rPr>
              <w:t>Capital &gt;$75,000, technical skills</w:t>
            </w:r>
          </w:p>
        </w:tc>
        <w:tc>
          <w:tcPr>
            <w:tcW w:w="1870" w:type="dxa"/>
            <w:tcBorders>
              <w:top w:val="nil"/>
              <w:left w:val="nil"/>
              <w:bottom w:val="single" w:sz="4" w:space="0" w:color="BFBFBF"/>
              <w:right w:val="single" w:sz="4" w:space="0" w:color="BFBFBF"/>
            </w:tcBorders>
            <w:vAlign w:val="center"/>
            <w:hideMark/>
          </w:tcPr>
          <w:p w14:paraId="052D9338" w14:textId="77777777" w:rsidR="00FA55EB" w:rsidRPr="00C83478" w:rsidRDefault="00FA55EB" w:rsidP="00AE1DED">
            <w:pPr>
              <w:rPr>
                <w:color w:val="000000" w:themeColor="text1"/>
                <w:sz w:val="20"/>
                <w:szCs w:val="20"/>
              </w:rPr>
            </w:pPr>
            <w:r w:rsidRPr="00C83478">
              <w:rPr>
                <w:color w:val="000000" w:themeColor="text1"/>
                <w:sz w:val="20"/>
                <w:szCs w:val="20"/>
              </w:rPr>
              <w:t>Capital &lt;$50,000 or limited skills</w:t>
            </w:r>
          </w:p>
        </w:tc>
        <w:tc>
          <w:tcPr>
            <w:tcW w:w="1900" w:type="dxa"/>
            <w:tcBorders>
              <w:top w:val="nil"/>
              <w:left w:val="nil"/>
              <w:bottom w:val="single" w:sz="4" w:space="0" w:color="BFBFBF"/>
              <w:right w:val="single" w:sz="4" w:space="0" w:color="BFBFBF"/>
            </w:tcBorders>
            <w:vAlign w:val="center"/>
            <w:hideMark/>
          </w:tcPr>
          <w:p w14:paraId="4075875D" w14:textId="77777777" w:rsidR="00FA55EB" w:rsidRPr="00C83478" w:rsidRDefault="00FA55EB" w:rsidP="00AE1DED">
            <w:pPr>
              <w:rPr>
                <w:color w:val="000000" w:themeColor="text1"/>
                <w:sz w:val="20"/>
                <w:szCs w:val="20"/>
              </w:rPr>
            </w:pPr>
            <w:r w:rsidRPr="00C83478">
              <w:rPr>
                <w:color w:val="000000" w:themeColor="text1"/>
                <w:sz w:val="20"/>
                <w:szCs w:val="20"/>
              </w:rPr>
              <w:t>4-10x capital efficiency</w:t>
            </w:r>
          </w:p>
        </w:tc>
        <w:tc>
          <w:tcPr>
            <w:tcW w:w="2060" w:type="dxa"/>
            <w:tcBorders>
              <w:top w:val="nil"/>
              <w:left w:val="nil"/>
              <w:bottom w:val="single" w:sz="4" w:space="0" w:color="BFBFBF"/>
              <w:right w:val="single" w:sz="4" w:space="0" w:color="BFBFBF"/>
            </w:tcBorders>
            <w:vAlign w:val="center"/>
            <w:hideMark/>
          </w:tcPr>
          <w:p w14:paraId="77D6CF96" w14:textId="77777777" w:rsidR="00FA55EB" w:rsidRPr="00C83478" w:rsidRDefault="00FA55EB" w:rsidP="00AE1DED">
            <w:pPr>
              <w:rPr>
                <w:color w:val="000000" w:themeColor="text1"/>
                <w:sz w:val="20"/>
                <w:szCs w:val="20"/>
              </w:rPr>
            </w:pPr>
            <w:r w:rsidRPr="00C83478">
              <w:rPr>
                <w:color w:val="000000" w:themeColor="text1"/>
                <w:sz w:val="20"/>
                <w:szCs w:val="20"/>
              </w:rPr>
              <w:t>94% failure rate below viability threshold</w:t>
            </w:r>
          </w:p>
        </w:tc>
      </w:tr>
      <w:tr w:rsidR="00C83478" w:rsidRPr="00C83478" w14:paraId="24D8E054" w14:textId="77777777" w:rsidTr="00512F7C">
        <w:trPr>
          <w:gridAfter w:val="1"/>
          <w:wAfter w:w="15" w:type="dxa"/>
          <w:trHeight w:val="512"/>
        </w:trPr>
        <w:tc>
          <w:tcPr>
            <w:tcW w:w="1705" w:type="dxa"/>
            <w:tcBorders>
              <w:top w:val="nil"/>
              <w:left w:val="single" w:sz="4" w:space="0" w:color="BFBFBF"/>
              <w:bottom w:val="single" w:sz="4" w:space="0" w:color="BFBFBF"/>
              <w:right w:val="single" w:sz="4" w:space="0" w:color="BFBFBF"/>
            </w:tcBorders>
            <w:vAlign w:val="center"/>
            <w:hideMark/>
          </w:tcPr>
          <w:p w14:paraId="5AC1F5E9" w14:textId="77777777" w:rsidR="00FA55EB" w:rsidRPr="00C83478" w:rsidRDefault="00FA55EB" w:rsidP="00AE1DED">
            <w:pPr>
              <w:rPr>
                <w:color w:val="000000" w:themeColor="text1"/>
                <w:sz w:val="20"/>
                <w:szCs w:val="20"/>
              </w:rPr>
            </w:pPr>
            <w:r w:rsidRPr="00C83478">
              <w:rPr>
                <w:color w:val="000000" w:themeColor="text1"/>
                <w:sz w:val="20"/>
                <w:szCs w:val="20"/>
              </w:rPr>
              <w:t>Multi-protocol</w:t>
            </w:r>
          </w:p>
        </w:tc>
        <w:tc>
          <w:tcPr>
            <w:tcW w:w="2250" w:type="dxa"/>
            <w:tcBorders>
              <w:top w:val="nil"/>
              <w:left w:val="nil"/>
              <w:bottom w:val="single" w:sz="4" w:space="0" w:color="BFBFBF"/>
              <w:right w:val="single" w:sz="4" w:space="0" w:color="BFBFBF"/>
            </w:tcBorders>
            <w:vAlign w:val="center"/>
            <w:hideMark/>
          </w:tcPr>
          <w:p w14:paraId="5E03E46D" w14:textId="77777777" w:rsidR="00FA55EB" w:rsidRPr="00C83478" w:rsidRDefault="00FA55EB" w:rsidP="00AE1DED">
            <w:pPr>
              <w:rPr>
                <w:color w:val="000000" w:themeColor="text1"/>
                <w:sz w:val="20"/>
                <w:szCs w:val="20"/>
              </w:rPr>
            </w:pPr>
            <w:r w:rsidRPr="00C83478">
              <w:rPr>
                <w:color w:val="000000" w:themeColor="text1"/>
                <w:sz w:val="20"/>
                <w:szCs w:val="20"/>
              </w:rPr>
              <w:t xml:space="preserve">Capital &gt;$50,000, time &gt;15 </w:t>
            </w:r>
            <w:proofErr w:type="spellStart"/>
            <w:r w:rsidRPr="00C83478">
              <w:rPr>
                <w:color w:val="000000" w:themeColor="text1"/>
                <w:sz w:val="20"/>
                <w:szCs w:val="20"/>
              </w:rPr>
              <w:t>hrs</w:t>
            </w:r>
            <w:proofErr w:type="spellEnd"/>
            <w:r w:rsidRPr="00C83478">
              <w:rPr>
                <w:color w:val="000000" w:themeColor="text1"/>
                <w:sz w:val="20"/>
                <w:szCs w:val="20"/>
              </w:rPr>
              <w:t>/</w:t>
            </w:r>
            <w:proofErr w:type="spellStart"/>
            <w:r w:rsidRPr="00C83478">
              <w:rPr>
                <w:color w:val="000000" w:themeColor="text1"/>
                <w:sz w:val="20"/>
                <w:szCs w:val="20"/>
              </w:rPr>
              <w:t>wk</w:t>
            </w:r>
            <w:proofErr w:type="spellEnd"/>
          </w:p>
        </w:tc>
        <w:tc>
          <w:tcPr>
            <w:tcW w:w="1870" w:type="dxa"/>
            <w:tcBorders>
              <w:top w:val="nil"/>
              <w:left w:val="nil"/>
              <w:bottom w:val="single" w:sz="4" w:space="0" w:color="BFBFBF"/>
              <w:right w:val="single" w:sz="4" w:space="0" w:color="BFBFBF"/>
            </w:tcBorders>
            <w:vAlign w:val="center"/>
            <w:hideMark/>
          </w:tcPr>
          <w:p w14:paraId="565F224E" w14:textId="77777777" w:rsidR="00FA55EB" w:rsidRPr="00C83478" w:rsidRDefault="00FA55EB" w:rsidP="00AE1DED">
            <w:pPr>
              <w:rPr>
                <w:color w:val="000000" w:themeColor="text1"/>
                <w:sz w:val="20"/>
                <w:szCs w:val="20"/>
              </w:rPr>
            </w:pPr>
            <w:r w:rsidRPr="00C83478">
              <w:rPr>
                <w:color w:val="000000" w:themeColor="text1"/>
                <w:sz w:val="20"/>
                <w:szCs w:val="20"/>
              </w:rPr>
              <w:t xml:space="preserve">Capital &lt;$25,000 or time &lt;10 </w:t>
            </w:r>
            <w:proofErr w:type="spellStart"/>
            <w:r w:rsidRPr="00C83478">
              <w:rPr>
                <w:color w:val="000000" w:themeColor="text1"/>
                <w:sz w:val="20"/>
                <w:szCs w:val="20"/>
              </w:rPr>
              <w:t>hrs</w:t>
            </w:r>
            <w:proofErr w:type="spellEnd"/>
            <w:r w:rsidRPr="00C83478">
              <w:rPr>
                <w:color w:val="000000" w:themeColor="text1"/>
                <w:sz w:val="20"/>
                <w:szCs w:val="20"/>
              </w:rPr>
              <w:t>/</w:t>
            </w:r>
            <w:proofErr w:type="spellStart"/>
            <w:r w:rsidRPr="00C83478">
              <w:rPr>
                <w:color w:val="000000" w:themeColor="text1"/>
                <w:sz w:val="20"/>
                <w:szCs w:val="20"/>
              </w:rPr>
              <w:t>wk</w:t>
            </w:r>
            <w:proofErr w:type="spellEnd"/>
          </w:p>
        </w:tc>
        <w:tc>
          <w:tcPr>
            <w:tcW w:w="1900" w:type="dxa"/>
            <w:tcBorders>
              <w:top w:val="nil"/>
              <w:left w:val="nil"/>
              <w:bottom w:val="single" w:sz="4" w:space="0" w:color="BFBFBF"/>
              <w:right w:val="single" w:sz="4" w:space="0" w:color="BFBFBF"/>
            </w:tcBorders>
            <w:vAlign w:val="center"/>
            <w:hideMark/>
          </w:tcPr>
          <w:p w14:paraId="1AB3FC14" w14:textId="77777777" w:rsidR="00FA55EB" w:rsidRPr="00C83478" w:rsidRDefault="00FA55EB" w:rsidP="00AE1DED">
            <w:pPr>
              <w:rPr>
                <w:color w:val="000000" w:themeColor="text1"/>
                <w:sz w:val="20"/>
                <w:szCs w:val="20"/>
              </w:rPr>
            </w:pPr>
            <w:r w:rsidRPr="00C83478">
              <w:rPr>
                <w:color w:val="000000" w:themeColor="text1"/>
                <w:sz w:val="20"/>
                <w:szCs w:val="20"/>
              </w:rPr>
              <w:t>Diversification benefits</w:t>
            </w:r>
          </w:p>
        </w:tc>
        <w:tc>
          <w:tcPr>
            <w:tcW w:w="2060" w:type="dxa"/>
            <w:tcBorders>
              <w:top w:val="nil"/>
              <w:left w:val="nil"/>
              <w:bottom w:val="single" w:sz="4" w:space="0" w:color="BFBFBF"/>
              <w:right w:val="single" w:sz="4" w:space="0" w:color="BFBFBF"/>
            </w:tcBorders>
            <w:vAlign w:val="center"/>
            <w:hideMark/>
          </w:tcPr>
          <w:p w14:paraId="05DA5AC5" w14:textId="77777777" w:rsidR="00FA55EB" w:rsidRPr="00C83478" w:rsidRDefault="00FA55EB" w:rsidP="00AE1DED">
            <w:pPr>
              <w:rPr>
                <w:color w:val="000000" w:themeColor="text1"/>
                <w:sz w:val="20"/>
                <w:szCs w:val="20"/>
              </w:rPr>
            </w:pPr>
            <w:r w:rsidRPr="00C83478">
              <w:rPr>
                <w:color w:val="000000" w:themeColor="text1"/>
                <w:sz w:val="20"/>
                <w:szCs w:val="20"/>
              </w:rPr>
              <w:t>Dilution of focus, management burden</w:t>
            </w:r>
          </w:p>
        </w:tc>
      </w:tr>
      <w:tr w:rsidR="00C83478" w:rsidRPr="00C83478" w14:paraId="241A963C" w14:textId="77777777" w:rsidTr="00512F7C">
        <w:trPr>
          <w:gridAfter w:val="1"/>
          <w:wAfter w:w="15" w:type="dxa"/>
          <w:trHeight w:val="314"/>
        </w:trPr>
        <w:tc>
          <w:tcPr>
            <w:tcW w:w="1705" w:type="dxa"/>
            <w:tcBorders>
              <w:top w:val="nil"/>
              <w:left w:val="single" w:sz="4" w:space="0" w:color="BFBFBF"/>
              <w:bottom w:val="single" w:sz="4" w:space="0" w:color="BFBFBF"/>
              <w:right w:val="single" w:sz="4" w:space="0" w:color="BFBFBF"/>
            </w:tcBorders>
            <w:vAlign w:val="center"/>
            <w:hideMark/>
          </w:tcPr>
          <w:p w14:paraId="2F22C92A" w14:textId="77777777" w:rsidR="00FA55EB" w:rsidRPr="00C83478" w:rsidRDefault="00FA55EB" w:rsidP="00AE1DED">
            <w:pPr>
              <w:rPr>
                <w:color w:val="000000" w:themeColor="text1"/>
                <w:sz w:val="20"/>
                <w:szCs w:val="20"/>
              </w:rPr>
            </w:pPr>
            <w:r w:rsidRPr="00C83478">
              <w:rPr>
                <w:color w:val="000000" w:themeColor="text1"/>
                <w:sz w:val="20"/>
                <w:szCs w:val="20"/>
              </w:rPr>
              <w:t>Automated strategies</w:t>
            </w:r>
          </w:p>
        </w:tc>
        <w:tc>
          <w:tcPr>
            <w:tcW w:w="2250" w:type="dxa"/>
            <w:tcBorders>
              <w:top w:val="nil"/>
              <w:left w:val="nil"/>
              <w:bottom w:val="single" w:sz="4" w:space="0" w:color="BFBFBF"/>
              <w:right w:val="single" w:sz="4" w:space="0" w:color="BFBFBF"/>
            </w:tcBorders>
            <w:vAlign w:val="center"/>
            <w:hideMark/>
          </w:tcPr>
          <w:p w14:paraId="648C1125" w14:textId="77777777" w:rsidR="00FA55EB" w:rsidRPr="00C83478" w:rsidRDefault="00FA55EB" w:rsidP="00AE1DED">
            <w:pPr>
              <w:rPr>
                <w:color w:val="000000" w:themeColor="text1"/>
                <w:sz w:val="20"/>
                <w:szCs w:val="20"/>
              </w:rPr>
            </w:pPr>
            <w:r w:rsidRPr="00C83478">
              <w:rPr>
                <w:color w:val="000000" w:themeColor="text1"/>
                <w:sz w:val="20"/>
                <w:szCs w:val="20"/>
              </w:rPr>
              <w:t>Capital &gt;$100,000, programming skills</w:t>
            </w:r>
          </w:p>
        </w:tc>
        <w:tc>
          <w:tcPr>
            <w:tcW w:w="1870" w:type="dxa"/>
            <w:tcBorders>
              <w:top w:val="nil"/>
              <w:left w:val="nil"/>
              <w:bottom w:val="single" w:sz="4" w:space="0" w:color="BFBFBF"/>
              <w:right w:val="single" w:sz="4" w:space="0" w:color="BFBFBF"/>
            </w:tcBorders>
            <w:vAlign w:val="center"/>
            <w:hideMark/>
          </w:tcPr>
          <w:p w14:paraId="6C7A9DD1" w14:textId="77777777" w:rsidR="00FA55EB" w:rsidRPr="00C83478" w:rsidRDefault="00FA55EB" w:rsidP="00AE1DED">
            <w:pPr>
              <w:rPr>
                <w:color w:val="000000" w:themeColor="text1"/>
                <w:sz w:val="20"/>
                <w:szCs w:val="20"/>
              </w:rPr>
            </w:pPr>
            <w:r w:rsidRPr="00C83478">
              <w:rPr>
                <w:color w:val="000000" w:themeColor="text1"/>
                <w:sz w:val="20"/>
                <w:szCs w:val="20"/>
              </w:rPr>
              <w:t>Capital &lt;$100,000 or no coding ability</w:t>
            </w:r>
          </w:p>
        </w:tc>
        <w:tc>
          <w:tcPr>
            <w:tcW w:w="1900" w:type="dxa"/>
            <w:tcBorders>
              <w:top w:val="nil"/>
              <w:left w:val="nil"/>
              <w:bottom w:val="single" w:sz="4" w:space="0" w:color="BFBFBF"/>
              <w:right w:val="single" w:sz="4" w:space="0" w:color="BFBFBF"/>
            </w:tcBorders>
            <w:vAlign w:val="center"/>
            <w:hideMark/>
          </w:tcPr>
          <w:p w14:paraId="370551EA" w14:textId="77777777" w:rsidR="00FA55EB" w:rsidRPr="00C83478" w:rsidRDefault="00FA55EB" w:rsidP="00AE1DED">
            <w:pPr>
              <w:rPr>
                <w:color w:val="000000" w:themeColor="text1"/>
                <w:sz w:val="20"/>
                <w:szCs w:val="20"/>
              </w:rPr>
            </w:pPr>
            <w:r w:rsidRPr="00C83478">
              <w:rPr>
                <w:color w:val="000000" w:themeColor="text1"/>
                <w:sz w:val="20"/>
                <w:szCs w:val="20"/>
              </w:rPr>
              <w:t>Consistent execution, time savings</w:t>
            </w:r>
          </w:p>
        </w:tc>
        <w:tc>
          <w:tcPr>
            <w:tcW w:w="2060" w:type="dxa"/>
            <w:tcBorders>
              <w:top w:val="nil"/>
              <w:left w:val="nil"/>
              <w:bottom w:val="single" w:sz="4" w:space="0" w:color="BFBFBF"/>
              <w:right w:val="single" w:sz="4" w:space="0" w:color="BFBFBF"/>
            </w:tcBorders>
            <w:vAlign w:val="center"/>
            <w:hideMark/>
          </w:tcPr>
          <w:p w14:paraId="62244291" w14:textId="77777777" w:rsidR="00FA55EB" w:rsidRPr="00C83478" w:rsidRDefault="00FA55EB" w:rsidP="00AE1DED">
            <w:pPr>
              <w:rPr>
                <w:color w:val="000000" w:themeColor="text1"/>
                <w:sz w:val="20"/>
                <w:szCs w:val="20"/>
              </w:rPr>
            </w:pPr>
            <w:r w:rsidRPr="00C83478">
              <w:rPr>
                <w:color w:val="000000" w:themeColor="text1"/>
                <w:sz w:val="20"/>
                <w:szCs w:val="20"/>
              </w:rPr>
              <w:t>Setup costs exceed benefits</w:t>
            </w:r>
          </w:p>
        </w:tc>
      </w:tr>
      <w:tr w:rsidR="00C83478" w:rsidRPr="00C83478" w14:paraId="0623830D" w14:textId="77777777" w:rsidTr="00512F7C">
        <w:trPr>
          <w:gridAfter w:val="1"/>
          <w:wAfter w:w="15" w:type="dxa"/>
          <w:trHeight w:val="566"/>
        </w:trPr>
        <w:tc>
          <w:tcPr>
            <w:tcW w:w="1705" w:type="dxa"/>
            <w:tcBorders>
              <w:top w:val="nil"/>
              <w:left w:val="single" w:sz="4" w:space="0" w:color="BFBFBF"/>
              <w:bottom w:val="single" w:sz="4" w:space="0" w:color="BFBFBF"/>
              <w:right w:val="single" w:sz="4" w:space="0" w:color="BFBFBF"/>
            </w:tcBorders>
            <w:vAlign w:val="center"/>
            <w:hideMark/>
          </w:tcPr>
          <w:p w14:paraId="2B02424E" w14:textId="77777777" w:rsidR="00FA55EB" w:rsidRPr="00C83478" w:rsidRDefault="00FA55EB" w:rsidP="00AE1DED">
            <w:pPr>
              <w:rPr>
                <w:b/>
                <w:bCs/>
                <w:color w:val="000000" w:themeColor="text1"/>
                <w:sz w:val="20"/>
                <w:szCs w:val="20"/>
              </w:rPr>
            </w:pPr>
            <w:r w:rsidRPr="00C83478">
              <w:rPr>
                <w:b/>
                <w:bCs/>
                <w:color w:val="000000" w:themeColor="text1"/>
                <w:sz w:val="20"/>
                <w:szCs w:val="20"/>
              </w:rPr>
              <w:t>Decision:</w:t>
            </w:r>
          </w:p>
        </w:tc>
        <w:tc>
          <w:tcPr>
            <w:tcW w:w="2250" w:type="dxa"/>
            <w:tcBorders>
              <w:top w:val="nil"/>
              <w:left w:val="nil"/>
              <w:bottom w:val="single" w:sz="4" w:space="0" w:color="BFBFBF"/>
              <w:right w:val="single" w:sz="4" w:space="0" w:color="BFBFBF"/>
            </w:tcBorders>
            <w:vAlign w:val="center"/>
            <w:hideMark/>
          </w:tcPr>
          <w:p w14:paraId="10B68142" w14:textId="77777777" w:rsidR="00FA55EB" w:rsidRPr="00C83478" w:rsidRDefault="00FA55EB" w:rsidP="00AE1DED">
            <w:pPr>
              <w:rPr>
                <w:color w:val="000000" w:themeColor="text1"/>
                <w:sz w:val="20"/>
                <w:szCs w:val="20"/>
              </w:rPr>
            </w:pPr>
            <w:r w:rsidRPr="00C83478">
              <w:rPr>
                <w:color w:val="000000" w:themeColor="text1"/>
                <w:sz w:val="20"/>
                <w:szCs w:val="20"/>
              </w:rPr>
              <w:t>Match complexity to resources</w:t>
            </w:r>
          </w:p>
        </w:tc>
        <w:tc>
          <w:tcPr>
            <w:tcW w:w="1870" w:type="dxa"/>
            <w:tcBorders>
              <w:top w:val="nil"/>
              <w:left w:val="nil"/>
              <w:bottom w:val="single" w:sz="4" w:space="0" w:color="BFBFBF"/>
              <w:right w:val="single" w:sz="4" w:space="0" w:color="BFBFBF"/>
            </w:tcBorders>
            <w:vAlign w:val="center"/>
            <w:hideMark/>
          </w:tcPr>
          <w:p w14:paraId="44896910" w14:textId="77777777" w:rsidR="00FA55EB" w:rsidRPr="00C83478" w:rsidRDefault="00FA55EB" w:rsidP="00AE1DED">
            <w:pPr>
              <w:rPr>
                <w:color w:val="000000" w:themeColor="text1"/>
                <w:sz w:val="20"/>
                <w:szCs w:val="20"/>
              </w:rPr>
            </w:pPr>
            <w:r w:rsidRPr="00C83478">
              <w:rPr>
                <w:color w:val="000000" w:themeColor="text1"/>
                <w:sz w:val="20"/>
                <w:szCs w:val="20"/>
              </w:rPr>
              <w:t xml:space="preserve">If resources </w:t>
            </w:r>
            <w:proofErr w:type="gramStart"/>
            <w:r w:rsidRPr="00C83478">
              <w:rPr>
                <w:color w:val="000000" w:themeColor="text1"/>
                <w:sz w:val="20"/>
                <w:szCs w:val="20"/>
              </w:rPr>
              <w:t>insufficient</w:t>
            </w:r>
            <w:proofErr w:type="gramEnd"/>
            <w:r w:rsidRPr="00C83478">
              <w:rPr>
                <w:color w:val="000000" w:themeColor="text1"/>
                <w:sz w:val="20"/>
                <w:szCs w:val="20"/>
              </w:rPr>
              <w:t>, reduce complexity</w:t>
            </w:r>
          </w:p>
        </w:tc>
        <w:tc>
          <w:tcPr>
            <w:tcW w:w="1900" w:type="dxa"/>
            <w:tcBorders>
              <w:top w:val="nil"/>
              <w:left w:val="nil"/>
              <w:bottom w:val="single" w:sz="4" w:space="0" w:color="BFBFBF"/>
              <w:right w:val="single" w:sz="4" w:space="0" w:color="BFBFBF"/>
            </w:tcBorders>
            <w:vAlign w:val="center"/>
            <w:hideMark/>
          </w:tcPr>
          <w:p w14:paraId="66906B78" w14:textId="77777777" w:rsidR="00FA55EB" w:rsidRPr="00C83478" w:rsidRDefault="00FA55EB" w:rsidP="00AE1DED">
            <w:pPr>
              <w:rPr>
                <w:color w:val="000000" w:themeColor="text1"/>
                <w:sz w:val="20"/>
                <w:szCs w:val="20"/>
              </w:rPr>
            </w:pPr>
            <w:r w:rsidRPr="00C83478">
              <w:rPr>
                <w:color w:val="000000" w:themeColor="text1"/>
                <w:sz w:val="20"/>
                <w:szCs w:val="20"/>
              </w:rPr>
              <w:t>Success requires alignment</w:t>
            </w:r>
          </w:p>
        </w:tc>
        <w:tc>
          <w:tcPr>
            <w:tcW w:w="2060" w:type="dxa"/>
            <w:tcBorders>
              <w:top w:val="nil"/>
              <w:left w:val="nil"/>
              <w:bottom w:val="single" w:sz="4" w:space="0" w:color="BFBFBF"/>
              <w:right w:val="single" w:sz="4" w:space="0" w:color="BFBFBF"/>
            </w:tcBorders>
            <w:vAlign w:val="center"/>
            <w:hideMark/>
          </w:tcPr>
          <w:p w14:paraId="4D77C092" w14:textId="77777777" w:rsidR="00FA55EB" w:rsidRPr="00C83478" w:rsidRDefault="00FA55EB" w:rsidP="00AE1DED">
            <w:pPr>
              <w:rPr>
                <w:color w:val="000000" w:themeColor="text1"/>
                <w:sz w:val="20"/>
                <w:szCs w:val="20"/>
              </w:rPr>
            </w:pPr>
            <w:r w:rsidRPr="00C83478">
              <w:rPr>
                <w:color w:val="000000" w:themeColor="text1"/>
                <w:sz w:val="20"/>
                <w:szCs w:val="20"/>
              </w:rPr>
              <w:t>Misalignment guarantees failure</w:t>
            </w:r>
          </w:p>
        </w:tc>
      </w:tr>
      <w:tr w:rsidR="00C83478" w:rsidRPr="00C83478" w14:paraId="60423A9D" w14:textId="77777777" w:rsidTr="00DE04D9">
        <w:trPr>
          <w:trHeight w:val="81"/>
        </w:trPr>
        <w:tc>
          <w:tcPr>
            <w:tcW w:w="9800" w:type="dxa"/>
            <w:gridSpan w:val="6"/>
            <w:tcBorders>
              <w:top w:val="single" w:sz="4" w:space="0" w:color="BFBFBF"/>
              <w:left w:val="single" w:sz="4" w:space="0" w:color="BFBFBF"/>
              <w:bottom w:val="single" w:sz="4" w:space="0" w:color="BFBFBF"/>
              <w:right w:val="single" w:sz="4" w:space="0" w:color="BFBFBF"/>
            </w:tcBorders>
            <w:shd w:val="clear" w:color="auto" w:fill="D9D9D9" w:themeFill="background1" w:themeFillShade="D9"/>
            <w:vAlign w:val="center"/>
            <w:hideMark/>
          </w:tcPr>
          <w:p w14:paraId="1B672D51" w14:textId="77777777" w:rsidR="00FA55EB" w:rsidRPr="00C83478" w:rsidRDefault="00FA55EB" w:rsidP="00AE1DED">
            <w:pPr>
              <w:jc w:val="center"/>
              <w:rPr>
                <w:b/>
                <w:bCs/>
                <w:color w:val="000000" w:themeColor="text1"/>
                <w:sz w:val="20"/>
                <w:szCs w:val="20"/>
              </w:rPr>
            </w:pPr>
            <w:r w:rsidRPr="00C83478">
              <w:rPr>
                <w:b/>
                <w:bCs/>
                <w:color w:val="000000" w:themeColor="text1"/>
                <w:sz w:val="20"/>
                <w:szCs w:val="20"/>
              </w:rPr>
              <w:t>PROTOCOL SELECTION</w:t>
            </w:r>
          </w:p>
        </w:tc>
      </w:tr>
      <w:tr w:rsidR="00C83478" w:rsidRPr="00C83478" w14:paraId="10CFBBE5" w14:textId="77777777" w:rsidTr="00512F7C">
        <w:trPr>
          <w:gridAfter w:val="1"/>
          <w:wAfter w:w="15" w:type="dxa"/>
          <w:trHeight w:val="116"/>
        </w:trPr>
        <w:tc>
          <w:tcPr>
            <w:tcW w:w="1705" w:type="dxa"/>
            <w:tcBorders>
              <w:top w:val="nil"/>
              <w:left w:val="single" w:sz="4" w:space="0" w:color="BFBFBF"/>
              <w:bottom w:val="single" w:sz="4" w:space="0" w:color="BFBFBF"/>
              <w:right w:val="single" w:sz="4" w:space="0" w:color="BFBFBF"/>
            </w:tcBorders>
            <w:vAlign w:val="center"/>
            <w:hideMark/>
          </w:tcPr>
          <w:p w14:paraId="67CF9018" w14:textId="77777777" w:rsidR="00FA55EB" w:rsidRPr="00C83478" w:rsidRDefault="00FA55EB" w:rsidP="00AE1DED">
            <w:pPr>
              <w:rPr>
                <w:color w:val="000000" w:themeColor="text1"/>
                <w:sz w:val="20"/>
                <w:szCs w:val="20"/>
              </w:rPr>
            </w:pPr>
            <w:r w:rsidRPr="00C83478">
              <w:rPr>
                <w:color w:val="000000" w:themeColor="text1"/>
                <w:sz w:val="20"/>
                <w:szCs w:val="20"/>
              </w:rPr>
              <w:t>New protocols (&gt;50% APY)</w:t>
            </w:r>
          </w:p>
        </w:tc>
        <w:tc>
          <w:tcPr>
            <w:tcW w:w="2250" w:type="dxa"/>
            <w:tcBorders>
              <w:top w:val="nil"/>
              <w:left w:val="nil"/>
              <w:bottom w:val="single" w:sz="4" w:space="0" w:color="BFBFBF"/>
              <w:right w:val="single" w:sz="4" w:space="0" w:color="BFBFBF"/>
            </w:tcBorders>
            <w:vAlign w:val="center"/>
            <w:hideMark/>
          </w:tcPr>
          <w:p w14:paraId="20D7DA9D" w14:textId="77777777" w:rsidR="00FA55EB" w:rsidRPr="00C83478" w:rsidRDefault="00FA55EB" w:rsidP="00AE1DED">
            <w:pPr>
              <w:rPr>
                <w:color w:val="000000" w:themeColor="text1"/>
                <w:sz w:val="20"/>
                <w:szCs w:val="20"/>
              </w:rPr>
            </w:pPr>
            <w:r w:rsidRPr="00C83478">
              <w:rPr>
                <w:color w:val="000000" w:themeColor="text1"/>
                <w:sz w:val="20"/>
                <w:szCs w:val="20"/>
              </w:rPr>
              <w:t>Can afford 100% loss, active monitoring</w:t>
            </w:r>
          </w:p>
        </w:tc>
        <w:tc>
          <w:tcPr>
            <w:tcW w:w="1870" w:type="dxa"/>
            <w:tcBorders>
              <w:top w:val="nil"/>
              <w:left w:val="nil"/>
              <w:bottom w:val="single" w:sz="4" w:space="0" w:color="BFBFBF"/>
              <w:right w:val="single" w:sz="4" w:space="0" w:color="BFBFBF"/>
            </w:tcBorders>
            <w:vAlign w:val="center"/>
            <w:hideMark/>
          </w:tcPr>
          <w:p w14:paraId="13EA701C" w14:textId="77777777" w:rsidR="00FA55EB" w:rsidRPr="00C83478" w:rsidRDefault="00FA55EB" w:rsidP="00AE1DED">
            <w:pPr>
              <w:rPr>
                <w:color w:val="000000" w:themeColor="text1"/>
                <w:sz w:val="20"/>
                <w:szCs w:val="20"/>
              </w:rPr>
            </w:pPr>
            <w:r w:rsidRPr="00C83478">
              <w:rPr>
                <w:color w:val="000000" w:themeColor="text1"/>
                <w:sz w:val="20"/>
                <w:szCs w:val="20"/>
              </w:rPr>
              <w:t>Risk-averse, passive approach</w:t>
            </w:r>
          </w:p>
        </w:tc>
        <w:tc>
          <w:tcPr>
            <w:tcW w:w="1900" w:type="dxa"/>
            <w:tcBorders>
              <w:top w:val="nil"/>
              <w:left w:val="nil"/>
              <w:bottom w:val="single" w:sz="4" w:space="0" w:color="BFBFBF"/>
              <w:right w:val="single" w:sz="4" w:space="0" w:color="BFBFBF"/>
            </w:tcBorders>
            <w:vAlign w:val="center"/>
            <w:hideMark/>
          </w:tcPr>
          <w:p w14:paraId="23DBA90E" w14:textId="77777777" w:rsidR="00FA55EB" w:rsidRPr="00C83478" w:rsidRDefault="00FA55EB" w:rsidP="00AE1DED">
            <w:pPr>
              <w:rPr>
                <w:color w:val="000000" w:themeColor="text1"/>
                <w:sz w:val="20"/>
                <w:szCs w:val="20"/>
              </w:rPr>
            </w:pPr>
            <w:r w:rsidRPr="00C83478">
              <w:rPr>
                <w:color w:val="000000" w:themeColor="text1"/>
                <w:sz w:val="20"/>
                <w:szCs w:val="20"/>
              </w:rPr>
              <w:t>Occasional high returns</w:t>
            </w:r>
          </w:p>
        </w:tc>
        <w:tc>
          <w:tcPr>
            <w:tcW w:w="2060" w:type="dxa"/>
            <w:tcBorders>
              <w:top w:val="nil"/>
              <w:left w:val="nil"/>
              <w:bottom w:val="single" w:sz="4" w:space="0" w:color="BFBFBF"/>
              <w:right w:val="single" w:sz="4" w:space="0" w:color="BFBFBF"/>
            </w:tcBorders>
            <w:vAlign w:val="center"/>
            <w:hideMark/>
          </w:tcPr>
          <w:p w14:paraId="3CF1517B" w14:textId="77777777" w:rsidR="00FA55EB" w:rsidRPr="00C83478" w:rsidRDefault="00FA55EB" w:rsidP="00AE1DED">
            <w:pPr>
              <w:rPr>
                <w:color w:val="000000" w:themeColor="text1"/>
                <w:sz w:val="20"/>
                <w:szCs w:val="20"/>
              </w:rPr>
            </w:pPr>
            <w:r w:rsidRPr="00C83478">
              <w:rPr>
                <w:color w:val="000000" w:themeColor="text1"/>
                <w:sz w:val="20"/>
                <w:szCs w:val="20"/>
              </w:rPr>
              <w:t>85% failure rate within 6 months</w:t>
            </w:r>
          </w:p>
        </w:tc>
      </w:tr>
      <w:tr w:rsidR="00C83478" w:rsidRPr="00C83478" w14:paraId="081A6F77" w14:textId="77777777" w:rsidTr="00512F7C">
        <w:trPr>
          <w:gridAfter w:val="1"/>
          <w:wAfter w:w="15" w:type="dxa"/>
          <w:trHeight w:val="170"/>
        </w:trPr>
        <w:tc>
          <w:tcPr>
            <w:tcW w:w="1705" w:type="dxa"/>
            <w:tcBorders>
              <w:top w:val="nil"/>
              <w:left w:val="single" w:sz="4" w:space="0" w:color="BFBFBF"/>
              <w:bottom w:val="single" w:sz="4" w:space="0" w:color="BFBFBF"/>
              <w:right w:val="single" w:sz="4" w:space="0" w:color="BFBFBF"/>
            </w:tcBorders>
            <w:vAlign w:val="center"/>
            <w:hideMark/>
          </w:tcPr>
          <w:p w14:paraId="0C67FC5D" w14:textId="77777777" w:rsidR="00FA55EB" w:rsidRPr="00C83478" w:rsidRDefault="00FA55EB" w:rsidP="00AE1DED">
            <w:pPr>
              <w:rPr>
                <w:color w:val="000000" w:themeColor="text1"/>
                <w:sz w:val="20"/>
                <w:szCs w:val="20"/>
              </w:rPr>
            </w:pPr>
            <w:r w:rsidRPr="00C83478">
              <w:rPr>
                <w:color w:val="000000" w:themeColor="text1"/>
                <w:sz w:val="20"/>
                <w:szCs w:val="20"/>
              </w:rPr>
              <w:t>Established protocols</w:t>
            </w:r>
          </w:p>
        </w:tc>
        <w:tc>
          <w:tcPr>
            <w:tcW w:w="2250" w:type="dxa"/>
            <w:tcBorders>
              <w:top w:val="nil"/>
              <w:left w:val="nil"/>
              <w:bottom w:val="single" w:sz="4" w:space="0" w:color="BFBFBF"/>
              <w:right w:val="single" w:sz="4" w:space="0" w:color="BFBFBF"/>
            </w:tcBorders>
            <w:vAlign w:val="center"/>
            <w:hideMark/>
          </w:tcPr>
          <w:p w14:paraId="0C4929CB" w14:textId="77777777" w:rsidR="00FA55EB" w:rsidRPr="00C83478" w:rsidRDefault="00FA55EB" w:rsidP="00AE1DED">
            <w:pPr>
              <w:rPr>
                <w:color w:val="000000" w:themeColor="text1"/>
                <w:sz w:val="20"/>
                <w:szCs w:val="20"/>
              </w:rPr>
            </w:pPr>
            <w:r w:rsidRPr="00C83478">
              <w:rPr>
                <w:color w:val="000000" w:themeColor="text1"/>
                <w:sz w:val="20"/>
                <w:szCs w:val="20"/>
              </w:rPr>
              <w:t>Prioritize stability over yield</w:t>
            </w:r>
          </w:p>
        </w:tc>
        <w:tc>
          <w:tcPr>
            <w:tcW w:w="1870" w:type="dxa"/>
            <w:tcBorders>
              <w:top w:val="nil"/>
              <w:left w:val="nil"/>
              <w:bottom w:val="single" w:sz="4" w:space="0" w:color="BFBFBF"/>
              <w:right w:val="single" w:sz="4" w:space="0" w:color="BFBFBF"/>
            </w:tcBorders>
            <w:vAlign w:val="center"/>
            <w:hideMark/>
          </w:tcPr>
          <w:p w14:paraId="6DD51873" w14:textId="77777777" w:rsidR="00FA55EB" w:rsidRPr="00C83478" w:rsidRDefault="00FA55EB" w:rsidP="00AE1DED">
            <w:pPr>
              <w:rPr>
                <w:color w:val="000000" w:themeColor="text1"/>
                <w:sz w:val="20"/>
                <w:szCs w:val="20"/>
              </w:rPr>
            </w:pPr>
            <w:r w:rsidRPr="00C83478">
              <w:rPr>
                <w:color w:val="000000" w:themeColor="text1"/>
                <w:sz w:val="20"/>
                <w:szCs w:val="20"/>
              </w:rPr>
              <w:t>Seeking maximum returns</w:t>
            </w:r>
          </w:p>
        </w:tc>
        <w:tc>
          <w:tcPr>
            <w:tcW w:w="1900" w:type="dxa"/>
            <w:tcBorders>
              <w:top w:val="nil"/>
              <w:left w:val="nil"/>
              <w:bottom w:val="single" w:sz="4" w:space="0" w:color="BFBFBF"/>
              <w:right w:val="single" w:sz="4" w:space="0" w:color="BFBFBF"/>
            </w:tcBorders>
            <w:vAlign w:val="center"/>
            <w:hideMark/>
          </w:tcPr>
          <w:p w14:paraId="2317ED77" w14:textId="77777777" w:rsidR="00FA55EB" w:rsidRPr="00C83478" w:rsidRDefault="00FA55EB" w:rsidP="00AE1DED">
            <w:pPr>
              <w:rPr>
                <w:color w:val="000000" w:themeColor="text1"/>
                <w:sz w:val="20"/>
                <w:szCs w:val="20"/>
              </w:rPr>
            </w:pPr>
            <w:r w:rsidRPr="00C83478">
              <w:rPr>
                <w:color w:val="000000" w:themeColor="text1"/>
                <w:sz w:val="20"/>
                <w:szCs w:val="20"/>
              </w:rPr>
              <w:t>Consistent performance</w:t>
            </w:r>
          </w:p>
        </w:tc>
        <w:tc>
          <w:tcPr>
            <w:tcW w:w="2060" w:type="dxa"/>
            <w:tcBorders>
              <w:top w:val="nil"/>
              <w:left w:val="nil"/>
              <w:bottom w:val="single" w:sz="4" w:space="0" w:color="BFBFBF"/>
              <w:right w:val="single" w:sz="4" w:space="0" w:color="BFBFBF"/>
            </w:tcBorders>
            <w:vAlign w:val="center"/>
            <w:hideMark/>
          </w:tcPr>
          <w:p w14:paraId="67FDA11B" w14:textId="77777777" w:rsidR="00FA55EB" w:rsidRPr="00C83478" w:rsidRDefault="00FA55EB" w:rsidP="00AE1DED">
            <w:pPr>
              <w:rPr>
                <w:color w:val="000000" w:themeColor="text1"/>
                <w:sz w:val="20"/>
                <w:szCs w:val="20"/>
              </w:rPr>
            </w:pPr>
            <w:r w:rsidRPr="00C83478">
              <w:rPr>
                <w:color w:val="000000" w:themeColor="text1"/>
                <w:sz w:val="20"/>
                <w:szCs w:val="20"/>
              </w:rPr>
              <w:t>Lower yields than alternatives</w:t>
            </w:r>
          </w:p>
        </w:tc>
      </w:tr>
      <w:tr w:rsidR="00C83478" w:rsidRPr="00C83478" w14:paraId="25A7E4DF" w14:textId="77777777" w:rsidTr="00512F7C">
        <w:trPr>
          <w:gridAfter w:val="1"/>
          <w:wAfter w:w="15" w:type="dxa"/>
          <w:trHeight w:val="305"/>
        </w:trPr>
        <w:tc>
          <w:tcPr>
            <w:tcW w:w="1705" w:type="dxa"/>
            <w:tcBorders>
              <w:top w:val="nil"/>
              <w:left w:val="single" w:sz="4" w:space="0" w:color="BFBFBF"/>
              <w:bottom w:val="single" w:sz="4" w:space="0" w:color="BFBFBF"/>
              <w:right w:val="single" w:sz="4" w:space="0" w:color="BFBFBF"/>
            </w:tcBorders>
            <w:vAlign w:val="center"/>
            <w:hideMark/>
          </w:tcPr>
          <w:p w14:paraId="7932D5DC" w14:textId="77777777" w:rsidR="00FA55EB" w:rsidRPr="00C83478" w:rsidRDefault="00FA55EB" w:rsidP="00AE1DED">
            <w:pPr>
              <w:rPr>
                <w:color w:val="000000" w:themeColor="text1"/>
                <w:sz w:val="20"/>
                <w:szCs w:val="20"/>
              </w:rPr>
            </w:pPr>
            <w:r w:rsidRPr="00C83478">
              <w:rPr>
                <w:color w:val="000000" w:themeColor="text1"/>
                <w:sz w:val="20"/>
                <w:szCs w:val="20"/>
              </w:rPr>
              <w:t>Multi-protocol diversification</w:t>
            </w:r>
          </w:p>
        </w:tc>
        <w:tc>
          <w:tcPr>
            <w:tcW w:w="2250" w:type="dxa"/>
            <w:tcBorders>
              <w:top w:val="nil"/>
              <w:left w:val="nil"/>
              <w:bottom w:val="single" w:sz="4" w:space="0" w:color="BFBFBF"/>
              <w:right w:val="single" w:sz="4" w:space="0" w:color="BFBFBF"/>
            </w:tcBorders>
            <w:vAlign w:val="center"/>
            <w:hideMark/>
          </w:tcPr>
          <w:p w14:paraId="2E434A84" w14:textId="77777777" w:rsidR="00FA55EB" w:rsidRPr="00C83478" w:rsidRDefault="00FA55EB" w:rsidP="00AE1DED">
            <w:pPr>
              <w:rPr>
                <w:color w:val="000000" w:themeColor="text1"/>
                <w:sz w:val="20"/>
                <w:szCs w:val="20"/>
              </w:rPr>
            </w:pPr>
            <w:r w:rsidRPr="00C83478">
              <w:rPr>
                <w:color w:val="000000" w:themeColor="text1"/>
                <w:sz w:val="20"/>
                <w:szCs w:val="20"/>
              </w:rPr>
              <w:t>Capital &gt;$50,000, can monitor all</w:t>
            </w:r>
          </w:p>
        </w:tc>
        <w:tc>
          <w:tcPr>
            <w:tcW w:w="1870" w:type="dxa"/>
            <w:tcBorders>
              <w:top w:val="nil"/>
              <w:left w:val="nil"/>
              <w:bottom w:val="single" w:sz="4" w:space="0" w:color="BFBFBF"/>
              <w:right w:val="single" w:sz="4" w:space="0" w:color="BFBFBF"/>
            </w:tcBorders>
            <w:vAlign w:val="center"/>
            <w:hideMark/>
          </w:tcPr>
          <w:p w14:paraId="668E6B83" w14:textId="77777777" w:rsidR="00FA55EB" w:rsidRPr="00C83478" w:rsidRDefault="00FA55EB" w:rsidP="00AE1DED">
            <w:pPr>
              <w:rPr>
                <w:color w:val="000000" w:themeColor="text1"/>
                <w:sz w:val="20"/>
                <w:szCs w:val="20"/>
              </w:rPr>
            </w:pPr>
            <w:r w:rsidRPr="00C83478">
              <w:rPr>
                <w:color w:val="000000" w:themeColor="text1"/>
                <w:sz w:val="20"/>
                <w:szCs w:val="20"/>
              </w:rPr>
              <w:t>Capital &lt;$25,000, limited time</w:t>
            </w:r>
          </w:p>
        </w:tc>
        <w:tc>
          <w:tcPr>
            <w:tcW w:w="1900" w:type="dxa"/>
            <w:tcBorders>
              <w:top w:val="nil"/>
              <w:left w:val="nil"/>
              <w:bottom w:val="single" w:sz="4" w:space="0" w:color="BFBFBF"/>
              <w:right w:val="single" w:sz="4" w:space="0" w:color="BFBFBF"/>
            </w:tcBorders>
            <w:vAlign w:val="center"/>
            <w:hideMark/>
          </w:tcPr>
          <w:p w14:paraId="00BF7E53" w14:textId="77777777" w:rsidR="00FA55EB" w:rsidRPr="00C83478" w:rsidRDefault="00FA55EB" w:rsidP="00AE1DED">
            <w:pPr>
              <w:rPr>
                <w:color w:val="000000" w:themeColor="text1"/>
                <w:sz w:val="20"/>
                <w:szCs w:val="20"/>
              </w:rPr>
            </w:pPr>
            <w:r w:rsidRPr="00C83478">
              <w:rPr>
                <w:color w:val="000000" w:themeColor="text1"/>
                <w:sz w:val="20"/>
                <w:szCs w:val="20"/>
              </w:rPr>
              <w:t>Reduce single protocol risk</w:t>
            </w:r>
          </w:p>
        </w:tc>
        <w:tc>
          <w:tcPr>
            <w:tcW w:w="2060" w:type="dxa"/>
            <w:tcBorders>
              <w:top w:val="nil"/>
              <w:left w:val="nil"/>
              <w:bottom w:val="single" w:sz="4" w:space="0" w:color="BFBFBF"/>
              <w:right w:val="single" w:sz="4" w:space="0" w:color="BFBFBF"/>
            </w:tcBorders>
            <w:vAlign w:val="center"/>
            <w:hideMark/>
          </w:tcPr>
          <w:p w14:paraId="4D5DE1AF" w14:textId="77777777" w:rsidR="00FA55EB" w:rsidRPr="00C83478" w:rsidRDefault="00FA55EB" w:rsidP="00AE1DED">
            <w:pPr>
              <w:rPr>
                <w:color w:val="000000" w:themeColor="text1"/>
                <w:sz w:val="20"/>
                <w:szCs w:val="20"/>
              </w:rPr>
            </w:pPr>
            <w:r w:rsidRPr="00C83478">
              <w:rPr>
                <w:color w:val="000000" w:themeColor="text1"/>
                <w:sz w:val="20"/>
                <w:szCs w:val="20"/>
              </w:rPr>
              <w:t>Management complexity exceeds benefits</w:t>
            </w:r>
          </w:p>
        </w:tc>
      </w:tr>
      <w:tr w:rsidR="00C83478" w:rsidRPr="00C83478" w14:paraId="77DD6972" w14:textId="77777777" w:rsidTr="00512F7C">
        <w:trPr>
          <w:gridAfter w:val="1"/>
          <w:wAfter w:w="15" w:type="dxa"/>
          <w:trHeight w:val="449"/>
        </w:trPr>
        <w:tc>
          <w:tcPr>
            <w:tcW w:w="1705" w:type="dxa"/>
            <w:tcBorders>
              <w:top w:val="nil"/>
              <w:left w:val="single" w:sz="4" w:space="0" w:color="BFBFBF"/>
              <w:bottom w:val="single" w:sz="4" w:space="0" w:color="BFBFBF"/>
              <w:right w:val="single" w:sz="4" w:space="0" w:color="BFBFBF"/>
            </w:tcBorders>
            <w:vAlign w:val="center"/>
            <w:hideMark/>
          </w:tcPr>
          <w:p w14:paraId="35040C57" w14:textId="77777777" w:rsidR="00FA55EB" w:rsidRPr="00C83478" w:rsidRDefault="00FA55EB" w:rsidP="00AE1DED">
            <w:pPr>
              <w:rPr>
                <w:b/>
                <w:bCs/>
                <w:color w:val="000000" w:themeColor="text1"/>
                <w:sz w:val="20"/>
                <w:szCs w:val="20"/>
              </w:rPr>
            </w:pPr>
            <w:r w:rsidRPr="00C83478">
              <w:rPr>
                <w:b/>
                <w:bCs/>
                <w:color w:val="000000" w:themeColor="text1"/>
                <w:sz w:val="20"/>
                <w:szCs w:val="20"/>
              </w:rPr>
              <w:lastRenderedPageBreak/>
              <w:t>Decision:</w:t>
            </w:r>
          </w:p>
        </w:tc>
        <w:tc>
          <w:tcPr>
            <w:tcW w:w="2250" w:type="dxa"/>
            <w:tcBorders>
              <w:top w:val="nil"/>
              <w:left w:val="nil"/>
              <w:bottom w:val="single" w:sz="4" w:space="0" w:color="BFBFBF"/>
              <w:right w:val="single" w:sz="4" w:space="0" w:color="BFBFBF"/>
            </w:tcBorders>
            <w:vAlign w:val="center"/>
            <w:hideMark/>
          </w:tcPr>
          <w:p w14:paraId="775A2A76" w14:textId="77777777" w:rsidR="00FA55EB" w:rsidRPr="00C83478" w:rsidRDefault="00FA55EB" w:rsidP="00AE1DED">
            <w:pPr>
              <w:rPr>
                <w:color w:val="000000" w:themeColor="text1"/>
                <w:sz w:val="20"/>
                <w:szCs w:val="20"/>
              </w:rPr>
            </w:pPr>
            <w:r w:rsidRPr="00C83478">
              <w:rPr>
                <w:color w:val="000000" w:themeColor="text1"/>
                <w:sz w:val="20"/>
                <w:szCs w:val="20"/>
              </w:rPr>
              <w:t>Age &gt;12 months = established</w:t>
            </w:r>
          </w:p>
        </w:tc>
        <w:tc>
          <w:tcPr>
            <w:tcW w:w="1870" w:type="dxa"/>
            <w:tcBorders>
              <w:top w:val="nil"/>
              <w:left w:val="nil"/>
              <w:bottom w:val="single" w:sz="4" w:space="0" w:color="BFBFBF"/>
              <w:right w:val="single" w:sz="4" w:space="0" w:color="BFBFBF"/>
            </w:tcBorders>
            <w:vAlign w:val="center"/>
            <w:hideMark/>
          </w:tcPr>
          <w:p w14:paraId="591BEE4C" w14:textId="77777777" w:rsidR="00FA55EB" w:rsidRPr="00C83478" w:rsidRDefault="00FA55EB" w:rsidP="00AE1DED">
            <w:pPr>
              <w:rPr>
                <w:color w:val="000000" w:themeColor="text1"/>
                <w:sz w:val="20"/>
                <w:szCs w:val="20"/>
              </w:rPr>
            </w:pPr>
            <w:r w:rsidRPr="00C83478">
              <w:rPr>
                <w:color w:val="000000" w:themeColor="text1"/>
                <w:sz w:val="20"/>
                <w:szCs w:val="20"/>
              </w:rPr>
              <w:t>Age &lt;6 months = new, high-risk</w:t>
            </w:r>
          </w:p>
        </w:tc>
        <w:tc>
          <w:tcPr>
            <w:tcW w:w="1900" w:type="dxa"/>
            <w:tcBorders>
              <w:top w:val="nil"/>
              <w:left w:val="nil"/>
              <w:bottom w:val="single" w:sz="4" w:space="0" w:color="BFBFBF"/>
              <w:right w:val="single" w:sz="4" w:space="0" w:color="BFBFBF"/>
            </w:tcBorders>
            <w:vAlign w:val="center"/>
            <w:hideMark/>
          </w:tcPr>
          <w:p w14:paraId="1F91B600" w14:textId="77777777" w:rsidR="00FA55EB" w:rsidRPr="00C83478" w:rsidRDefault="00FA55EB" w:rsidP="00AE1DED">
            <w:pPr>
              <w:rPr>
                <w:color w:val="000000" w:themeColor="text1"/>
                <w:sz w:val="20"/>
                <w:szCs w:val="20"/>
              </w:rPr>
            </w:pPr>
            <w:r w:rsidRPr="00C83478">
              <w:rPr>
                <w:color w:val="000000" w:themeColor="text1"/>
                <w:sz w:val="20"/>
                <w:szCs w:val="20"/>
              </w:rPr>
              <w:t>Age 6-12 months = evaluate carefully</w:t>
            </w:r>
          </w:p>
        </w:tc>
        <w:tc>
          <w:tcPr>
            <w:tcW w:w="2060" w:type="dxa"/>
            <w:tcBorders>
              <w:top w:val="nil"/>
              <w:left w:val="nil"/>
              <w:bottom w:val="single" w:sz="4" w:space="0" w:color="BFBFBF"/>
              <w:right w:val="single" w:sz="4" w:space="0" w:color="BFBFBF"/>
            </w:tcBorders>
            <w:vAlign w:val="center"/>
            <w:hideMark/>
          </w:tcPr>
          <w:p w14:paraId="33FFD00E" w14:textId="77777777" w:rsidR="00FA55EB" w:rsidRPr="00C83478" w:rsidRDefault="00FA55EB" w:rsidP="00AE1DED">
            <w:pPr>
              <w:rPr>
                <w:color w:val="000000" w:themeColor="text1"/>
                <w:sz w:val="20"/>
                <w:szCs w:val="20"/>
              </w:rPr>
            </w:pPr>
            <w:r w:rsidRPr="00C83478">
              <w:rPr>
                <w:color w:val="000000" w:themeColor="text1"/>
                <w:sz w:val="20"/>
                <w:szCs w:val="20"/>
              </w:rPr>
              <w:t>Default to established unless risk-tolerant</w:t>
            </w:r>
          </w:p>
        </w:tc>
      </w:tr>
      <w:tr w:rsidR="00C83478" w:rsidRPr="00C83478" w14:paraId="56B7AF21" w14:textId="77777777" w:rsidTr="00DE04D9">
        <w:trPr>
          <w:trHeight w:val="81"/>
        </w:trPr>
        <w:tc>
          <w:tcPr>
            <w:tcW w:w="9800" w:type="dxa"/>
            <w:gridSpan w:val="6"/>
            <w:tcBorders>
              <w:top w:val="single" w:sz="4" w:space="0" w:color="BFBFBF"/>
              <w:left w:val="single" w:sz="4" w:space="0" w:color="BFBFBF"/>
              <w:bottom w:val="single" w:sz="4" w:space="0" w:color="BFBFBF"/>
              <w:right w:val="single" w:sz="4" w:space="0" w:color="BFBFBF"/>
            </w:tcBorders>
            <w:shd w:val="clear" w:color="auto" w:fill="D9D9D9" w:themeFill="background1" w:themeFillShade="D9"/>
            <w:vAlign w:val="center"/>
            <w:hideMark/>
          </w:tcPr>
          <w:p w14:paraId="04233BBF" w14:textId="77777777" w:rsidR="00FA55EB" w:rsidRPr="00C83478" w:rsidRDefault="00FA55EB" w:rsidP="00AE1DED">
            <w:pPr>
              <w:jc w:val="center"/>
              <w:rPr>
                <w:b/>
                <w:bCs/>
                <w:color w:val="000000" w:themeColor="text1"/>
                <w:sz w:val="20"/>
                <w:szCs w:val="20"/>
              </w:rPr>
            </w:pPr>
            <w:r w:rsidRPr="00C83478">
              <w:rPr>
                <w:b/>
                <w:bCs/>
                <w:color w:val="000000" w:themeColor="text1"/>
                <w:sz w:val="20"/>
                <w:szCs w:val="20"/>
              </w:rPr>
              <w:t>TAX OPTIMIZATION</w:t>
            </w:r>
          </w:p>
        </w:tc>
      </w:tr>
      <w:tr w:rsidR="00C83478" w:rsidRPr="00C83478" w14:paraId="12D5E037" w14:textId="77777777" w:rsidTr="00512F7C">
        <w:trPr>
          <w:gridAfter w:val="1"/>
          <w:wAfter w:w="15" w:type="dxa"/>
          <w:trHeight w:val="449"/>
        </w:trPr>
        <w:tc>
          <w:tcPr>
            <w:tcW w:w="1705" w:type="dxa"/>
            <w:tcBorders>
              <w:top w:val="nil"/>
              <w:left w:val="single" w:sz="4" w:space="0" w:color="BFBFBF"/>
              <w:bottom w:val="single" w:sz="4" w:space="0" w:color="BFBFBF"/>
              <w:right w:val="single" w:sz="4" w:space="0" w:color="BFBFBF"/>
            </w:tcBorders>
            <w:vAlign w:val="center"/>
            <w:hideMark/>
          </w:tcPr>
          <w:p w14:paraId="5FC66D49" w14:textId="77777777" w:rsidR="00FA55EB" w:rsidRPr="00C83478" w:rsidRDefault="00FA55EB" w:rsidP="00AE1DED">
            <w:pPr>
              <w:rPr>
                <w:color w:val="000000" w:themeColor="text1"/>
                <w:sz w:val="20"/>
                <w:szCs w:val="20"/>
              </w:rPr>
            </w:pPr>
            <w:r w:rsidRPr="00C83478">
              <w:rPr>
                <w:color w:val="000000" w:themeColor="text1"/>
                <w:sz w:val="20"/>
                <w:szCs w:val="20"/>
              </w:rPr>
              <w:t>Tax-loss harvesting</w:t>
            </w:r>
          </w:p>
        </w:tc>
        <w:tc>
          <w:tcPr>
            <w:tcW w:w="2250" w:type="dxa"/>
            <w:tcBorders>
              <w:top w:val="nil"/>
              <w:left w:val="nil"/>
              <w:bottom w:val="single" w:sz="4" w:space="0" w:color="BFBFBF"/>
              <w:right w:val="single" w:sz="4" w:space="0" w:color="BFBFBF"/>
            </w:tcBorders>
            <w:vAlign w:val="center"/>
            <w:hideMark/>
          </w:tcPr>
          <w:p w14:paraId="5A5B83BA" w14:textId="77777777" w:rsidR="00FA55EB" w:rsidRPr="00C83478" w:rsidRDefault="00FA55EB" w:rsidP="00AE1DED">
            <w:pPr>
              <w:rPr>
                <w:color w:val="000000" w:themeColor="text1"/>
                <w:sz w:val="20"/>
                <w:szCs w:val="20"/>
              </w:rPr>
            </w:pPr>
            <w:r w:rsidRPr="00C83478">
              <w:rPr>
                <w:color w:val="000000" w:themeColor="text1"/>
                <w:sz w:val="20"/>
                <w:szCs w:val="20"/>
              </w:rPr>
              <w:t>Taxable account, positions in loss</w:t>
            </w:r>
          </w:p>
        </w:tc>
        <w:tc>
          <w:tcPr>
            <w:tcW w:w="1870" w:type="dxa"/>
            <w:tcBorders>
              <w:top w:val="nil"/>
              <w:left w:val="nil"/>
              <w:bottom w:val="single" w:sz="4" w:space="0" w:color="BFBFBF"/>
              <w:right w:val="single" w:sz="4" w:space="0" w:color="BFBFBF"/>
            </w:tcBorders>
            <w:vAlign w:val="center"/>
            <w:hideMark/>
          </w:tcPr>
          <w:p w14:paraId="03D95A3B" w14:textId="77777777" w:rsidR="00FA55EB" w:rsidRPr="00C83478" w:rsidRDefault="00FA55EB" w:rsidP="00AE1DED">
            <w:pPr>
              <w:rPr>
                <w:color w:val="000000" w:themeColor="text1"/>
                <w:sz w:val="20"/>
                <w:szCs w:val="20"/>
              </w:rPr>
            </w:pPr>
            <w:r w:rsidRPr="00C83478">
              <w:rPr>
                <w:color w:val="000000" w:themeColor="text1"/>
                <w:sz w:val="20"/>
                <w:szCs w:val="20"/>
              </w:rPr>
              <w:t>Tax-advantaged account</w:t>
            </w:r>
          </w:p>
        </w:tc>
        <w:tc>
          <w:tcPr>
            <w:tcW w:w="1900" w:type="dxa"/>
            <w:tcBorders>
              <w:top w:val="nil"/>
              <w:left w:val="nil"/>
              <w:bottom w:val="single" w:sz="4" w:space="0" w:color="BFBFBF"/>
              <w:right w:val="single" w:sz="4" w:space="0" w:color="BFBFBF"/>
            </w:tcBorders>
            <w:vAlign w:val="center"/>
            <w:hideMark/>
          </w:tcPr>
          <w:p w14:paraId="44672CE0" w14:textId="77777777" w:rsidR="00FA55EB" w:rsidRPr="00C83478" w:rsidRDefault="00FA55EB" w:rsidP="00AE1DED">
            <w:pPr>
              <w:rPr>
                <w:color w:val="000000" w:themeColor="text1"/>
                <w:sz w:val="20"/>
                <w:szCs w:val="20"/>
              </w:rPr>
            </w:pPr>
            <w:r w:rsidRPr="00C83478">
              <w:rPr>
                <w:color w:val="000000" w:themeColor="text1"/>
                <w:sz w:val="20"/>
                <w:szCs w:val="20"/>
              </w:rPr>
              <w:t>Offset gains, reduce taxes</w:t>
            </w:r>
          </w:p>
        </w:tc>
        <w:tc>
          <w:tcPr>
            <w:tcW w:w="2060" w:type="dxa"/>
            <w:tcBorders>
              <w:top w:val="nil"/>
              <w:left w:val="nil"/>
              <w:bottom w:val="single" w:sz="4" w:space="0" w:color="BFBFBF"/>
              <w:right w:val="single" w:sz="4" w:space="0" w:color="BFBFBF"/>
            </w:tcBorders>
            <w:vAlign w:val="center"/>
            <w:hideMark/>
          </w:tcPr>
          <w:p w14:paraId="453163FE" w14:textId="77777777" w:rsidR="00FA55EB" w:rsidRPr="00C83478" w:rsidRDefault="00FA55EB" w:rsidP="00AE1DED">
            <w:pPr>
              <w:rPr>
                <w:color w:val="000000" w:themeColor="text1"/>
                <w:sz w:val="20"/>
                <w:szCs w:val="20"/>
              </w:rPr>
            </w:pPr>
            <w:r w:rsidRPr="00C83478">
              <w:rPr>
                <w:color w:val="000000" w:themeColor="text1"/>
                <w:sz w:val="20"/>
                <w:szCs w:val="20"/>
              </w:rPr>
              <w:t>Wash sale violations</w:t>
            </w:r>
          </w:p>
        </w:tc>
      </w:tr>
      <w:tr w:rsidR="00C83478" w:rsidRPr="00C83478" w14:paraId="14B5923A" w14:textId="77777777" w:rsidTr="00512F7C">
        <w:trPr>
          <w:gridAfter w:val="1"/>
          <w:wAfter w:w="15" w:type="dxa"/>
          <w:trHeight w:val="680"/>
        </w:trPr>
        <w:tc>
          <w:tcPr>
            <w:tcW w:w="1705" w:type="dxa"/>
            <w:tcBorders>
              <w:top w:val="nil"/>
              <w:left w:val="single" w:sz="4" w:space="0" w:color="BFBFBF"/>
              <w:bottom w:val="single" w:sz="4" w:space="0" w:color="BFBFBF"/>
              <w:right w:val="single" w:sz="4" w:space="0" w:color="BFBFBF"/>
            </w:tcBorders>
            <w:vAlign w:val="center"/>
            <w:hideMark/>
          </w:tcPr>
          <w:p w14:paraId="320768C3" w14:textId="77777777" w:rsidR="00FA55EB" w:rsidRPr="00C83478" w:rsidRDefault="00FA55EB" w:rsidP="00AE1DED">
            <w:pPr>
              <w:rPr>
                <w:color w:val="000000" w:themeColor="text1"/>
                <w:sz w:val="20"/>
                <w:szCs w:val="20"/>
              </w:rPr>
            </w:pPr>
            <w:r w:rsidRPr="00C83478">
              <w:rPr>
                <w:color w:val="000000" w:themeColor="text1"/>
                <w:sz w:val="20"/>
                <w:szCs w:val="20"/>
              </w:rPr>
              <w:t>Long-term holding (&gt;1yr)</w:t>
            </w:r>
          </w:p>
        </w:tc>
        <w:tc>
          <w:tcPr>
            <w:tcW w:w="2250" w:type="dxa"/>
            <w:tcBorders>
              <w:top w:val="nil"/>
              <w:left w:val="nil"/>
              <w:bottom w:val="single" w:sz="4" w:space="0" w:color="BFBFBF"/>
              <w:right w:val="single" w:sz="4" w:space="0" w:color="BFBFBF"/>
            </w:tcBorders>
            <w:vAlign w:val="center"/>
            <w:hideMark/>
          </w:tcPr>
          <w:p w14:paraId="614ABEF4" w14:textId="77777777" w:rsidR="00FA55EB" w:rsidRPr="00C83478" w:rsidRDefault="00FA55EB" w:rsidP="00AE1DED">
            <w:pPr>
              <w:rPr>
                <w:color w:val="000000" w:themeColor="text1"/>
                <w:sz w:val="20"/>
                <w:szCs w:val="20"/>
              </w:rPr>
            </w:pPr>
            <w:r w:rsidRPr="00C83478">
              <w:rPr>
                <w:color w:val="000000" w:themeColor="text1"/>
                <w:sz w:val="20"/>
                <w:szCs w:val="20"/>
              </w:rPr>
              <w:t>Expect 2-5 years participation</w:t>
            </w:r>
          </w:p>
        </w:tc>
        <w:tc>
          <w:tcPr>
            <w:tcW w:w="1870" w:type="dxa"/>
            <w:tcBorders>
              <w:top w:val="nil"/>
              <w:left w:val="nil"/>
              <w:bottom w:val="single" w:sz="4" w:space="0" w:color="BFBFBF"/>
              <w:right w:val="single" w:sz="4" w:space="0" w:color="BFBFBF"/>
            </w:tcBorders>
            <w:vAlign w:val="center"/>
            <w:hideMark/>
          </w:tcPr>
          <w:p w14:paraId="0B8C86BD" w14:textId="77777777" w:rsidR="00FA55EB" w:rsidRPr="00C83478" w:rsidRDefault="00FA55EB" w:rsidP="00AE1DED">
            <w:pPr>
              <w:rPr>
                <w:color w:val="000000" w:themeColor="text1"/>
                <w:sz w:val="20"/>
                <w:szCs w:val="20"/>
              </w:rPr>
            </w:pPr>
            <w:r w:rsidRPr="00C83478">
              <w:rPr>
                <w:color w:val="000000" w:themeColor="text1"/>
                <w:sz w:val="20"/>
                <w:szCs w:val="20"/>
              </w:rPr>
              <w:t>Need liquidity within year</w:t>
            </w:r>
          </w:p>
        </w:tc>
        <w:tc>
          <w:tcPr>
            <w:tcW w:w="1900" w:type="dxa"/>
            <w:tcBorders>
              <w:top w:val="nil"/>
              <w:left w:val="nil"/>
              <w:bottom w:val="single" w:sz="4" w:space="0" w:color="BFBFBF"/>
              <w:right w:val="single" w:sz="4" w:space="0" w:color="BFBFBF"/>
            </w:tcBorders>
            <w:vAlign w:val="center"/>
            <w:hideMark/>
          </w:tcPr>
          <w:p w14:paraId="2919A9F3" w14:textId="77777777" w:rsidR="00FA55EB" w:rsidRPr="00C83478" w:rsidRDefault="00FA55EB" w:rsidP="00AE1DED">
            <w:pPr>
              <w:rPr>
                <w:color w:val="000000" w:themeColor="text1"/>
                <w:sz w:val="20"/>
                <w:szCs w:val="20"/>
              </w:rPr>
            </w:pPr>
            <w:r w:rsidRPr="00C83478">
              <w:rPr>
                <w:color w:val="000000" w:themeColor="text1"/>
                <w:sz w:val="20"/>
                <w:szCs w:val="20"/>
              </w:rPr>
              <w:t>15-20% vs 32-37% tax rate</w:t>
            </w:r>
          </w:p>
        </w:tc>
        <w:tc>
          <w:tcPr>
            <w:tcW w:w="2060" w:type="dxa"/>
            <w:tcBorders>
              <w:top w:val="nil"/>
              <w:left w:val="nil"/>
              <w:bottom w:val="single" w:sz="4" w:space="0" w:color="BFBFBF"/>
              <w:right w:val="single" w:sz="4" w:space="0" w:color="BFBFBF"/>
            </w:tcBorders>
            <w:vAlign w:val="center"/>
            <w:hideMark/>
          </w:tcPr>
          <w:p w14:paraId="589985F9" w14:textId="77777777" w:rsidR="00FA55EB" w:rsidRPr="00C83478" w:rsidRDefault="00FA55EB" w:rsidP="00AE1DED">
            <w:pPr>
              <w:rPr>
                <w:color w:val="000000" w:themeColor="text1"/>
                <w:sz w:val="20"/>
                <w:szCs w:val="20"/>
              </w:rPr>
            </w:pPr>
            <w:r w:rsidRPr="00C83478">
              <w:rPr>
                <w:color w:val="000000" w:themeColor="text1"/>
                <w:sz w:val="20"/>
                <w:szCs w:val="20"/>
              </w:rPr>
              <w:t>Miss better opportunities</w:t>
            </w:r>
          </w:p>
        </w:tc>
      </w:tr>
      <w:tr w:rsidR="00C83478" w:rsidRPr="00C83478" w14:paraId="630381EE" w14:textId="77777777" w:rsidTr="00512F7C">
        <w:trPr>
          <w:gridAfter w:val="1"/>
          <w:wAfter w:w="15" w:type="dxa"/>
          <w:trHeight w:val="161"/>
        </w:trPr>
        <w:tc>
          <w:tcPr>
            <w:tcW w:w="1705" w:type="dxa"/>
            <w:tcBorders>
              <w:top w:val="nil"/>
              <w:left w:val="single" w:sz="4" w:space="0" w:color="BFBFBF"/>
              <w:bottom w:val="single" w:sz="4" w:space="0" w:color="BFBFBF"/>
              <w:right w:val="single" w:sz="4" w:space="0" w:color="BFBFBF"/>
            </w:tcBorders>
            <w:vAlign w:val="center"/>
            <w:hideMark/>
          </w:tcPr>
          <w:p w14:paraId="14B77CB6" w14:textId="77777777" w:rsidR="00FA55EB" w:rsidRPr="00C83478" w:rsidRDefault="00FA55EB" w:rsidP="00AE1DED">
            <w:pPr>
              <w:rPr>
                <w:color w:val="000000" w:themeColor="text1"/>
                <w:sz w:val="20"/>
                <w:szCs w:val="20"/>
              </w:rPr>
            </w:pPr>
            <w:r w:rsidRPr="00C83478">
              <w:rPr>
                <w:color w:val="000000" w:themeColor="text1"/>
                <w:sz w:val="20"/>
                <w:szCs w:val="20"/>
              </w:rPr>
              <w:t>Entity structuring</w:t>
            </w:r>
          </w:p>
        </w:tc>
        <w:tc>
          <w:tcPr>
            <w:tcW w:w="2250" w:type="dxa"/>
            <w:tcBorders>
              <w:top w:val="nil"/>
              <w:left w:val="nil"/>
              <w:bottom w:val="single" w:sz="4" w:space="0" w:color="BFBFBF"/>
              <w:right w:val="single" w:sz="4" w:space="0" w:color="BFBFBF"/>
            </w:tcBorders>
            <w:vAlign w:val="center"/>
            <w:hideMark/>
          </w:tcPr>
          <w:p w14:paraId="5E380A16" w14:textId="77777777" w:rsidR="00FA55EB" w:rsidRPr="00C83478" w:rsidRDefault="00FA55EB" w:rsidP="00AE1DED">
            <w:pPr>
              <w:rPr>
                <w:color w:val="000000" w:themeColor="text1"/>
                <w:sz w:val="20"/>
                <w:szCs w:val="20"/>
              </w:rPr>
            </w:pPr>
            <w:r w:rsidRPr="00C83478">
              <w:rPr>
                <w:color w:val="000000" w:themeColor="text1"/>
                <w:sz w:val="20"/>
                <w:szCs w:val="20"/>
              </w:rPr>
              <w:t>Capital &gt;$100,000, professional advice</w:t>
            </w:r>
          </w:p>
        </w:tc>
        <w:tc>
          <w:tcPr>
            <w:tcW w:w="1870" w:type="dxa"/>
            <w:tcBorders>
              <w:top w:val="nil"/>
              <w:left w:val="nil"/>
              <w:bottom w:val="single" w:sz="4" w:space="0" w:color="BFBFBF"/>
              <w:right w:val="single" w:sz="4" w:space="0" w:color="BFBFBF"/>
            </w:tcBorders>
            <w:vAlign w:val="center"/>
            <w:hideMark/>
          </w:tcPr>
          <w:p w14:paraId="26E7E222" w14:textId="77777777" w:rsidR="00FA55EB" w:rsidRPr="00C83478" w:rsidRDefault="00FA55EB" w:rsidP="00AE1DED">
            <w:pPr>
              <w:rPr>
                <w:color w:val="000000" w:themeColor="text1"/>
                <w:sz w:val="20"/>
                <w:szCs w:val="20"/>
              </w:rPr>
            </w:pPr>
            <w:r w:rsidRPr="00C83478">
              <w:rPr>
                <w:color w:val="000000" w:themeColor="text1"/>
                <w:sz w:val="20"/>
                <w:szCs w:val="20"/>
              </w:rPr>
              <w:t>Capital &lt;$100,000 or DIY approach</w:t>
            </w:r>
          </w:p>
        </w:tc>
        <w:tc>
          <w:tcPr>
            <w:tcW w:w="1900" w:type="dxa"/>
            <w:tcBorders>
              <w:top w:val="nil"/>
              <w:left w:val="nil"/>
              <w:bottom w:val="single" w:sz="4" w:space="0" w:color="BFBFBF"/>
              <w:right w:val="single" w:sz="4" w:space="0" w:color="BFBFBF"/>
            </w:tcBorders>
            <w:vAlign w:val="center"/>
            <w:hideMark/>
          </w:tcPr>
          <w:p w14:paraId="28DAFAA9" w14:textId="77777777" w:rsidR="00FA55EB" w:rsidRPr="00C83478" w:rsidRDefault="00FA55EB" w:rsidP="00AE1DED">
            <w:pPr>
              <w:rPr>
                <w:color w:val="000000" w:themeColor="text1"/>
                <w:sz w:val="20"/>
                <w:szCs w:val="20"/>
              </w:rPr>
            </w:pPr>
            <w:r w:rsidRPr="00C83478">
              <w:rPr>
                <w:color w:val="000000" w:themeColor="text1"/>
                <w:sz w:val="20"/>
                <w:szCs w:val="20"/>
              </w:rPr>
              <w:t>Legal optimization</w:t>
            </w:r>
          </w:p>
        </w:tc>
        <w:tc>
          <w:tcPr>
            <w:tcW w:w="2060" w:type="dxa"/>
            <w:tcBorders>
              <w:top w:val="nil"/>
              <w:left w:val="nil"/>
              <w:bottom w:val="single" w:sz="4" w:space="0" w:color="BFBFBF"/>
              <w:right w:val="single" w:sz="4" w:space="0" w:color="BFBFBF"/>
            </w:tcBorders>
            <w:vAlign w:val="center"/>
            <w:hideMark/>
          </w:tcPr>
          <w:p w14:paraId="73CEE3BB" w14:textId="77777777" w:rsidR="00FA55EB" w:rsidRPr="00C83478" w:rsidRDefault="00FA55EB" w:rsidP="00AE1DED">
            <w:pPr>
              <w:rPr>
                <w:color w:val="000000" w:themeColor="text1"/>
                <w:sz w:val="20"/>
                <w:szCs w:val="20"/>
              </w:rPr>
            </w:pPr>
            <w:r w:rsidRPr="00C83478">
              <w:rPr>
                <w:color w:val="000000" w:themeColor="text1"/>
                <w:sz w:val="20"/>
                <w:szCs w:val="20"/>
              </w:rPr>
              <w:t>Setup costs &gt;$5,000-15,000</w:t>
            </w:r>
          </w:p>
        </w:tc>
      </w:tr>
      <w:tr w:rsidR="00C83478" w:rsidRPr="00C83478" w14:paraId="219BFD75" w14:textId="77777777" w:rsidTr="00512F7C">
        <w:trPr>
          <w:gridAfter w:val="1"/>
          <w:wAfter w:w="15" w:type="dxa"/>
          <w:trHeight w:val="413"/>
        </w:trPr>
        <w:tc>
          <w:tcPr>
            <w:tcW w:w="1705" w:type="dxa"/>
            <w:tcBorders>
              <w:top w:val="nil"/>
              <w:left w:val="single" w:sz="4" w:space="0" w:color="BFBFBF"/>
              <w:bottom w:val="single" w:sz="4" w:space="0" w:color="BFBFBF"/>
              <w:right w:val="single" w:sz="4" w:space="0" w:color="BFBFBF"/>
            </w:tcBorders>
            <w:vAlign w:val="center"/>
            <w:hideMark/>
          </w:tcPr>
          <w:p w14:paraId="189C7130" w14:textId="77777777" w:rsidR="00FA55EB" w:rsidRPr="00C83478" w:rsidRDefault="00FA55EB" w:rsidP="00AE1DED">
            <w:pPr>
              <w:rPr>
                <w:b/>
                <w:bCs/>
                <w:color w:val="000000" w:themeColor="text1"/>
                <w:sz w:val="20"/>
                <w:szCs w:val="20"/>
              </w:rPr>
            </w:pPr>
            <w:r w:rsidRPr="00C83478">
              <w:rPr>
                <w:b/>
                <w:bCs/>
                <w:color w:val="000000" w:themeColor="text1"/>
                <w:sz w:val="20"/>
                <w:szCs w:val="20"/>
              </w:rPr>
              <w:t>Decision:</w:t>
            </w:r>
          </w:p>
        </w:tc>
        <w:tc>
          <w:tcPr>
            <w:tcW w:w="2250" w:type="dxa"/>
            <w:tcBorders>
              <w:top w:val="nil"/>
              <w:left w:val="nil"/>
              <w:bottom w:val="single" w:sz="4" w:space="0" w:color="BFBFBF"/>
              <w:right w:val="single" w:sz="4" w:space="0" w:color="BFBFBF"/>
            </w:tcBorders>
            <w:vAlign w:val="center"/>
            <w:hideMark/>
          </w:tcPr>
          <w:p w14:paraId="44AEFD3A" w14:textId="77777777" w:rsidR="00FA55EB" w:rsidRPr="00C83478" w:rsidRDefault="00FA55EB" w:rsidP="00AE1DED">
            <w:pPr>
              <w:rPr>
                <w:color w:val="000000" w:themeColor="text1"/>
                <w:sz w:val="20"/>
                <w:szCs w:val="20"/>
              </w:rPr>
            </w:pPr>
            <w:r w:rsidRPr="00C83478">
              <w:rPr>
                <w:color w:val="000000" w:themeColor="text1"/>
                <w:sz w:val="20"/>
                <w:szCs w:val="20"/>
              </w:rPr>
              <w:t>Compare tax savings vs transaction costs</w:t>
            </w:r>
          </w:p>
        </w:tc>
        <w:tc>
          <w:tcPr>
            <w:tcW w:w="1870" w:type="dxa"/>
            <w:tcBorders>
              <w:top w:val="nil"/>
              <w:left w:val="nil"/>
              <w:bottom w:val="single" w:sz="4" w:space="0" w:color="BFBFBF"/>
              <w:right w:val="single" w:sz="4" w:space="0" w:color="BFBFBF"/>
            </w:tcBorders>
            <w:vAlign w:val="center"/>
            <w:hideMark/>
          </w:tcPr>
          <w:p w14:paraId="08357C28" w14:textId="77777777" w:rsidR="00FA55EB" w:rsidRPr="00C83478" w:rsidRDefault="00FA55EB" w:rsidP="00AE1DED">
            <w:pPr>
              <w:rPr>
                <w:color w:val="000000" w:themeColor="text1"/>
                <w:sz w:val="20"/>
                <w:szCs w:val="20"/>
              </w:rPr>
            </w:pPr>
            <w:r w:rsidRPr="00C83478">
              <w:rPr>
                <w:color w:val="000000" w:themeColor="text1"/>
                <w:sz w:val="20"/>
                <w:szCs w:val="20"/>
              </w:rPr>
              <w:t>If savings &lt;$1,000, ignore</w:t>
            </w:r>
          </w:p>
        </w:tc>
        <w:tc>
          <w:tcPr>
            <w:tcW w:w="1900" w:type="dxa"/>
            <w:tcBorders>
              <w:top w:val="nil"/>
              <w:left w:val="nil"/>
              <w:bottom w:val="single" w:sz="4" w:space="0" w:color="BFBFBF"/>
              <w:right w:val="single" w:sz="4" w:space="0" w:color="BFBFBF"/>
            </w:tcBorders>
            <w:vAlign w:val="center"/>
            <w:hideMark/>
          </w:tcPr>
          <w:p w14:paraId="06E8B518" w14:textId="77777777" w:rsidR="00FA55EB" w:rsidRPr="00C83478" w:rsidRDefault="00FA55EB" w:rsidP="00AE1DED">
            <w:pPr>
              <w:rPr>
                <w:color w:val="000000" w:themeColor="text1"/>
                <w:sz w:val="20"/>
                <w:szCs w:val="20"/>
              </w:rPr>
            </w:pPr>
            <w:r w:rsidRPr="00C83478">
              <w:rPr>
                <w:color w:val="000000" w:themeColor="text1"/>
                <w:sz w:val="20"/>
                <w:szCs w:val="20"/>
              </w:rPr>
              <w:t>If savings $1,000-5,000, basic optimization</w:t>
            </w:r>
          </w:p>
        </w:tc>
        <w:tc>
          <w:tcPr>
            <w:tcW w:w="2060" w:type="dxa"/>
            <w:tcBorders>
              <w:top w:val="nil"/>
              <w:left w:val="nil"/>
              <w:bottom w:val="single" w:sz="4" w:space="0" w:color="BFBFBF"/>
              <w:right w:val="single" w:sz="4" w:space="0" w:color="BFBFBF"/>
            </w:tcBorders>
            <w:vAlign w:val="center"/>
            <w:hideMark/>
          </w:tcPr>
          <w:p w14:paraId="287813CA" w14:textId="77777777" w:rsidR="00FA55EB" w:rsidRPr="00C83478" w:rsidRDefault="00FA55EB" w:rsidP="00AE1DED">
            <w:pPr>
              <w:rPr>
                <w:color w:val="000000" w:themeColor="text1"/>
                <w:sz w:val="20"/>
                <w:szCs w:val="20"/>
              </w:rPr>
            </w:pPr>
            <w:r w:rsidRPr="00C83478">
              <w:rPr>
                <w:color w:val="000000" w:themeColor="text1"/>
                <w:sz w:val="20"/>
                <w:szCs w:val="20"/>
              </w:rPr>
              <w:t>If savings &gt;$5,000, professional advice</w:t>
            </w:r>
          </w:p>
        </w:tc>
      </w:tr>
    </w:tbl>
    <w:p w14:paraId="4A961FCA" w14:textId="77777777" w:rsidR="002301FA" w:rsidRDefault="002301FA" w:rsidP="00AE1DED">
      <w:pPr>
        <w:pStyle w:val="Heading3"/>
      </w:pPr>
    </w:p>
    <w:p w14:paraId="1FAB691A" w14:textId="29040DFF" w:rsidR="002301FA" w:rsidRPr="0040646A" w:rsidRDefault="00C2635A" w:rsidP="00AE1DED">
      <w:pPr>
        <w:pStyle w:val="Heading3"/>
      </w:pPr>
      <w:bookmarkStart w:id="216" w:name="_Toc214722022"/>
      <w:r w:rsidRPr="0040646A">
        <w:t>Figure 10.</w:t>
      </w:r>
      <w:r w:rsidR="009122A9" w:rsidRPr="0040646A">
        <w:t>B</w:t>
      </w:r>
      <w:r w:rsidRPr="0040646A">
        <w:t>: Should I Optimize? Decision Flowchart</w:t>
      </w:r>
      <w:bookmarkEnd w:id="216"/>
    </w:p>
    <w:p w14:paraId="67B04424" w14:textId="77777777" w:rsidR="002301FA" w:rsidRPr="002301FA" w:rsidRDefault="002301FA" w:rsidP="00AE1DED"/>
    <w:p w14:paraId="1974B426" w14:textId="1F977804" w:rsidR="002424AD" w:rsidRPr="00750A6E" w:rsidRDefault="002424AD" w:rsidP="00AE1DED">
      <w:pPr>
        <w:jc w:val="center"/>
        <w:rPr>
          <w:rFonts w:eastAsiaTheme="majorEastAsia"/>
          <w:color w:val="0070C0"/>
        </w:rPr>
      </w:pPr>
      <w:r w:rsidRPr="00750A6E">
        <w:rPr>
          <w:rFonts w:eastAsiaTheme="majorEastAsia"/>
          <w:noProof/>
          <w:color w:val="0070C0"/>
        </w:rPr>
        <w:drawing>
          <wp:inline distT="0" distB="0" distL="0" distR="0" wp14:anchorId="10E3EBD3" wp14:editId="23E95BDE">
            <wp:extent cx="3847723" cy="5664502"/>
            <wp:effectExtent l="0" t="0" r="635" b="0"/>
            <wp:docPr id="1378585394"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585394" name="Picture 1" descr="A screenshot of a computer screen&#10;&#10;AI-generated content may be incorrect."/>
                    <pic:cNvPicPr/>
                  </pic:nvPicPr>
                  <pic:blipFill>
                    <a:blip r:embed="rId15"/>
                    <a:stretch>
                      <a:fillRect/>
                    </a:stretch>
                  </pic:blipFill>
                  <pic:spPr>
                    <a:xfrm>
                      <a:off x="0" y="0"/>
                      <a:ext cx="3923508" cy="5776071"/>
                    </a:xfrm>
                    <a:prstGeom prst="rect">
                      <a:avLst/>
                    </a:prstGeom>
                  </pic:spPr>
                </pic:pic>
              </a:graphicData>
            </a:graphic>
          </wp:inline>
        </w:drawing>
      </w:r>
    </w:p>
    <w:p w14:paraId="1E1E5743" w14:textId="77777777" w:rsidR="002424AD" w:rsidRPr="00750A6E" w:rsidRDefault="002424AD" w:rsidP="00AE1DED">
      <w:pPr>
        <w:pStyle w:val="Heading2"/>
        <w:jc w:val="both"/>
        <w:rPr>
          <w:rFonts w:eastAsiaTheme="majorEastAsia"/>
          <w:color w:val="0070C0"/>
        </w:rPr>
      </w:pPr>
    </w:p>
    <w:p w14:paraId="712FD22D" w14:textId="2D2FCED4" w:rsidR="0076579E" w:rsidRPr="003C66A0" w:rsidRDefault="008D6F57" w:rsidP="00AE1DED">
      <w:pPr>
        <w:pStyle w:val="Heading2"/>
        <w:jc w:val="both"/>
        <w:rPr>
          <w:rFonts w:eastAsiaTheme="majorEastAsia"/>
        </w:rPr>
      </w:pPr>
      <w:bookmarkStart w:id="217" w:name="_Toc214722023"/>
      <w:r w:rsidRPr="003C66A0">
        <w:rPr>
          <w:rFonts w:eastAsiaTheme="majorEastAsia"/>
        </w:rPr>
        <w:lastRenderedPageBreak/>
        <w:t>10</w:t>
      </w:r>
      <w:r w:rsidR="0076579E" w:rsidRPr="003C66A0">
        <w:rPr>
          <w:rFonts w:eastAsiaTheme="majorEastAsia"/>
        </w:rPr>
        <w:t>.3 Position Management: Finding the Goldilocks Zone</w:t>
      </w:r>
      <w:bookmarkEnd w:id="217"/>
    </w:p>
    <w:p w14:paraId="529EFC09" w14:textId="1B95B0BA" w:rsidR="0076579E" w:rsidRPr="003C66A0" w:rsidRDefault="000048F5" w:rsidP="00AE1DED">
      <w:pPr>
        <w:jc w:val="both"/>
        <w:rPr>
          <w:rFonts w:eastAsiaTheme="majorEastAsia"/>
          <w:color w:val="000000" w:themeColor="text1"/>
        </w:rPr>
      </w:pPr>
      <w:r w:rsidRPr="003C66A0">
        <w:rPr>
          <w:rFonts w:eastAsiaTheme="majorEastAsia"/>
          <w:color w:val="000000" w:themeColor="text1"/>
        </w:rPr>
        <w:t>One of the strategies used is p</w:t>
      </w:r>
      <w:r w:rsidR="0076579E" w:rsidRPr="003C66A0">
        <w:rPr>
          <w:rFonts w:eastAsiaTheme="majorEastAsia"/>
          <w:color w:val="000000" w:themeColor="text1"/>
        </w:rPr>
        <w:t>osition management</w:t>
      </w:r>
      <w:r w:rsidR="005D0093" w:rsidRPr="003C66A0">
        <w:rPr>
          <w:rFonts w:eastAsiaTheme="majorEastAsia"/>
          <w:color w:val="000000" w:themeColor="text1"/>
        </w:rPr>
        <w:t>. This</w:t>
      </w:r>
      <w:r w:rsidR="0076579E" w:rsidRPr="003C66A0">
        <w:rPr>
          <w:rFonts w:eastAsiaTheme="majorEastAsia"/>
          <w:color w:val="000000" w:themeColor="text1"/>
        </w:rPr>
        <w:t xml:space="preserve"> theor</w:t>
      </w:r>
      <w:r w:rsidRPr="003C66A0">
        <w:rPr>
          <w:rFonts w:eastAsiaTheme="majorEastAsia"/>
          <w:color w:val="000000" w:themeColor="text1"/>
        </w:rPr>
        <w:t>etical approach</w:t>
      </w:r>
      <w:r w:rsidR="0076579E" w:rsidRPr="003C66A0">
        <w:rPr>
          <w:rFonts w:eastAsiaTheme="majorEastAsia"/>
          <w:color w:val="000000" w:themeColor="text1"/>
        </w:rPr>
        <w:t xml:space="preserve"> promises improved returns through systematic rebalancing (Markowitz, 1952)</w:t>
      </w:r>
      <w:r w:rsidR="005D0093" w:rsidRPr="003C66A0">
        <w:rPr>
          <w:rFonts w:eastAsiaTheme="majorEastAsia"/>
          <w:color w:val="000000" w:themeColor="text1"/>
        </w:rPr>
        <w:t xml:space="preserve"> and my </w:t>
      </w:r>
      <w:r w:rsidR="0076579E" w:rsidRPr="003C66A0">
        <w:rPr>
          <w:rFonts w:eastAsiaTheme="majorEastAsia"/>
          <w:color w:val="000000" w:themeColor="text1"/>
        </w:rPr>
        <w:t xml:space="preserve">empirical data reveals </w:t>
      </w:r>
      <w:r w:rsidRPr="003C66A0">
        <w:rPr>
          <w:rFonts w:eastAsiaTheme="majorEastAsia"/>
          <w:color w:val="000000" w:themeColor="text1"/>
        </w:rPr>
        <w:t xml:space="preserve">the following </w:t>
      </w:r>
      <w:r w:rsidR="0076579E" w:rsidRPr="003C66A0">
        <w:rPr>
          <w:rFonts w:eastAsiaTheme="majorEastAsia"/>
          <w:color w:val="000000" w:themeColor="text1"/>
        </w:rPr>
        <w:t>surprising patterns:</w:t>
      </w:r>
    </w:p>
    <w:p w14:paraId="2B391ADD" w14:textId="77777777" w:rsidR="000048F5" w:rsidRPr="003C66A0" w:rsidRDefault="000048F5" w:rsidP="00AE1DED">
      <w:pPr>
        <w:jc w:val="both"/>
        <w:rPr>
          <w:rFonts w:eastAsiaTheme="majorEastAsia"/>
          <w:b/>
          <w:bCs/>
          <w:color w:val="000000" w:themeColor="text1"/>
        </w:rPr>
      </w:pPr>
    </w:p>
    <w:p w14:paraId="3837D07E" w14:textId="6B5DC82B" w:rsidR="0076579E" w:rsidRPr="00782D83" w:rsidRDefault="0076579E" w:rsidP="00AE1DED">
      <w:pPr>
        <w:jc w:val="both"/>
        <w:rPr>
          <w:rFonts w:eastAsiaTheme="majorEastAsia"/>
          <w:color w:val="000000" w:themeColor="text1"/>
        </w:rPr>
      </w:pPr>
      <w:r w:rsidRPr="00782D83">
        <w:rPr>
          <w:rFonts w:eastAsiaTheme="majorEastAsia"/>
          <w:b/>
          <w:bCs/>
          <w:color w:val="000000" w:themeColor="text1"/>
        </w:rPr>
        <w:t>Rebalancing Frequency and Returns (</w:t>
      </w:r>
      <w:r w:rsidR="00835B9C" w:rsidRPr="00782D83">
        <w:rPr>
          <w:rFonts w:eastAsiaTheme="majorEastAsia"/>
          <w:b/>
          <w:bCs/>
          <w:color w:val="000000" w:themeColor="text1"/>
        </w:rPr>
        <w:t>observed in this study</w:t>
      </w:r>
      <w:r w:rsidRPr="00782D83">
        <w:rPr>
          <w:rFonts w:eastAsiaTheme="majorEastAsia"/>
          <w:b/>
          <w:bCs/>
          <w:color w:val="000000" w:themeColor="text1"/>
        </w:rPr>
        <w:t>)</w:t>
      </w:r>
    </w:p>
    <w:p w14:paraId="0102D822" w14:textId="77777777" w:rsidR="002D11BA" w:rsidRPr="00782D83" w:rsidRDefault="002D11BA" w:rsidP="00AE1DED">
      <w:pPr>
        <w:jc w:val="both"/>
        <w:rPr>
          <w:color w:val="000000" w:themeColor="text1"/>
        </w:rPr>
      </w:pPr>
    </w:p>
    <w:p w14:paraId="652A2EB2" w14:textId="3E97BABE" w:rsidR="002D11BA" w:rsidRPr="00782D83" w:rsidRDefault="002D11BA" w:rsidP="00AE1DED">
      <w:pPr>
        <w:jc w:val="both"/>
        <w:rPr>
          <w:color w:val="000000" w:themeColor="text1"/>
        </w:rPr>
      </w:pPr>
      <w:r w:rsidRPr="00782D83">
        <w:rPr>
          <w:color w:val="000000" w:themeColor="text1"/>
        </w:rPr>
        <w:t>Never rebalanced: 6.2% average annual returns</w:t>
      </w:r>
    </w:p>
    <w:p w14:paraId="1E4E5229" w14:textId="63A13773" w:rsidR="002D11BA" w:rsidRPr="00782D83" w:rsidRDefault="002D11BA" w:rsidP="00AE1DED">
      <w:pPr>
        <w:pStyle w:val="ListParagraph"/>
        <w:numPr>
          <w:ilvl w:val="0"/>
          <w:numId w:val="181"/>
        </w:numPr>
        <w:jc w:val="both"/>
        <w:rPr>
          <w:color w:val="000000" w:themeColor="text1"/>
        </w:rPr>
      </w:pPr>
      <w:r w:rsidRPr="00782D83">
        <w:rPr>
          <w:color w:val="000000" w:themeColor="text1"/>
        </w:rPr>
        <w:t>Monthly: 4.7%</w:t>
      </w:r>
    </w:p>
    <w:p w14:paraId="3DB2B8A0" w14:textId="75D702DB" w:rsidR="002D11BA" w:rsidRPr="00782D83" w:rsidRDefault="002D11BA" w:rsidP="00AE1DED">
      <w:pPr>
        <w:pStyle w:val="ListParagraph"/>
        <w:numPr>
          <w:ilvl w:val="0"/>
          <w:numId w:val="181"/>
        </w:numPr>
        <w:jc w:val="both"/>
        <w:rPr>
          <w:color w:val="000000" w:themeColor="text1"/>
        </w:rPr>
      </w:pPr>
      <w:r w:rsidRPr="00782D83">
        <w:rPr>
          <w:color w:val="000000" w:themeColor="text1"/>
        </w:rPr>
        <w:t>Weekly: 2.1%</w:t>
      </w:r>
    </w:p>
    <w:p w14:paraId="0C61A1C7" w14:textId="6DE1BB36" w:rsidR="002D11BA" w:rsidRPr="00782D83" w:rsidRDefault="002D11BA" w:rsidP="00AE1DED">
      <w:pPr>
        <w:pStyle w:val="ListParagraph"/>
        <w:numPr>
          <w:ilvl w:val="0"/>
          <w:numId w:val="181"/>
        </w:numPr>
        <w:jc w:val="both"/>
        <w:rPr>
          <w:color w:val="000000" w:themeColor="text1"/>
        </w:rPr>
      </w:pPr>
      <w:r w:rsidRPr="00782D83">
        <w:rPr>
          <w:color w:val="000000" w:themeColor="text1"/>
        </w:rPr>
        <w:t>Daily: -18.3%</w:t>
      </w:r>
    </w:p>
    <w:p w14:paraId="188805FE" w14:textId="77777777" w:rsidR="002D11BA" w:rsidRPr="00750A6E" w:rsidRDefault="002D11BA" w:rsidP="00AE1DED">
      <w:pPr>
        <w:jc w:val="both"/>
        <w:rPr>
          <w:color w:val="0070C0"/>
        </w:rPr>
      </w:pPr>
    </w:p>
    <w:p w14:paraId="01DA8FBF" w14:textId="09E40E91" w:rsidR="00BF1BCB" w:rsidRPr="002301FA" w:rsidRDefault="00BF1BCB" w:rsidP="00AE1DED">
      <w:pPr>
        <w:jc w:val="both"/>
        <w:rPr>
          <w:color w:val="000000" w:themeColor="text1"/>
        </w:rPr>
      </w:pPr>
      <w:r w:rsidRPr="002301FA">
        <w:rPr>
          <w:color w:val="000000" w:themeColor="text1"/>
        </w:rPr>
        <w:t>Sample composition by rebalancing frequency:</w:t>
      </w:r>
    </w:p>
    <w:p w14:paraId="38C934DB" w14:textId="6BD5298A" w:rsidR="00BF1BCB" w:rsidRPr="002301FA" w:rsidRDefault="00BF1BCB" w:rsidP="00AE1DED">
      <w:pPr>
        <w:pStyle w:val="ListParagraph"/>
        <w:numPr>
          <w:ilvl w:val="0"/>
          <w:numId w:val="233"/>
        </w:numPr>
        <w:jc w:val="both"/>
        <w:rPr>
          <w:color w:val="000000" w:themeColor="text1"/>
        </w:rPr>
      </w:pPr>
      <w:r w:rsidRPr="002301FA">
        <w:rPr>
          <w:color w:val="000000" w:themeColor="text1"/>
        </w:rPr>
        <w:t>Never rebalanced: n=39 positions</w:t>
      </w:r>
    </w:p>
    <w:p w14:paraId="19FD7E52" w14:textId="46D20D4F" w:rsidR="00BF1BCB" w:rsidRPr="002301FA" w:rsidRDefault="00BF1BCB" w:rsidP="00AE1DED">
      <w:pPr>
        <w:pStyle w:val="ListParagraph"/>
        <w:numPr>
          <w:ilvl w:val="0"/>
          <w:numId w:val="233"/>
        </w:numPr>
        <w:jc w:val="both"/>
        <w:rPr>
          <w:color w:val="000000" w:themeColor="text1"/>
        </w:rPr>
      </w:pPr>
      <w:r w:rsidRPr="002301FA">
        <w:rPr>
          <w:color w:val="000000" w:themeColor="text1"/>
        </w:rPr>
        <w:t>Monthly: n=62 positions</w:t>
      </w:r>
    </w:p>
    <w:p w14:paraId="2CE3C238" w14:textId="3CA142F8" w:rsidR="00BF1BCB" w:rsidRPr="002301FA" w:rsidRDefault="00BF1BCB" w:rsidP="00AE1DED">
      <w:pPr>
        <w:pStyle w:val="ListParagraph"/>
        <w:numPr>
          <w:ilvl w:val="0"/>
          <w:numId w:val="233"/>
        </w:numPr>
        <w:jc w:val="both"/>
        <w:rPr>
          <w:color w:val="000000" w:themeColor="text1"/>
        </w:rPr>
      </w:pPr>
      <w:r w:rsidRPr="002301FA">
        <w:rPr>
          <w:color w:val="000000" w:themeColor="text1"/>
        </w:rPr>
        <w:t>Weekly: n=44 positions</w:t>
      </w:r>
    </w:p>
    <w:p w14:paraId="389E9B30" w14:textId="0415679A" w:rsidR="00BF1BCB" w:rsidRPr="002301FA" w:rsidRDefault="00BF1BCB" w:rsidP="00AE1DED">
      <w:pPr>
        <w:pStyle w:val="ListParagraph"/>
        <w:numPr>
          <w:ilvl w:val="0"/>
          <w:numId w:val="233"/>
        </w:numPr>
        <w:jc w:val="both"/>
        <w:rPr>
          <w:color w:val="000000" w:themeColor="text1"/>
        </w:rPr>
      </w:pPr>
      <w:r w:rsidRPr="002301FA">
        <w:rPr>
          <w:color w:val="000000" w:themeColor="text1"/>
        </w:rPr>
        <w:t>Daily: n=11 positions</w:t>
      </w:r>
    </w:p>
    <w:p w14:paraId="37B446CC" w14:textId="77777777" w:rsidR="00BF1BCB" w:rsidRPr="002301FA" w:rsidRDefault="00BF1BCB" w:rsidP="00AE1DED">
      <w:pPr>
        <w:jc w:val="both"/>
        <w:rPr>
          <w:color w:val="000000" w:themeColor="text1"/>
        </w:rPr>
      </w:pPr>
    </w:p>
    <w:p w14:paraId="3D05B910" w14:textId="2A3DFCA8" w:rsidR="00BF1BCB" w:rsidRPr="002301FA" w:rsidRDefault="002A66F7" w:rsidP="00AE1DED">
      <w:pPr>
        <w:jc w:val="both"/>
        <w:rPr>
          <w:color w:val="000000" w:themeColor="text1"/>
        </w:rPr>
      </w:pPr>
      <w:r w:rsidRPr="002301FA">
        <w:rPr>
          <w:color w:val="000000" w:themeColor="text1"/>
        </w:rPr>
        <w:t xml:space="preserve">The small sample for </w:t>
      </w:r>
      <w:r w:rsidR="00BF1BCB" w:rsidRPr="002301FA">
        <w:rPr>
          <w:color w:val="000000" w:themeColor="text1"/>
        </w:rPr>
        <w:t>daily rebalancing category</w:t>
      </w:r>
      <w:r w:rsidRPr="002301FA">
        <w:rPr>
          <w:color w:val="000000" w:themeColor="text1"/>
        </w:rPr>
        <w:t xml:space="preserve"> </w:t>
      </w:r>
      <w:r w:rsidR="00BF1BCB" w:rsidRPr="002301FA">
        <w:rPr>
          <w:color w:val="000000" w:themeColor="text1"/>
        </w:rPr>
        <w:t xml:space="preserve">(n=11) substantially affects </w:t>
      </w:r>
      <w:r w:rsidRPr="002301FA">
        <w:rPr>
          <w:color w:val="000000" w:themeColor="text1"/>
        </w:rPr>
        <w:t xml:space="preserve">the </w:t>
      </w:r>
      <w:r w:rsidR="00BF1BCB" w:rsidRPr="002301FA">
        <w:rPr>
          <w:color w:val="000000" w:themeColor="text1"/>
        </w:rPr>
        <w:t xml:space="preserve">interpretation. One extreme outlier (-78% from a position that executed 427 daily rebalances on an $8,200 position, accumulating $23,400 in gas costs) drives the -18.3% mean. Excluding this single outlier yields mean = -4.2%, though the median (-3.2%, reported below) represents </w:t>
      </w:r>
      <w:r w:rsidRPr="002301FA">
        <w:rPr>
          <w:color w:val="000000" w:themeColor="text1"/>
        </w:rPr>
        <w:t xml:space="preserve">the </w:t>
      </w:r>
      <w:r w:rsidR="00BF1BCB" w:rsidRPr="002301FA">
        <w:rPr>
          <w:color w:val="000000" w:themeColor="text1"/>
        </w:rPr>
        <w:t>typical outcomes</w:t>
      </w:r>
      <w:r w:rsidRPr="002301FA">
        <w:rPr>
          <w:color w:val="000000" w:themeColor="text1"/>
        </w:rPr>
        <w:t xml:space="preserve"> more accurately.</w:t>
      </w:r>
    </w:p>
    <w:p w14:paraId="70D9E5BC" w14:textId="77777777" w:rsidR="00BF1BCB" w:rsidRPr="002301FA" w:rsidRDefault="00BF1BCB" w:rsidP="00AE1DED">
      <w:pPr>
        <w:jc w:val="both"/>
        <w:rPr>
          <w:color w:val="000000" w:themeColor="text1"/>
        </w:rPr>
      </w:pPr>
    </w:p>
    <w:p w14:paraId="4C052BFB" w14:textId="4ADD7F1E" w:rsidR="002D11BA" w:rsidRPr="002301FA" w:rsidRDefault="002D11BA" w:rsidP="00AE1DED">
      <w:pPr>
        <w:jc w:val="both"/>
        <w:rPr>
          <w:color w:val="000000" w:themeColor="text1"/>
        </w:rPr>
      </w:pPr>
      <w:r w:rsidRPr="002301FA">
        <w:rPr>
          <w:color w:val="000000" w:themeColor="text1"/>
        </w:rPr>
        <w:t xml:space="preserve">The </w:t>
      </w:r>
      <w:r w:rsidR="00627922" w:rsidRPr="002301FA">
        <w:rPr>
          <w:color w:val="000000" w:themeColor="text1"/>
        </w:rPr>
        <w:t>significant</w:t>
      </w:r>
      <w:r w:rsidRPr="002301FA">
        <w:rPr>
          <w:color w:val="000000" w:themeColor="text1"/>
        </w:rPr>
        <w:t xml:space="preserve"> -18.3% return for daily rebalancing result</w:t>
      </w:r>
      <w:r w:rsidR="00627922" w:rsidRPr="002301FA">
        <w:rPr>
          <w:color w:val="000000" w:themeColor="text1"/>
        </w:rPr>
        <w:t>ed</w:t>
      </w:r>
      <w:r w:rsidRPr="002301FA">
        <w:rPr>
          <w:color w:val="000000" w:themeColor="text1"/>
        </w:rPr>
        <w:t xml:space="preserve"> from compounding </w:t>
      </w:r>
      <w:r w:rsidR="00627922" w:rsidRPr="002301FA">
        <w:rPr>
          <w:color w:val="000000" w:themeColor="text1"/>
        </w:rPr>
        <w:t xml:space="preserve">the </w:t>
      </w:r>
      <w:r w:rsidRPr="002301FA">
        <w:rPr>
          <w:color w:val="000000" w:themeColor="text1"/>
        </w:rPr>
        <w:t xml:space="preserve">transaction costs </w:t>
      </w:r>
      <w:r w:rsidR="00627922" w:rsidRPr="002301FA">
        <w:rPr>
          <w:color w:val="000000" w:themeColor="text1"/>
        </w:rPr>
        <w:t>which were higher than the</w:t>
      </w:r>
      <w:r w:rsidRPr="002301FA">
        <w:rPr>
          <w:color w:val="000000" w:themeColor="text1"/>
        </w:rPr>
        <w:t xml:space="preserve"> optimization benefit. With median Ethereum </w:t>
      </w:r>
      <w:proofErr w:type="spellStart"/>
      <w:r w:rsidRPr="002301FA">
        <w:rPr>
          <w:color w:val="000000" w:themeColor="text1"/>
        </w:rPr>
        <w:t>mainnet</w:t>
      </w:r>
      <w:proofErr w:type="spellEnd"/>
      <w:r w:rsidRPr="002301FA">
        <w:rPr>
          <w:color w:val="000000" w:themeColor="text1"/>
        </w:rPr>
        <w:t xml:space="preserve"> gas fees of $35 per rebalance transaction during the study period</w:t>
      </w:r>
      <w:r w:rsidR="00627922" w:rsidRPr="002301FA">
        <w:rPr>
          <w:color w:val="000000" w:themeColor="text1"/>
        </w:rPr>
        <w:t xml:space="preserve"> a </w:t>
      </w:r>
      <w:r w:rsidRPr="002301FA">
        <w:rPr>
          <w:color w:val="000000" w:themeColor="text1"/>
        </w:rPr>
        <w:t>daily rebalancing generates 365 transactions annually. For a typical $10,000 position, this creates $12,775 in annual gas costs (127.75% of principal). Even positions generating 15% in gross</w:t>
      </w:r>
      <w:r w:rsidR="00627922" w:rsidRPr="002301FA">
        <w:rPr>
          <w:color w:val="000000" w:themeColor="text1"/>
        </w:rPr>
        <w:t xml:space="preserve"> the return will be</w:t>
      </w:r>
      <w:r w:rsidRPr="002301FA">
        <w:rPr>
          <w:color w:val="000000" w:themeColor="text1"/>
        </w:rPr>
        <w:t xml:space="preserve"> negative after subtracting these operational costs. This represents an extreme case of the "optimization trap" where increased management intensity destroys rather than creates value</w:t>
      </w:r>
      <w:r w:rsidR="00627922" w:rsidRPr="002301FA">
        <w:rPr>
          <w:color w:val="000000" w:themeColor="text1"/>
        </w:rPr>
        <w:t xml:space="preserve">. </w:t>
      </w:r>
    </w:p>
    <w:p w14:paraId="130B1120" w14:textId="77777777" w:rsidR="002D11BA" w:rsidRPr="002301FA" w:rsidRDefault="002D11BA" w:rsidP="00AE1DED">
      <w:pPr>
        <w:jc w:val="both"/>
        <w:rPr>
          <w:color w:val="000000" w:themeColor="text1"/>
        </w:rPr>
      </w:pPr>
    </w:p>
    <w:p w14:paraId="04A8110F" w14:textId="20DB6BE3" w:rsidR="00F816C2" w:rsidRPr="002301FA" w:rsidRDefault="00F816C2" w:rsidP="00AE1DED">
      <w:pPr>
        <w:jc w:val="both"/>
        <w:rPr>
          <w:color w:val="000000" w:themeColor="text1"/>
        </w:rPr>
      </w:pPr>
      <w:r w:rsidRPr="002301FA">
        <w:rPr>
          <w:color w:val="000000" w:themeColor="text1"/>
        </w:rPr>
        <w:t xml:space="preserve">Median returns (less sensitive to outliers) show: </w:t>
      </w:r>
    </w:p>
    <w:p w14:paraId="42E5FD7B" w14:textId="77777777" w:rsidR="00F55CBF" w:rsidRPr="002301FA" w:rsidRDefault="00F816C2" w:rsidP="00AE1DED">
      <w:pPr>
        <w:pStyle w:val="ListParagraph"/>
        <w:numPr>
          <w:ilvl w:val="0"/>
          <w:numId w:val="174"/>
        </w:numPr>
        <w:jc w:val="both"/>
        <w:rPr>
          <w:color w:val="000000" w:themeColor="text1"/>
        </w:rPr>
      </w:pPr>
      <w:r w:rsidRPr="002301FA">
        <w:rPr>
          <w:color w:val="000000" w:themeColor="text1"/>
        </w:rPr>
        <w:t xml:space="preserve">Never rebalanced: 5.8% </w:t>
      </w:r>
    </w:p>
    <w:p w14:paraId="328C5D24" w14:textId="77777777" w:rsidR="00F55CBF" w:rsidRPr="002301FA" w:rsidRDefault="00F816C2" w:rsidP="00AE1DED">
      <w:pPr>
        <w:pStyle w:val="ListParagraph"/>
        <w:numPr>
          <w:ilvl w:val="0"/>
          <w:numId w:val="174"/>
        </w:numPr>
        <w:jc w:val="both"/>
        <w:rPr>
          <w:color w:val="000000" w:themeColor="text1"/>
        </w:rPr>
      </w:pPr>
      <w:r w:rsidRPr="002301FA">
        <w:rPr>
          <w:color w:val="000000" w:themeColor="text1"/>
        </w:rPr>
        <w:t xml:space="preserve">Monthly: 4.9% </w:t>
      </w:r>
    </w:p>
    <w:p w14:paraId="62CCB6A4" w14:textId="77777777" w:rsidR="00F55CBF" w:rsidRPr="002301FA" w:rsidRDefault="00F816C2" w:rsidP="00AE1DED">
      <w:pPr>
        <w:pStyle w:val="ListParagraph"/>
        <w:numPr>
          <w:ilvl w:val="0"/>
          <w:numId w:val="174"/>
        </w:numPr>
        <w:jc w:val="both"/>
        <w:rPr>
          <w:color w:val="000000" w:themeColor="text1"/>
        </w:rPr>
      </w:pPr>
      <w:r w:rsidRPr="002301FA">
        <w:rPr>
          <w:color w:val="000000" w:themeColor="text1"/>
        </w:rPr>
        <w:t xml:space="preserve">Weekly: 2.7% </w:t>
      </w:r>
    </w:p>
    <w:p w14:paraId="0785FC52" w14:textId="77777777" w:rsidR="00F55CBF" w:rsidRPr="002301FA" w:rsidRDefault="00F816C2" w:rsidP="00AE1DED">
      <w:pPr>
        <w:pStyle w:val="ListParagraph"/>
        <w:numPr>
          <w:ilvl w:val="0"/>
          <w:numId w:val="174"/>
        </w:numPr>
        <w:jc w:val="both"/>
        <w:rPr>
          <w:color w:val="000000" w:themeColor="text1"/>
        </w:rPr>
      </w:pPr>
      <w:r w:rsidRPr="002301FA">
        <w:rPr>
          <w:color w:val="000000" w:themeColor="text1"/>
        </w:rPr>
        <w:t xml:space="preserve">Daily: -3.2% </w:t>
      </w:r>
    </w:p>
    <w:p w14:paraId="305C5BBE" w14:textId="77777777" w:rsidR="00F55CBF" w:rsidRPr="00750A6E" w:rsidRDefault="00F55CBF" w:rsidP="00AE1DED">
      <w:pPr>
        <w:jc w:val="both"/>
        <w:rPr>
          <w:color w:val="0070C0"/>
        </w:rPr>
      </w:pPr>
    </w:p>
    <w:p w14:paraId="26BBFC38" w14:textId="21D31923" w:rsidR="00F55CBF" w:rsidRPr="002301FA" w:rsidRDefault="00BC2416" w:rsidP="00AE1DED">
      <w:pPr>
        <w:jc w:val="both"/>
        <w:rPr>
          <w:color w:val="000000" w:themeColor="text1"/>
        </w:rPr>
      </w:pPr>
      <w:r w:rsidRPr="002301FA">
        <w:rPr>
          <w:color w:val="000000" w:themeColor="text1"/>
        </w:rPr>
        <w:t xml:space="preserve">Analyzing </w:t>
      </w:r>
      <w:r w:rsidR="00F816C2" w:rsidRPr="002301FA">
        <w:rPr>
          <w:color w:val="000000" w:themeColor="text1"/>
        </w:rPr>
        <w:t>medians</w:t>
      </w:r>
      <w:r w:rsidRPr="002301FA">
        <w:rPr>
          <w:color w:val="000000" w:themeColor="text1"/>
        </w:rPr>
        <w:t xml:space="preserve"> returns</w:t>
      </w:r>
      <w:r w:rsidR="00F816C2" w:rsidRPr="002301FA">
        <w:rPr>
          <w:color w:val="000000" w:themeColor="text1"/>
        </w:rPr>
        <w:t xml:space="preserve">, the pattern </w:t>
      </w:r>
      <w:r w:rsidRPr="002301FA">
        <w:rPr>
          <w:color w:val="000000" w:themeColor="text1"/>
        </w:rPr>
        <w:t xml:space="preserve">is similar: a </w:t>
      </w:r>
      <w:r w:rsidR="00F816C2" w:rsidRPr="002301FA">
        <w:rPr>
          <w:color w:val="000000" w:themeColor="text1"/>
        </w:rPr>
        <w:t xml:space="preserve">more frequent rebalancing </w:t>
      </w:r>
      <w:r w:rsidRPr="002301FA">
        <w:rPr>
          <w:color w:val="000000" w:themeColor="text1"/>
        </w:rPr>
        <w:t xml:space="preserve">is </w:t>
      </w:r>
      <w:r w:rsidR="00F816C2" w:rsidRPr="002301FA">
        <w:rPr>
          <w:color w:val="000000" w:themeColor="text1"/>
        </w:rPr>
        <w:t xml:space="preserve">associated with worse returns. Three mechanisms explain this counterintuitive finding: </w:t>
      </w:r>
    </w:p>
    <w:p w14:paraId="78F36AC9" w14:textId="77777777" w:rsidR="002035C3" w:rsidRPr="002301FA" w:rsidRDefault="002035C3" w:rsidP="00AE1DED">
      <w:pPr>
        <w:jc w:val="both"/>
        <w:rPr>
          <w:color w:val="000000" w:themeColor="text1"/>
        </w:rPr>
      </w:pPr>
    </w:p>
    <w:p w14:paraId="4DB5D4FD" w14:textId="3DB1FA08" w:rsidR="00F55CBF" w:rsidRPr="002301FA" w:rsidRDefault="00F816C2" w:rsidP="00AE1DED">
      <w:pPr>
        <w:pStyle w:val="ListParagraph"/>
        <w:numPr>
          <w:ilvl w:val="0"/>
          <w:numId w:val="182"/>
        </w:numPr>
        <w:jc w:val="both"/>
        <w:rPr>
          <w:color w:val="000000" w:themeColor="text1"/>
        </w:rPr>
      </w:pPr>
      <w:r w:rsidRPr="002301FA">
        <w:rPr>
          <w:b/>
          <w:bCs/>
          <w:color w:val="000000" w:themeColor="text1"/>
        </w:rPr>
        <w:t>Transaction cost accumulation:</w:t>
      </w:r>
      <w:r w:rsidRPr="002301FA">
        <w:rPr>
          <w:color w:val="000000" w:themeColor="text1"/>
        </w:rPr>
        <w:t xml:space="preserve"> Daily rebalancers in the sample executed 312 transactions quarterly (median) versus 6 for never-rebalanced positions. At $15-60 gas per transaction, this </w:t>
      </w:r>
      <w:r w:rsidR="00D760A8" w:rsidRPr="002301FA">
        <w:rPr>
          <w:color w:val="000000" w:themeColor="text1"/>
        </w:rPr>
        <w:t>adds</w:t>
      </w:r>
      <w:r w:rsidRPr="002301FA">
        <w:rPr>
          <w:color w:val="000000" w:themeColor="text1"/>
        </w:rPr>
        <w:t xml:space="preserve"> $4,680-$18,720 </w:t>
      </w:r>
      <w:r w:rsidR="00D760A8" w:rsidRPr="002301FA">
        <w:rPr>
          <w:color w:val="000000" w:themeColor="text1"/>
        </w:rPr>
        <w:t xml:space="preserve">of </w:t>
      </w:r>
      <w:r w:rsidRPr="002301FA">
        <w:rPr>
          <w:color w:val="000000" w:themeColor="text1"/>
        </w:rPr>
        <w:t>annual costs for a $10,000 position</w:t>
      </w:r>
      <w:r w:rsidR="00D760A8" w:rsidRPr="002301FA">
        <w:rPr>
          <w:color w:val="000000" w:themeColor="text1"/>
        </w:rPr>
        <w:t xml:space="preserve">. This cost </w:t>
      </w:r>
      <w:proofErr w:type="gramStart"/>
      <w:r w:rsidR="00D760A8" w:rsidRPr="002301FA">
        <w:rPr>
          <w:color w:val="000000" w:themeColor="text1"/>
        </w:rPr>
        <w:t>alone,</w:t>
      </w:r>
      <w:proofErr w:type="gramEnd"/>
      <w:r w:rsidR="00D760A8" w:rsidRPr="002301FA">
        <w:rPr>
          <w:color w:val="000000" w:themeColor="text1"/>
        </w:rPr>
        <w:t xml:space="preserve"> </w:t>
      </w:r>
      <w:r w:rsidR="0050659B" w:rsidRPr="002301FA">
        <w:rPr>
          <w:color w:val="000000" w:themeColor="text1"/>
        </w:rPr>
        <w:t>erodes</w:t>
      </w:r>
      <w:r w:rsidRPr="002301FA">
        <w:rPr>
          <w:color w:val="000000" w:themeColor="text1"/>
        </w:rPr>
        <w:t xml:space="preserve"> </w:t>
      </w:r>
      <w:r w:rsidR="00D760A8" w:rsidRPr="002301FA">
        <w:rPr>
          <w:color w:val="000000" w:themeColor="text1"/>
        </w:rPr>
        <w:t>all</w:t>
      </w:r>
      <w:r w:rsidRPr="002301FA">
        <w:rPr>
          <w:color w:val="000000" w:themeColor="text1"/>
        </w:rPr>
        <w:t xml:space="preserve"> returns. </w:t>
      </w:r>
    </w:p>
    <w:p w14:paraId="45920CC4" w14:textId="5C9DFFDC" w:rsidR="00F816C2" w:rsidRPr="002301FA" w:rsidRDefault="00F816C2" w:rsidP="00AE1DED">
      <w:pPr>
        <w:pStyle w:val="ListParagraph"/>
        <w:numPr>
          <w:ilvl w:val="0"/>
          <w:numId w:val="182"/>
        </w:numPr>
        <w:jc w:val="both"/>
        <w:rPr>
          <w:color w:val="000000" w:themeColor="text1"/>
        </w:rPr>
      </w:pPr>
      <w:r w:rsidRPr="002301FA">
        <w:rPr>
          <w:b/>
          <w:bCs/>
          <w:color w:val="000000" w:themeColor="text1"/>
        </w:rPr>
        <w:lastRenderedPageBreak/>
        <w:t>Adverse selection into active management:</w:t>
      </w:r>
      <w:r w:rsidRPr="002301FA">
        <w:rPr>
          <w:color w:val="000000" w:themeColor="text1"/>
        </w:rPr>
        <w:t xml:space="preserve"> Participants attempting </w:t>
      </w:r>
      <w:r w:rsidR="003201C3" w:rsidRPr="002301FA">
        <w:rPr>
          <w:color w:val="000000" w:themeColor="text1"/>
        </w:rPr>
        <w:t xml:space="preserve">a </w:t>
      </w:r>
      <w:r w:rsidRPr="002301FA">
        <w:rPr>
          <w:color w:val="000000" w:themeColor="text1"/>
        </w:rPr>
        <w:t xml:space="preserve">daily rebalancing disproportionately used concentrated liquidity strategies (71% vs. 23% for </w:t>
      </w:r>
      <w:r w:rsidR="003201C3" w:rsidRPr="002301FA">
        <w:rPr>
          <w:color w:val="000000" w:themeColor="text1"/>
        </w:rPr>
        <w:t>never rebalanced</w:t>
      </w:r>
      <w:r w:rsidRPr="002301FA">
        <w:rPr>
          <w:color w:val="000000" w:themeColor="text1"/>
        </w:rPr>
        <w:t xml:space="preserve">), which </w:t>
      </w:r>
      <w:proofErr w:type="gramStart"/>
      <w:r w:rsidRPr="002301FA">
        <w:rPr>
          <w:color w:val="000000" w:themeColor="text1"/>
        </w:rPr>
        <w:t>requires</w:t>
      </w:r>
      <w:proofErr w:type="gramEnd"/>
      <w:r w:rsidRPr="002301FA">
        <w:rPr>
          <w:color w:val="000000" w:themeColor="text1"/>
        </w:rPr>
        <w:t xml:space="preserve"> active management but also </w:t>
      </w:r>
      <w:r w:rsidR="003201C3" w:rsidRPr="002301FA">
        <w:rPr>
          <w:color w:val="000000" w:themeColor="text1"/>
        </w:rPr>
        <w:t>increases</w:t>
      </w:r>
      <w:r w:rsidRPr="002301FA">
        <w:rPr>
          <w:color w:val="000000" w:themeColor="text1"/>
        </w:rPr>
        <w:t xml:space="preserve"> IL and failure risk.</w:t>
      </w:r>
    </w:p>
    <w:p w14:paraId="32D24F29" w14:textId="6B60F3AB" w:rsidR="00F55CBF" w:rsidRPr="002301FA" w:rsidRDefault="00F55CBF" w:rsidP="00AE1DED">
      <w:pPr>
        <w:pStyle w:val="ListParagraph"/>
        <w:numPr>
          <w:ilvl w:val="0"/>
          <w:numId w:val="182"/>
        </w:numPr>
        <w:jc w:val="both"/>
        <w:rPr>
          <w:color w:val="000000" w:themeColor="text1"/>
        </w:rPr>
      </w:pPr>
      <w:r w:rsidRPr="002301FA">
        <w:rPr>
          <w:b/>
          <w:bCs/>
          <w:color w:val="000000" w:themeColor="text1"/>
        </w:rPr>
        <w:t>Timing skill deficit:</w:t>
      </w:r>
      <w:r w:rsidRPr="002301FA">
        <w:rPr>
          <w:color w:val="000000" w:themeColor="text1"/>
        </w:rPr>
        <w:t xml:space="preserve"> Daily rebalancing requires superior market timing to overcome </w:t>
      </w:r>
      <w:r w:rsidR="00085EB8" w:rsidRPr="002301FA">
        <w:rPr>
          <w:color w:val="000000" w:themeColor="text1"/>
        </w:rPr>
        <w:t xml:space="preserve">the associated </w:t>
      </w:r>
      <w:r w:rsidRPr="002301FA">
        <w:rPr>
          <w:color w:val="000000" w:themeColor="text1"/>
        </w:rPr>
        <w:t xml:space="preserve">costs. </w:t>
      </w:r>
      <w:r w:rsidR="00085EB8" w:rsidRPr="002301FA">
        <w:rPr>
          <w:color w:val="000000" w:themeColor="text1"/>
        </w:rPr>
        <w:t>The a</w:t>
      </w:r>
      <w:r w:rsidRPr="002301FA">
        <w:rPr>
          <w:color w:val="000000" w:themeColor="text1"/>
        </w:rPr>
        <w:t xml:space="preserve">nalysis showed </w:t>
      </w:r>
      <w:r w:rsidR="00085EB8" w:rsidRPr="002301FA">
        <w:rPr>
          <w:color w:val="000000" w:themeColor="text1"/>
        </w:rPr>
        <w:t xml:space="preserve">that </w:t>
      </w:r>
      <w:r w:rsidRPr="002301FA">
        <w:rPr>
          <w:color w:val="000000" w:themeColor="text1"/>
        </w:rPr>
        <w:t>daily rebalancers executed at median 1.8% worse prices than optimal (versus 0.4% for monthly rebalancers)</w:t>
      </w:r>
      <w:r w:rsidR="00085EB8" w:rsidRPr="002301FA">
        <w:rPr>
          <w:color w:val="000000" w:themeColor="text1"/>
        </w:rPr>
        <w:t>. This data</w:t>
      </w:r>
      <w:r w:rsidRPr="002301FA">
        <w:rPr>
          <w:color w:val="000000" w:themeColor="text1"/>
        </w:rPr>
        <w:t xml:space="preserve"> suggest</w:t>
      </w:r>
      <w:r w:rsidR="00085EB8" w:rsidRPr="002301FA">
        <w:rPr>
          <w:color w:val="000000" w:themeColor="text1"/>
        </w:rPr>
        <w:t>s a</w:t>
      </w:r>
      <w:r w:rsidRPr="002301FA">
        <w:rPr>
          <w:color w:val="000000" w:themeColor="text1"/>
        </w:rPr>
        <w:t xml:space="preserve"> skill deficit</w:t>
      </w:r>
      <w:r w:rsidR="00085EB8" w:rsidRPr="002301FA">
        <w:rPr>
          <w:color w:val="000000" w:themeColor="text1"/>
        </w:rPr>
        <w:t>.</w:t>
      </w:r>
    </w:p>
    <w:p w14:paraId="5BCC7248" w14:textId="77777777" w:rsidR="00F55CBF" w:rsidRPr="00750A6E" w:rsidRDefault="00F55CBF" w:rsidP="00AE1DED">
      <w:pPr>
        <w:jc w:val="both"/>
        <w:rPr>
          <w:color w:val="0070C0"/>
        </w:rPr>
      </w:pPr>
    </w:p>
    <w:p w14:paraId="29161C7F" w14:textId="530A9912" w:rsidR="00F55CBF" w:rsidRPr="002301FA" w:rsidRDefault="00F55CBF" w:rsidP="00AE1DED">
      <w:pPr>
        <w:jc w:val="both"/>
        <w:rPr>
          <w:color w:val="000000" w:themeColor="text1"/>
        </w:rPr>
      </w:pPr>
      <w:r w:rsidRPr="002301FA">
        <w:rPr>
          <w:color w:val="000000" w:themeColor="text1"/>
        </w:rPr>
        <w:t xml:space="preserve">Robustness check: </w:t>
      </w:r>
    </w:p>
    <w:p w14:paraId="60EC3830" w14:textId="77777777" w:rsidR="00875799" w:rsidRPr="002301FA" w:rsidRDefault="00BF1BCB" w:rsidP="00AE1DED">
      <w:pPr>
        <w:pStyle w:val="ListParagraph"/>
        <w:numPr>
          <w:ilvl w:val="0"/>
          <w:numId w:val="175"/>
        </w:numPr>
        <w:jc w:val="both"/>
        <w:rPr>
          <w:color w:val="000000" w:themeColor="text1"/>
        </w:rPr>
      </w:pPr>
      <w:r w:rsidRPr="002301FA">
        <w:rPr>
          <w:color w:val="000000" w:themeColor="text1"/>
        </w:rPr>
        <w:t xml:space="preserve">Excluding </w:t>
      </w:r>
      <w:proofErr w:type="gramStart"/>
      <w:r w:rsidRPr="002301FA">
        <w:rPr>
          <w:color w:val="000000" w:themeColor="text1"/>
        </w:rPr>
        <w:t>the -</w:t>
      </w:r>
      <w:proofErr w:type="gramEnd"/>
      <w:r w:rsidRPr="002301FA">
        <w:rPr>
          <w:color w:val="000000" w:themeColor="text1"/>
        </w:rPr>
        <w:t xml:space="preserve">78% outlier (n=1 of 11 daily positions): </w:t>
      </w:r>
    </w:p>
    <w:p w14:paraId="50F38ADE" w14:textId="33D72D28" w:rsidR="00BF1BCB" w:rsidRPr="002301FA" w:rsidRDefault="00BF1BCB" w:rsidP="00AE1DED">
      <w:pPr>
        <w:pStyle w:val="ListParagraph"/>
        <w:numPr>
          <w:ilvl w:val="1"/>
          <w:numId w:val="175"/>
        </w:numPr>
        <w:jc w:val="both"/>
        <w:rPr>
          <w:color w:val="000000" w:themeColor="text1"/>
        </w:rPr>
      </w:pPr>
      <w:r w:rsidRPr="002301FA">
        <w:rPr>
          <w:color w:val="000000" w:themeColor="text1"/>
        </w:rPr>
        <w:t xml:space="preserve">Daily rebalancing </w:t>
      </w:r>
      <w:proofErr w:type="gramStart"/>
      <w:r w:rsidRPr="002301FA">
        <w:rPr>
          <w:color w:val="000000" w:themeColor="text1"/>
        </w:rPr>
        <w:t>mean</w:t>
      </w:r>
      <w:proofErr w:type="gramEnd"/>
      <w:r w:rsidRPr="002301FA">
        <w:rPr>
          <w:color w:val="000000" w:themeColor="text1"/>
        </w:rPr>
        <w:t xml:space="preserve"> = -4.2% (still negative, but note small sample n=10 after exclusion limits confidence)</w:t>
      </w:r>
    </w:p>
    <w:p w14:paraId="6CA22E78" w14:textId="77777777" w:rsidR="00875799" w:rsidRPr="002301FA" w:rsidRDefault="00F55CBF" w:rsidP="00AE1DED">
      <w:pPr>
        <w:pStyle w:val="ListParagraph"/>
        <w:numPr>
          <w:ilvl w:val="0"/>
          <w:numId w:val="175"/>
        </w:numPr>
        <w:jc w:val="both"/>
        <w:rPr>
          <w:color w:val="000000" w:themeColor="text1"/>
        </w:rPr>
      </w:pPr>
      <w:r w:rsidRPr="002301FA">
        <w:rPr>
          <w:color w:val="000000" w:themeColor="text1"/>
        </w:rPr>
        <w:t xml:space="preserve">Restricting to same strategy type (concentrated LP only): </w:t>
      </w:r>
    </w:p>
    <w:p w14:paraId="7CB0618E" w14:textId="589F26D9" w:rsidR="00550D59" w:rsidRPr="002301FA" w:rsidRDefault="00F55CBF" w:rsidP="00AE1DED">
      <w:pPr>
        <w:pStyle w:val="ListParagraph"/>
        <w:numPr>
          <w:ilvl w:val="1"/>
          <w:numId w:val="175"/>
        </w:numPr>
        <w:jc w:val="both"/>
        <w:rPr>
          <w:color w:val="000000" w:themeColor="text1"/>
        </w:rPr>
      </w:pPr>
      <w:r w:rsidRPr="002301FA">
        <w:rPr>
          <w:color w:val="000000" w:themeColor="text1"/>
        </w:rPr>
        <w:t xml:space="preserve">Daily = 3.1% vs. Weekly = 5.8% (pattern reverses with strategy control) </w:t>
      </w:r>
    </w:p>
    <w:p w14:paraId="33A31784" w14:textId="77777777" w:rsidR="00875799" w:rsidRPr="002301FA" w:rsidRDefault="00F55CBF" w:rsidP="00AE1DED">
      <w:pPr>
        <w:pStyle w:val="ListParagraph"/>
        <w:numPr>
          <w:ilvl w:val="0"/>
          <w:numId w:val="175"/>
        </w:numPr>
        <w:jc w:val="both"/>
        <w:rPr>
          <w:color w:val="000000" w:themeColor="text1"/>
        </w:rPr>
      </w:pPr>
      <w:r w:rsidRPr="002301FA">
        <w:rPr>
          <w:color w:val="000000" w:themeColor="text1"/>
        </w:rPr>
        <w:t xml:space="preserve">Including only positions &gt;$25,000: </w:t>
      </w:r>
    </w:p>
    <w:p w14:paraId="0A112D42" w14:textId="61346F6A" w:rsidR="00550D59" w:rsidRPr="002301FA" w:rsidRDefault="00F55CBF" w:rsidP="00AE1DED">
      <w:pPr>
        <w:pStyle w:val="ListParagraph"/>
        <w:numPr>
          <w:ilvl w:val="1"/>
          <w:numId w:val="175"/>
        </w:numPr>
        <w:jc w:val="both"/>
        <w:rPr>
          <w:color w:val="000000" w:themeColor="text1"/>
        </w:rPr>
      </w:pPr>
      <w:r w:rsidRPr="002301FA">
        <w:rPr>
          <w:color w:val="000000" w:themeColor="text1"/>
        </w:rPr>
        <w:t xml:space="preserve">Daily = 1.9% vs. Monthly = 6.1% </w:t>
      </w:r>
    </w:p>
    <w:p w14:paraId="74615018" w14:textId="77777777" w:rsidR="00550D59" w:rsidRPr="002301FA" w:rsidRDefault="00550D59" w:rsidP="00AE1DED">
      <w:pPr>
        <w:pStyle w:val="ListParagraph"/>
        <w:jc w:val="both"/>
        <w:rPr>
          <w:color w:val="000000" w:themeColor="text1"/>
        </w:rPr>
      </w:pPr>
    </w:p>
    <w:p w14:paraId="48BEF0A9" w14:textId="43585342" w:rsidR="00852587" w:rsidRPr="002301FA" w:rsidRDefault="00F55CBF" w:rsidP="00AE1DED">
      <w:pPr>
        <w:jc w:val="both"/>
        <w:rPr>
          <w:color w:val="000000" w:themeColor="text1"/>
        </w:rPr>
      </w:pPr>
      <w:r w:rsidRPr="002301FA">
        <w:rPr>
          <w:color w:val="000000" w:themeColor="text1"/>
        </w:rPr>
        <w:t xml:space="preserve">The pattern appears robust but requires nuanced </w:t>
      </w:r>
      <w:proofErr w:type="gramStart"/>
      <w:r w:rsidRPr="002301FA">
        <w:rPr>
          <w:color w:val="000000" w:themeColor="text1"/>
        </w:rPr>
        <w:t>interpretation</w:t>
      </w:r>
      <w:proofErr w:type="gramEnd"/>
      <w:r w:rsidR="00875799" w:rsidRPr="002301FA">
        <w:rPr>
          <w:color w:val="000000" w:themeColor="text1"/>
        </w:rPr>
        <w:t xml:space="preserve"> especially further analysis </w:t>
      </w:r>
      <w:r w:rsidRPr="002301FA">
        <w:rPr>
          <w:color w:val="000000" w:themeColor="text1"/>
        </w:rPr>
        <w:t>for participants with capital below viability thresholds or using complex strategies beyond their capability</w:t>
      </w:r>
      <w:r w:rsidR="00875799" w:rsidRPr="002301FA">
        <w:rPr>
          <w:color w:val="000000" w:themeColor="text1"/>
        </w:rPr>
        <w:t xml:space="preserve">. </w:t>
      </w:r>
      <w:r w:rsidRPr="002301FA">
        <w:rPr>
          <w:color w:val="000000" w:themeColor="text1"/>
        </w:rPr>
        <w:t xml:space="preserve">The successful never-rebalanced positions </w:t>
      </w:r>
      <w:r w:rsidR="00875799" w:rsidRPr="002301FA">
        <w:rPr>
          <w:color w:val="000000" w:themeColor="text1"/>
        </w:rPr>
        <w:t xml:space="preserve">appear to have </w:t>
      </w:r>
      <w:r w:rsidRPr="002301FA">
        <w:rPr>
          <w:color w:val="000000" w:themeColor="text1"/>
        </w:rPr>
        <w:t>succeeded through accidental discipline</w:t>
      </w:r>
      <w:r w:rsidR="00875799" w:rsidRPr="002301FA">
        <w:rPr>
          <w:color w:val="000000" w:themeColor="text1"/>
        </w:rPr>
        <w:t xml:space="preserve">. This was caused by </w:t>
      </w:r>
      <w:r w:rsidRPr="002301FA">
        <w:rPr>
          <w:color w:val="000000" w:themeColor="text1"/>
        </w:rPr>
        <w:t>avoiding overtrading</w:t>
      </w:r>
      <w:r w:rsidR="00875799" w:rsidRPr="002301FA">
        <w:rPr>
          <w:color w:val="000000" w:themeColor="text1"/>
        </w:rPr>
        <w:t>, which</w:t>
      </w:r>
      <w:r w:rsidRPr="002301FA">
        <w:rPr>
          <w:color w:val="000000" w:themeColor="text1"/>
        </w:rPr>
        <w:t xml:space="preserve"> preserved capital even if positions were not optimal. </w:t>
      </w:r>
      <w:r w:rsidR="00875799" w:rsidRPr="002301FA">
        <w:rPr>
          <w:color w:val="000000" w:themeColor="text1"/>
        </w:rPr>
        <w:t>The s</w:t>
      </w:r>
      <w:r w:rsidRPr="002301FA">
        <w:rPr>
          <w:color w:val="000000" w:themeColor="text1"/>
        </w:rPr>
        <w:t>tatistical significance</w:t>
      </w:r>
      <w:r w:rsidR="00875799" w:rsidRPr="002301FA">
        <w:rPr>
          <w:color w:val="000000" w:themeColor="text1"/>
        </w:rPr>
        <w:t xml:space="preserve"> shows</w:t>
      </w:r>
      <w:r w:rsidRPr="002301FA">
        <w:rPr>
          <w:color w:val="000000" w:themeColor="text1"/>
        </w:rPr>
        <w:t>: Mann-Whitney U test comparing never-rebalanced vs. daily-rebalanced returns: U = 89, p = 0.023 (using medians to handle non-normality and outliers).</w:t>
      </w:r>
    </w:p>
    <w:p w14:paraId="60A41E0A" w14:textId="77777777" w:rsidR="00F55CBF" w:rsidRPr="003C66A0" w:rsidRDefault="00F55CBF" w:rsidP="00AE1DED">
      <w:pPr>
        <w:jc w:val="both"/>
        <w:rPr>
          <w:rFonts w:eastAsiaTheme="majorEastAsia"/>
          <w:color w:val="000000" w:themeColor="text1"/>
        </w:rPr>
      </w:pPr>
    </w:p>
    <w:p w14:paraId="19681406" w14:textId="6808398C" w:rsidR="0076579E" w:rsidRPr="003C66A0" w:rsidRDefault="008D6F57" w:rsidP="00AE1DED">
      <w:pPr>
        <w:pStyle w:val="Heading2"/>
        <w:jc w:val="both"/>
        <w:rPr>
          <w:rFonts w:eastAsiaTheme="majorEastAsia"/>
        </w:rPr>
      </w:pPr>
      <w:bookmarkStart w:id="218" w:name="_Toc214722024"/>
      <w:r w:rsidRPr="003C66A0">
        <w:rPr>
          <w:rFonts w:eastAsiaTheme="majorEastAsia"/>
        </w:rPr>
        <w:t>10</w:t>
      </w:r>
      <w:r w:rsidR="0076579E" w:rsidRPr="003C66A0">
        <w:rPr>
          <w:rFonts w:eastAsiaTheme="majorEastAsia"/>
        </w:rPr>
        <w:t>.4 Automation: Liberation or Complication?</w:t>
      </w:r>
      <w:bookmarkEnd w:id="218"/>
    </w:p>
    <w:p w14:paraId="48D4E9DE" w14:textId="7D58E205" w:rsidR="0076579E" w:rsidRPr="003C66A0" w:rsidRDefault="0076579E" w:rsidP="00AE1DED">
      <w:pPr>
        <w:jc w:val="both"/>
        <w:rPr>
          <w:rFonts w:eastAsiaTheme="majorEastAsia"/>
          <w:color w:val="000000" w:themeColor="text1"/>
        </w:rPr>
      </w:pPr>
      <w:r w:rsidRPr="003C66A0">
        <w:rPr>
          <w:rFonts w:eastAsiaTheme="majorEastAsia"/>
          <w:color w:val="000000" w:themeColor="text1"/>
        </w:rPr>
        <w:t xml:space="preserve">Automation promises to solve operational complexity (Brynjolfsson &amp; McAfee, 2014). </w:t>
      </w:r>
      <w:r w:rsidR="002B5C3B" w:rsidRPr="003C66A0">
        <w:rPr>
          <w:rFonts w:eastAsiaTheme="majorEastAsia"/>
          <w:color w:val="000000" w:themeColor="text1"/>
        </w:rPr>
        <w:t>When t</w:t>
      </w:r>
      <w:r w:rsidRPr="003C66A0">
        <w:rPr>
          <w:rFonts w:eastAsiaTheme="majorEastAsia"/>
          <w:color w:val="000000" w:themeColor="text1"/>
        </w:rPr>
        <w:t>racking 47 automation attempts reveals why this fails for most while succeeding brilliantly for few.</w:t>
      </w:r>
    </w:p>
    <w:p w14:paraId="641C5BD9" w14:textId="77777777" w:rsidR="0010086C" w:rsidRPr="003C66A0" w:rsidRDefault="0010086C" w:rsidP="00AE1DED">
      <w:pPr>
        <w:jc w:val="both"/>
        <w:rPr>
          <w:rFonts w:eastAsiaTheme="majorEastAsia"/>
          <w:b/>
          <w:bCs/>
          <w:color w:val="000000" w:themeColor="text1"/>
        </w:rPr>
      </w:pPr>
    </w:p>
    <w:p w14:paraId="2B1CD2A0" w14:textId="6AFF6D98" w:rsidR="0076579E" w:rsidRPr="00913601" w:rsidRDefault="0076579E" w:rsidP="00AE1DED">
      <w:pPr>
        <w:jc w:val="both"/>
        <w:rPr>
          <w:rFonts w:eastAsiaTheme="majorEastAsia"/>
          <w:color w:val="000000" w:themeColor="text1"/>
        </w:rPr>
      </w:pPr>
      <w:r w:rsidRPr="00913601">
        <w:rPr>
          <w:rFonts w:eastAsiaTheme="majorEastAsia"/>
          <w:color w:val="000000" w:themeColor="text1"/>
        </w:rPr>
        <w:t>Setup Requirements (</w:t>
      </w:r>
      <w:r w:rsidR="00CF0F13" w:rsidRPr="00913601">
        <w:rPr>
          <w:rFonts w:eastAsiaTheme="majorEastAsia"/>
          <w:color w:val="000000" w:themeColor="text1"/>
        </w:rPr>
        <w:t>b</w:t>
      </w:r>
      <w:r w:rsidR="00835B9C" w:rsidRPr="00913601">
        <w:rPr>
          <w:rFonts w:eastAsiaTheme="majorEastAsia"/>
          <w:color w:val="000000" w:themeColor="text1"/>
        </w:rPr>
        <w:t>ased on my tracked sample</w:t>
      </w:r>
      <w:r w:rsidRPr="00913601">
        <w:rPr>
          <w:rFonts w:eastAsiaTheme="majorEastAsia"/>
          <w:color w:val="000000" w:themeColor="text1"/>
        </w:rPr>
        <w:t>):</w:t>
      </w:r>
    </w:p>
    <w:p w14:paraId="0BC909F6" w14:textId="77777777" w:rsidR="0076579E" w:rsidRPr="003C66A0" w:rsidRDefault="0076579E" w:rsidP="00AE1DED">
      <w:pPr>
        <w:numPr>
          <w:ilvl w:val="0"/>
          <w:numId w:val="74"/>
        </w:numPr>
        <w:jc w:val="both"/>
        <w:rPr>
          <w:rFonts w:eastAsiaTheme="majorEastAsia"/>
          <w:color w:val="000000" w:themeColor="text1"/>
        </w:rPr>
      </w:pPr>
      <w:r w:rsidRPr="003C66A0">
        <w:rPr>
          <w:rFonts w:eastAsiaTheme="majorEastAsia"/>
          <w:color w:val="000000" w:themeColor="text1"/>
        </w:rPr>
        <w:t>Learning time: 40-60 hours</w:t>
      </w:r>
    </w:p>
    <w:p w14:paraId="3A8FE0EF" w14:textId="77777777" w:rsidR="0076579E" w:rsidRPr="003C66A0" w:rsidRDefault="0076579E" w:rsidP="00AE1DED">
      <w:pPr>
        <w:numPr>
          <w:ilvl w:val="0"/>
          <w:numId w:val="74"/>
        </w:numPr>
        <w:jc w:val="both"/>
        <w:rPr>
          <w:rFonts w:eastAsiaTheme="majorEastAsia"/>
          <w:color w:val="000000" w:themeColor="text1"/>
        </w:rPr>
      </w:pPr>
      <w:r w:rsidRPr="003C66A0">
        <w:rPr>
          <w:rFonts w:eastAsiaTheme="majorEastAsia"/>
          <w:color w:val="000000" w:themeColor="text1"/>
        </w:rPr>
        <w:t>Infrastructure costs: $50-200 monthly</w:t>
      </w:r>
    </w:p>
    <w:p w14:paraId="3CB4FE00" w14:textId="77777777" w:rsidR="0076579E" w:rsidRPr="003C66A0" w:rsidRDefault="0076579E" w:rsidP="00AE1DED">
      <w:pPr>
        <w:numPr>
          <w:ilvl w:val="0"/>
          <w:numId w:val="74"/>
        </w:numPr>
        <w:jc w:val="both"/>
        <w:rPr>
          <w:rFonts w:eastAsiaTheme="majorEastAsia"/>
          <w:color w:val="000000" w:themeColor="text1"/>
        </w:rPr>
      </w:pPr>
      <w:r w:rsidRPr="003C66A0">
        <w:rPr>
          <w:rFonts w:eastAsiaTheme="majorEastAsia"/>
          <w:color w:val="000000" w:themeColor="text1"/>
        </w:rPr>
        <w:t>Maintenance: 5-10 hours monthly</w:t>
      </w:r>
    </w:p>
    <w:p w14:paraId="54F9314E" w14:textId="77777777" w:rsidR="00AB62C4" w:rsidRPr="003C66A0" w:rsidRDefault="00AB62C4" w:rsidP="00AE1DED">
      <w:pPr>
        <w:jc w:val="both"/>
        <w:rPr>
          <w:rFonts w:eastAsiaTheme="majorEastAsia"/>
          <w:color w:val="000000" w:themeColor="text1"/>
        </w:rPr>
      </w:pPr>
    </w:p>
    <w:p w14:paraId="0681234A" w14:textId="045B19BE" w:rsidR="0076579E" w:rsidRPr="003C66A0" w:rsidRDefault="0076579E" w:rsidP="00AE1DED">
      <w:pPr>
        <w:jc w:val="both"/>
        <w:rPr>
          <w:rFonts w:eastAsiaTheme="majorEastAsia"/>
          <w:color w:val="000000" w:themeColor="text1"/>
        </w:rPr>
      </w:pPr>
      <w:r w:rsidRPr="003C66A0">
        <w:rPr>
          <w:rFonts w:eastAsiaTheme="majorEastAsia"/>
          <w:color w:val="000000" w:themeColor="text1"/>
        </w:rPr>
        <w:t xml:space="preserve">For $100,000 positions, these costs are trivial. For $5,000 positions, </w:t>
      </w:r>
      <w:r w:rsidR="002B5C3B" w:rsidRPr="003C66A0">
        <w:rPr>
          <w:rFonts w:eastAsiaTheme="majorEastAsia"/>
          <w:color w:val="000000" w:themeColor="text1"/>
        </w:rPr>
        <w:t>t</w:t>
      </w:r>
      <w:r w:rsidR="003527F8" w:rsidRPr="003C66A0">
        <w:rPr>
          <w:rFonts w:eastAsiaTheme="majorEastAsia"/>
          <w:color w:val="000000" w:themeColor="text1"/>
        </w:rPr>
        <w:t xml:space="preserve">hey are </w:t>
      </w:r>
      <w:r w:rsidR="002B5C3B" w:rsidRPr="003C66A0">
        <w:rPr>
          <w:rFonts w:eastAsiaTheme="majorEastAsia"/>
          <w:color w:val="000000" w:themeColor="text1"/>
        </w:rPr>
        <w:t xml:space="preserve">very </w:t>
      </w:r>
      <w:r w:rsidRPr="003C66A0">
        <w:rPr>
          <w:rFonts w:eastAsiaTheme="majorEastAsia"/>
          <w:color w:val="000000" w:themeColor="text1"/>
        </w:rPr>
        <w:t>prohibitive. But cost</w:t>
      </w:r>
      <w:r w:rsidR="00934AAA" w:rsidRPr="003C66A0">
        <w:rPr>
          <w:rFonts w:eastAsiaTheme="majorEastAsia"/>
          <w:color w:val="000000" w:themeColor="text1"/>
        </w:rPr>
        <w:t xml:space="preserve"> is not </w:t>
      </w:r>
      <w:r w:rsidRPr="003C66A0">
        <w:rPr>
          <w:rFonts w:eastAsiaTheme="majorEastAsia"/>
          <w:color w:val="000000" w:themeColor="text1"/>
        </w:rPr>
        <w:t>the main barrier</w:t>
      </w:r>
      <w:r w:rsidR="002B5C3B" w:rsidRPr="003C66A0">
        <w:rPr>
          <w:rFonts w:eastAsiaTheme="majorEastAsia"/>
          <w:color w:val="000000" w:themeColor="text1"/>
        </w:rPr>
        <w:t xml:space="preserve"> – it is the </w:t>
      </w:r>
      <w:r w:rsidRPr="003C66A0">
        <w:rPr>
          <w:rFonts w:eastAsiaTheme="majorEastAsia"/>
          <w:color w:val="000000" w:themeColor="text1"/>
        </w:rPr>
        <w:t xml:space="preserve">complexity </w:t>
      </w:r>
      <w:r w:rsidR="002B5C3B" w:rsidRPr="003C66A0">
        <w:rPr>
          <w:rFonts w:eastAsiaTheme="majorEastAsia"/>
          <w:color w:val="000000" w:themeColor="text1"/>
        </w:rPr>
        <w:t>that matters</w:t>
      </w:r>
      <w:r w:rsidRPr="003C66A0">
        <w:rPr>
          <w:rFonts w:eastAsiaTheme="majorEastAsia"/>
          <w:color w:val="000000" w:themeColor="text1"/>
        </w:rPr>
        <w:t>. Two-thirds of automation attempts failed within one month due to configuration errors</w:t>
      </w:r>
      <w:r w:rsidR="002B5C3B" w:rsidRPr="003C66A0">
        <w:rPr>
          <w:rFonts w:eastAsiaTheme="majorEastAsia"/>
          <w:color w:val="000000" w:themeColor="text1"/>
        </w:rPr>
        <w:t xml:space="preserve">. </w:t>
      </w:r>
    </w:p>
    <w:p w14:paraId="58901C89" w14:textId="77777777" w:rsidR="00AB62C4" w:rsidRPr="003C66A0" w:rsidRDefault="00AB62C4" w:rsidP="00AE1DED">
      <w:pPr>
        <w:jc w:val="both"/>
        <w:rPr>
          <w:rFonts w:eastAsiaTheme="majorEastAsia"/>
          <w:color w:val="000000" w:themeColor="text1"/>
        </w:rPr>
      </w:pPr>
    </w:p>
    <w:p w14:paraId="233386D5" w14:textId="76E55F90" w:rsidR="0076579E" w:rsidRPr="003C66A0" w:rsidRDefault="0076579E" w:rsidP="00AE1DED">
      <w:pPr>
        <w:jc w:val="both"/>
        <w:rPr>
          <w:rFonts w:eastAsiaTheme="majorEastAsia"/>
          <w:color w:val="000000" w:themeColor="text1"/>
        </w:rPr>
      </w:pPr>
      <w:r w:rsidRPr="003C66A0">
        <w:rPr>
          <w:rFonts w:eastAsiaTheme="majorEastAsia"/>
          <w:color w:val="000000" w:themeColor="text1"/>
        </w:rPr>
        <w:t>Six participants who succeeded with automation transformed their experience:</w:t>
      </w:r>
    </w:p>
    <w:p w14:paraId="0AC84EA8" w14:textId="77777777" w:rsidR="0076579E" w:rsidRPr="003C66A0" w:rsidRDefault="0076579E" w:rsidP="00AE1DED">
      <w:pPr>
        <w:numPr>
          <w:ilvl w:val="0"/>
          <w:numId w:val="75"/>
        </w:numPr>
        <w:jc w:val="both"/>
        <w:rPr>
          <w:rFonts w:eastAsiaTheme="majorEastAsia"/>
          <w:color w:val="000000" w:themeColor="text1"/>
        </w:rPr>
      </w:pPr>
      <w:r w:rsidRPr="003C66A0">
        <w:rPr>
          <w:rFonts w:eastAsiaTheme="majorEastAsia"/>
          <w:color w:val="000000" w:themeColor="text1"/>
        </w:rPr>
        <w:t>Returns improved from 7% to 12% annually</w:t>
      </w:r>
    </w:p>
    <w:p w14:paraId="417E3C20" w14:textId="77777777" w:rsidR="0076579E" w:rsidRPr="003C66A0" w:rsidRDefault="0076579E" w:rsidP="00AE1DED">
      <w:pPr>
        <w:numPr>
          <w:ilvl w:val="0"/>
          <w:numId w:val="75"/>
        </w:numPr>
        <w:jc w:val="both"/>
        <w:rPr>
          <w:rFonts w:eastAsiaTheme="majorEastAsia"/>
          <w:color w:val="000000" w:themeColor="text1"/>
        </w:rPr>
      </w:pPr>
      <w:r w:rsidRPr="003C66A0">
        <w:rPr>
          <w:rFonts w:eastAsiaTheme="majorEastAsia"/>
          <w:color w:val="000000" w:themeColor="text1"/>
        </w:rPr>
        <w:t>Consistency increased (lower volatility)</w:t>
      </w:r>
    </w:p>
    <w:p w14:paraId="22D58133" w14:textId="77777777" w:rsidR="0076579E" w:rsidRPr="003C66A0" w:rsidRDefault="0076579E" w:rsidP="00AE1DED">
      <w:pPr>
        <w:numPr>
          <w:ilvl w:val="0"/>
          <w:numId w:val="75"/>
        </w:numPr>
        <w:jc w:val="both"/>
        <w:rPr>
          <w:rFonts w:eastAsiaTheme="majorEastAsia"/>
          <w:color w:val="000000" w:themeColor="text1"/>
        </w:rPr>
      </w:pPr>
      <w:r w:rsidRPr="003C66A0">
        <w:rPr>
          <w:rFonts w:eastAsiaTheme="majorEastAsia"/>
          <w:color w:val="000000" w:themeColor="text1"/>
        </w:rPr>
        <w:t>Stress decreased (systematic rather than emotional decisions)</w:t>
      </w:r>
    </w:p>
    <w:p w14:paraId="3C42EDEE" w14:textId="77777777" w:rsidR="00AB62C4" w:rsidRPr="003C66A0" w:rsidRDefault="00AB62C4" w:rsidP="00AE1DED">
      <w:pPr>
        <w:jc w:val="both"/>
        <w:rPr>
          <w:rFonts w:eastAsiaTheme="majorEastAsia"/>
          <w:color w:val="000000" w:themeColor="text1"/>
        </w:rPr>
      </w:pPr>
    </w:p>
    <w:p w14:paraId="73CA58BE" w14:textId="5A75717C" w:rsidR="0076579E" w:rsidRPr="003C66A0" w:rsidRDefault="0076579E" w:rsidP="00AE1DED">
      <w:pPr>
        <w:jc w:val="both"/>
        <w:rPr>
          <w:rFonts w:eastAsiaTheme="majorEastAsia"/>
          <w:color w:val="000000" w:themeColor="text1"/>
        </w:rPr>
      </w:pPr>
      <w:r w:rsidRPr="003C66A0">
        <w:rPr>
          <w:rFonts w:eastAsiaTheme="majorEastAsia"/>
          <w:color w:val="000000" w:themeColor="text1"/>
        </w:rPr>
        <w:t xml:space="preserve">These successful </w:t>
      </w:r>
      <w:r w:rsidR="00863E4F" w:rsidRPr="003C66A0">
        <w:rPr>
          <w:rFonts w:eastAsiaTheme="majorEastAsia"/>
          <w:color w:val="000000" w:themeColor="text1"/>
        </w:rPr>
        <w:t>automatons</w:t>
      </w:r>
      <w:r w:rsidRPr="003C66A0">
        <w:rPr>
          <w:rFonts w:eastAsiaTheme="majorEastAsia"/>
          <w:color w:val="000000" w:themeColor="text1"/>
        </w:rPr>
        <w:t xml:space="preserve"> shared </w:t>
      </w:r>
      <w:r w:rsidR="00863E4F" w:rsidRPr="003C66A0">
        <w:rPr>
          <w:rFonts w:eastAsiaTheme="majorEastAsia"/>
          <w:color w:val="000000" w:themeColor="text1"/>
        </w:rPr>
        <w:t xml:space="preserve">the following </w:t>
      </w:r>
      <w:r w:rsidRPr="003C66A0">
        <w:rPr>
          <w:rFonts w:eastAsiaTheme="majorEastAsia"/>
          <w:color w:val="000000" w:themeColor="text1"/>
        </w:rPr>
        <w:t>characteristics:</w:t>
      </w:r>
    </w:p>
    <w:p w14:paraId="34BB5B59" w14:textId="77777777" w:rsidR="0076579E" w:rsidRPr="003C66A0" w:rsidRDefault="0076579E" w:rsidP="00AE1DED">
      <w:pPr>
        <w:numPr>
          <w:ilvl w:val="0"/>
          <w:numId w:val="76"/>
        </w:numPr>
        <w:jc w:val="both"/>
        <w:rPr>
          <w:rFonts w:eastAsiaTheme="majorEastAsia"/>
          <w:color w:val="000000" w:themeColor="text1"/>
        </w:rPr>
      </w:pPr>
      <w:r w:rsidRPr="003C66A0">
        <w:rPr>
          <w:rFonts w:eastAsiaTheme="majorEastAsia"/>
          <w:color w:val="000000" w:themeColor="text1"/>
        </w:rPr>
        <w:t>Prior programming experience</w:t>
      </w:r>
    </w:p>
    <w:p w14:paraId="301A1DA5" w14:textId="77777777" w:rsidR="00C4082A" w:rsidRPr="003C66A0" w:rsidRDefault="0076579E" w:rsidP="00AE1DED">
      <w:pPr>
        <w:numPr>
          <w:ilvl w:val="0"/>
          <w:numId w:val="76"/>
        </w:numPr>
        <w:jc w:val="both"/>
        <w:rPr>
          <w:rFonts w:eastAsiaTheme="majorEastAsia"/>
          <w:color w:val="000000" w:themeColor="text1"/>
        </w:rPr>
      </w:pPr>
      <w:r w:rsidRPr="003C66A0">
        <w:rPr>
          <w:rFonts w:eastAsiaTheme="majorEastAsia"/>
          <w:color w:val="000000" w:themeColor="text1"/>
        </w:rPr>
        <w:t>60+ hours initial investment</w:t>
      </w:r>
    </w:p>
    <w:p w14:paraId="209DF0C6" w14:textId="6382E864" w:rsidR="00C4082A" w:rsidRPr="003C66A0" w:rsidRDefault="00C4082A" w:rsidP="00AE1DED">
      <w:pPr>
        <w:numPr>
          <w:ilvl w:val="0"/>
          <w:numId w:val="76"/>
        </w:numPr>
        <w:jc w:val="both"/>
        <w:rPr>
          <w:rFonts w:eastAsiaTheme="majorEastAsia"/>
          <w:color w:val="000000" w:themeColor="text1"/>
        </w:rPr>
      </w:pPr>
      <w:r w:rsidRPr="003C66A0">
        <w:rPr>
          <w:rFonts w:eastAsiaTheme="majorEastAsia"/>
          <w:color w:val="000000" w:themeColor="text1"/>
        </w:rPr>
        <w:t>Capital above network viability thresholds providing room for mistakes</w:t>
      </w:r>
    </w:p>
    <w:p w14:paraId="3C9E9B98" w14:textId="77777777" w:rsidR="00AB62C4" w:rsidRPr="003C66A0" w:rsidRDefault="00AB62C4" w:rsidP="00AE1DED">
      <w:pPr>
        <w:jc w:val="both"/>
        <w:rPr>
          <w:rFonts w:eastAsiaTheme="majorEastAsia"/>
          <w:color w:val="000000" w:themeColor="text1"/>
        </w:rPr>
      </w:pPr>
    </w:p>
    <w:p w14:paraId="0454B06B" w14:textId="4ECE20DE" w:rsidR="0076579E" w:rsidRPr="003C66A0" w:rsidRDefault="0076579E" w:rsidP="00AE1DED">
      <w:pPr>
        <w:jc w:val="both"/>
        <w:rPr>
          <w:rFonts w:eastAsiaTheme="majorEastAsia"/>
          <w:color w:val="000000" w:themeColor="text1"/>
        </w:rPr>
      </w:pPr>
      <w:r w:rsidRPr="003C66A0">
        <w:rPr>
          <w:rFonts w:eastAsiaTheme="majorEastAsia"/>
          <w:color w:val="000000" w:themeColor="text1"/>
        </w:rPr>
        <w:t xml:space="preserve">This </w:t>
      </w:r>
      <w:r w:rsidR="00515E94" w:rsidRPr="003C66A0">
        <w:rPr>
          <w:rFonts w:eastAsiaTheme="majorEastAsia"/>
          <w:color w:val="000000" w:themeColor="text1"/>
        </w:rPr>
        <w:t xml:space="preserve">all </w:t>
      </w:r>
      <w:r w:rsidRPr="003C66A0">
        <w:rPr>
          <w:rFonts w:eastAsiaTheme="majorEastAsia"/>
          <w:color w:val="000000" w:themeColor="text1"/>
        </w:rPr>
        <w:t>aligns with skill-biased technical change theory</w:t>
      </w:r>
      <w:r w:rsidR="00515E94" w:rsidRPr="003C66A0">
        <w:rPr>
          <w:rFonts w:eastAsiaTheme="majorEastAsia"/>
          <w:color w:val="000000" w:themeColor="text1"/>
        </w:rPr>
        <w:t xml:space="preserve">: </w:t>
      </w:r>
      <w:r w:rsidRPr="003C66A0">
        <w:rPr>
          <w:rFonts w:eastAsiaTheme="majorEastAsia"/>
          <w:color w:val="000000" w:themeColor="text1"/>
        </w:rPr>
        <w:t>technology amplifies advantages of already-skilled participants (Acemoglu &amp; Autor, 2011).</w:t>
      </w:r>
    </w:p>
    <w:p w14:paraId="291E8215" w14:textId="77777777" w:rsidR="0010086C" w:rsidRPr="003C66A0" w:rsidRDefault="0010086C" w:rsidP="00AE1DED">
      <w:pPr>
        <w:jc w:val="both"/>
        <w:rPr>
          <w:rFonts w:eastAsiaTheme="majorEastAsia"/>
          <w:b/>
          <w:bCs/>
          <w:color w:val="000000" w:themeColor="text1"/>
        </w:rPr>
      </w:pPr>
    </w:p>
    <w:p w14:paraId="4000BD95" w14:textId="44340109" w:rsidR="0076579E" w:rsidRPr="003C66A0" w:rsidRDefault="008D6F57" w:rsidP="00AE1DED">
      <w:pPr>
        <w:pStyle w:val="Heading2"/>
        <w:jc w:val="both"/>
        <w:rPr>
          <w:rFonts w:eastAsiaTheme="majorEastAsia"/>
        </w:rPr>
      </w:pPr>
      <w:bookmarkStart w:id="219" w:name="_Toc214722025"/>
      <w:r w:rsidRPr="003C66A0">
        <w:rPr>
          <w:rFonts w:eastAsiaTheme="majorEastAsia"/>
        </w:rPr>
        <w:t>10</w:t>
      </w:r>
      <w:r w:rsidR="0076579E" w:rsidRPr="003C66A0">
        <w:rPr>
          <w:rFonts w:eastAsiaTheme="majorEastAsia"/>
        </w:rPr>
        <w:t>.5 Multi-Strategy Implementation: Diversification or Dilution?</w:t>
      </w:r>
      <w:bookmarkEnd w:id="219"/>
    </w:p>
    <w:p w14:paraId="7775C642" w14:textId="2B2AEDEC" w:rsidR="0076579E" w:rsidRPr="003C66A0" w:rsidRDefault="0076579E" w:rsidP="00AE1DED">
      <w:pPr>
        <w:jc w:val="both"/>
        <w:rPr>
          <w:rFonts w:eastAsiaTheme="majorEastAsia"/>
          <w:color w:val="000000" w:themeColor="text1"/>
        </w:rPr>
      </w:pPr>
      <w:r w:rsidRPr="003C66A0">
        <w:rPr>
          <w:rFonts w:eastAsiaTheme="majorEastAsia"/>
          <w:color w:val="000000" w:themeColor="text1"/>
        </w:rPr>
        <w:t xml:space="preserve">Traditional portfolio theory advocates </w:t>
      </w:r>
      <w:proofErr w:type="gramStart"/>
      <w:r w:rsidR="00515E94" w:rsidRPr="003C66A0">
        <w:rPr>
          <w:rFonts w:eastAsiaTheme="majorEastAsia"/>
          <w:color w:val="000000" w:themeColor="text1"/>
        </w:rPr>
        <w:t xml:space="preserve">the </w:t>
      </w:r>
      <w:r w:rsidRPr="003C66A0">
        <w:rPr>
          <w:rFonts w:eastAsiaTheme="majorEastAsia"/>
          <w:color w:val="000000" w:themeColor="text1"/>
        </w:rPr>
        <w:t>diversification</w:t>
      </w:r>
      <w:proofErr w:type="gramEnd"/>
      <w:r w:rsidRPr="003C66A0">
        <w:rPr>
          <w:rFonts w:eastAsiaTheme="majorEastAsia"/>
          <w:color w:val="000000" w:themeColor="text1"/>
        </w:rPr>
        <w:t xml:space="preserve"> to reduce risk without proportionally reducing returns (Markowitz, 1952). </w:t>
      </w:r>
      <w:r w:rsidR="00C144BA" w:rsidRPr="003C66A0">
        <w:rPr>
          <w:rFonts w:eastAsiaTheme="majorEastAsia"/>
          <w:color w:val="000000" w:themeColor="text1"/>
        </w:rPr>
        <w:t>However,</w:t>
      </w:r>
      <w:r w:rsidR="00515E94" w:rsidRPr="003C66A0">
        <w:rPr>
          <w:rFonts w:eastAsiaTheme="majorEastAsia"/>
          <w:color w:val="000000" w:themeColor="text1"/>
        </w:rPr>
        <w:t xml:space="preserve"> </w:t>
      </w:r>
      <w:r w:rsidR="000D4EB8">
        <w:rPr>
          <w:rFonts w:eastAsiaTheme="majorEastAsia"/>
          <w:color w:val="000000" w:themeColor="text1"/>
        </w:rPr>
        <w:t>the analyzed</w:t>
      </w:r>
      <w:r w:rsidR="00231D5B" w:rsidRPr="003C66A0">
        <w:rPr>
          <w:rFonts w:eastAsiaTheme="majorEastAsia"/>
          <w:color w:val="000000" w:themeColor="text1"/>
        </w:rPr>
        <w:t xml:space="preserve"> </w:t>
      </w:r>
      <w:r w:rsidRPr="003C66A0">
        <w:rPr>
          <w:rFonts w:eastAsiaTheme="majorEastAsia"/>
          <w:color w:val="000000" w:themeColor="text1"/>
        </w:rPr>
        <w:t>DeFi data contradicts this:</w:t>
      </w:r>
    </w:p>
    <w:p w14:paraId="1C0FC9C5" w14:textId="77777777" w:rsidR="0010086C" w:rsidRPr="003C66A0" w:rsidRDefault="0010086C" w:rsidP="00AE1DED">
      <w:pPr>
        <w:jc w:val="both"/>
        <w:rPr>
          <w:rFonts w:eastAsiaTheme="majorEastAsia"/>
          <w:b/>
          <w:bCs/>
          <w:color w:val="000000" w:themeColor="text1"/>
        </w:rPr>
      </w:pPr>
    </w:p>
    <w:p w14:paraId="018809F3" w14:textId="12713520" w:rsidR="0076579E" w:rsidRPr="003C66A0" w:rsidRDefault="0076579E" w:rsidP="00AE1DED">
      <w:pPr>
        <w:jc w:val="both"/>
        <w:rPr>
          <w:rFonts w:eastAsiaTheme="majorEastAsia"/>
          <w:color w:val="000000" w:themeColor="text1"/>
        </w:rPr>
      </w:pPr>
      <w:r w:rsidRPr="003C66A0">
        <w:rPr>
          <w:rFonts w:eastAsiaTheme="majorEastAsia"/>
          <w:b/>
          <w:bCs/>
          <w:color w:val="000000" w:themeColor="text1"/>
        </w:rPr>
        <w:t>Strategy Concentration and Returns (</w:t>
      </w:r>
      <w:r w:rsidR="00CF0F13" w:rsidRPr="003C66A0">
        <w:rPr>
          <w:rFonts w:eastAsiaTheme="majorEastAsia"/>
          <w:b/>
          <w:bCs/>
          <w:color w:val="000000" w:themeColor="text1"/>
        </w:rPr>
        <w:t>b</w:t>
      </w:r>
      <w:r w:rsidR="00835B9C" w:rsidRPr="003C66A0">
        <w:rPr>
          <w:rFonts w:eastAsiaTheme="majorEastAsia"/>
          <w:b/>
          <w:bCs/>
          <w:color w:val="000000" w:themeColor="text1"/>
        </w:rPr>
        <w:t>ased on my tracked sample</w:t>
      </w:r>
      <w:r w:rsidRPr="003C66A0">
        <w:rPr>
          <w:rFonts w:eastAsiaTheme="majorEastAsia"/>
          <w:b/>
          <w:bCs/>
          <w:color w:val="000000" w:themeColor="text1"/>
        </w:rPr>
        <w:t>):</w:t>
      </w:r>
    </w:p>
    <w:p w14:paraId="5AF2720A" w14:textId="77777777" w:rsidR="0076579E" w:rsidRPr="003C66A0" w:rsidRDefault="0076579E" w:rsidP="00AE1DED">
      <w:pPr>
        <w:numPr>
          <w:ilvl w:val="0"/>
          <w:numId w:val="77"/>
        </w:numPr>
        <w:jc w:val="both"/>
        <w:rPr>
          <w:rFonts w:eastAsiaTheme="majorEastAsia"/>
          <w:color w:val="000000" w:themeColor="text1"/>
        </w:rPr>
      </w:pPr>
      <w:r w:rsidRPr="003C66A0">
        <w:rPr>
          <w:rFonts w:eastAsiaTheme="majorEastAsia"/>
          <w:color w:val="000000" w:themeColor="text1"/>
        </w:rPr>
        <w:t>Single strategy: 7.3% average returns</w:t>
      </w:r>
    </w:p>
    <w:p w14:paraId="220DBD68" w14:textId="77777777" w:rsidR="0076579E" w:rsidRPr="003C66A0" w:rsidRDefault="0076579E" w:rsidP="00AE1DED">
      <w:pPr>
        <w:numPr>
          <w:ilvl w:val="0"/>
          <w:numId w:val="77"/>
        </w:numPr>
        <w:jc w:val="both"/>
        <w:rPr>
          <w:rFonts w:eastAsiaTheme="majorEastAsia"/>
          <w:color w:val="000000" w:themeColor="text1"/>
        </w:rPr>
      </w:pPr>
      <w:r w:rsidRPr="003C66A0">
        <w:rPr>
          <w:rFonts w:eastAsiaTheme="majorEastAsia"/>
          <w:color w:val="000000" w:themeColor="text1"/>
        </w:rPr>
        <w:t>Multi-strategy: 2.1%</w:t>
      </w:r>
    </w:p>
    <w:p w14:paraId="04280093" w14:textId="77777777" w:rsidR="0076579E" w:rsidRPr="003C66A0" w:rsidRDefault="0076579E" w:rsidP="00AE1DED">
      <w:pPr>
        <w:numPr>
          <w:ilvl w:val="0"/>
          <w:numId w:val="77"/>
        </w:numPr>
        <w:jc w:val="both"/>
        <w:rPr>
          <w:rFonts w:eastAsiaTheme="majorEastAsia"/>
          <w:color w:val="000000" w:themeColor="text1"/>
        </w:rPr>
      </w:pPr>
      <w:r w:rsidRPr="003C66A0">
        <w:rPr>
          <w:rFonts w:eastAsiaTheme="majorEastAsia"/>
          <w:color w:val="000000" w:themeColor="text1"/>
        </w:rPr>
        <w:t>Random allocation: 4.2%</w:t>
      </w:r>
    </w:p>
    <w:p w14:paraId="65E6EF2E" w14:textId="77777777" w:rsidR="0010086C" w:rsidRPr="003C66A0" w:rsidRDefault="0010086C" w:rsidP="00AE1DED">
      <w:pPr>
        <w:jc w:val="both"/>
        <w:rPr>
          <w:rFonts w:eastAsiaTheme="majorEastAsia"/>
          <w:color w:val="000000" w:themeColor="text1"/>
        </w:rPr>
      </w:pPr>
    </w:p>
    <w:p w14:paraId="7A006B04" w14:textId="11974E0E" w:rsidR="003C53C9" w:rsidRPr="007E0B20" w:rsidRDefault="003C53C9" w:rsidP="00AE1DED">
      <w:pPr>
        <w:jc w:val="both"/>
        <w:rPr>
          <w:rFonts w:eastAsiaTheme="majorEastAsia"/>
          <w:color w:val="000000" w:themeColor="text1"/>
        </w:rPr>
      </w:pPr>
      <w:r w:rsidRPr="007E0B20">
        <w:rPr>
          <w:rFonts w:eastAsiaTheme="majorEastAsia"/>
          <w:color w:val="000000" w:themeColor="text1"/>
        </w:rPr>
        <w:t>The finding that multi-strategy approaches underperforme</w:t>
      </w:r>
      <w:r w:rsidR="008F056E" w:rsidRPr="007E0B20">
        <w:rPr>
          <w:rFonts w:eastAsiaTheme="majorEastAsia"/>
          <w:color w:val="000000" w:themeColor="text1"/>
        </w:rPr>
        <w:t xml:space="preserve">d for </w:t>
      </w:r>
      <w:r w:rsidRPr="007E0B20">
        <w:rPr>
          <w:rFonts w:eastAsiaTheme="majorEastAsia"/>
          <w:color w:val="000000" w:themeColor="text1"/>
        </w:rPr>
        <w:t>random allocation</w:t>
      </w:r>
      <w:r w:rsidR="008F056E" w:rsidRPr="007E0B20">
        <w:rPr>
          <w:rFonts w:eastAsiaTheme="majorEastAsia"/>
          <w:color w:val="000000" w:themeColor="text1"/>
        </w:rPr>
        <w:t>,</w:t>
      </w:r>
      <w:r w:rsidRPr="007E0B20">
        <w:rPr>
          <w:rFonts w:eastAsiaTheme="majorEastAsia"/>
          <w:color w:val="000000" w:themeColor="text1"/>
        </w:rPr>
        <w:t xml:space="preserve"> appears paradoxical but </w:t>
      </w:r>
      <w:r w:rsidR="008F056E" w:rsidRPr="007E0B20">
        <w:rPr>
          <w:rFonts w:eastAsiaTheme="majorEastAsia"/>
          <w:color w:val="000000" w:themeColor="text1"/>
        </w:rPr>
        <w:t>is derived</w:t>
      </w:r>
      <w:r w:rsidRPr="007E0B20">
        <w:rPr>
          <w:rFonts w:eastAsiaTheme="majorEastAsia"/>
          <w:color w:val="000000" w:themeColor="text1"/>
        </w:rPr>
        <w:t xml:space="preserve"> from three specific mechanisms documented </w:t>
      </w:r>
      <w:r w:rsidR="008F056E" w:rsidRPr="007E0B20">
        <w:rPr>
          <w:rFonts w:eastAsiaTheme="majorEastAsia"/>
          <w:color w:val="000000" w:themeColor="text1"/>
        </w:rPr>
        <w:t>below:</w:t>
      </w:r>
    </w:p>
    <w:p w14:paraId="7D166818" w14:textId="77777777" w:rsidR="003C53C9" w:rsidRPr="007E0B20" w:rsidRDefault="003C53C9" w:rsidP="00AE1DED">
      <w:pPr>
        <w:jc w:val="both"/>
        <w:rPr>
          <w:rFonts w:eastAsiaTheme="majorEastAsia"/>
          <w:color w:val="000000" w:themeColor="text1"/>
        </w:rPr>
      </w:pPr>
    </w:p>
    <w:p w14:paraId="5FA45348" w14:textId="1DB8EC86" w:rsidR="003C53C9" w:rsidRPr="007E0B20" w:rsidRDefault="003C53C9" w:rsidP="00AE1DED">
      <w:pPr>
        <w:jc w:val="both"/>
        <w:rPr>
          <w:rFonts w:eastAsiaTheme="majorEastAsia"/>
          <w:color w:val="000000" w:themeColor="text1"/>
        </w:rPr>
      </w:pPr>
      <w:r w:rsidRPr="007E0B20">
        <w:rPr>
          <w:rFonts w:eastAsiaTheme="majorEastAsia"/>
          <w:b/>
          <w:bCs/>
          <w:color w:val="000000" w:themeColor="text1"/>
        </w:rPr>
        <w:t>Mechanism 1: Dilution of Expertise</w:t>
      </w:r>
      <w:r w:rsidRPr="007E0B20">
        <w:rPr>
          <w:rFonts w:eastAsiaTheme="majorEastAsia"/>
          <w:color w:val="000000" w:themeColor="text1"/>
        </w:rPr>
        <w:t xml:space="preserve"> (accounts for ~45% of underperformance)</w:t>
      </w:r>
    </w:p>
    <w:p w14:paraId="3E1BE705" w14:textId="77777777" w:rsidR="003C53C9" w:rsidRPr="007E0B20" w:rsidRDefault="003C53C9" w:rsidP="00AE1DED">
      <w:pPr>
        <w:jc w:val="both"/>
        <w:rPr>
          <w:rFonts w:eastAsiaTheme="majorEastAsia"/>
          <w:color w:val="000000" w:themeColor="text1"/>
        </w:rPr>
      </w:pPr>
    </w:p>
    <w:p w14:paraId="4F7A79F1" w14:textId="1ADD0AED" w:rsidR="003C53C9" w:rsidRPr="007E0B20" w:rsidRDefault="003C53C9" w:rsidP="00AE1DED">
      <w:pPr>
        <w:jc w:val="both"/>
        <w:rPr>
          <w:rFonts w:eastAsiaTheme="majorEastAsia"/>
          <w:color w:val="000000" w:themeColor="text1"/>
        </w:rPr>
      </w:pPr>
      <w:r w:rsidRPr="007E0B20">
        <w:rPr>
          <w:rFonts w:eastAsiaTheme="majorEastAsia"/>
          <w:color w:val="000000" w:themeColor="text1"/>
        </w:rPr>
        <w:t xml:space="preserve">Participants attempting </w:t>
      </w:r>
      <w:r w:rsidR="008F056E" w:rsidRPr="007E0B20">
        <w:rPr>
          <w:rFonts w:eastAsiaTheme="majorEastAsia"/>
          <w:color w:val="000000" w:themeColor="text1"/>
        </w:rPr>
        <w:t xml:space="preserve">to implement </w:t>
      </w:r>
      <w:r w:rsidRPr="007E0B20">
        <w:rPr>
          <w:rFonts w:eastAsiaTheme="majorEastAsia"/>
          <w:color w:val="000000" w:themeColor="text1"/>
        </w:rPr>
        <w:t xml:space="preserve">multiple strategies simultaneously split </w:t>
      </w:r>
      <w:r w:rsidR="008F056E" w:rsidRPr="007E0B20">
        <w:rPr>
          <w:rFonts w:eastAsiaTheme="majorEastAsia"/>
          <w:color w:val="000000" w:themeColor="text1"/>
        </w:rPr>
        <w:t xml:space="preserve">their </w:t>
      </w:r>
      <w:r w:rsidRPr="007E0B20">
        <w:rPr>
          <w:rFonts w:eastAsiaTheme="majorEastAsia"/>
          <w:color w:val="000000" w:themeColor="text1"/>
        </w:rPr>
        <w:t xml:space="preserve">attention across incompatible knowledge domains. </w:t>
      </w:r>
      <w:r w:rsidR="008F056E" w:rsidRPr="007E0B20">
        <w:rPr>
          <w:rFonts w:eastAsiaTheme="majorEastAsia"/>
          <w:color w:val="000000" w:themeColor="text1"/>
        </w:rPr>
        <w:t>During the i</w:t>
      </w:r>
      <w:r w:rsidRPr="007E0B20">
        <w:rPr>
          <w:rFonts w:eastAsiaTheme="majorEastAsia"/>
          <w:color w:val="000000" w:themeColor="text1"/>
        </w:rPr>
        <w:t>nterview</w:t>
      </w:r>
      <w:r w:rsidR="008F056E" w:rsidRPr="007E0B20">
        <w:rPr>
          <w:rFonts w:eastAsiaTheme="majorEastAsia"/>
          <w:color w:val="000000" w:themeColor="text1"/>
        </w:rPr>
        <w:t>s</w:t>
      </w:r>
      <w:r w:rsidRPr="007E0B20">
        <w:rPr>
          <w:rFonts w:eastAsiaTheme="majorEastAsia"/>
          <w:color w:val="000000" w:themeColor="text1"/>
        </w:rPr>
        <w:t xml:space="preserve"> </w:t>
      </w:r>
      <w:r w:rsidR="008F056E" w:rsidRPr="007E0B20">
        <w:rPr>
          <w:rFonts w:eastAsiaTheme="majorEastAsia"/>
          <w:color w:val="000000" w:themeColor="text1"/>
        </w:rPr>
        <w:t>the following insight was revealed</w:t>
      </w:r>
      <w:r w:rsidRPr="007E0B20">
        <w:rPr>
          <w:rFonts w:eastAsiaTheme="majorEastAsia"/>
          <w:color w:val="000000" w:themeColor="text1"/>
        </w:rPr>
        <w:t>:</w:t>
      </w:r>
    </w:p>
    <w:p w14:paraId="28A4E533" w14:textId="77777777" w:rsidR="003C53C9" w:rsidRPr="007E0B20" w:rsidRDefault="003C53C9" w:rsidP="00AE1DED">
      <w:pPr>
        <w:jc w:val="both"/>
        <w:rPr>
          <w:rFonts w:eastAsiaTheme="majorEastAsia"/>
          <w:color w:val="000000" w:themeColor="text1"/>
        </w:rPr>
      </w:pPr>
    </w:p>
    <w:p w14:paraId="58F9966A" w14:textId="77777777" w:rsidR="003C53C9" w:rsidRPr="007E0B20" w:rsidRDefault="003C53C9" w:rsidP="00AE1DED">
      <w:pPr>
        <w:jc w:val="both"/>
        <w:rPr>
          <w:rFonts w:eastAsiaTheme="majorEastAsia"/>
          <w:color w:val="000000" w:themeColor="text1"/>
        </w:rPr>
      </w:pPr>
      <w:r w:rsidRPr="007E0B20">
        <w:rPr>
          <w:rFonts w:eastAsiaTheme="majorEastAsia"/>
          <w:color w:val="000000" w:themeColor="text1"/>
        </w:rPr>
        <w:t>"I was trying to run stablecoin LP on Curve, concentrated liquidity on Uniswap v3, and yield farming on a new protocol. Each required completely different monitoring—Curve needed weekly checks, Uniswap v3 needed daily range management, and yield farming needed constant vigilance for rug pulls. I ended up doing all three poorly instead of one well." (Participant P-14, $18,000 deployed)</w:t>
      </w:r>
    </w:p>
    <w:p w14:paraId="7A0C45E2" w14:textId="77777777" w:rsidR="003C53C9" w:rsidRPr="007E0B20" w:rsidRDefault="003C53C9" w:rsidP="00AE1DED">
      <w:pPr>
        <w:jc w:val="both"/>
        <w:rPr>
          <w:rFonts w:eastAsiaTheme="majorEastAsia"/>
          <w:color w:val="000000" w:themeColor="text1"/>
        </w:rPr>
      </w:pPr>
    </w:p>
    <w:p w14:paraId="43E1E616" w14:textId="77777777" w:rsidR="003C53C9" w:rsidRPr="007E0B20" w:rsidRDefault="003C53C9" w:rsidP="00AE1DED">
      <w:pPr>
        <w:jc w:val="both"/>
        <w:rPr>
          <w:rFonts w:eastAsiaTheme="majorEastAsia"/>
          <w:color w:val="000000" w:themeColor="text1"/>
        </w:rPr>
      </w:pPr>
      <w:r w:rsidRPr="007E0B20">
        <w:rPr>
          <w:rFonts w:eastAsiaTheme="majorEastAsia"/>
          <w:color w:val="000000" w:themeColor="text1"/>
        </w:rPr>
        <w:t>Quantitatively, participants attempting 3+ strategies spent median 19.2 hours weekly on management yet achieved worse execution quality metrics:</w:t>
      </w:r>
    </w:p>
    <w:p w14:paraId="4C44C4EA" w14:textId="27838290" w:rsidR="003C53C9" w:rsidRPr="007E0B20" w:rsidRDefault="003C53C9" w:rsidP="00AE1DED">
      <w:pPr>
        <w:pStyle w:val="ListParagraph"/>
        <w:numPr>
          <w:ilvl w:val="0"/>
          <w:numId w:val="177"/>
        </w:numPr>
        <w:jc w:val="both"/>
        <w:rPr>
          <w:rFonts w:eastAsiaTheme="majorEastAsia"/>
          <w:color w:val="000000" w:themeColor="text1"/>
        </w:rPr>
      </w:pPr>
      <w:r w:rsidRPr="007E0B20">
        <w:rPr>
          <w:rFonts w:eastAsiaTheme="majorEastAsia"/>
          <w:color w:val="000000" w:themeColor="text1"/>
        </w:rPr>
        <w:t>Rebalancing timing accuracy: 34% optimal vs. 67% for focused single-strategy participants</w:t>
      </w:r>
    </w:p>
    <w:p w14:paraId="05432691" w14:textId="7C26954A" w:rsidR="003C53C9" w:rsidRPr="007E0B20" w:rsidRDefault="003C53C9" w:rsidP="00AE1DED">
      <w:pPr>
        <w:pStyle w:val="ListParagraph"/>
        <w:numPr>
          <w:ilvl w:val="0"/>
          <w:numId w:val="177"/>
        </w:numPr>
        <w:jc w:val="both"/>
        <w:rPr>
          <w:rFonts w:eastAsiaTheme="majorEastAsia"/>
          <w:color w:val="000000" w:themeColor="text1"/>
        </w:rPr>
      </w:pPr>
      <w:r w:rsidRPr="007E0B20">
        <w:rPr>
          <w:rFonts w:eastAsiaTheme="majorEastAsia"/>
          <w:color w:val="000000" w:themeColor="text1"/>
        </w:rPr>
        <w:t xml:space="preserve">Gas optimization: 18% cost savings vs. 31% for </w:t>
      </w:r>
      <w:proofErr w:type="gramStart"/>
      <w:r w:rsidRPr="007E0B20">
        <w:rPr>
          <w:rFonts w:eastAsiaTheme="majorEastAsia"/>
          <w:color w:val="000000" w:themeColor="text1"/>
        </w:rPr>
        <w:t>single-strategy</w:t>
      </w:r>
      <w:proofErr w:type="gramEnd"/>
    </w:p>
    <w:p w14:paraId="7C2B4F2E" w14:textId="554FDB27" w:rsidR="003C53C9" w:rsidRPr="007E0B20" w:rsidRDefault="003C53C9" w:rsidP="00AE1DED">
      <w:pPr>
        <w:pStyle w:val="ListParagraph"/>
        <w:numPr>
          <w:ilvl w:val="0"/>
          <w:numId w:val="177"/>
        </w:numPr>
        <w:jc w:val="both"/>
        <w:rPr>
          <w:rFonts w:eastAsiaTheme="majorEastAsia"/>
          <w:color w:val="000000" w:themeColor="text1"/>
        </w:rPr>
      </w:pPr>
      <w:r w:rsidRPr="007E0B20">
        <w:rPr>
          <w:rFonts w:eastAsiaTheme="majorEastAsia"/>
          <w:color w:val="000000" w:themeColor="text1"/>
        </w:rPr>
        <w:t>Range time in-range (for v3 positions): 52% vs. 73%</w:t>
      </w:r>
    </w:p>
    <w:p w14:paraId="248994FE" w14:textId="77777777" w:rsidR="003C53C9" w:rsidRPr="007E0B20" w:rsidRDefault="003C53C9" w:rsidP="00AE1DED">
      <w:pPr>
        <w:jc w:val="both"/>
        <w:rPr>
          <w:rFonts w:eastAsiaTheme="majorEastAsia"/>
          <w:color w:val="000000" w:themeColor="text1"/>
        </w:rPr>
      </w:pPr>
    </w:p>
    <w:p w14:paraId="4D25A2B9" w14:textId="71107B95" w:rsidR="003C53C9" w:rsidRPr="007E0B20" w:rsidRDefault="003C53C9" w:rsidP="00AE1DED">
      <w:pPr>
        <w:jc w:val="both"/>
        <w:rPr>
          <w:rFonts w:eastAsiaTheme="majorEastAsia"/>
          <w:color w:val="000000" w:themeColor="text1"/>
        </w:rPr>
      </w:pPr>
      <w:r w:rsidRPr="007E0B20">
        <w:rPr>
          <w:rFonts w:eastAsiaTheme="majorEastAsia"/>
          <w:b/>
          <w:bCs/>
          <w:color w:val="000000" w:themeColor="text1"/>
        </w:rPr>
        <w:t>Mechanism 2: Capital Fragmentation Below Viability Thresholds</w:t>
      </w:r>
      <w:r w:rsidRPr="007E0B20">
        <w:rPr>
          <w:rFonts w:eastAsiaTheme="majorEastAsia"/>
          <w:color w:val="000000" w:themeColor="text1"/>
        </w:rPr>
        <w:t xml:space="preserve"> (accounts for ~35% of underperformance)</w:t>
      </w:r>
    </w:p>
    <w:p w14:paraId="37E073DE" w14:textId="77777777" w:rsidR="003C53C9" w:rsidRPr="007E0B20" w:rsidRDefault="003C53C9" w:rsidP="00AE1DED">
      <w:pPr>
        <w:jc w:val="both"/>
        <w:rPr>
          <w:rFonts w:eastAsiaTheme="majorEastAsia"/>
          <w:color w:val="000000" w:themeColor="text1"/>
        </w:rPr>
      </w:pPr>
    </w:p>
    <w:p w14:paraId="38C9CB43" w14:textId="34F39E0D" w:rsidR="003C53C9" w:rsidRPr="007E0B20" w:rsidRDefault="003C53C9" w:rsidP="00AE1DED">
      <w:pPr>
        <w:jc w:val="both"/>
        <w:rPr>
          <w:rFonts w:eastAsiaTheme="majorEastAsia"/>
          <w:color w:val="000000" w:themeColor="text1"/>
        </w:rPr>
      </w:pPr>
      <w:r w:rsidRPr="007E0B20">
        <w:rPr>
          <w:rFonts w:eastAsiaTheme="majorEastAsia"/>
          <w:color w:val="000000" w:themeColor="text1"/>
        </w:rPr>
        <w:t xml:space="preserve">Multi-strategy participants with limited capital subdivided </w:t>
      </w:r>
      <w:r w:rsidR="00C454CE" w:rsidRPr="007E0B20">
        <w:rPr>
          <w:rFonts w:eastAsiaTheme="majorEastAsia"/>
          <w:color w:val="000000" w:themeColor="text1"/>
        </w:rPr>
        <w:t xml:space="preserve">their </w:t>
      </w:r>
      <w:r w:rsidRPr="007E0B20">
        <w:rPr>
          <w:rFonts w:eastAsiaTheme="majorEastAsia"/>
          <w:color w:val="000000" w:themeColor="text1"/>
        </w:rPr>
        <w:t>holdings below per-strategy viability thresholds:</w:t>
      </w:r>
    </w:p>
    <w:p w14:paraId="3087AB59" w14:textId="77777777" w:rsidR="003C53C9" w:rsidRPr="00750A6E" w:rsidRDefault="003C53C9" w:rsidP="00AE1DED">
      <w:pPr>
        <w:jc w:val="both"/>
        <w:rPr>
          <w:rFonts w:eastAsiaTheme="majorEastAsia"/>
          <w:color w:val="0070C0"/>
        </w:rPr>
      </w:pPr>
    </w:p>
    <w:p w14:paraId="5FC53F49" w14:textId="77777777" w:rsidR="003C53C9" w:rsidRPr="007E0B20" w:rsidRDefault="003C53C9" w:rsidP="00AE1DED">
      <w:pPr>
        <w:jc w:val="both"/>
        <w:rPr>
          <w:rFonts w:eastAsiaTheme="majorEastAsia"/>
          <w:color w:val="000000" w:themeColor="text1"/>
        </w:rPr>
      </w:pPr>
      <w:r w:rsidRPr="007E0B20">
        <w:rPr>
          <w:rFonts w:eastAsiaTheme="majorEastAsia"/>
          <w:color w:val="000000" w:themeColor="text1"/>
        </w:rPr>
        <w:t>Example: Participant with $10,000 allocating across three strategies:</w:t>
      </w:r>
    </w:p>
    <w:p w14:paraId="2D19B813" w14:textId="42A6B385" w:rsidR="003C53C9" w:rsidRPr="007E0B20" w:rsidRDefault="003C53C9" w:rsidP="00AE1DED">
      <w:pPr>
        <w:pStyle w:val="ListParagraph"/>
        <w:numPr>
          <w:ilvl w:val="0"/>
          <w:numId w:val="178"/>
        </w:numPr>
        <w:jc w:val="both"/>
        <w:rPr>
          <w:rFonts w:eastAsiaTheme="majorEastAsia"/>
          <w:color w:val="000000" w:themeColor="text1"/>
        </w:rPr>
      </w:pPr>
      <w:r w:rsidRPr="007E0B20">
        <w:rPr>
          <w:rFonts w:eastAsiaTheme="majorEastAsia"/>
          <w:color w:val="000000" w:themeColor="text1"/>
        </w:rPr>
        <w:t>$3,333 per strategy &lt; $3,500 L2 viability threshold</w:t>
      </w:r>
    </w:p>
    <w:p w14:paraId="4EB78199" w14:textId="69E76018" w:rsidR="003C53C9" w:rsidRPr="007E0B20" w:rsidRDefault="003C53C9" w:rsidP="00AE1DED">
      <w:pPr>
        <w:pStyle w:val="ListParagraph"/>
        <w:numPr>
          <w:ilvl w:val="0"/>
          <w:numId w:val="178"/>
        </w:numPr>
        <w:jc w:val="both"/>
        <w:rPr>
          <w:rFonts w:eastAsiaTheme="majorEastAsia"/>
          <w:color w:val="000000" w:themeColor="text1"/>
        </w:rPr>
      </w:pPr>
      <w:r w:rsidRPr="007E0B20">
        <w:rPr>
          <w:rFonts w:eastAsiaTheme="majorEastAsia"/>
          <w:color w:val="000000" w:themeColor="text1"/>
        </w:rPr>
        <w:t>Each position independently unviable due to fixed costs</w:t>
      </w:r>
    </w:p>
    <w:p w14:paraId="70F3BC78" w14:textId="3A931488" w:rsidR="003C53C9" w:rsidRPr="007E0B20" w:rsidRDefault="003C53C9" w:rsidP="00AE1DED">
      <w:pPr>
        <w:pStyle w:val="ListParagraph"/>
        <w:numPr>
          <w:ilvl w:val="0"/>
          <w:numId w:val="178"/>
        </w:numPr>
        <w:jc w:val="both"/>
        <w:rPr>
          <w:rFonts w:eastAsiaTheme="majorEastAsia"/>
          <w:color w:val="000000" w:themeColor="text1"/>
        </w:rPr>
      </w:pPr>
      <w:r w:rsidRPr="007E0B20">
        <w:rPr>
          <w:rFonts w:eastAsiaTheme="majorEastAsia"/>
          <w:color w:val="000000" w:themeColor="text1"/>
        </w:rPr>
        <w:t>Combined effect: three losing positions instead of one viable position</w:t>
      </w:r>
    </w:p>
    <w:p w14:paraId="51924B64" w14:textId="77777777" w:rsidR="003C53C9" w:rsidRPr="007E0B20" w:rsidRDefault="003C53C9" w:rsidP="00AE1DED">
      <w:pPr>
        <w:jc w:val="both"/>
        <w:rPr>
          <w:rFonts w:eastAsiaTheme="majorEastAsia"/>
          <w:color w:val="000000" w:themeColor="text1"/>
        </w:rPr>
      </w:pPr>
    </w:p>
    <w:p w14:paraId="746328A5" w14:textId="33ED5FA3" w:rsidR="003C53C9" w:rsidRPr="007E0B20" w:rsidRDefault="003C53C9" w:rsidP="00AE1DED">
      <w:pPr>
        <w:jc w:val="both"/>
        <w:rPr>
          <w:rFonts w:eastAsiaTheme="majorEastAsia"/>
          <w:color w:val="000000" w:themeColor="text1"/>
        </w:rPr>
      </w:pPr>
      <w:r w:rsidRPr="007E0B20">
        <w:rPr>
          <w:rFonts w:eastAsiaTheme="majorEastAsia"/>
          <w:color w:val="000000" w:themeColor="text1"/>
        </w:rPr>
        <w:t xml:space="preserve">Among multi-strategy participants, 68% (n=31/46) held positions below network-specific viability thresholds for at least one strategy, virtually guaranteeing losses </w:t>
      </w:r>
      <w:r w:rsidR="00C454CE" w:rsidRPr="007E0B20">
        <w:rPr>
          <w:rFonts w:eastAsiaTheme="majorEastAsia"/>
          <w:color w:val="000000" w:themeColor="text1"/>
        </w:rPr>
        <w:t>in that position</w:t>
      </w:r>
      <w:r w:rsidRPr="007E0B20">
        <w:rPr>
          <w:rFonts w:eastAsiaTheme="majorEastAsia"/>
          <w:color w:val="000000" w:themeColor="text1"/>
        </w:rPr>
        <w:t>.</w:t>
      </w:r>
    </w:p>
    <w:p w14:paraId="1B1B42AC" w14:textId="77777777" w:rsidR="003C53C9" w:rsidRPr="007E0B20" w:rsidRDefault="003C53C9" w:rsidP="00AE1DED">
      <w:pPr>
        <w:jc w:val="both"/>
        <w:rPr>
          <w:rFonts w:eastAsiaTheme="majorEastAsia"/>
          <w:color w:val="000000" w:themeColor="text1"/>
        </w:rPr>
      </w:pPr>
    </w:p>
    <w:p w14:paraId="7FD97634" w14:textId="4ECD352D" w:rsidR="003C53C9" w:rsidRPr="007E0B20" w:rsidRDefault="003C53C9" w:rsidP="00AE1DED">
      <w:pPr>
        <w:jc w:val="both"/>
        <w:rPr>
          <w:rFonts w:eastAsiaTheme="majorEastAsia"/>
          <w:color w:val="000000" w:themeColor="text1"/>
        </w:rPr>
      </w:pPr>
      <w:r w:rsidRPr="007E0B20">
        <w:rPr>
          <w:rFonts w:eastAsiaTheme="majorEastAsia"/>
          <w:b/>
          <w:bCs/>
          <w:color w:val="000000" w:themeColor="text1"/>
        </w:rPr>
        <w:lastRenderedPageBreak/>
        <w:t>Mechanism 3: Correlated Failure Modes</w:t>
      </w:r>
      <w:r w:rsidRPr="007E0B20">
        <w:rPr>
          <w:rFonts w:eastAsiaTheme="majorEastAsia"/>
          <w:color w:val="000000" w:themeColor="text1"/>
        </w:rPr>
        <w:t xml:space="preserve"> (accounts for ~20% of underperformance)</w:t>
      </w:r>
    </w:p>
    <w:p w14:paraId="5498B229" w14:textId="77777777" w:rsidR="003C53C9" w:rsidRPr="007E0B20" w:rsidRDefault="003C53C9" w:rsidP="00AE1DED">
      <w:pPr>
        <w:jc w:val="both"/>
        <w:rPr>
          <w:rFonts w:eastAsiaTheme="majorEastAsia"/>
          <w:color w:val="000000" w:themeColor="text1"/>
        </w:rPr>
      </w:pPr>
    </w:p>
    <w:p w14:paraId="00F79FBF" w14:textId="77777777" w:rsidR="003C53C9" w:rsidRPr="007E0B20" w:rsidRDefault="003C53C9" w:rsidP="00AE1DED">
      <w:pPr>
        <w:jc w:val="both"/>
        <w:rPr>
          <w:rFonts w:eastAsiaTheme="majorEastAsia"/>
          <w:color w:val="000000" w:themeColor="text1"/>
        </w:rPr>
      </w:pPr>
      <w:r w:rsidRPr="007E0B20">
        <w:rPr>
          <w:rFonts w:eastAsiaTheme="majorEastAsia"/>
          <w:color w:val="000000" w:themeColor="text1"/>
        </w:rPr>
        <w:t>Multi-strategy diversification failed to provide protection during stress events due to higher correlation than anticipated:</w:t>
      </w:r>
    </w:p>
    <w:p w14:paraId="36B8157D" w14:textId="77777777" w:rsidR="003C53C9" w:rsidRPr="007E0B20" w:rsidRDefault="003C53C9" w:rsidP="00AE1DED">
      <w:pPr>
        <w:jc w:val="both"/>
        <w:rPr>
          <w:rFonts w:eastAsiaTheme="majorEastAsia"/>
          <w:color w:val="000000" w:themeColor="text1"/>
        </w:rPr>
      </w:pPr>
    </w:p>
    <w:p w14:paraId="4F1D319B" w14:textId="77777777" w:rsidR="003C53C9" w:rsidRPr="007E0B20" w:rsidRDefault="003C53C9" w:rsidP="00AE1DED">
      <w:pPr>
        <w:jc w:val="both"/>
        <w:rPr>
          <w:rFonts w:eastAsiaTheme="majorEastAsia"/>
          <w:color w:val="000000" w:themeColor="text1"/>
        </w:rPr>
      </w:pPr>
      <w:r w:rsidRPr="007E0B20">
        <w:rPr>
          <w:rFonts w:eastAsiaTheme="majorEastAsia"/>
          <w:color w:val="000000" w:themeColor="text1"/>
        </w:rPr>
        <w:t>During Terra/Luna (May 2022):</w:t>
      </w:r>
    </w:p>
    <w:p w14:paraId="2E04DA68" w14:textId="1EAE62A2" w:rsidR="003C53C9" w:rsidRPr="007E0B20" w:rsidRDefault="003C53C9" w:rsidP="00AE1DED">
      <w:pPr>
        <w:pStyle w:val="ListParagraph"/>
        <w:numPr>
          <w:ilvl w:val="0"/>
          <w:numId w:val="179"/>
        </w:numPr>
        <w:jc w:val="both"/>
        <w:rPr>
          <w:rFonts w:eastAsiaTheme="majorEastAsia"/>
          <w:color w:val="000000" w:themeColor="text1"/>
        </w:rPr>
      </w:pPr>
      <w:r w:rsidRPr="007E0B20">
        <w:rPr>
          <w:rFonts w:eastAsiaTheme="majorEastAsia"/>
          <w:color w:val="000000" w:themeColor="text1"/>
        </w:rPr>
        <w:t xml:space="preserve">Participants holding only </w:t>
      </w:r>
      <w:proofErr w:type="gramStart"/>
      <w:r w:rsidRPr="007E0B20">
        <w:rPr>
          <w:rFonts w:eastAsiaTheme="majorEastAsia"/>
          <w:color w:val="000000" w:themeColor="text1"/>
        </w:rPr>
        <w:t>stablecoin</w:t>
      </w:r>
      <w:proofErr w:type="gramEnd"/>
      <w:r w:rsidRPr="007E0B20">
        <w:rPr>
          <w:rFonts w:eastAsiaTheme="majorEastAsia"/>
          <w:color w:val="000000" w:themeColor="text1"/>
        </w:rPr>
        <w:t xml:space="preserve"> positions: 23% experienced losses</w:t>
      </w:r>
    </w:p>
    <w:p w14:paraId="0B3B8C1F" w14:textId="4C22D465" w:rsidR="003C53C9" w:rsidRPr="007E0B20" w:rsidRDefault="003C53C9" w:rsidP="00AE1DED">
      <w:pPr>
        <w:pStyle w:val="ListParagraph"/>
        <w:numPr>
          <w:ilvl w:val="0"/>
          <w:numId w:val="179"/>
        </w:numPr>
        <w:jc w:val="both"/>
        <w:rPr>
          <w:rFonts w:eastAsiaTheme="majorEastAsia"/>
          <w:color w:val="000000" w:themeColor="text1"/>
        </w:rPr>
      </w:pPr>
      <w:r w:rsidRPr="007E0B20">
        <w:rPr>
          <w:rFonts w:eastAsiaTheme="majorEastAsia"/>
          <w:color w:val="000000" w:themeColor="text1"/>
        </w:rPr>
        <w:t xml:space="preserve">Participants holding 3+ different strategies including </w:t>
      </w:r>
      <w:proofErr w:type="gramStart"/>
      <w:r w:rsidRPr="007E0B20">
        <w:rPr>
          <w:rFonts w:eastAsiaTheme="majorEastAsia"/>
          <w:color w:val="000000" w:themeColor="text1"/>
        </w:rPr>
        <w:t>stablecoins</w:t>
      </w:r>
      <w:proofErr w:type="gramEnd"/>
      <w:r w:rsidRPr="007E0B20">
        <w:rPr>
          <w:rFonts w:eastAsiaTheme="majorEastAsia"/>
          <w:color w:val="000000" w:themeColor="text1"/>
        </w:rPr>
        <w:t>: 71% experienced losses</w:t>
      </w:r>
    </w:p>
    <w:p w14:paraId="067B278E" w14:textId="77777777" w:rsidR="003C53C9" w:rsidRPr="007E0B20" w:rsidRDefault="003C53C9" w:rsidP="00AE1DED">
      <w:pPr>
        <w:jc w:val="both"/>
        <w:rPr>
          <w:rFonts w:eastAsiaTheme="majorEastAsia"/>
          <w:color w:val="000000" w:themeColor="text1"/>
        </w:rPr>
      </w:pPr>
    </w:p>
    <w:p w14:paraId="3DA91F18" w14:textId="7059FF9A" w:rsidR="003C53C9" w:rsidRPr="007E0B20" w:rsidRDefault="003C53C9" w:rsidP="00AE1DED">
      <w:pPr>
        <w:jc w:val="both"/>
        <w:rPr>
          <w:rFonts w:eastAsiaTheme="majorEastAsia"/>
          <w:color w:val="000000" w:themeColor="text1"/>
        </w:rPr>
      </w:pPr>
      <w:r w:rsidRPr="007E0B20">
        <w:rPr>
          <w:rFonts w:eastAsiaTheme="majorEastAsia"/>
          <w:color w:val="000000" w:themeColor="text1"/>
        </w:rPr>
        <w:t xml:space="preserve">The multi-strategy participants often </w:t>
      </w:r>
      <w:r w:rsidR="00BC6E47" w:rsidRPr="007E0B20">
        <w:rPr>
          <w:rFonts w:eastAsiaTheme="majorEastAsia"/>
          <w:color w:val="000000" w:themeColor="text1"/>
        </w:rPr>
        <w:t>participated</w:t>
      </w:r>
      <w:r w:rsidRPr="007E0B20">
        <w:rPr>
          <w:rFonts w:eastAsiaTheme="majorEastAsia"/>
          <w:color w:val="000000" w:themeColor="text1"/>
        </w:rPr>
        <w:t xml:space="preserve"> across </w:t>
      </w:r>
      <w:r w:rsidR="00BC6E47" w:rsidRPr="007E0B20">
        <w:rPr>
          <w:rFonts w:eastAsiaTheme="majorEastAsia"/>
          <w:color w:val="000000" w:themeColor="text1"/>
        </w:rPr>
        <w:t xml:space="preserve">various </w:t>
      </w:r>
      <w:r w:rsidRPr="007E0B20">
        <w:rPr>
          <w:rFonts w:eastAsiaTheme="majorEastAsia"/>
          <w:color w:val="000000" w:themeColor="text1"/>
        </w:rPr>
        <w:t>protocols</w:t>
      </w:r>
      <w:r w:rsidR="00BC6E47" w:rsidRPr="007E0B20">
        <w:rPr>
          <w:rFonts w:eastAsiaTheme="majorEastAsia"/>
          <w:color w:val="000000" w:themeColor="text1"/>
        </w:rPr>
        <w:t xml:space="preserve"> but</w:t>
      </w:r>
      <w:r w:rsidRPr="007E0B20">
        <w:rPr>
          <w:rFonts w:eastAsiaTheme="majorEastAsia"/>
          <w:color w:val="000000" w:themeColor="text1"/>
        </w:rPr>
        <w:t xml:space="preserve"> sharing </w:t>
      </w:r>
      <w:r w:rsidR="00BC6E47" w:rsidRPr="007E0B20">
        <w:rPr>
          <w:rFonts w:eastAsiaTheme="majorEastAsia"/>
          <w:color w:val="000000" w:themeColor="text1"/>
        </w:rPr>
        <w:t xml:space="preserve">the </w:t>
      </w:r>
      <w:r w:rsidRPr="007E0B20">
        <w:rPr>
          <w:rFonts w:eastAsiaTheme="majorEastAsia"/>
          <w:color w:val="000000" w:themeColor="text1"/>
        </w:rPr>
        <w:t>hidden dependencies</w:t>
      </w:r>
      <w:r w:rsidR="00BC6E47" w:rsidRPr="007E0B20">
        <w:rPr>
          <w:rFonts w:eastAsiaTheme="majorEastAsia"/>
          <w:color w:val="000000" w:themeColor="text1"/>
        </w:rPr>
        <w:t xml:space="preserve"> across them</w:t>
      </w:r>
      <w:r w:rsidRPr="007E0B20">
        <w:rPr>
          <w:rFonts w:eastAsiaTheme="majorEastAsia"/>
          <w:color w:val="000000" w:themeColor="text1"/>
        </w:rPr>
        <w:t xml:space="preserve"> </w:t>
      </w:r>
      <w:r w:rsidR="00BC6E47" w:rsidRPr="007E0B20">
        <w:rPr>
          <w:rFonts w:eastAsiaTheme="majorEastAsia"/>
          <w:color w:val="000000" w:themeColor="text1"/>
        </w:rPr>
        <w:t xml:space="preserve">e.g. </w:t>
      </w:r>
      <w:r w:rsidRPr="007E0B20">
        <w:rPr>
          <w:rFonts w:eastAsiaTheme="majorEastAsia"/>
          <w:color w:val="000000" w:themeColor="text1"/>
        </w:rPr>
        <w:t>Terra ecosystem exposure, common oracle dependencies, shared DeFi infrastructure)</w:t>
      </w:r>
      <w:r w:rsidR="00BC6E47" w:rsidRPr="007E0B20">
        <w:rPr>
          <w:rFonts w:eastAsiaTheme="majorEastAsia"/>
          <w:color w:val="000000" w:themeColor="text1"/>
        </w:rPr>
        <w:t>. This created</w:t>
      </w:r>
      <w:r w:rsidRPr="007E0B20">
        <w:rPr>
          <w:rFonts w:eastAsiaTheme="majorEastAsia"/>
          <w:color w:val="000000" w:themeColor="text1"/>
        </w:rPr>
        <w:t xml:space="preserve"> the illusion of </w:t>
      </w:r>
      <w:proofErr w:type="gramStart"/>
      <w:r w:rsidRPr="007E0B20">
        <w:rPr>
          <w:rFonts w:eastAsiaTheme="majorEastAsia"/>
          <w:color w:val="000000" w:themeColor="text1"/>
        </w:rPr>
        <w:t xml:space="preserve">diversification </w:t>
      </w:r>
      <w:r w:rsidR="00BC6E47" w:rsidRPr="007E0B20">
        <w:rPr>
          <w:rFonts w:eastAsiaTheme="majorEastAsia"/>
          <w:color w:val="000000" w:themeColor="text1"/>
        </w:rPr>
        <w:t xml:space="preserve"> and</w:t>
      </w:r>
      <w:proofErr w:type="gramEnd"/>
      <w:r w:rsidR="00BC6E47" w:rsidRPr="007E0B20">
        <w:rPr>
          <w:rFonts w:eastAsiaTheme="majorEastAsia"/>
          <w:color w:val="000000" w:themeColor="text1"/>
        </w:rPr>
        <w:t xml:space="preserve"> risk minimization however it created a</w:t>
      </w:r>
      <w:r w:rsidRPr="007E0B20">
        <w:rPr>
          <w:rFonts w:eastAsiaTheme="majorEastAsia"/>
          <w:color w:val="000000" w:themeColor="text1"/>
        </w:rPr>
        <w:t xml:space="preserve"> concentration risk.</w:t>
      </w:r>
    </w:p>
    <w:p w14:paraId="1C1AB184" w14:textId="77777777" w:rsidR="003C53C9" w:rsidRPr="00750A6E" w:rsidRDefault="003C53C9" w:rsidP="00AE1DED">
      <w:pPr>
        <w:jc w:val="both"/>
        <w:rPr>
          <w:rFonts w:eastAsiaTheme="majorEastAsia"/>
          <w:color w:val="0070C0"/>
        </w:rPr>
      </w:pPr>
    </w:p>
    <w:p w14:paraId="4718C79B" w14:textId="28ABE276" w:rsidR="003C53C9" w:rsidRPr="007E0B20" w:rsidRDefault="003C53C9" w:rsidP="00AE1DED">
      <w:pPr>
        <w:jc w:val="both"/>
        <w:rPr>
          <w:rFonts w:eastAsiaTheme="majorEastAsia"/>
          <w:b/>
          <w:bCs/>
          <w:color w:val="000000" w:themeColor="text1"/>
        </w:rPr>
      </w:pPr>
      <w:r w:rsidRPr="007E0B20">
        <w:rPr>
          <w:rFonts w:eastAsiaTheme="majorEastAsia"/>
          <w:b/>
          <w:bCs/>
          <w:color w:val="000000" w:themeColor="text1"/>
        </w:rPr>
        <w:t>Why Random Allocation Performed Better</w:t>
      </w:r>
    </w:p>
    <w:p w14:paraId="1CAE570F" w14:textId="77777777" w:rsidR="003C53C9" w:rsidRPr="007E0B20" w:rsidRDefault="003C53C9" w:rsidP="00AE1DED">
      <w:pPr>
        <w:jc w:val="both"/>
        <w:rPr>
          <w:rFonts w:eastAsiaTheme="majorEastAsia"/>
          <w:color w:val="000000" w:themeColor="text1"/>
        </w:rPr>
      </w:pPr>
    </w:p>
    <w:p w14:paraId="674E9471" w14:textId="66A37210" w:rsidR="003C53C9" w:rsidRPr="007E0B20" w:rsidRDefault="00FC2947" w:rsidP="00AE1DED">
      <w:pPr>
        <w:jc w:val="both"/>
        <w:rPr>
          <w:rFonts w:eastAsiaTheme="majorEastAsia"/>
          <w:color w:val="000000" w:themeColor="text1"/>
        </w:rPr>
      </w:pPr>
      <w:r w:rsidRPr="007E0B20">
        <w:rPr>
          <w:rFonts w:eastAsiaTheme="majorEastAsia"/>
          <w:color w:val="000000" w:themeColor="text1"/>
        </w:rPr>
        <w:t>During the rese</w:t>
      </w:r>
      <w:r w:rsidR="00916A0A" w:rsidRPr="007E0B20">
        <w:rPr>
          <w:rFonts w:eastAsiaTheme="majorEastAsia"/>
          <w:color w:val="000000" w:themeColor="text1"/>
        </w:rPr>
        <w:t>arch a r</w:t>
      </w:r>
      <w:r w:rsidR="003C53C9" w:rsidRPr="007E0B20">
        <w:rPr>
          <w:rFonts w:eastAsiaTheme="majorEastAsia"/>
          <w:color w:val="000000" w:themeColor="text1"/>
        </w:rPr>
        <w:t>andom allocation</w:t>
      </w:r>
      <w:r w:rsidR="00916A0A" w:rsidRPr="007E0B20">
        <w:rPr>
          <w:rFonts w:eastAsiaTheme="majorEastAsia"/>
          <w:color w:val="000000" w:themeColor="text1"/>
        </w:rPr>
        <w:t xml:space="preserve"> was tested</w:t>
      </w:r>
      <w:r w:rsidR="003C53C9" w:rsidRPr="007E0B20">
        <w:rPr>
          <w:rFonts w:eastAsiaTheme="majorEastAsia"/>
          <w:color w:val="000000" w:themeColor="text1"/>
        </w:rPr>
        <w:t xml:space="preserve"> (achieved via simulated portfolios using actual position data)</w:t>
      </w:r>
      <w:r w:rsidR="00916A0A" w:rsidRPr="007E0B20">
        <w:rPr>
          <w:rFonts w:eastAsiaTheme="majorEastAsia"/>
          <w:color w:val="000000" w:themeColor="text1"/>
        </w:rPr>
        <w:t xml:space="preserve">. Analysis and interpretation showed that it </w:t>
      </w:r>
      <w:r w:rsidR="003C53C9" w:rsidRPr="007E0B20">
        <w:rPr>
          <w:rFonts w:eastAsiaTheme="majorEastAsia"/>
          <w:color w:val="000000" w:themeColor="text1"/>
        </w:rPr>
        <w:t>outperformed deliberate multi-strategy approaches because:</w:t>
      </w:r>
    </w:p>
    <w:p w14:paraId="4CA1A385" w14:textId="77777777" w:rsidR="003C53C9" w:rsidRPr="007E0B20" w:rsidRDefault="003C53C9" w:rsidP="00AE1DED">
      <w:pPr>
        <w:jc w:val="both"/>
        <w:rPr>
          <w:rFonts w:eastAsiaTheme="majorEastAsia"/>
          <w:color w:val="000000" w:themeColor="text1"/>
        </w:rPr>
      </w:pPr>
    </w:p>
    <w:p w14:paraId="1F6B975F" w14:textId="146870E1" w:rsidR="00417660" w:rsidRPr="007E0B20" w:rsidRDefault="003C53C9" w:rsidP="00AE1DED">
      <w:pPr>
        <w:pStyle w:val="ListParagraph"/>
        <w:numPr>
          <w:ilvl w:val="0"/>
          <w:numId w:val="180"/>
        </w:numPr>
        <w:jc w:val="both"/>
        <w:rPr>
          <w:rFonts w:eastAsiaTheme="majorEastAsia"/>
          <w:color w:val="000000" w:themeColor="text1"/>
        </w:rPr>
      </w:pPr>
      <w:r w:rsidRPr="007E0B20">
        <w:rPr>
          <w:rFonts w:eastAsiaTheme="majorEastAsia"/>
          <w:color w:val="000000" w:themeColor="text1"/>
        </w:rPr>
        <w:t xml:space="preserve">No expertise dilution: Random allocation doesn't require managing incompatible strategies </w:t>
      </w:r>
      <w:r w:rsidR="00916A0A" w:rsidRPr="007E0B20">
        <w:rPr>
          <w:rFonts w:eastAsiaTheme="majorEastAsia"/>
          <w:color w:val="000000" w:themeColor="text1"/>
        </w:rPr>
        <w:t>at the same time</w:t>
      </w:r>
    </w:p>
    <w:p w14:paraId="69BE4894" w14:textId="73019045" w:rsidR="00417660" w:rsidRPr="007E0B20" w:rsidRDefault="003C53C9" w:rsidP="00AE1DED">
      <w:pPr>
        <w:pStyle w:val="ListParagraph"/>
        <w:numPr>
          <w:ilvl w:val="0"/>
          <w:numId w:val="180"/>
        </w:numPr>
        <w:jc w:val="both"/>
        <w:rPr>
          <w:rFonts w:eastAsiaTheme="majorEastAsia"/>
          <w:color w:val="000000" w:themeColor="text1"/>
        </w:rPr>
      </w:pPr>
      <w:r w:rsidRPr="007E0B20">
        <w:rPr>
          <w:rFonts w:eastAsiaTheme="majorEastAsia"/>
          <w:color w:val="000000" w:themeColor="text1"/>
        </w:rPr>
        <w:t>Luck in strategy selection: Some random allocations avoided the worst-performing strategies by chance</w:t>
      </w:r>
    </w:p>
    <w:p w14:paraId="3F59B95D" w14:textId="3F50F223" w:rsidR="003C53C9" w:rsidRPr="007E0B20" w:rsidRDefault="003C53C9" w:rsidP="00AE1DED">
      <w:pPr>
        <w:pStyle w:val="ListParagraph"/>
        <w:numPr>
          <w:ilvl w:val="0"/>
          <w:numId w:val="180"/>
        </w:numPr>
        <w:jc w:val="both"/>
        <w:rPr>
          <w:rFonts w:eastAsiaTheme="majorEastAsia"/>
          <w:color w:val="000000" w:themeColor="text1"/>
        </w:rPr>
      </w:pPr>
      <w:r w:rsidRPr="007E0B20">
        <w:rPr>
          <w:rFonts w:eastAsiaTheme="majorEastAsia"/>
          <w:color w:val="000000" w:themeColor="text1"/>
        </w:rPr>
        <w:t xml:space="preserve">Balanced rather than over-optimized: Random allocation avoided the overconfidence that led multi-strategy participants to complex combinations </w:t>
      </w:r>
      <w:r w:rsidR="00916A0A" w:rsidRPr="007E0B20">
        <w:rPr>
          <w:rFonts w:eastAsiaTheme="majorEastAsia"/>
          <w:color w:val="000000" w:themeColor="text1"/>
        </w:rPr>
        <w:t>which were difficult or impossible to manage</w:t>
      </w:r>
    </w:p>
    <w:p w14:paraId="70290238" w14:textId="77777777" w:rsidR="003C53C9" w:rsidRPr="007E0B20" w:rsidRDefault="003C53C9" w:rsidP="00AE1DED">
      <w:pPr>
        <w:jc w:val="both"/>
        <w:rPr>
          <w:rFonts w:eastAsiaTheme="majorEastAsia"/>
          <w:color w:val="000000" w:themeColor="text1"/>
        </w:rPr>
      </w:pPr>
    </w:p>
    <w:p w14:paraId="70470B96" w14:textId="46F17B33" w:rsidR="003C53C9" w:rsidRPr="007E0B20" w:rsidRDefault="003C53C9" w:rsidP="00AE1DED">
      <w:pPr>
        <w:jc w:val="both"/>
        <w:rPr>
          <w:rFonts w:eastAsiaTheme="majorEastAsia"/>
          <w:color w:val="000000" w:themeColor="text1"/>
        </w:rPr>
      </w:pPr>
      <w:r w:rsidRPr="007E0B20">
        <w:rPr>
          <w:rFonts w:eastAsiaTheme="majorEastAsia"/>
          <w:color w:val="000000" w:themeColor="text1"/>
        </w:rPr>
        <w:t xml:space="preserve">The findings suggest that for </w:t>
      </w:r>
      <w:r w:rsidR="00A83763" w:rsidRPr="007E0B20">
        <w:rPr>
          <w:rFonts w:eastAsiaTheme="majorEastAsia"/>
          <w:color w:val="000000" w:themeColor="text1"/>
        </w:rPr>
        <w:t xml:space="preserve">participants with </w:t>
      </w:r>
      <w:r w:rsidR="001C3BF4" w:rsidRPr="007E0B20">
        <w:rPr>
          <w:rFonts w:eastAsiaTheme="majorEastAsia"/>
          <w:color w:val="000000" w:themeColor="text1"/>
        </w:rPr>
        <w:t>limited capital</w:t>
      </w:r>
      <w:r w:rsidRPr="007E0B20">
        <w:rPr>
          <w:rFonts w:eastAsiaTheme="majorEastAsia"/>
          <w:color w:val="000000" w:themeColor="text1"/>
        </w:rPr>
        <w:t xml:space="preserve">, </w:t>
      </w:r>
      <w:proofErr w:type="gramStart"/>
      <w:r w:rsidR="00A83763" w:rsidRPr="007E0B20">
        <w:rPr>
          <w:rFonts w:eastAsiaTheme="majorEastAsia"/>
          <w:color w:val="000000" w:themeColor="text1"/>
        </w:rPr>
        <w:t xml:space="preserve">the </w:t>
      </w:r>
      <w:r w:rsidRPr="007E0B20">
        <w:rPr>
          <w:rFonts w:eastAsiaTheme="majorEastAsia"/>
          <w:color w:val="000000" w:themeColor="text1"/>
        </w:rPr>
        <w:t>concentration</w:t>
      </w:r>
      <w:proofErr w:type="gramEnd"/>
      <w:r w:rsidRPr="007E0B20">
        <w:rPr>
          <w:rFonts w:eastAsiaTheme="majorEastAsia"/>
          <w:color w:val="000000" w:themeColor="text1"/>
        </w:rPr>
        <w:t xml:space="preserve"> in a single well-understood strategy produces superior results </w:t>
      </w:r>
      <w:r w:rsidR="00916A0A" w:rsidRPr="007E0B20">
        <w:rPr>
          <w:rFonts w:eastAsiaTheme="majorEastAsia"/>
          <w:color w:val="000000" w:themeColor="text1"/>
        </w:rPr>
        <w:t>versus</w:t>
      </w:r>
      <w:r w:rsidRPr="007E0B20">
        <w:rPr>
          <w:rFonts w:eastAsiaTheme="majorEastAsia"/>
          <w:color w:val="000000" w:themeColor="text1"/>
        </w:rPr>
        <w:t xml:space="preserve"> diversification across multiple strategies. </w:t>
      </w:r>
      <w:r w:rsidR="001C3BF4" w:rsidRPr="007E0B20">
        <w:rPr>
          <w:rFonts w:eastAsiaTheme="majorEastAsia"/>
          <w:color w:val="000000" w:themeColor="text1"/>
        </w:rPr>
        <w:t>However,</w:t>
      </w:r>
      <w:r w:rsidR="00A83763" w:rsidRPr="007E0B20">
        <w:rPr>
          <w:rFonts w:eastAsiaTheme="majorEastAsia"/>
          <w:color w:val="000000" w:themeColor="text1"/>
        </w:rPr>
        <w:t xml:space="preserve"> the d</w:t>
      </w:r>
      <w:r w:rsidRPr="007E0B20">
        <w:rPr>
          <w:rFonts w:eastAsiaTheme="majorEastAsia"/>
          <w:color w:val="000000" w:themeColor="text1"/>
        </w:rPr>
        <w:t xml:space="preserve">iversification benefits require sufficient capital to maintain viable positions in each strategy plus </w:t>
      </w:r>
      <w:r w:rsidR="00A83763" w:rsidRPr="007E0B20">
        <w:rPr>
          <w:rFonts w:eastAsiaTheme="majorEastAsia"/>
          <w:color w:val="000000" w:themeColor="text1"/>
        </w:rPr>
        <w:t xml:space="preserve">the </w:t>
      </w:r>
      <w:r w:rsidRPr="007E0B20">
        <w:rPr>
          <w:rFonts w:eastAsiaTheme="majorEastAsia"/>
          <w:color w:val="000000" w:themeColor="text1"/>
        </w:rPr>
        <w:t>expertise across all domains</w:t>
      </w:r>
      <w:r w:rsidR="00A83763" w:rsidRPr="007E0B20">
        <w:rPr>
          <w:rFonts w:eastAsiaTheme="majorEastAsia"/>
          <w:color w:val="000000" w:themeColor="text1"/>
        </w:rPr>
        <w:t xml:space="preserve">. </w:t>
      </w:r>
      <w:r w:rsidR="001C3BF4" w:rsidRPr="007E0B20">
        <w:rPr>
          <w:rFonts w:eastAsiaTheme="majorEastAsia"/>
          <w:color w:val="000000" w:themeColor="text1"/>
        </w:rPr>
        <w:t>Unfortunately,</w:t>
      </w:r>
      <w:r w:rsidR="00A83763" w:rsidRPr="007E0B20">
        <w:rPr>
          <w:rFonts w:eastAsiaTheme="majorEastAsia"/>
          <w:color w:val="000000" w:themeColor="text1"/>
        </w:rPr>
        <w:t xml:space="preserve"> these are </w:t>
      </w:r>
      <w:r w:rsidRPr="007E0B20">
        <w:rPr>
          <w:rFonts w:eastAsiaTheme="majorEastAsia"/>
          <w:color w:val="000000" w:themeColor="text1"/>
        </w:rPr>
        <w:t xml:space="preserve">conditions </w:t>
      </w:r>
      <w:r w:rsidR="00A83763" w:rsidRPr="007E0B20">
        <w:rPr>
          <w:rFonts w:eastAsiaTheme="majorEastAsia"/>
          <w:color w:val="000000" w:themeColor="text1"/>
        </w:rPr>
        <w:t xml:space="preserve">that </w:t>
      </w:r>
      <w:r w:rsidRPr="007E0B20">
        <w:rPr>
          <w:rFonts w:eastAsiaTheme="majorEastAsia"/>
          <w:color w:val="000000" w:themeColor="text1"/>
        </w:rPr>
        <w:t xml:space="preserve">most participants </w:t>
      </w:r>
      <w:r w:rsidR="00A83763" w:rsidRPr="007E0B20">
        <w:rPr>
          <w:rFonts w:eastAsiaTheme="majorEastAsia"/>
          <w:color w:val="000000" w:themeColor="text1"/>
        </w:rPr>
        <w:t xml:space="preserve">will most likely not </w:t>
      </w:r>
      <w:r w:rsidRPr="007E0B20">
        <w:rPr>
          <w:rFonts w:eastAsiaTheme="majorEastAsia"/>
          <w:color w:val="000000" w:themeColor="text1"/>
        </w:rPr>
        <w:t>meet.</w:t>
      </w:r>
    </w:p>
    <w:p w14:paraId="1D3D4509" w14:textId="77777777" w:rsidR="003C53C9" w:rsidRPr="007E0B20" w:rsidRDefault="003C53C9" w:rsidP="00AE1DED">
      <w:pPr>
        <w:jc w:val="both"/>
        <w:rPr>
          <w:rFonts w:eastAsiaTheme="majorEastAsia"/>
          <w:color w:val="000000" w:themeColor="text1"/>
        </w:rPr>
      </w:pPr>
    </w:p>
    <w:p w14:paraId="5936A9A2" w14:textId="0470CD3F" w:rsidR="00515E94" w:rsidRPr="007E0B20" w:rsidRDefault="00515E94" w:rsidP="00AE1DED">
      <w:pPr>
        <w:jc w:val="both"/>
        <w:rPr>
          <w:rFonts w:eastAsiaTheme="majorEastAsia"/>
          <w:color w:val="000000" w:themeColor="text1"/>
        </w:rPr>
      </w:pPr>
      <w:r w:rsidRPr="007E0B20">
        <w:rPr>
          <w:rFonts w:eastAsiaTheme="majorEastAsia"/>
          <w:color w:val="000000" w:themeColor="text1"/>
        </w:rPr>
        <w:t>Sophisticated diversification did worse than random selection because the benefits of the theory were too much for the intricacy of the operations. Each technique necessitates a particular knowledge, oversight, and administration (Kahneman &amp; Tversky, 1979). Combining strategies doesn</w:t>
      </w:r>
      <w:r w:rsidR="003264F5" w:rsidRPr="007E0B20">
        <w:rPr>
          <w:rFonts w:eastAsiaTheme="majorEastAsia"/>
          <w:color w:val="000000" w:themeColor="text1"/>
        </w:rPr>
        <w:t>’</w:t>
      </w:r>
      <w:r w:rsidRPr="007E0B20">
        <w:rPr>
          <w:rFonts w:eastAsiaTheme="majorEastAsia"/>
          <w:color w:val="000000" w:themeColor="text1"/>
        </w:rPr>
        <w:t xml:space="preserve">t integrate knowledge; it makes things more complicated. </w:t>
      </w:r>
    </w:p>
    <w:p w14:paraId="21169B46" w14:textId="77777777" w:rsidR="00515E94" w:rsidRPr="007E0B20" w:rsidRDefault="00515E94" w:rsidP="00AE1DED">
      <w:pPr>
        <w:jc w:val="both"/>
        <w:rPr>
          <w:rFonts w:eastAsiaTheme="majorEastAsia"/>
          <w:color w:val="000000" w:themeColor="text1"/>
        </w:rPr>
      </w:pPr>
    </w:p>
    <w:p w14:paraId="7B4F83B9" w14:textId="02650DE8" w:rsidR="00515E94" w:rsidRPr="007E0B20" w:rsidRDefault="00515E94" w:rsidP="00AE1DED">
      <w:pPr>
        <w:jc w:val="both"/>
        <w:rPr>
          <w:rFonts w:eastAsiaTheme="majorEastAsia"/>
          <w:color w:val="000000" w:themeColor="text1"/>
        </w:rPr>
      </w:pPr>
      <w:r w:rsidRPr="007E0B20">
        <w:rPr>
          <w:rFonts w:eastAsiaTheme="majorEastAsia"/>
          <w:color w:val="000000" w:themeColor="text1"/>
        </w:rPr>
        <w:t xml:space="preserve">The concentration of protocol risk was more relevant than the spread of assets. The Terra/Luna collapse showed this: people holding </w:t>
      </w:r>
      <w:r w:rsidR="003264F5" w:rsidRPr="007E0B20">
        <w:rPr>
          <w:rFonts w:eastAsiaTheme="majorEastAsia"/>
          <w:color w:val="000000" w:themeColor="text1"/>
        </w:rPr>
        <w:t>“</w:t>
      </w:r>
      <w:r w:rsidRPr="007E0B20">
        <w:rPr>
          <w:rFonts w:eastAsiaTheme="majorEastAsia"/>
          <w:color w:val="000000" w:themeColor="text1"/>
        </w:rPr>
        <w:t>diversified</w:t>
      </w:r>
      <w:r w:rsidR="003264F5" w:rsidRPr="007E0B20">
        <w:rPr>
          <w:rFonts w:eastAsiaTheme="majorEastAsia"/>
          <w:color w:val="000000" w:themeColor="text1"/>
        </w:rPr>
        <w:t>”</w:t>
      </w:r>
      <w:r w:rsidRPr="007E0B20">
        <w:rPr>
          <w:rFonts w:eastAsiaTheme="majorEastAsia"/>
          <w:color w:val="000000" w:themeColor="text1"/>
        </w:rPr>
        <w:t xml:space="preserve"> Terra ecosystem positions lost 87% when all positions were linked to 1.0 during the crisis, according to my tracked sample. </w:t>
      </w:r>
    </w:p>
    <w:p w14:paraId="4068BEB6" w14:textId="77777777" w:rsidR="0010086C" w:rsidRPr="003C66A0" w:rsidRDefault="0010086C" w:rsidP="00AE1DED">
      <w:pPr>
        <w:jc w:val="both"/>
        <w:rPr>
          <w:rFonts w:eastAsiaTheme="majorEastAsia"/>
          <w:b/>
          <w:bCs/>
          <w:color w:val="000000" w:themeColor="text1"/>
        </w:rPr>
      </w:pPr>
    </w:p>
    <w:p w14:paraId="5A8E5D9E" w14:textId="3A29C1AF" w:rsidR="0076579E" w:rsidRPr="003C66A0" w:rsidRDefault="008D6F57" w:rsidP="00AE1DED">
      <w:pPr>
        <w:pStyle w:val="Heading2"/>
        <w:jc w:val="both"/>
        <w:rPr>
          <w:rFonts w:eastAsiaTheme="majorEastAsia"/>
        </w:rPr>
      </w:pPr>
      <w:bookmarkStart w:id="220" w:name="_Toc214722026"/>
      <w:r w:rsidRPr="003C66A0">
        <w:rPr>
          <w:rFonts w:eastAsiaTheme="majorEastAsia"/>
        </w:rPr>
        <w:t>10</w:t>
      </w:r>
      <w:r w:rsidR="0076579E" w:rsidRPr="003C66A0">
        <w:rPr>
          <w:rFonts w:eastAsiaTheme="majorEastAsia"/>
        </w:rPr>
        <w:t>.6 Performance Attribution: Decomposing Success</w:t>
      </w:r>
      <w:bookmarkEnd w:id="220"/>
    </w:p>
    <w:p w14:paraId="22AA5410" w14:textId="2D7CF1D1" w:rsidR="0076579E" w:rsidRPr="003C66A0" w:rsidRDefault="0076579E" w:rsidP="00AE1DED">
      <w:pPr>
        <w:jc w:val="both"/>
        <w:rPr>
          <w:rFonts w:eastAsiaTheme="majorEastAsia"/>
          <w:color w:val="000000" w:themeColor="text1"/>
        </w:rPr>
      </w:pPr>
      <w:r w:rsidRPr="003C66A0">
        <w:rPr>
          <w:rFonts w:eastAsiaTheme="majorEastAsia"/>
          <w:color w:val="000000" w:themeColor="text1"/>
        </w:rPr>
        <w:t xml:space="preserve">Factor analysis of 156 positions reveals what </w:t>
      </w:r>
      <w:proofErr w:type="gramStart"/>
      <w:r w:rsidRPr="003C66A0">
        <w:rPr>
          <w:rFonts w:eastAsiaTheme="majorEastAsia"/>
          <w:color w:val="000000" w:themeColor="text1"/>
        </w:rPr>
        <w:t>actually drives</w:t>
      </w:r>
      <w:proofErr w:type="gramEnd"/>
      <w:r w:rsidRPr="003C66A0">
        <w:rPr>
          <w:rFonts w:eastAsiaTheme="majorEastAsia"/>
          <w:color w:val="000000" w:themeColor="text1"/>
        </w:rPr>
        <w:t xml:space="preserve"> returns </w:t>
      </w:r>
      <w:r w:rsidR="00403214" w:rsidRPr="003C66A0">
        <w:rPr>
          <w:rFonts w:eastAsiaTheme="majorEastAsia"/>
          <w:color w:val="000000" w:themeColor="text1"/>
        </w:rPr>
        <w:t xml:space="preserve">within </w:t>
      </w:r>
      <w:r w:rsidR="00231D5B" w:rsidRPr="003C66A0">
        <w:rPr>
          <w:rFonts w:eastAsiaTheme="majorEastAsia"/>
          <w:color w:val="000000" w:themeColor="text1"/>
        </w:rPr>
        <w:t xml:space="preserve">my </w:t>
      </w:r>
      <w:r w:rsidR="00403214" w:rsidRPr="003C66A0">
        <w:rPr>
          <w:rFonts w:eastAsiaTheme="majorEastAsia"/>
          <w:color w:val="000000" w:themeColor="text1"/>
        </w:rPr>
        <w:t>empirical dataset:</w:t>
      </w:r>
    </w:p>
    <w:p w14:paraId="737F0956" w14:textId="77777777" w:rsidR="0010086C" w:rsidRPr="003C66A0" w:rsidRDefault="0010086C" w:rsidP="00AE1DED">
      <w:pPr>
        <w:jc w:val="both"/>
        <w:rPr>
          <w:rFonts w:eastAsiaTheme="majorEastAsia"/>
          <w:b/>
          <w:bCs/>
          <w:color w:val="000000" w:themeColor="text1"/>
        </w:rPr>
      </w:pPr>
    </w:p>
    <w:p w14:paraId="7B679F3C" w14:textId="2657059C" w:rsidR="0076579E" w:rsidRPr="00913601" w:rsidRDefault="0076579E" w:rsidP="00AE1DED">
      <w:pPr>
        <w:jc w:val="both"/>
        <w:rPr>
          <w:rFonts w:eastAsiaTheme="majorEastAsia"/>
          <w:color w:val="000000" w:themeColor="text1"/>
        </w:rPr>
      </w:pPr>
      <w:r w:rsidRPr="00913601">
        <w:rPr>
          <w:rFonts w:eastAsiaTheme="majorEastAsia"/>
          <w:color w:val="000000" w:themeColor="text1"/>
        </w:rPr>
        <w:t>Variance Explained:</w:t>
      </w:r>
    </w:p>
    <w:p w14:paraId="5154AE31" w14:textId="77777777" w:rsidR="0076579E" w:rsidRPr="003C66A0" w:rsidRDefault="0076579E" w:rsidP="00AE1DED">
      <w:pPr>
        <w:numPr>
          <w:ilvl w:val="0"/>
          <w:numId w:val="78"/>
        </w:numPr>
        <w:jc w:val="both"/>
        <w:rPr>
          <w:rFonts w:eastAsiaTheme="majorEastAsia"/>
          <w:color w:val="000000" w:themeColor="text1"/>
        </w:rPr>
      </w:pPr>
      <w:r w:rsidRPr="003C66A0">
        <w:rPr>
          <w:rFonts w:eastAsiaTheme="majorEastAsia"/>
          <w:color w:val="000000" w:themeColor="text1"/>
        </w:rPr>
        <w:t>Market beta: 34%</w:t>
      </w:r>
    </w:p>
    <w:p w14:paraId="38AB6F22" w14:textId="77777777" w:rsidR="0076579E" w:rsidRPr="003C66A0" w:rsidRDefault="0076579E" w:rsidP="00AE1DED">
      <w:pPr>
        <w:numPr>
          <w:ilvl w:val="0"/>
          <w:numId w:val="78"/>
        </w:numPr>
        <w:jc w:val="both"/>
        <w:rPr>
          <w:rFonts w:eastAsiaTheme="majorEastAsia"/>
          <w:color w:val="000000" w:themeColor="text1"/>
        </w:rPr>
      </w:pPr>
      <w:r w:rsidRPr="003C66A0">
        <w:rPr>
          <w:rFonts w:eastAsiaTheme="majorEastAsia"/>
          <w:color w:val="000000" w:themeColor="text1"/>
        </w:rPr>
        <w:lastRenderedPageBreak/>
        <w:t>Protocol selection: 21%</w:t>
      </w:r>
    </w:p>
    <w:p w14:paraId="23D34352" w14:textId="77777777" w:rsidR="0076579E" w:rsidRPr="003C66A0" w:rsidRDefault="0076579E" w:rsidP="00AE1DED">
      <w:pPr>
        <w:numPr>
          <w:ilvl w:val="0"/>
          <w:numId w:val="78"/>
        </w:numPr>
        <w:jc w:val="both"/>
        <w:rPr>
          <w:rFonts w:eastAsiaTheme="majorEastAsia"/>
          <w:color w:val="000000" w:themeColor="text1"/>
        </w:rPr>
      </w:pPr>
      <w:r w:rsidRPr="003C66A0">
        <w:rPr>
          <w:rFonts w:eastAsiaTheme="majorEastAsia"/>
          <w:color w:val="000000" w:themeColor="text1"/>
        </w:rPr>
        <w:t>Timing: 19%</w:t>
      </w:r>
    </w:p>
    <w:p w14:paraId="7ACA5DB4" w14:textId="77777777" w:rsidR="0076579E" w:rsidRPr="003C66A0" w:rsidRDefault="0076579E" w:rsidP="00AE1DED">
      <w:pPr>
        <w:numPr>
          <w:ilvl w:val="0"/>
          <w:numId w:val="78"/>
        </w:numPr>
        <w:jc w:val="both"/>
        <w:rPr>
          <w:rFonts w:eastAsiaTheme="majorEastAsia"/>
          <w:color w:val="000000" w:themeColor="text1"/>
        </w:rPr>
      </w:pPr>
      <w:r w:rsidRPr="003C66A0">
        <w:rPr>
          <w:rFonts w:eastAsiaTheme="majorEastAsia"/>
          <w:color w:val="000000" w:themeColor="text1"/>
        </w:rPr>
        <w:t>Fee income: 14%</w:t>
      </w:r>
    </w:p>
    <w:p w14:paraId="4079B615" w14:textId="77777777" w:rsidR="0076579E" w:rsidRPr="003C66A0" w:rsidRDefault="0076579E" w:rsidP="00AE1DED">
      <w:pPr>
        <w:numPr>
          <w:ilvl w:val="0"/>
          <w:numId w:val="78"/>
        </w:numPr>
        <w:jc w:val="both"/>
        <w:rPr>
          <w:rFonts w:eastAsiaTheme="majorEastAsia"/>
          <w:color w:val="000000" w:themeColor="text1"/>
        </w:rPr>
      </w:pPr>
      <w:r w:rsidRPr="003C66A0">
        <w:rPr>
          <w:rFonts w:eastAsiaTheme="majorEastAsia"/>
          <w:color w:val="000000" w:themeColor="text1"/>
        </w:rPr>
        <w:t>Execution quality: 8%</w:t>
      </w:r>
    </w:p>
    <w:p w14:paraId="184B087E" w14:textId="77777777" w:rsidR="0076579E" w:rsidRPr="003C66A0" w:rsidRDefault="0076579E" w:rsidP="00AE1DED">
      <w:pPr>
        <w:numPr>
          <w:ilvl w:val="0"/>
          <w:numId w:val="78"/>
        </w:numPr>
        <w:jc w:val="both"/>
        <w:rPr>
          <w:rFonts w:eastAsiaTheme="majorEastAsia"/>
          <w:color w:val="000000" w:themeColor="text1"/>
        </w:rPr>
      </w:pPr>
      <w:r w:rsidRPr="003C66A0">
        <w:rPr>
          <w:rFonts w:eastAsiaTheme="majorEastAsia"/>
          <w:color w:val="000000" w:themeColor="text1"/>
        </w:rPr>
        <w:t>Unexplained: 4%</w:t>
      </w:r>
    </w:p>
    <w:p w14:paraId="6329D743" w14:textId="77777777" w:rsidR="00AB62C4" w:rsidRPr="003C66A0" w:rsidRDefault="00AB62C4" w:rsidP="00AE1DED">
      <w:pPr>
        <w:jc w:val="both"/>
        <w:rPr>
          <w:rFonts w:eastAsiaTheme="majorEastAsia"/>
          <w:color w:val="000000" w:themeColor="text1"/>
        </w:rPr>
      </w:pPr>
    </w:p>
    <w:p w14:paraId="11917A7B" w14:textId="7AC4CF2F" w:rsidR="0076579E" w:rsidRPr="003C66A0" w:rsidRDefault="0076579E" w:rsidP="00AE1DED">
      <w:pPr>
        <w:jc w:val="both"/>
        <w:rPr>
          <w:rFonts w:eastAsiaTheme="majorEastAsia"/>
          <w:color w:val="000000" w:themeColor="text1"/>
        </w:rPr>
      </w:pPr>
      <w:r w:rsidRPr="003C66A0">
        <w:rPr>
          <w:rFonts w:eastAsiaTheme="majorEastAsia"/>
          <w:color w:val="000000" w:themeColor="text1"/>
        </w:rPr>
        <w:t>Participants wer</w:t>
      </w:r>
      <w:r w:rsidR="00515E94" w:rsidRPr="003C66A0">
        <w:rPr>
          <w:rFonts w:eastAsiaTheme="majorEastAsia"/>
          <w:color w:val="000000" w:themeColor="text1"/>
        </w:rPr>
        <w:t>e not</w:t>
      </w:r>
      <w:r w:rsidRPr="003C66A0">
        <w:rPr>
          <w:rFonts w:eastAsiaTheme="majorEastAsia"/>
          <w:color w:val="000000" w:themeColor="text1"/>
        </w:rPr>
        <w:t xml:space="preserve"> earning fees</w:t>
      </w:r>
      <w:r w:rsidR="00515E94" w:rsidRPr="003C66A0">
        <w:rPr>
          <w:rFonts w:eastAsiaTheme="majorEastAsia"/>
          <w:color w:val="000000" w:themeColor="text1"/>
        </w:rPr>
        <w:t xml:space="preserve">, instead </w:t>
      </w:r>
      <w:r w:rsidRPr="003C66A0">
        <w:rPr>
          <w:rFonts w:eastAsiaTheme="majorEastAsia"/>
          <w:color w:val="000000" w:themeColor="text1"/>
        </w:rPr>
        <w:t xml:space="preserve">they were making leveraged market bets with fee components. This finding aligns with behavioral finance research showing most </w:t>
      </w:r>
      <w:r w:rsidR="003264F5">
        <w:rPr>
          <w:rFonts w:eastAsiaTheme="majorEastAsia"/>
          <w:color w:val="000000" w:themeColor="text1"/>
        </w:rPr>
        <w:t>“</w:t>
      </w:r>
      <w:r w:rsidRPr="003C66A0">
        <w:rPr>
          <w:rFonts w:eastAsiaTheme="majorEastAsia"/>
          <w:color w:val="000000" w:themeColor="text1"/>
        </w:rPr>
        <w:t>alpha</w:t>
      </w:r>
      <w:r w:rsidR="003264F5">
        <w:rPr>
          <w:rFonts w:eastAsiaTheme="majorEastAsia"/>
          <w:color w:val="000000" w:themeColor="text1"/>
        </w:rPr>
        <w:t>”</w:t>
      </w:r>
      <w:r w:rsidRPr="003C66A0">
        <w:rPr>
          <w:rFonts w:eastAsiaTheme="majorEastAsia"/>
          <w:color w:val="000000" w:themeColor="text1"/>
        </w:rPr>
        <w:t xml:space="preserve"> is </w:t>
      </w:r>
      <w:r w:rsidR="003264F5" w:rsidRPr="003C66A0">
        <w:rPr>
          <w:rFonts w:eastAsiaTheme="majorEastAsia"/>
          <w:color w:val="000000" w:themeColor="text1"/>
        </w:rPr>
        <w:t>hidden</w:t>
      </w:r>
      <w:r w:rsidRPr="003C66A0">
        <w:rPr>
          <w:rFonts w:eastAsiaTheme="majorEastAsia"/>
          <w:color w:val="000000" w:themeColor="text1"/>
        </w:rPr>
        <w:t xml:space="preserve"> beta exposure (Fama &amp; French, 2010).</w:t>
      </w:r>
    </w:p>
    <w:p w14:paraId="13E250B3" w14:textId="77777777" w:rsidR="0010086C" w:rsidRPr="003C66A0" w:rsidRDefault="0010086C" w:rsidP="00AE1DED">
      <w:pPr>
        <w:jc w:val="both"/>
        <w:rPr>
          <w:rFonts w:eastAsiaTheme="majorEastAsia"/>
          <w:b/>
          <w:bCs/>
          <w:color w:val="000000" w:themeColor="text1"/>
        </w:rPr>
      </w:pPr>
    </w:p>
    <w:p w14:paraId="151476B6" w14:textId="3F6C6674" w:rsidR="0076579E" w:rsidRPr="003C66A0" w:rsidRDefault="008D6F57" w:rsidP="00AE1DED">
      <w:pPr>
        <w:pStyle w:val="Heading2"/>
        <w:jc w:val="both"/>
        <w:rPr>
          <w:rFonts w:eastAsiaTheme="majorEastAsia"/>
        </w:rPr>
      </w:pPr>
      <w:bookmarkStart w:id="221" w:name="_Toc214722027"/>
      <w:r w:rsidRPr="003C66A0">
        <w:rPr>
          <w:rFonts w:eastAsiaTheme="majorEastAsia"/>
        </w:rPr>
        <w:t>10</w:t>
      </w:r>
      <w:r w:rsidR="0076579E" w:rsidRPr="003C66A0">
        <w:rPr>
          <w:rFonts w:eastAsiaTheme="majorEastAsia"/>
        </w:rPr>
        <w:t>.7 Tax Implications: The Hidden Destroyer</w:t>
      </w:r>
      <w:bookmarkEnd w:id="221"/>
    </w:p>
    <w:p w14:paraId="4D1AD62B" w14:textId="29A57724" w:rsidR="0076579E" w:rsidRPr="003C66A0" w:rsidRDefault="0076579E" w:rsidP="00AE1DED">
      <w:pPr>
        <w:jc w:val="both"/>
        <w:rPr>
          <w:rFonts w:eastAsiaTheme="majorEastAsia"/>
          <w:color w:val="000000" w:themeColor="text1"/>
        </w:rPr>
      </w:pPr>
      <w:r w:rsidRPr="003C66A0">
        <w:rPr>
          <w:rFonts w:eastAsiaTheme="majorEastAsia"/>
          <w:color w:val="000000" w:themeColor="text1"/>
        </w:rPr>
        <w:t xml:space="preserve">Tax treatment dramatically affects </w:t>
      </w:r>
      <w:r w:rsidR="00515E94" w:rsidRPr="003C66A0">
        <w:rPr>
          <w:rFonts w:eastAsiaTheme="majorEastAsia"/>
          <w:color w:val="000000" w:themeColor="text1"/>
        </w:rPr>
        <w:t xml:space="preserve">all </w:t>
      </w:r>
      <w:r w:rsidRPr="003C66A0">
        <w:rPr>
          <w:rFonts w:eastAsiaTheme="majorEastAsia"/>
          <w:color w:val="000000" w:themeColor="text1"/>
        </w:rPr>
        <w:t>net returns but rarely enters optimization frameworks:</w:t>
      </w:r>
    </w:p>
    <w:p w14:paraId="2A053F38" w14:textId="77777777" w:rsidR="0010086C" w:rsidRPr="003C66A0" w:rsidRDefault="0010086C" w:rsidP="00AE1DED">
      <w:pPr>
        <w:jc w:val="both"/>
        <w:rPr>
          <w:rFonts w:eastAsiaTheme="majorEastAsia"/>
          <w:b/>
          <w:bCs/>
          <w:color w:val="000000" w:themeColor="text1"/>
        </w:rPr>
      </w:pPr>
    </w:p>
    <w:p w14:paraId="3DFF31E6" w14:textId="76BC1F2F" w:rsidR="0076579E" w:rsidRPr="00913601" w:rsidRDefault="0076579E" w:rsidP="00AE1DED">
      <w:pPr>
        <w:jc w:val="both"/>
        <w:rPr>
          <w:rFonts w:eastAsiaTheme="majorEastAsia"/>
          <w:color w:val="000000" w:themeColor="text1"/>
        </w:rPr>
      </w:pPr>
      <w:r w:rsidRPr="00913601">
        <w:rPr>
          <w:rFonts w:eastAsiaTheme="majorEastAsia"/>
          <w:color w:val="000000" w:themeColor="text1"/>
        </w:rPr>
        <w:t>After-Tax Impact by Strategy (</w:t>
      </w:r>
      <w:r w:rsidR="00CB5DAD" w:rsidRPr="00913601">
        <w:rPr>
          <w:rFonts w:eastAsiaTheme="majorEastAsia"/>
          <w:color w:val="000000" w:themeColor="text1"/>
        </w:rPr>
        <w:t>observed in this stud</w:t>
      </w:r>
      <w:r w:rsidR="00CF0F13" w:rsidRPr="00913601">
        <w:rPr>
          <w:rFonts w:eastAsiaTheme="majorEastAsia"/>
          <w:color w:val="000000" w:themeColor="text1"/>
        </w:rPr>
        <w:t>y</w:t>
      </w:r>
      <w:r w:rsidRPr="00913601">
        <w:rPr>
          <w:rFonts w:eastAsiaTheme="majorEastAsia"/>
          <w:color w:val="000000" w:themeColor="text1"/>
        </w:rPr>
        <w:t>):</w:t>
      </w:r>
    </w:p>
    <w:p w14:paraId="022A146F" w14:textId="77777777" w:rsidR="0076579E" w:rsidRPr="003C66A0" w:rsidRDefault="0076579E" w:rsidP="00AE1DED">
      <w:pPr>
        <w:numPr>
          <w:ilvl w:val="0"/>
          <w:numId w:val="79"/>
        </w:numPr>
        <w:jc w:val="both"/>
        <w:rPr>
          <w:rFonts w:eastAsiaTheme="majorEastAsia"/>
          <w:color w:val="000000" w:themeColor="text1"/>
        </w:rPr>
      </w:pPr>
      <w:r w:rsidRPr="003C66A0">
        <w:rPr>
          <w:rFonts w:eastAsiaTheme="majorEastAsia"/>
          <w:color w:val="000000" w:themeColor="text1"/>
        </w:rPr>
        <w:t>Daily rebalancing: 35-45% return reduction</w:t>
      </w:r>
    </w:p>
    <w:p w14:paraId="235E8B91" w14:textId="77777777" w:rsidR="0076579E" w:rsidRPr="003C66A0" w:rsidRDefault="0076579E" w:rsidP="00AE1DED">
      <w:pPr>
        <w:numPr>
          <w:ilvl w:val="0"/>
          <w:numId w:val="79"/>
        </w:numPr>
        <w:jc w:val="both"/>
        <w:rPr>
          <w:rFonts w:eastAsiaTheme="majorEastAsia"/>
          <w:color w:val="000000" w:themeColor="text1"/>
        </w:rPr>
      </w:pPr>
      <w:r w:rsidRPr="003C66A0">
        <w:rPr>
          <w:rFonts w:eastAsiaTheme="majorEastAsia"/>
          <w:color w:val="000000" w:themeColor="text1"/>
        </w:rPr>
        <w:t>Weekly: 20-25% reduction</w:t>
      </w:r>
    </w:p>
    <w:p w14:paraId="7D1CF7B7" w14:textId="77777777" w:rsidR="0076579E" w:rsidRPr="003C66A0" w:rsidRDefault="0076579E" w:rsidP="00AE1DED">
      <w:pPr>
        <w:numPr>
          <w:ilvl w:val="0"/>
          <w:numId w:val="79"/>
        </w:numPr>
        <w:jc w:val="both"/>
        <w:rPr>
          <w:rFonts w:eastAsiaTheme="majorEastAsia"/>
          <w:color w:val="000000" w:themeColor="text1"/>
        </w:rPr>
      </w:pPr>
      <w:r w:rsidRPr="003C66A0">
        <w:rPr>
          <w:rFonts w:eastAsiaTheme="majorEastAsia"/>
          <w:color w:val="000000" w:themeColor="text1"/>
        </w:rPr>
        <w:t>Monthly: 15-18% reduction</w:t>
      </w:r>
    </w:p>
    <w:p w14:paraId="5B58279B" w14:textId="77777777" w:rsidR="0076579E" w:rsidRPr="003C66A0" w:rsidRDefault="0076579E" w:rsidP="00AE1DED">
      <w:pPr>
        <w:numPr>
          <w:ilvl w:val="0"/>
          <w:numId w:val="79"/>
        </w:numPr>
        <w:jc w:val="both"/>
        <w:rPr>
          <w:rFonts w:eastAsiaTheme="majorEastAsia"/>
          <w:color w:val="000000" w:themeColor="text1"/>
        </w:rPr>
      </w:pPr>
      <w:r w:rsidRPr="003C66A0">
        <w:rPr>
          <w:rFonts w:eastAsiaTheme="majorEastAsia"/>
          <w:color w:val="000000" w:themeColor="text1"/>
        </w:rPr>
        <w:t>Buy and hold: 0% until exit</w:t>
      </w:r>
    </w:p>
    <w:p w14:paraId="04E7AA50" w14:textId="77777777" w:rsidR="00AB62C4" w:rsidRPr="003C66A0" w:rsidRDefault="00AB62C4" w:rsidP="00AE1DED">
      <w:pPr>
        <w:jc w:val="both"/>
        <w:rPr>
          <w:rFonts w:eastAsiaTheme="majorEastAsia"/>
          <w:color w:val="000000" w:themeColor="text1"/>
        </w:rPr>
      </w:pPr>
    </w:p>
    <w:p w14:paraId="5FF45686" w14:textId="1D0E8A27" w:rsidR="0076579E" w:rsidRPr="003C66A0" w:rsidRDefault="0076579E" w:rsidP="00AE1DED">
      <w:pPr>
        <w:jc w:val="both"/>
        <w:rPr>
          <w:rFonts w:eastAsiaTheme="majorEastAsia"/>
          <w:color w:val="000000" w:themeColor="text1"/>
        </w:rPr>
      </w:pPr>
      <w:r w:rsidRPr="003C66A0">
        <w:rPr>
          <w:rFonts w:eastAsiaTheme="majorEastAsia"/>
          <w:color w:val="000000" w:themeColor="text1"/>
        </w:rPr>
        <w:t>For 8% gross returns, active management yields 4.8-5.6% after-tax while passive holding yields 6.4% (based on U.S. short-term capital gains rates). Tax efficiency often matters more than gross optimization.</w:t>
      </w:r>
      <w:r w:rsidR="00515E94" w:rsidRPr="003C66A0">
        <w:rPr>
          <w:rFonts w:eastAsiaTheme="majorEastAsia"/>
          <w:color w:val="000000" w:themeColor="text1"/>
        </w:rPr>
        <w:t xml:space="preserve"> This is also one of the </w:t>
      </w:r>
      <w:r w:rsidR="003264F5" w:rsidRPr="003C66A0">
        <w:rPr>
          <w:rFonts w:eastAsiaTheme="majorEastAsia"/>
          <w:color w:val="000000" w:themeColor="text1"/>
        </w:rPr>
        <w:t>components</w:t>
      </w:r>
      <w:r w:rsidR="00515E94" w:rsidRPr="003C66A0">
        <w:rPr>
          <w:rFonts w:eastAsiaTheme="majorEastAsia"/>
          <w:color w:val="000000" w:themeColor="text1"/>
        </w:rPr>
        <w:t xml:space="preserve"> that </w:t>
      </w:r>
      <w:proofErr w:type="gramStart"/>
      <w:r w:rsidR="00515E94" w:rsidRPr="003C66A0">
        <w:rPr>
          <w:rFonts w:eastAsiaTheme="majorEastAsia"/>
          <w:color w:val="000000" w:themeColor="text1"/>
        </w:rPr>
        <w:t>needs</w:t>
      </w:r>
      <w:proofErr w:type="gramEnd"/>
      <w:r w:rsidR="00515E94" w:rsidRPr="003C66A0">
        <w:rPr>
          <w:rFonts w:eastAsiaTheme="majorEastAsia"/>
          <w:color w:val="000000" w:themeColor="text1"/>
        </w:rPr>
        <w:t xml:space="preserve"> to be considered when calculating </w:t>
      </w:r>
      <w:proofErr w:type="gramStart"/>
      <w:r w:rsidR="00515E94" w:rsidRPr="003C66A0">
        <w:rPr>
          <w:rFonts w:eastAsiaTheme="majorEastAsia"/>
          <w:color w:val="000000" w:themeColor="text1"/>
        </w:rPr>
        <w:t>a;;</w:t>
      </w:r>
      <w:proofErr w:type="gramEnd"/>
      <w:r w:rsidR="00515E94" w:rsidRPr="003C66A0">
        <w:rPr>
          <w:rFonts w:eastAsiaTheme="majorEastAsia"/>
          <w:color w:val="000000" w:themeColor="text1"/>
        </w:rPr>
        <w:t xml:space="preserve"> operational cost including associated costs that may not be </w:t>
      </w:r>
      <w:r w:rsidR="00913601" w:rsidRPr="003C66A0">
        <w:rPr>
          <w:rFonts w:eastAsiaTheme="majorEastAsia"/>
          <w:color w:val="000000" w:themeColor="text1"/>
        </w:rPr>
        <w:t>direct</w:t>
      </w:r>
      <w:r w:rsidR="00515E94" w:rsidRPr="003C66A0">
        <w:rPr>
          <w:rFonts w:eastAsiaTheme="majorEastAsia"/>
          <w:color w:val="000000" w:themeColor="text1"/>
        </w:rPr>
        <w:t>.</w:t>
      </w:r>
    </w:p>
    <w:p w14:paraId="38C19D4B" w14:textId="77777777" w:rsidR="0010086C" w:rsidRPr="003C66A0" w:rsidRDefault="0010086C" w:rsidP="00AE1DED">
      <w:pPr>
        <w:jc w:val="both"/>
        <w:rPr>
          <w:rFonts w:eastAsiaTheme="majorEastAsia"/>
          <w:b/>
          <w:bCs/>
          <w:color w:val="000000" w:themeColor="text1"/>
        </w:rPr>
      </w:pPr>
    </w:p>
    <w:p w14:paraId="3BA83E21" w14:textId="5C3AD7CE" w:rsidR="0076579E" w:rsidRPr="003C66A0" w:rsidRDefault="008D6F57" w:rsidP="00AE1DED">
      <w:pPr>
        <w:pStyle w:val="Heading2"/>
        <w:jc w:val="both"/>
        <w:rPr>
          <w:rFonts w:eastAsiaTheme="majorEastAsia"/>
        </w:rPr>
      </w:pPr>
      <w:bookmarkStart w:id="222" w:name="_Toc214722028"/>
      <w:r w:rsidRPr="003C66A0">
        <w:rPr>
          <w:rFonts w:eastAsiaTheme="majorEastAsia"/>
        </w:rPr>
        <w:t>10</w:t>
      </w:r>
      <w:r w:rsidR="0076579E" w:rsidRPr="003C66A0">
        <w:rPr>
          <w:rFonts w:eastAsiaTheme="majorEastAsia"/>
        </w:rPr>
        <w:t>.8 Geographic and Regulatory Considerations</w:t>
      </w:r>
      <w:bookmarkEnd w:id="222"/>
    </w:p>
    <w:p w14:paraId="40643D99" w14:textId="49736D58" w:rsidR="0076579E" w:rsidRPr="003C66A0" w:rsidRDefault="0076579E" w:rsidP="00AE1DED">
      <w:pPr>
        <w:jc w:val="both"/>
        <w:rPr>
          <w:rFonts w:eastAsiaTheme="majorEastAsia"/>
          <w:color w:val="000000" w:themeColor="text1"/>
        </w:rPr>
      </w:pPr>
      <w:r w:rsidRPr="003C66A0">
        <w:rPr>
          <w:rFonts w:eastAsiaTheme="majorEastAsia"/>
          <w:color w:val="000000" w:themeColor="text1"/>
        </w:rPr>
        <w:t xml:space="preserve">Location significantly influences opportunity viability </w:t>
      </w:r>
      <w:r w:rsidR="00983727" w:rsidRPr="003C66A0">
        <w:rPr>
          <w:rFonts w:eastAsiaTheme="majorEastAsia"/>
          <w:color w:val="000000" w:themeColor="text1"/>
        </w:rPr>
        <w:t xml:space="preserve">based on </w:t>
      </w:r>
      <w:r w:rsidR="00231D5B" w:rsidRPr="003C66A0">
        <w:rPr>
          <w:rFonts w:eastAsiaTheme="majorEastAsia"/>
          <w:color w:val="000000" w:themeColor="text1"/>
        </w:rPr>
        <w:t xml:space="preserve">my </w:t>
      </w:r>
      <w:r w:rsidR="00983727" w:rsidRPr="003C66A0">
        <w:rPr>
          <w:rFonts w:eastAsiaTheme="majorEastAsia"/>
          <w:color w:val="000000" w:themeColor="text1"/>
        </w:rPr>
        <w:t>empirical sample</w:t>
      </w:r>
      <w:r w:rsidRPr="003C66A0">
        <w:rPr>
          <w:rFonts w:eastAsiaTheme="majorEastAsia"/>
          <w:color w:val="000000" w:themeColor="text1"/>
        </w:rPr>
        <w:t>:</w:t>
      </w:r>
    </w:p>
    <w:p w14:paraId="77D74EF9" w14:textId="77777777" w:rsidR="0010086C" w:rsidRPr="003C66A0" w:rsidRDefault="0010086C" w:rsidP="00AE1DED">
      <w:pPr>
        <w:jc w:val="both"/>
        <w:rPr>
          <w:rFonts w:eastAsiaTheme="majorEastAsia"/>
          <w:b/>
          <w:bCs/>
          <w:color w:val="000000" w:themeColor="text1"/>
        </w:rPr>
      </w:pPr>
    </w:p>
    <w:p w14:paraId="609BE69B" w14:textId="6B961603" w:rsidR="0076579E" w:rsidRPr="003C66A0" w:rsidRDefault="0076579E" w:rsidP="00AE1DED">
      <w:pPr>
        <w:jc w:val="both"/>
        <w:rPr>
          <w:rFonts w:eastAsiaTheme="majorEastAsia"/>
          <w:color w:val="000000" w:themeColor="text1"/>
        </w:rPr>
      </w:pPr>
      <w:r w:rsidRPr="003C66A0">
        <w:rPr>
          <w:rFonts w:eastAsiaTheme="majorEastAsia"/>
          <w:b/>
          <w:bCs/>
          <w:color w:val="000000" w:themeColor="text1"/>
        </w:rPr>
        <w:t>Regional Advantages:</w:t>
      </w:r>
    </w:p>
    <w:p w14:paraId="57EAA1D9" w14:textId="77777777" w:rsidR="0076579E" w:rsidRPr="003C66A0" w:rsidRDefault="0076579E" w:rsidP="00AE1DED">
      <w:pPr>
        <w:numPr>
          <w:ilvl w:val="0"/>
          <w:numId w:val="80"/>
        </w:numPr>
        <w:jc w:val="both"/>
        <w:rPr>
          <w:rFonts w:eastAsiaTheme="majorEastAsia"/>
          <w:color w:val="000000" w:themeColor="text1"/>
        </w:rPr>
      </w:pPr>
      <w:r w:rsidRPr="003C66A0">
        <w:rPr>
          <w:rFonts w:eastAsiaTheme="majorEastAsia"/>
          <w:color w:val="000000" w:themeColor="text1"/>
        </w:rPr>
        <w:t>United States: Best fiat infrastructure, heaviest regulatory burden</w:t>
      </w:r>
    </w:p>
    <w:p w14:paraId="5F4FDDFE" w14:textId="77777777" w:rsidR="0076579E" w:rsidRPr="003C66A0" w:rsidRDefault="0076579E" w:rsidP="00AE1DED">
      <w:pPr>
        <w:numPr>
          <w:ilvl w:val="0"/>
          <w:numId w:val="80"/>
        </w:numPr>
        <w:jc w:val="both"/>
        <w:rPr>
          <w:rFonts w:eastAsiaTheme="majorEastAsia"/>
          <w:color w:val="000000" w:themeColor="text1"/>
        </w:rPr>
      </w:pPr>
      <w:r w:rsidRPr="003C66A0">
        <w:rPr>
          <w:rFonts w:eastAsiaTheme="majorEastAsia"/>
          <w:color w:val="000000" w:themeColor="text1"/>
        </w:rPr>
        <w:t>Europe: Clear frameworks post-</w:t>
      </w:r>
      <w:proofErr w:type="spellStart"/>
      <w:r w:rsidRPr="003C66A0">
        <w:rPr>
          <w:rFonts w:eastAsiaTheme="majorEastAsia"/>
          <w:color w:val="000000" w:themeColor="text1"/>
        </w:rPr>
        <w:t>MiCA</w:t>
      </w:r>
      <w:proofErr w:type="spellEnd"/>
      <w:r w:rsidRPr="003C66A0">
        <w:rPr>
          <w:rFonts w:eastAsiaTheme="majorEastAsia"/>
          <w:color w:val="000000" w:themeColor="text1"/>
        </w:rPr>
        <w:t>, fragmented tax treatment</w:t>
      </w:r>
    </w:p>
    <w:p w14:paraId="16044326" w14:textId="77777777" w:rsidR="0076579E" w:rsidRPr="003C66A0" w:rsidRDefault="0076579E" w:rsidP="00AE1DED">
      <w:pPr>
        <w:numPr>
          <w:ilvl w:val="0"/>
          <w:numId w:val="80"/>
        </w:numPr>
        <w:jc w:val="both"/>
        <w:rPr>
          <w:rFonts w:eastAsiaTheme="majorEastAsia"/>
          <w:color w:val="000000" w:themeColor="text1"/>
        </w:rPr>
      </w:pPr>
      <w:r w:rsidRPr="003C66A0">
        <w:rPr>
          <w:rFonts w:eastAsiaTheme="majorEastAsia"/>
          <w:color w:val="000000" w:themeColor="text1"/>
        </w:rPr>
        <w:t>Asia: Regulatory uncertainty, widest protocol access</w:t>
      </w:r>
    </w:p>
    <w:p w14:paraId="3C90D588" w14:textId="77777777" w:rsidR="0076579E" w:rsidRPr="003C66A0" w:rsidRDefault="0076579E" w:rsidP="00AE1DED">
      <w:pPr>
        <w:numPr>
          <w:ilvl w:val="0"/>
          <w:numId w:val="80"/>
        </w:numPr>
        <w:jc w:val="both"/>
        <w:rPr>
          <w:rFonts w:eastAsiaTheme="majorEastAsia"/>
          <w:color w:val="000000" w:themeColor="text1"/>
        </w:rPr>
      </w:pPr>
      <w:r w:rsidRPr="003C66A0">
        <w:rPr>
          <w:rFonts w:eastAsiaTheme="majorEastAsia"/>
          <w:color w:val="000000" w:themeColor="text1"/>
        </w:rPr>
        <w:t>Developing markets: Dollar stablecoin yields attractive versus local currency depreciation</w:t>
      </w:r>
    </w:p>
    <w:p w14:paraId="3B773313" w14:textId="77777777" w:rsidR="00515E94" w:rsidRPr="003C66A0" w:rsidRDefault="00515E94" w:rsidP="00AE1DED">
      <w:pPr>
        <w:jc w:val="both"/>
        <w:rPr>
          <w:rFonts w:eastAsiaTheme="majorEastAsia"/>
          <w:color w:val="000000" w:themeColor="text1"/>
        </w:rPr>
      </w:pPr>
    </w:p>
    <w:p w14:paraId="1B5C9C3F" w14:textId="62DABF3B" w:rsidR="0076579E" w:rsidRPr="003C66A0" w:rsidRDefault="0076579E" w:rsidP="00AE1DED">
      <w:pPr>
        <w:jc w:val="both"/>
        <w:rPr>
          <w:rFonts w:eastAsiaTheme="majorEastAsia"/>
          <w:color w:val="000000" w:themeColor="text1"/>
        </w:rPr>
      </w:pPr>
      <w:r w:rsidRPr="003C66A0">
        <w:rPr>
          <w:rFonts w:eastAsiaTheme="majorEastAsia"/>
          <w:color w:val="000000" w:themeColor="text1"/>
        </w:rPr>
        <w:t xml:space="preserve">Regulatory arbitrage attempts proved </w:t>
      </w:r>
      <w:r w:rsidR="00515E94" w:rsidRPr="003C66A0">
        <w:rPr>
          <w:rFonts w:eastAsiaTheme="majorEastAsia"/>
          <w:color w:val="000000" w:themeColor="text1"/>
        </w:rPr>
        <w:t xml:space="preserve">to be </w:t>
      </w:r>
      <w:r w:rsidRPr="003C66A0">
        <w:rPr>
          <w:rFonts w:eastAsiaTheme="majorEastAsia"/>
          <w:color w:val="000000" w:themeColor="text1"/>
        </w:rPr>
        <w:t xml:space="preserve">expensive and ineffective. </w:t>
      </w:r>
      <w:r w:rsidR="00515E94" w:rsidRPr="003C66A0">
        <w:rPr>
          <w:rFonts w:eastAsiaTheme="majorEastAsia"/>
          <w:color w:val="000000" w:themeColor="text1"/>
        </w:rPr>
        <w:t>The l</w:t>
      </w:r>
      <w:r w:rsidRPr="003C66A0">
        <w:rPr>
          <w:rFonts w:eastAsiaTheme="majorEastAsia"/>
          <w:color w:val="000000" w:themeColor="text1"/>
        </w:rPr>
        <w:t xml:space="preserve">egal costs ($5,000-15,000 setup, $2,000-5,000 annual) eliminated </w:t>
      </w:r>
      <w:r w:rsidR="00515E94" w:rsidRPr="003C66A0">
        <w:rPr>
          <w:rFonts w:eastAsiaTheme="majorEastAsia"/>
          <w:color w:val="000000" w:themeColor="text1"/>
        </w:rPr>
        <w:t xml:space="preserve">most </w:t>
      </w:r>
      <w:r w:rsidRPr="003C66A0">
        <w:rPr>
          <w:rFonts w:eastAsiaTheme="majorEastAsia"/>
          <w:color w:val="000000" w:themeColor="text1"/>
        </w:rPr>
        <w:t xml:space="preserve">profits for positions under $50,000 </w:t>
      </w:r>
      <w:r w:rsidR="00983727" w:rsidRPr="003C66A0">
        <w:rPr>
          <w:rFonts w:eastAsiaTheme="majorEastAsia"/>
          <w:color w:val="000000" w:themeColor="text1"/>
        </w:rPr>
        <w:t xml:space="preserve">based on </w:t>
      </w:r>
      <w:r w:rsidR="00231D5B" w:rsidRPr="003C66A0">
        <w:rPr>
          <w:rFonts w:eastAsiaTheme="majorEastAsia"/>
          <w:color w:val="000000" w:themeColor="text1"/>
        </w:rPr>
        <w:t xml:space="preserve">my </w:t>
      </w:r>
      <w:r w:rsidR="00983727" w:rsidRPr="003C66A0">
        <w:rPr>
          <w:rFonts w:eastAsiaTheme="majorEastAsia"/>
          <w:color w:val="000000" w:themeColor="text1"/>
        </w:rPr>
        <w:t>empirical sample</w:t>
      </w:r>
      <w:r w:rsidRPr="003C66A0">
        <w:rPr>
          <w:rFonts w:eastAsiaTheme="majorEastAsia"/>
          <w:color w:val="000000" w:themeColor="text1"/>
        </w:rPr>
        <w:t>.</w:t>
      </w:r>
    </w:p>
    <w:p w14:paraId="127E6506" w14:textId="77777777" w:rsidR="0010086C" w:rsidRPr="003C66A0" w:rsidRDefault="0010086C" w:rsidP="00AE1DED">
      <w:pPr>
        <w:jc w:val="both"/>
        <w:rPr>
          <w:rFonts w:eastAsiaTheme="majorEastAsia"/>
          <w:b/>
          <w:bCs/>
          <w:color w:val="000000" w:themeColor="text1"/>
        </w:rPr>
      </w:pPr>
    </w:p>
    <w:p w14:paraId="4AE2EE8F" w14:textId="402BAD22" w:rsidR="0076579E" w:rsidRPr="003C66A0" w:rsidRDefault="008D6F57" w:rsidP="00AE1DED">
      <w:pPr>
        <w:pStyle w:val="Heading2"/>
        <w:jc w:val="both"/>
        <w:rPr>
          <w:rFonts w:eastAsiaTheme="majorEastAsia"/>
        </w:rPr>
      </w:pPr>
      <w:bookmarkStart w:id="223" w:name="_Toc214722029"/>
      <w:r w:rsidRPr="003C66A0">
        <w:rPr>
          <w:rFonts w:eastAsiaTheme="majorEastAsia"/>
        </w:rPr>
        <w:t>10</w:t>
      </w:r>
      <w:r w:rsidR="0076579E" w:rsidRPr="003C66A0">
        <w:rPr>
          <w:rFonts w:eastAsiaTheme="majorEastAsia"/>
        </w:rPr>
        <w:t>.9 Implementation Framework: Practical Guidance</w:t>
      </w:r>
      <w:bookmarkEnd w:id="223"/>
    </w:p>
    <w:p w14:paraId="7EE6BD56" w14:textId="6E5DE354" w:rsidR="0076579E" w:rsidRPr="003C66A0" w:rsidRDefault="0076579E" w:rsidP="00AE1DED">
      <w:pPr>
        <w:jc w:val="both"/>
        <w:rPr>
          <w:rFonts w:eastAsiaTheme="majorEastAsia"/>
          <w:color w:val="000000" w:themeColor="text1"/>
        </w:rPr>
      </w:pPr>
      <w:r w:rsidRPr="003C66A0">
        <w:rPr>
          <w:rFonts w:eastAsiaTheme="majorEastAsia"/>
          <w:color w:val="000000" w:themeColor="text1"/>
        </w:rPr>
        <w:t xml:space="preserve">Based on empirical findings, </w:t>
      </w:r>
      <w:r w:rsidR="00515E94" w:rsidRPr="003C66A0">
        <w:rPr>
          <w:rFonts w:eastAsiaTheme="majorEastAsia"/>
          <w:color w:val="000000" w:themeColor="text1"/>
        </w:rPr>
        <w:t xml:space="preserve">a </w:t>
      </w:r>
      <w:r w:rsidRPr="003C66A0">
        <w:rPr>
          <w:rFonts w:eastAsiaTheme="majorEastAsia"/>
          <w:color w:val="000000" w:themeColor="text1"/>
        </w:rPr>
        <w:t>successful implementation requires matching resources to strategies</w:t>
      </w:r>
      <w:r w:rsidR="00515E94" w:rsidRPr="003C66A0">
        <w:rPr>
          <w:rFonts w:eastAsiaTheme="majorEastAsia"/>
          <w:color w:val="000000" w:themeColor="text1"/>
        </w:rPr>
        <w:t xml:space="preserve"> as per the following:</w:t>
      </w:r>
    </w:p>
    <w:p w14:paraId="315258A5" w14:textId="77777777" w:rsidR="0004026E" w:rsidRPr="003C66A0" w:rsidRDefault="0004026E" w:rsidP="00AE1DED">
      <w:pPr>
        <w:jc w:val="both"/>
        <w:rPr>
          <w:rFonts w:eastAsiaTheme="majorEastAsia"/>
          <w:b/>
          <w:bCs/>
          <w:color w:val="000000" w:themeColor="text1"/>
        </w:rPr>
      </w:pPr>
    </w:p>
    <w:p w14:paraId="74FA80D4" w14:textId="60D39D9C" w:rsidR="0076579E" w:rsidRPr="003C66A0" w:rsidRDefault="0076579E" w:rsidP="00AE1DED">
      <w:pPr>
        <w:jc w:val="both"/>
        <w:rPr>
          <w:rFonts w:eastAsiaTheme="majorEastAsia"/>
          <w:color w:val="000000" w:themeColor="text1"/>
        </w:rPr>
      </w:pPr>
      <w:r w:rsidRPr="003C66A0">
        <w:rPr>
          <w:rFonts w:eastAsiaTheme="majorEastAsia"/>
          <w:b/>
          <w:bCs/>
          <w:color w:val="000000" w:themeColor="text1"/>
        </w:rPr>
        <w:t>For $500-3,500 capital:</w:t>
      </w:r>
    </w:p>
    <w:p w14:paraId="492D3722" w14:textId="77777777" w:rsidR="0076579E" w:rsidRPr="003C66A0" w:rsidRDefault="0076579E" w:rsidP="00AE1DED">
      <w:pPr>
        <w:numPr>
          <w:ilvl w:val="0"/>
          <w:numId w:val="81"/>
        </w:numPr>
        <w:jc w:val="both"/>
        <w:rPr>
          <w:rFonts w:eastAsiaTheme="majorEastAsia"/>
          <w:color w:val="000000" w:themeColor="text1"/>
        </w:rPr>
      </w:pPr>
      <w:r w:rsidRPr="003C66A0">
        <w:rPr>
          <w:rFonts w:eastAsiaTheme="majorEastAsia"/>
          <w:color w:val="000000" w:themeColor="text1"/>
        </w:rPr>
        <w:t xml:space="preserve">Strategy: </w:t>
      </w:r>
      <w:proofErr w:type="gramStart"/>
      <w:r w:rsidRPr="003C66A0">
        <w:rPr>
          <w:rFonts w:eastAsiaTheme="majorEastAsia"/>
          <w:color w:val="000000" w:themeColor="text1"/>
        </w:rPr>
        <w:t>Wide-range</w:t>
      </w:r>
      <w:proofErr w:type="gramEnd"/>
      <w:r w:rsidRPr="003C66A0">
        <w:rPr>
          <w:rFonts w:eastAsiaTheme="majorEastAsia"/>
          <w:color w:val="000000" w:themeColor="text1"/>
        </w:rPr>
        <w:t xml:space="preserve"> stablecoin LP on Polygon/BSC</w:t>
      </w:r>
    </w:p>
    <w:p w14:paraId="66A8DF67" w14:textId="77777777" w:rsidR="0076579E" w:rsidRPr="003C66A0" w:rsidRDefault="0076579E" w:rsidP="00AE1DED">
      <w:pPr>
        <w:numPr>
          <w:ilvl w:val="0"/>
          <w:numId w:val="81"/>
        </w:numPr>
        <w:jc w:val="both"/>
        <w:rPr>
          <w:rFonts w:eastAsiaTheme="majorEastAsia"/>
          <w:color w:val="000000" w:themeColor="text1"/>
        </w:rPr>
      </w:pPr>
      <w:r w:rsidRPr="003C66A0">
        <w:rPr>
          <w:rFonts w:eastAsiaTheme="majorEastAsia"/>
          <w:color w:val="000000" w:themeColor="text1"/>
        </w:rPr>
        <w:t>Expected returns: 3-5% after costs</w:t>
      </w:r>
    </w:p>
    <w:p w14:paraId="778F5A44" w14:textId="77777777" w:rsidR="0076579E" w:rsidRPr="003C66A0" w:rsidRDefault="0076579E" w:rsidP="00AE1DED">
      <w:pPr>
        <w:numPr>
          <w:ilvl w:val="0"/>
          <w:numId w:val="81"/>
        </w:numPr>
        <w:jc w:val="both"/>
        <w:rPr>
          <w:rFonts w:eastAsiaTheme="majorEastAsia"/>
          <w:color w:val="000000" w:themeColor="text1"/>
        </w:rPr>
      </w:pPr>
      <w:r w:rsidRPr="003C66A0">
        <w:rPr>
          <w:rFonts w:eastAsiaTheme="majorEastAsia"/>
          <w:color w:val="000000" w:themeColor="text1"/>
        </w:rPr>
        <w:t>Time requirement: 5 hours weekly</w:t>
      </w:r>
    </w:p>
    <w:p w14:paraId="5186D977" w14:textId="77777777" w:rsidR="0076579E" w:rsidRPr="003C66A0" w:rsidRDefault="0076579E" w:rsidP="00AE1DED">
      <w:pPr>
        <w:numPr>
          <w:ilvl w:val="0"/>
          <w:numId w:val="81"/>
        </w:numPr>
        <w:jc w:val="both"/>
        <w:rPr>
          <w:rFonts w:eastAsiaTheme="majorEastAsia"/>
          <w:color w:val="000000" w:themeColor="text1"/>
        </w:rPr>
      </w:pPr>
      <w:r w:rsidRPr="003C66A0">
        <w:rPr>
          <w:rFonts w:eastAsiaTheme="majorEastAsia"/>
          <w:color w:val="000000" w:themeColor="text1"/>
        </w:rPr>
        <w:t>Key success factor: Avoiding complexity</w:t>
      </w:r>
    </w:p>
    <w:p w14:paraId="36036332" w14:textId="77777777" w:rsidR="0004026E" w:rsidRPr="003C66A0" w:rsidRDefault="0004026E" w:rsidP="00AE1DED">
      <w:pPr>
        <w:jc w:val="both"/>
        <w:rPr>
          <w:rFonts w:eastAsiaTheme="majorEastAsia"/>
          <w:b/>
          <w:bCs/>
          <w:color w:val="000000" w:themeColor="text1"/>
        </w:rPr>
      </w:pPr>
    </w:p>
    <w:p w14:paraId="47B9BE94" w14:textId="3F1F7CCC" w:rsidR="0076579E" w:rsidRPr="003C66A0" w:rsidRDefault="0076579E" w:rsidP="00AE1DED">
      <w:pPr>
        <w:jc w:val="both"/>
        <w:rPr>
          <w:rFonts w:eastAsiaTheme="majorEastAsia"/>
          <w:color w:val="000000" w:themeColor="text1"/>
        </w:rPr>
      </w:pPr>
      <w:r w:rsidRPr="003C66A0">
        <w:rPr>
          <w:rFonts w:eastAsiaTheme="majorEastAsia"/>
          <w:b/>
          <w:bCs/>
          <w:color w:val="000000" w:themeColor="text1"/>
        </w:rPr>
        <w:t>For $3,500-25,000 capital:</w:t>
      </w:r>
    </w:p>
    <w:p w14:paraId="3BD0FCF9" w14:textId="77777777" w:rsidR="0076579E" w:rsidRPr="003C66A0" w:rsidRDefault="0076579E" w:rsidP="00AE1DED">
      <w:pPr>
        <w:numPr>
          <w:ilvl w:val="0"/>
          <w:numId w:val="82"/>
        </w:numPr>
        <w:jc w:val="both"/>
        <w:rPr>
          <w:rFonts w:eastAsiaTheme="majorEastAsia"/>
          <w:color w:val="000000" w:themeColor="text1"/>
        </w:rPr>
      </w:pPr>
      <w:r w:rsidRPr="003C66A0">
        <w:rPr>
          <w:rFonts w:eastAsiaTheme="majorEastAsia"/>
          <w:color w:val="000000" w:themeColor="text1"/>
        </w:rPr>
        <w:lastRenderedPageBreak/>
        <w:t>Strategy: Correlated pairs on L2s</w:t>
      </w:r>
    </w:p>
    <w:p w14:paraId="5B85A1B0" w14:textId="77777777" w:rsidR="0076579E" w:rsidRPr="003C66A0" w:rsidRDefault="0076579E" w:rsidP="00AE1DED">
      <w:pPr>
        <w:numPr>
          <w:ilvl w:val="0"/>
          <w:numId w:val="82"/>
        </w:numPr>
        <w:jc w:val="both"/>
        <w:rPr>
          <w:rFonts w:eastAsiaTheme="majorEastAsia"/>
          <w:color w:val="000000" w:themeColor="text1"/>
        </w:rPr>
      </w:pPr>
      <w:r w:rsidRPr="003C66A0">
        <w:rPr>
          <w:rFonts w:eastAsiaTheme="majorEastAsia"/>
          <w:color w:val="000000" w:themeColor="text1"/>
        </w:rPr>
        <w:t>Expected returns: 5-8% after costs</w:t>
      </w:r>
    </w:p>
    <w:p w14:paraId="3098D6D9" w14:textId="77777777" w:rsidR="0076579E" w:rsidRPr="003C66A0" w:rsidRDefault="0076579E" w:rsidP="00AE1DED">
      <w:pPr>
        <w:numPr>
          <w:ilvl w:val="0"/>
          <w:numId w:val="82"/>
        </w:numPr>
        <w:jc w:val="both"/>
        <w:rPr>
          <w:rFonts w:eastAsiaTheme="majorEastAsia"/>
          <w:color w:val="000000" w:themeColor="text1"/>
        </w:rPr>
      </w:pPr>
      <w:r w:rsidRPr="003C66A0">
        <w:rPr>
          <w:rFonts w:eastAsiaTheme="majorEastAsia"/>
          <w:color w:val="000000" w:themeColor="text1"/>
        </w:rPr>
        <w:t>Time requirement: 10-15 hours weekly</w:t>
      </w:r>
    </w:p>
    <w:p w14:paraId="72770A9C" w14:textId="77777777" w:rsidR="0076579E" w:rsidRPr="003C66A0" w:rsidRDefault="0076579E" w:rsidP="00AE1DED">
      <w:pPr>
        <w:numPr>
          <w:ilvl w:val="0"/>
          <w:numId w:val="82"/>
        </w:numPr>
        <w:jc w:val="both"/>
        <w:rPr>
          <w:rFonts w:eastAsiaTheme="majorEastAsia"/>
          <w:color w:val="000000" w:themeColor="text1"/>
        </w:rPr>
      </w:pPr>
      <w:r w:rsidRPr="003C66A0">
        <w:rPr>
          <w:rFonts w:eastAsiaTheme="majorEastAsia"/>
          <w:color w:val="000000" w:themeColor="text1"/>
        </w:rPr>
        <w:t>Key success factor: Consistent execution</w:t>
      </w:r>
    </w:p>
    <w:p w14:paraId="39388DF4" w14:textId="77777777" w:rsidR="0004026E" w:rsidRPr="003C66A0" w:rsidRDefault="0004026E" w:rsidP="00AE1DED">
      <w:pPr>
        <w:jc w:val="both"/>
        <w:rPr>
          <w:rFonts w:eastAsiaTheme="majorEastAsia"/>
          <w:b/>
          <w:bCs/>
          <w:color w:val="000000" w:themeColor="text1"/>
        </w:rPr>
      </w:pPr>
    </w:p>
    <w:p w14:paraId="5BDF0353" w14:textId="3B013AC6" w:rsidR="0076579E" w:rsidRPr="003C66A0" w:rsidRDefault="0076579E" w:rsidP="00AE1DED">
      <w:pPr>
        <w:jc w:val="both"/>
        <w:rPr>
          <w:rFonts w:eastAsiaTheme="majorEastAsia"/>
          <w:color w:val="000000" w:themeColor="text1"/>
        </w:rPr>
      </w:pPr>
      <w:r w:rsidRPr="003C66A0">
        <w:rPr>
          <w:rFonts w:eastAsiaTheme="majorEastAsia"/>
          <w:b/>
          <w:bCs/>
          <w:color w:val="000000" w:themeColor="text1"/>
        </w:rPr>
        <w:t>For $25,000-100,000 capital:</w:t>
      </w:r>
    </w:p>
    <w:p w14:paraId="158F5C59" w14:textId="77777777" w:rsidR="0076579E" w:rsidRPr="003C66A0" w:rsidRDefault="0076579E" w:rsidP="00AE1DED">
      <w:pPr>
        <w:numPr>
          <w:ilvl w:val="0"/>
          <w:numId w:val="83"/>
        </w:numPr>
        <w:jc w:val="both"/>
        <w:rPr>
          <w:rFonts w:eastAsiaTheme="majorEastAsia"/>
          <w:color w:val="000000" w:themeColor="text1"/>
        </w:rPr>
      </w:pPr>
      <w:r w:rsidRPr="003C66A0">
        <w:rPr>
          <w:rFonts w:eastAsiaTheme="majorEastAsia"/>
          <w:color w:val="000000" w:themeColor="text1"/>
        </w:rPr>
        <w:t>Strategy: Multi-protocol with active management</w:t>
      </w:r>
    </w:p>
    <w:p w14:paraId="37D689F7" w14:textId="77777777" w:rsidR="0076579E" w:rsidRPr="003C66A0" w:rsidRDefault="0076579E" w:rsidP="00AE1DED">
      <w:pPr>
        <w:numPr>
          <w:ilvl w:val="0"/>
          <w:numId w:val="83"/>
        </w:numPr>
        <w:jc w:val="both"/>
        <w:rPr>
          <w:rFonts w:eastAsiaTheme="majorEastAsia"/>
          <w:color w:val="000000" w:themeColor="text1"/>
        </w:rPr>
      </w:pPr>
      <w:r w:rsidRPr="003C66A0">
        <w:rPr>
          <w:rFonts w:eastAsiaTheme="majorEastAsia"/>
          <w:color w:val="000000" w:themeColor="text1"/>
        </w:rPr>
        <w:t>Expected returns: 8-12% after costs</w:t>
      </w:r>
    </w:p>
    <w:p w14:paraId="3C779515" w14:textId="77777777" w:rsidR="0076579E" w:rsidRPr="003C66A0" w:rsidRDefault="0076579E" w:rsidP="00AE1DED">
      <w:pPr>
        <w:numPr>
          <w:ilvl w:val="0"/>
          <w:numId w:val="83"/>
        </w:numPr>
        <w:jc w:val="both"/>
        <w:rPr>
          <w:rFonts w:eastAsiaTheme="majorEastAsia"/>
          <w:color w:val="000000" w:themeColor="text1"/>
        </w:rPr>
      </w:pPr>
      <w:r w:rsidRPr="003C66A0">
        <w:rPr>
          <w:rFonts w:eastAsiaTheme="majorEastAsia"/>
          <w:color w:val="000000" w:themeColor="text1"/>
        </w:rPr>
        <w:t>Time requirement: 15-20 hours weekly</w:t>
      </w:r>
    </w:p>
    <w:p w14:paraId="529F23FD" w14:textId="77777777" w:rsidR="0076579E" w:rsidRPr="003C66A0" w:rsidRDefault="0076579E" w:rsidP="00AE1DED">
      <w:pPr>
        <w:numPr>
          <w:ilvl w:val="0"/>
          <w:numId w:val="83"/>
        </w:numPr>
        <w:jc w:val="both"/>
        <w:rPr>
          <w:rFonts w:eastAsiaTheme="majorEastAsia"/>
          <w:color w:val="000000" w:themeColor="text1"/>
        </w:rPr>
      </w:pPr>
      <w:r w:rsidRPr="003C66A0">
        <w:rPr>
          <w:rFonts w:eastAsiaTheme="majorEastAsia"/>
          <w:color w:val="000000" w:themeColor="text1"/>
        </w:rPr>
        <w:t>Key success factor: Risk management</w:t>
      </w:r>
    </w:p>
    <w:p w14:paraId="3242F7E0" w14:textId="77777777" w:rsidR="0004026E" w:rsidRPr="003C66A0" w:rsidRDefault="0004026E" w:rsidP="00AE1DED">
      <w:pPr>
        <w:jc w:val="both"/>
        <w:rPr>
          <w:rFonts w:eastAsiaTheme="majorEastAsia"/>
          <w:b/>
          <w:bCs/>
          <w:color w:val="000000" w:themeColor="text1"/>
        </w:rPr>
      </w:pPr>
    </w:p>
    <w:p w14:paraId="3E348730" w14:textId="49AAA32E" w:rsidR="0076579E" w:rsidRPr="003C66A0" w:rsidRDefault="0076579E" w:rsidP="00AE1DED">
      <w:pPr>
        <w:jc w:val="both"/>
        <w:rPr>
          <w:rFonts w:eastAsiaTheme="majorEastAsia"/>
          <w:color w:val="000000" w:themeColor="text1"/>
        </w:rPr>
      </w:pPr>
      <w:r w:rsidRPr="003C66A0">
        <w:rPr>
          <w:rFonts w:eastAsiaTheme="majorEastAsia"/>
          <w:b/>
          <w:bCs/>
          <w:color w:val="000000" w:themeColor="text1"/>
        </w:rPr>
        <w:t>For $100,000+ capital:</w:t>
      </w:r>
    </w:p>
    <w:p w14:paraId="003313F5" w14:textId="77777777" w:rsidR="0076579E" w:rsidRPr="003C66A0" w:rsidRDefault="0076579E" w:rsidP="00AE1DED">
      <w:pPr>
        <w:numPr>
          <w:ilvl w:val="0"/>
          <w:numId w:val="84"/>
        </w:numPr>
        <w:jc w:val="both"/>
        <w:rPr>
          <w:rFonts w:eastAsiaTheme="majorEastAsia"/>
          <w:color w:val="000000" w:themeColor="text1"/>
        </w:rPr>
      </w:pPr>
      <w:r w:rsidRPr="003C66A0">
        <w:rPr>
          <w:rFonts w:eastAsiaTheme="majorEastAsia"/>
          <w:color w:val="000000" w:themeColor="text1"/>
        </w:rPr>
        <w:t>Strategy: Automated concentrated liquidity</w:t>
      </w:r>
    </w:p>
    <w:p w14:paraId="42915779" w14:textId="77777777" w:rsidR="0076579E" w:rsidRPr="003C66A0" w:rsidRDefault="0076579E" w:rsidP="00AE1DED">
      <w:pPr>
        <w:numPr>
          <w:ilvl w:val="0"/>
          <w:numId w:val="84"/>
        </w:numPr>
        <w:jc w:val="both"/>
        <w:rPr>
          <w:rFonts w:eastAsiaTheme="majorEastAsia"/>
          <w:color w:val="000000" w:themeColor="text1"/>
        </w:rPr>
      </w:pPr>
      <w:r w:rsidRPr="003C66A0">
        <w:rPr>
          <w:rFonts w:eastAsiaTheme="majorEastAsia"/>
          <w:color w:val="000000" w:themeColor="text1"/>
        </w:rPr>
        <w:t>Expected returns: 15-25% for sophisticated operators</w:t>
      </w:r>
    </w:p>
    <w:p w14:paraId="5CD5A302" w14:textId="77777777" w:rsidR="0076579E" w:rsidRPr="003C66A0" w:rsidRDefault="0076579E" w:rsidP="00AE1DED">
      <w:pPr>
        <w:numPr>
          <w:ilvl w:val="0"/>
          <w:numId w:val="84"/>
        </w:numPr>
        <w:jc w:val="both"/>
        <w:rPr>
          <w:rFonts w:eastAsiaTheme="majorEastAsia"/>
          <w:color w:val="000000" w:themeColor="text1"/>
        </w:rPr>
      </w:pPr>
      <w:r w:rsidRPr="003C66A0">
        <w:rPr>
          <w:rFonts w:eastAsiaTheme="majorEastAsia"/>
          <w:color w:val="000000" w:themeColor="text1"/>
        </w:rPr>
        <w:t>Time requirement: 5 hours weekly after setup</w:t>
      </w:r>
    </w:p>
    <w:p w14:paraId="0ADB7B17" w14:textId="77777777" w:rsidR="0076579E" w:rsidRPr="003C66A0" w:rsidRDefault="0076579E" w:rsidP="00AE1DED">
      <w:pPr>
        <w:numPr>
          <w:ilvl w:val="0"/>
          <w:numId w:val="84"/>
        </w:numPr>
        <w:jc w:val="both"/>
        <w:rPr>
          <w:rFonts w:eastAsiaTheme="majorEastAsia"/>
          <w:color w:val="000000" w:themeColor="text1"/>
        </w:rPr>
      </w:pPr>
      <w:r w:rsidRPr="003C66A0">
        <w:rPr>
          <w:rFonts w:eastAsiaTheme="majorEastAsia"/>
          <w:color w:val="000000" w:themeColor="text1"/>
        </w:rPr>
        <w:t>Key success factor: Technical infrastructure</w:t>
      </w:r>
    </w:p>
    <w:p w14:paraId="27C85C1B" w14:textId="77777777" w:rsidR="0010086C" w:rsidRPr="000A6836" w:rsidRDefault="0010086C" w:rsidP="00AE1DED">
      <w:pPr>
        <w:jc w:val="both"/>
        <w:rPr>
          <w:rFonts w:eastAsiaTheme="majorEastAsia"/>
          <w:b/>
          <w:bCs/>
          <w:color w:val="000000" w:themeColor="text1"/>
        </w:rPr>
      </w:pPr>
    </w:p>
    <w:p w14:paraId="57B95350" w14:textId="77777777" w:rsidR="000C73D5" w:rsidRPr="00032E12" w:rsidRDefault="000C73D5" w:rsidP="00AE1DED">
      <w:pPr>
        <w:pStyle w:val="Heading3"/>
        <w:rPr>
          <w:color w:val="000000" w:themeColor="text1"/>
          <w:kern w:val="0"/>
          <w:sz w:val="27"/>
          <w:szCs w:val="27"/>
        </w:rPr>
      </w:pPr>
      <w:bookmarkStart w:id="224" w:name="_Toc214722030"/>
      <w:r w:rsidRPr="00032E12">
        <w:rPr>
          <w:color w:val="000000" w:themeColor="text1"/>
        </w:rPr>
        <w:t>10.9.1 Pre-Implementation Readiness Assessment</w:t>
      </w:r>
      <w:bookmarkEnd w:id="224"/>
    </w:p>
    <w:p w14:paraId="7BBE1799" w14:textId="5983E8CA" w:rsidR="000C73D5" w:rsidRPr="00032E12" w:rsidRDefault="000C73D5" w:rsidP="00AE1DED">
      <w:pPr>
        <w:pStyle w:val="whitespace-normal"/>
        <w:spacing w:before="0" w:beforeAutospacing="0" w:after="0" w:afterAutospacing="0"/>
        <w:jc w:val="both"/>
        <w:rPr>
          <w:color w:val="000000" w:themeColor="text1"/>
        </w:rPr>
      </w:pPr>
      <w:r w:rsidRPr="00032E12">
        <w:rPr>
          <w:color w:val="000000" w:themeColor="text1"/>
        </w:rPr>
        <w:t>Before initiating any DeFi position, prospective participants should complete a systematic readiness assessment. The checklists</w:t>
      </w:r>
      <w:r w:rsidR="00D80327" w:rsidRPr="00032E12">
        <w:rPr>
          <w:color w:val="000000" w:themeColor="text1"/>
        </w:rPr>
        <w:t xml:space="preserve"> in Section 10.2</w:t>
      </w:r>
      <w:r w:rsidRPr="00032E12">
        <w:rPr>
          <w:color w:val="000000" w:themeColor="text1"/>
        </w:rPr>
        <w:t xml:space="preserve">, organized by capital level, translate the implementation frameworks into actionable verification steps. </w:t>
      </w:r>
      <w:r w:rsidR="00D80327" w:rsidRPr="00032E12">
        <w:rPr>
          <w:color w:val="000000" w:themeColor="text1"/>
        </w:rPr>
        <w:t>The requirements in the checklists are the minimum requirements identified in this research.</w:t>
      </w:r>
    </w:p>
    <w:p w14:paraId="238ACBF6" w14:textId="77777777" w:rsidR="00D63A14" w:rsidRDefault="00D63A14" w:rsidP="00AE1DED">
      <w:pPr>
        <w:pStyle w:val="Heading3"/>
        <w:rPr>
          <w:color w:val="000000" w:themeColor="text1"/>
        </w:rPr>
      </w:pPr>
    </w:p>
    <w:p w14:paraId="38E47383" w14:textId="70E257E5" w:rsidR="000C73D5" w:rsidRPr="00032E12" w:rsidRDefault="000C73D5" w:rsidP="00AE1DED">
      <w:pPr>
        <w:pStyle w:val="Heading3"/>
        <w:rPr>
          <w:color w:val="000000" w:themeColor="text1"/>
        </w:rPr>
      </w:pPr>
      <w:bookmarkStart w:id="225" w:name="_Toc214722031"/>
      <w:r w:rsidRPr="00032E12">
        <w:rPr>
          <w:color w:val="000000" w:themeColor="text1"/>
        </w:rPr>
        <w:t>Table 10.</w:t>
      </w:r>
      <w:r w:rsidR="009122A9">
        <w:rPr>
          <w:color w:val="000000" w:themeColor="text1"/>
        </w:rPr>
        <w:t>C</w:t>
      </w:r>
      <w:r w:rsidRPr="00032E12">
        <w:rPr>
          <w:color w:val="000000" w:themeColor="text1"/>
        </w:rPr>
        <w:t>: Micro Capital Implementation Checklist (&lt;$3,500)</w:t>
      </w:r>
      <w:bookmarkEnd w:id="225"/>
    </w:p>
    <w:p w14:paraId="7AFF97A0" w14:textId="77777777" w:rsidR="000C73D5" w:rsidRPr="00750A6E" w:rsidRDefault="000C73D5" w:rsidP="00AE1DED">
      <w:pPr>
        <w:rPr>
          <w:color w:val="0070C0"/>
        </w:rPr>
      </w:pPr>
    </w:p>
    <w:tbl>
      <w:tblPr>
        <w:tblW w:w="9530" w:type="dxa"/>
        <w:tblLook w:val="04A0" w:firstRow="1" w:lastRow="0" w:firstColumn="1" w:lastColumn="0" w:noHBand="0" w:noVBand="1"/>
      </w:tblPr>
      <w:tblGrid>
        <w:gridCol w:w="1700"/>
        <w:gridCol w:w="2610"/>
        <w:gridCol w:w="2800"/>
        <w:gridCol w:w="2420"/>
      </w:tblGrid>
      <w:tr w:rsidR="00032E12" w:rsidRPr="00032E12" w14:paraId="3F2E2EBE" w14:textId="77777777" w:rsidTr="00E80913">
        <w:trPr>
          <w:trHeight w:val="360"/>
        </w:trPr>
        <w:tc>
          <w:tcPr>
            <w:tcW w:w="1700" w:type="dxa"/>
            <w:tcBorders>
              <w:top w:val="single" w:sz="8" w:space="0" w:color="BFBFBF"/>
              <w:left w:val="single" w:sz="8" w:space="0" w:color="BFBFBF"/>
              <w:bottom w:val="nil"/>
              <w:right w:val="single" w:sz="4" w:space="0" w:color="BFBFBF"/>
            </w:tcBorders>
            <w:shd w:val="clear" w:color="auto" w:fill="BFBFBF" w:themeFill="background1" w:themeFillShade="BF"/>
            <w:vAlign w:val="center"/>
            <w:hideMark/>
          </w:tcPr>
          <w:p w14:paraId="4A596C88" w14:textId="77777777" w:rsidR="00915F77" w:rsidRPr="00032E12" w:rsidRDefault="00915F77" w:rsidP="00AE1DED">
            <w:pPr>
              <w:jc w:val="center"/>
              <w:rPr>
                <w:b/>
                <w:bCs/>
                <w:color w:val="000000" w:themeColor="text1"/>
                <w:sz w:val="20"/>
                <w:szCs w:val="20"/>
              </w:rPr>
            </w:pPr>
            <w:r w:rsidRPr="00032E12">
              <w:rPr>
                <w:b/>
                <w:bCs/>
                <w:color w:val="000000" w:themeColor="text1"/>
                <w:sz w:val="20"/>
                <w:szCs w:val="20"/>
              </w:rPr>
              <w:t>Category</w:t>
            </w:r>
          </w:p>
        </w:tc>
        <w:tc>
          <w:tcPr>
            <w:tcW w:w="2610" w:type="dxa"/>
            <w:tcBorders>
              <w:top w:val="single" w:sz="8" w:space="0" w:color="BFBFBF"/>
              <w:left w:val="nil"/>
              <w:bottom w:val="nil"/>
              <w:right w:val="single" w:sz="4" w:space="0" w:color="BFBFBF"/>
            </w:tcBorders>
            <w:shd w:val="clear" w:color="auto" w:fill="BFBFBF" w:themeFill="background1" w:themeFillShade="BF"/>
            <w:vAlign w:val="center"/>
            <w:hideMark/>
          </w:tcPr>
          <w:p w14:paraId="63A57FB6" w14:textId="77777777" w:rsidR="00915F77" w:rsidRPr="00032E12" w:rsidRDefault="00915F77" w:rsidP="00AE1DED">
            <w:pPr>
              <w:jc w:val="center"/>
              <w:rPr>
                <w:b/>
                <w:bCs/>
                <w:color w:val="000000" w:themeColor="text1"/>
                <w:sz w:val="20"/>
                <w:szCs w:val="20"/>
              </w:rPr>
            </w:pPr>
            <w:r w:rsidRPr="00032E12">
              <w:rPr>
                <w:b/>
                <w:bCs/>
                <w:color w:val="000000" w:themeColor="text1"/>
                <w:sz w:val="20"/>
                <w:szCs w:val="20"/>
              </w:rPr>
              <w:t>Requirement</w:t>
            </w:r>
          </w:p>
        </w:tc>
        <w:tc>
          <w:tcPr>
            <w:tcW w:w="2800" w:type="dxa"/>
            <w:tcBorders>
              <w:top w:val="single" w:sz="8" w:space="0" w:color="BFBFBF"/>
              <w:left w:val="nil"/>
              <w:bottom w:val="nil"/>
              <w:right w:val="single" w:sz="4" w:space="0" w:color="BFBFBF"/>
            </w:tcBorders>
            <w:shd w:val="clear" w:color="auto" w:fill="BFBFBF" w:themeFill="background1" w:themeFillShade="BF"/>
            <w:vAlign w:val="center"/>
            <w:hideMark/>
          </w:tcPr>
          <w:p w14:paraId="5F214EF1" w14:textId="77777777" w:rsidR="00915F77" w:rsidRPr="00032E12" w:rsidRDefault="00915F77" w:rsidP="00AE1DED">
            <w:pPr>
              <w:jc w:val="center"/>
              <w:rPr>
                <w:b/>
                <w:bCs/>
                <w:color w:val="000000" w:themeColor="text1"/>
                <w:sz w:val="20"/>
                <w:szCs w:val="20"/>
              </w:rPr>
            </w:pPr>
            <w:r w:rsidRPr="00032E12">
              <w:rPr>
                <w:b/>
                <w:bCs/>
                <w:color w:val="000000" w:themeColor="text1"/>
                <w:sz w:val="20"/>
                <w:szCs w:val="20"/>
              </w:rPr>
              <w:t>Verification Method</w:t>
            </w:r>
          </w:p>
        </w:tc>
        <w:tc>
          <w:tcPr>
            <w:tcW w:w="2420" w:type="dxa"/>
            <w:tcBorders>
              <w:top w:val="single" w:sz="8" w:space="0" w:color="BFBFBF"/>
              <w:left w:val="nil"/>
              <w:bottom w:val="nil"/>
              <w:right w:val="single" w:sz="8" w:space="0" w:color="BFBFBF"/>
            </w:tcBorders>
            <w:shd w:val="clear" w:color="auto" w:fill="BFBFBF" w:themeFill="background1" w:themeFillShade="BF"/>
            <w:vAlign w:val="center"/>
            <w:hideMark/>
          </w:tcPr>
          <w:p w14:paraId="1BDE6DFC" w14:textId="77777777" w:rsidR="00915F77" w:rsidRPr="00032E12" w:rsidRDefault="00915F77" w:rsidP="00AE1DED">
            <w:pPr>
              <w:jc w:val="center"/>
              <w:rPr>
                <w:b/>
                <w:bCs/>
                <w:color w:val="000000" w:themeColor="text1"/>
                <w:sz w:val="20"/>
                <w:szCs w:val="20"/>
              </w:rPr>
            </w:pPr>
            <w:r w:rsidRPr="00032E12">
              <w:rPr>
                <w:b/>
                <w:bCs/>
                <w:color w:val="000000" w:themeColor="text1"/>
                <w:sz w:val="20"/>
                <w:szCs w:val="20"/>
              </w:rPr>
              <w:t>If Not Met</w:t>
            </w:r>
          </w:p>
        </w:tc>
      </w:tr>
      <w:tr w:rsidR="00032E12" w:rsidRPr="00032E12" w14:paraId="221326C2" w14:textId="77777777" w:rsidTr="00E80913">
        <w:trPr>
          <w:trHeight w:val="340"/>
        </w:trPr>
        <w:tc>
          <w:tcPr>
            <w:tcW w:w="9530" w:type="dxa"/>
            <w:gridSpan w:val="4"/>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69C412D3" w14:textId="77777777" w:rsidR="00915F77" w:rsidRPr="00032E12" w:rsidRDefault="00915F77" w:rsidP="00AE1DED">
            <w:pPr>
              <w:jc w:val="center"/>
              <w:rPr>
                <w:b/>
                <w:bCs/>
                <w:color w:val="000000" w:themeColor="text1"/>
                <w:sz w:val="20"/>
                <w:szCs w:val="20"/>
              </w:rPr>
            </w:pPr>
            <w:r w:rsidRPr="00032E12">
              <w:rPr>
                <w:b/>
                <w:bCs/>
                <w:color w:val="000000" w:themeColor="text1"/>
                <w:sz w:val="20"/>
                <w:szCs w:val="20"/>
              </w:rPr>
              <w:t>CAPITAL</w:t>
            </w:r>
          </w:p>
        </w:tc>
      </w:tr>
      <w:tr w:rsidR="00032E12" w:rsidRPr="00032E12" w14:paraId="6FC44A5E" w14:textId="77777777" w:rsidTr="009B7E43">
        <w:trPr>
          <w:trHeight w:val="71"/>
        </w:trPr>
        <w:tc>
          <w:tcPr>
            <w:tcW w:w="1700" w:type="dxa"/>
            <w:tcBorders>
              <w:top w:val="nil"/>
              <w:left w:val="single" w:sz="8" w:space="0" w:color="BFBFBF"/>
              <w:bottom w:val="single" w:sz="4" w:space="0" w:color="BFBFBF"/>
              <w:right w:val="single" w:sz="4" w:space="0" w:color="BFBFBF"/>
            </w:tcBorders>
            <w:vAlign w:val="center"/>
            <w:hideMark/>
          </w:tcPr>
          <w:p w14:paraId="53C2AEDA" w14:textId="77777777" w:rsidR="00915F77" w:rsidRPr="00032E12" w:rsidRDefault="00915F77" w:rsidP="00AE1DED">
            <w:pPr>
              <w:rPr>
                <w:color w:val="000000" w:themeColor="text1"/>
                <w:sz w:val="20"/>
                <w:szCs w:val="20"/>
              </w:rPr>
            </w:pPr>
            <w:r w:rsidRPr="00032E12">
              <w:rPr>
                <w:color w:val="000000" w:themeColor="text1"/>
                <w:sz w:val="20"/>
                <w:szCs w:val="20"/>
              </w:rPr>
              <w:t>Risk capital available</w:t>
            </w:r>
          </w:p>
        </w:tc>
        <w:tc>
          <w:tcPr>
            <w:tcW w:w="2610" w:type="dxa"/>
            <w:tcBorders>
              <w:top w:val="nil"/>
              <w:left w:val="nil"/>
              <w:bottom w:val="single" w:sz="4" w:space="0" w:color="BFBFBF"/>
              <w:right w:val="single" w:sz="4" w:space="0" w:color="BFBFBF"/>
            </w:tcBorders>
            <w:vAlign w:val="center"/>
            <w:hideMark/>
          </w:tcPr>
          <w:p w14:paraId="6EBABAE2" w14:textId="77777777" w:rsidR="00915F77" w:rsidRPr="00032E12" w:rsidRDefault="00915F77" w:rsidP="00AE1DED">
            <w:pPr>
              <w:rPr>
                <w:color w:val="000000" w:themeColor="text1"/>
                <w:sz w:val="20"/>
                <w:szCs w:val="20"/>
              </w:rPr>
            </w:pPr>
            <w:r w:rsidRPr="00032E12">
              <w:rPr>
                <w:color w:val="000000" w:themeColor="text1"/>
                <w:sz w:val="20"/>
                <w:szCs w:val="20"/>
              </w:rPr>
              <w:t>$500-$3,500 that can be lost entirely</w:t>
            </w:r>
          </w:p>
        </w:tc>
        <w:tc>
          <w:tcPr>
            <w:tcW w:w="2800" w:type="dxa"/>
            <w:tcBorders>
              <w:top w:val="nil"/>
              <w:left w:val="nil"/>
              <w:bottom w:val="single" w:sz="4" w:space="0" w:color="BFBFBF"/>
              <w:right w:val="single" w:sz="4" w:space="0" w:color="BFBFBF"/>
            </w:tcBorders>
            <w:vAlign w:val="center"/>
            <w:hideMark/>
          </w:tcPr>
          <w:p w14:paraId="0CA05A34" w14:textId="77777777" w:rsidR="00915F77" w:rsidRPr="00032E12" w:rsidRDefault="00915F77" w:rsidP="00AE1DED">
            <w:pPr>
              <w:rPr>
                <w:color w:val="000000" w:themeColor="text1"/>
                <w:sz w:val="20"/>
                <w:szCs w:val="20"/>
              </w:rPr>
            </w:pPr>
            <w:r w:rsidRPr="00032E12">
              <w:rPr>
                <w:color w:val="000000" w:themeColor="text1"/>
                <w:sz w:val="20"/>
                <w:szCs w:val="20"/>
              </w:rPr>
              <w:t>Can you afford 100% loss without financial hardship?</w:t>
            </w:r>
          </w:p>
        </w:tc>
        <w:tc>
          <w:tcPr>
            <w:tcW w:w="2420" w:type="dxa"/>
            <w:tcBorders>
              <w:top w:val="nil"/>
              <w:left w:val="nil"/>
              <w:bottom w:val="single" w:sz="4" w:space="0" w:color="BFBFBF"/>
              <w:right w:val="single" w:sz="8" w:space="0" w:color="BFBFBF"/>
            </w:tcBorders>
            <w:vAlign w:val="center"/>
            <w:hideMark/>
          </w:tcPr>
          <w:p w14:paraId="7EB13828" w14:textId="77777777" w:rsidR="00915F77" w:rsidRPr="00032E12" w:rsidRDefault="00915F77" w:rsidP="00AE1DED">
            <w:pPr>
              <w:rPr>
                <w:color w:val="000000" w:themeColor="text1"/>
                <w:sz w:val="20"/>
                <w:szCs w:val="20"/>
              </w:rPr>
            </w:pPr>
            <w:r w:rsidRPr="00032E12">
              <w:rPr>
                <w:color w:val="000000" w:themeColor="text1"/>
                <w:sz w:val="20"/>
                <w:szCs w:val="20"/>
              </w:rPr>
              <w:t>Do not participate</w:t>
            </w:r>
          </w:p>
        </w:tc>
      </w:tr>
      <w:tr w:rsidR="00032E12" w:rsidRPr="00032E12" w14:paraId="0EFD81B2" w14:textId="77777777" w:rsidTr="00DE04D9">
        <w:trPr>
          <w:trHeight w:val="287"/>
        </w:trPr>
        <w:tc>
          <w:tcPr>
            <w:tcW w:w="1700" w:type="dxa"/>
            <w:tcBorders>
              <w:top w:val="nil"/>
              <w:left w:val="single" w:sz="8" w:space="0" w:color="BFBFBF"/>
              <w:bottom w:val="single" w:sz="4" w:space="0" w:color="BFBFBF"/>
              <w:right w:val="single" w:sz="4" w:space="0" w:color="BFBFBF"/>
            </w:tcBorders>
            <w:vAlign w:val="center"/>
            <w:hideMark/>
          </w:tcPr>
          <w:p w14:paraId="5865F14E" w14:textId="77777777" w:rsidR="00915F77" w:rsidRPr="00032E12" w:rsidRDefault="00915F77" w:rsidP="00AE1DED">
            <w:pPr>
              <w:rPr>
                <w:color w:val="000000" w:themeColor="text1"/>
                <w:sz w:val="20"/>
                <w:szCs w:val="20"/>
              </w:rPr>
            </w:pPr>
            <w:r w:rsidRPr="00032E12">
              <w:rPr>
                <w:color w:val="000000" w:themeColor="text1"/>
                <w:sz w:val="20"/>
                <w:szCs w:val="20"/>
              </w:rPr>
              <w:t>Emergency fund intact</w:t>
            </w:r>
          </w:p>
        </w:tc>
        <w:tc>
          <w:tcPr>
            <w:tcW w:w="2610" w:type="dxa"/>
            <w:tcBorders>
              <w:top w:val="nil"/>
              <w:left w:val="nil"/>
              <w:bottom w:val="single" w:sz="4" w:space="0" w:color="BFBFBF"/>
              <w:right w:val="single" w:sz="4" w:space="0" w:color="BFBFBF"/>
            </w:tcBorders>
            <w:vAlign w:val="center"/>
            <w:hideMark/>
          </w:tcPr>
          <w:p w14:paraId="59E73299" w14:textId="77777777" w:rsidR="00915F77" w:rsidRPr="00032E12" w:rsidRDefault="00915F77" w:rsidP="00AE1DED">
            <w:pPr>
              <w:rPr>
                <w:color w:val="000000" w:themeColor="text1"/>
                <w:sz w:val="20"/>
                <w:szCs w:val="20"/>
              </w:rPr>
            </w:pPr>
            <w:r w:rsidRPr="00032E12">
              <w:rPr>
                <w:color w:val="000000" w:themeColor="text1"/>
                <w:sz w:val="20"/>
                <w:szCs w:val="20"/>
              </w:rPr>
              <w:t>3-6 months expenses separate from DeFi capital</w:t>
            </w:r>
          </w:p>
        </w:tc>
        <w:tc>
          <w:tcPr>
            <w:tcW w:w="2800" w:type="dxa"/>
            <w:tcBorders>
              <w:top w:val="nil"/>
              <w:left w:val="nil"/>
              <w:bottom w:val="single" w:sz="4" w:space="0" w:color="BFBFBF"/>
              <w:right w:val="single" w:sz="4" w:space="0" w:color="BFBFBF"/>
            </w:tcBorders>
            <w:vAlign w:val="center"/>
            <w:hideMark/>
          </w:tcPr>
          <w:p w14:paraId="158CFBB0" w14:textId="77777777" w:rsidR="00915F77" w:rsidRPr="00032E12" w:rsidRDefault="00915F77" w:rsidP="00AE1DED">
            <w:pPr>
              <w:rPr>
                <w:color w:val="000000" w:themeColor="text1"/>
                <w:sz w:val="20"/>
                <w:szCs w:val="20"/>
              </w:rPr>
            </w:pPr>
            <w:r w:rsidRPr="00032E12">
              <w:rPr>
                <w:color w:val="000000" w:themeColor="text1"/>
                <w:sz w:val="20"/>
                <w:szCs w:val="20"/>
              </w:rPr>
              <w:t xml:space="preserve">Emergency </w:t>
            </w:r>
            <w:proofErr w:type="gramStart"/>
            <w:r w:rsidRPr="00032E12">
              <w:rPr>
                <w:color w:val="000000" w:themeColor="text1"/>
                <w:sz w:val="20"/>
                <w:szCs w:val="20"/>
              </w:rPr>
              <w:t>fund remains</w:t>
            </w:r>
            <w:proofErr w:type="gramEnd"/>
            <w:r w:rsidRPr="00032E12">
              <w:rPr>
                <w:color w:val="000000" w:themeColor="text1"/>
                <w:sz w:val="20"/>
                <w:szCs w:val="20"/>
              </w:rPr>
              <w:t xml:space="preserve"> untouched?</w:t>
            </w:r>
          </w:p>
        </w:tc>
        <w:tc>
          <w:tcPr>
            <w:tcW w:w="2420" w:type="dxa"/>
            <w:tcBorders>
              <w:top w:val="nil"/>
              <w:left w:val="nil"/>
              <w:bottom w:val="single" w:sz="4" w:space="0" w:color="BFBFBF"/>
              <w:right w:val="single" w:sz="8" w:space="0" w:color="BFBFBF"/>
            </w:tcBorders>
            <w:vAlign w:val="center"/>
            <w:hideMark/>
          </w:tcPr>
          <w:p w14:paraId="5CA05C30" w14:textId="77777777" w:rsidR="00915F77" w:rsidRPr="00032E12" w:rsidRDefault="00915F77" w:rsidP="00AE1DED">
            <w:pPr>
              <w:rPr>
                <w:color w:val="000000" w:themeColor="text1"/>
                <w:sz w:val="20"/>
                <w:szCs w:val="20"/>
              </w:rPr>
            </w:pPr>
            <w:r w:rsidRPr="00032E12">
              <w:rPr>
                <w:color w:val="000000" w:themeColor="text1"/>
                <w:sz w:val="20"/>
                <w:szCs w:val="20"/>
              </w:rPr>
              <w:t>Build emergency fund first</w:t>
            </w:r>
          </w:p>
        </w:tc>
      </w:tr>
      <w:tr w:rsidR="00032E12" w:rsidRPr="00032E12" w14:paraId="4A66B99A" w14:textId="77777777" w:rsidTr="009B7E43">
        <w:trPr>
          <w:trHeight w:val="170"/>
        </w:trPr>
        <w:tc>
          <w:tcPr>
            <w:tcW w:w="1700" w:type="dxa"/>
            <w:tcBorders>
              <w:top w:val="nil"/>
              <w:left w:val="single" w:sz="8" w:space="0" w:color="BFBFBF"/>
              <w:bottom w:val="nil"/>
              <w:right w:val="single" w:sz="4" w:space="0" w:color="BFBFBF"/>
            </w:tcBorders>
            <w:vAlign w:val="center"/>
            <w:hideMark/>
          </w:tcPr>
          <w:p w14:paraId="2E653E7D" w14:textId="77777777" w:rsidR="00915F77" w:rsidRPr="00032E12" w:rsidRDefault="00915F77" w:rsidP="00AE1DED">
            <w:pPr>
              <w:rPr>
                <w:color w:val="000000" w:themeColor="text1"/>
                <w:sz w:val="20"/>
                <w:szCs w:val="20"/>
              </w:rPr>
            </w:pPr>
            <w:r w:rsidRPr="00032E12">
              <w:rPr>
                <w:color w:val="000000" w:themeColor="text1"/>
                <w:sz w:val="20"/>
                <w:szCs w:val="20"/>
              </w:rPr>
              <w:t>No borrowed funds</w:t>
            </w:r>
          </w:p>
        </w:tc>
        <w:tc>
          <w:tcPr>
            <w:tcW w:w="2610" w:type="dxa"/>
            <w:tcBorders>
              <w:top w:val="nil"/>
              <w:left w:val="nil"/>
              <w:bottom w:val="nil"/>
              <w:right w:val="single" w:sz="4" w:space="0" w:color="BFBFBF"/>
            </w:tcBorders>
            <w:vAlign w:val="center"/>
            <w:hideMark/>
          </w:tcPr>
          <w:p w14:paraId="7D1B1D6B" w14:textId="77777777" w:rsidR="00915F77" w:rsidRPr="00032E12" w:rsidRDefault="00915F77" w:rsidP="00AE1DED">
            <w:pPr>
              <w:rPr>
                <w:color w:val="000000" w:themeColor="text1"/>
                <w:sz w:val="20"/>
                <w:szCs w:val="20"/>
              </w:rPr>
            </w:pPr>
            <w:r w:rsidRPr="00032E12">
              <w:rPr>
                <w:color w:val="000000" w:themeColor="text1"/>
                <w:sz w:val="20"/>
                <w:szCs w:val="20"/>
              </w:rPr>
              <w:t>Zero leverage, no loans, no credit cards</w:t>
            </w:r>
          </w:p>
        </w:tc>
        <w:tc>
          <w:tcPr>
            <w:tcW w:w="2800" w:type="dxa"/>
            <w:tcBorders>
              <w:top w:val="nil"/>
              <w:left w:val="nil"/>
              <w:bottom w:val="nil"/>
              <w:right w:val="single" w:sz="4" w:space="0" w:color="BFBFBF"/>
            </w:tcBorders>
            <w:vAlign w:val="center"/>
            <w:hideMark/>
          </w:tcPr>
          <w:p w14:paraId="1444942D" w14:textId="77777777" w:rsidR="00915F77" w:rsidRPr="00032E12" w:rsidRDefault="00915F77" w:rsidP="00AE1DED">
            <w:pPr>
              <w:rPr>
                <w:color w:val="000000" w:themeColor="text1"/>
                <w:sz w:val="20"/>
                <w:szCs w:val="20"/>
              </w:rPr>
            </w:pPr>
            <w:r w:rsidRPr="00032E12">
              <w:rPr>
                <w:color w:val="000000" w:themeColor="text1"/>
                <w:sz w:val="20"/>
                <w:szCs w:val="20"/>
              </w:rPr>
              <w:t>Is all capital from savings/income?</w:t>
            </w:r>
          </w:p>
        </w:tc>
        <w:tc>
          <w:tcPr>
            <w:tcW w:w="2420" w:type="dxa"/>
            <w:tcBorders>
              <w:top w:val="nil"/>
              <w:left w:val="nil"/>
              <w:bottom w:val="nil"/>
              <w:right w:val="single" w:sz="8" w:space="0" w:color="BFBFBF"/>
            </w:tcBorders>
            <w:vAlign w:val="center"/>
            <w:hideMark/>
          </w:tcPr>
          <w:p w14:paraId="25F53108" w14:textId="77777777" w:rsidR="00915F77" w:rsidRPr="00032E12" w:rsidRDefault="00915F77" w:rsidP="00AE1DED">
            <w:pPr>
              <w:rPr>
                <w:color w:val="000000" w:themeColor="text1"/>
                <w:sz w:val="20"/>
                <w:szCs w:val="20"/>
              </w:rPr>
            </w:pPr>
            <w:r w:rsidRPr="00032E12">
              <w:rPr>
                <w:color w:val="000000" w:themeColor="text1"/>
                <w:sz w:val="20"/>
                <w:szCs w:val="20"/>
              </w:rPr>
              <w:t>Repay debts before participating</w:t>
            </w:r>
          </w:p>
        </w:tc>
      </w:tr>
      <w:tr w:rsidR="00032E12" w:rsidRPr="00032E12" w14:paraId="13D913BF" w14:textId="77777777" w:rsidTr="00E80913">
        <w:trPr>
          <w:trHeight w:val="340"/>
        </w:trPr>
        <w:tc>
          <w:tcPr>
            <w:tcW w:w="9530" w:type="dxa"/>
            <w:gridSpan w:val="4"/>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61EB1D8A" w14:textId="77777777" w:rsidR="00915F77" w:rsidRPr="00032E12" w:rsidRDefault="00915F77" w:rsidP="00AE1DED">
            <w:pPr>
              <w:jc w:val="center"/>
              <w:rPr>
                <w:b/>
                <w:bCs/>
                <w:color w:val="000000" w:themeColor="text1"/>
                <w:sz w:val="20"/>
                <w:szCs w:val="20"/>
              </w:rPr>
            </w:pPr>
            <w:r w:rsidRPr="00032E12">
              <w:rPr>
                <w:b/>
                <w:bCs/>
                <w:color w:val="000000" w:themeColor="text1"/>
                <w:sz w:val="20"/>
                <w:szCs w:val="20"/>
              </w:rPr>
              <w:t>NETWORK</w:t>
            </w:r>
          </w:p>
        </w:tc>
      </w:tr>
      <w:tr w:rsidR="00032E12" w:rsidRPr="00032E12" w14:paraId="5ECD3310" w14:textId="77777777" w:rsidTr="009B7E43">
        <w:trPr>
          <w:trHeight w:val="71"/>
        </w:trPr>
        <w:tc>
          <w:tcPr>
            <w:tcW w:w="1700" w:type="dxa"/>
            <w:tcBorders>
              <w:top w:val="nil"/>
              <w:left w:val="single" w:sz="8" w:space="0" w:color="BFBFBF"/>
              <w:bottom w:val="single" w:sz="4" w:space="0" w:color="BFBFBF"/>
              <w:right w:val="single" w:sz="4" w:space="0" w:color="BFBFBF"/>
            </w:tcBorders>
            <w:vAlign w:val="center"/>
            <w:hideMark/>
          </w:tcPr>
          <w:p w14:paraId="09D74D59" w14:textId="77777777" w:rsidR="00915F77" w:rsidRPr="00032E12" w:rsidRDefault="00915F77" w:rsidP="00AE1DED">
            <w:pPr>
              <w:rPr>
                <w:color w:val="000000" w:themeColor="text1"/>
                <w:sz w:val="20"/>
                <w:szCs w:val="20"/>
              </w:rPr>
            </w:pPr>
            <w:r w:rsidRPr="00032E12">
              <w:rPr>
                <w:color w:val="000000" w:themeColor="text1"/>
                <w:sz w:val="20"/>
                <w:szCs w:val="20"/>
              </w:rPr>
              <w:t>Alt-L1 access</w:t>
            </w:r>
          </w:p>
        </w:tc>
        <w:tc>
          <w:tcPr>
            <w:tcW w:w="2610" w:type="dxa"/>
            <w:tcBorders>
              <w:top w:val="nil"/>
              <w:left w:val="nil"/>
              <w:bottom w:val="single" w:sz="4" w:space="0" w:color="BFBFBF"/>
              <w:right w:val="single" w:sz="4" w:space="0" w:color="BFBFBF"/>
            </w:tcBorders>
            <w:vAlign w:val="center"/>
            <w:hideMark/>
          </w:tcPr>
          <w:p w14:paraId="23BF0356" w14:textId="77777777" w:rsidR="00915F77" w:rsidRPr="00032E12" w:rsidRDefault="00915F77" w:rsidP="00AE1DED">
            <w:pPr>
              <w:rPr>
                <w:color w:val="000000" w:themeColor="text1"/>
                <w:sz w:val="20"/>
                <w:szCs w:val="20"/>
              </w:rPr>
            </w:pPr>
            <w:r w:rsidRPr="00032E12">
              <w:rPr>
                <w:color w:val="000000" w:themeColor="text1"/>
                <w:sz w:val="20"/>
                <w:szCs w:val="20"/>
              </w:rPr>
              <w:t>Polygon or BSC wallet configured</w:t>
            </w:r>
          </w:p>
        </w:tc>
        <w:tc>
          <w:tcPr>
            <w:tcW w:w="2800" w:type="dxa"/>
            <w:tcBorders>
              <w:top w:val="nil"/>
              <w:left w:val="nil"/>
              <w:bottom w:val="single" w:sz="4" w:space="0" w:color="BFBFBF"/>
              <w:right w:val="single" w:sz="4" w:space="0" w:color="BFBFBF"/>
            </w:tcBorders>
            <w:vAlign w:val="center"/>
            <w:hideMark/>
          </w:tcPr>
          <w:p w14:paraId="71EFAFF7" w14:textId="77777777" w:rsidR="00915F77" w:rsidRPr="00032E12" w:rsidRDefault="00915F77" w:rsidP="00AE1DED">
            <w:pPr>
              <w:rPr>
                <w:color w:val="000000" w:themeColor="text1"/>
                <w:sz w:val="20"/>
                <w:szCs w:val="20"/>
              </w:rPr>
            </w:pPr>
            <w:r w:rsidRPr="00032E12">
              <w:rPr>
                <w:color w:val="000000" w:themeColor="text1"/>
                <w:sz w:val="20"/>
                <w:szCs w:val="20"/>
              </w:rPr>
              <w:t>Successfully completed test transaction?</w:t>
            </w:r>
          </w:p>
        </w:tc>
        <w:tc>
          <w:tcPr>
            <w:tcW w:w="2420" w:type="dxa"/>
            <w:tcBorders>
              <w:top w:val="nil"/>
              <w:left w:val="nil"/>
              <w:bottom w:val="single" w:sz="4" w:space="0" w:color="BFBFBF"/>
              <w:right w:val="single" w:sz="8" w:space="0" w:color="BFBFBF"/>
            </w:tcBorders>
            <w:vAlign w:val="center"/>
            <w:hideMark/>
          </w:tcPr>
          <w:p w14:paraId="133E79A4" w14:textId="77777777" w:rsidR="00915F77" w:rsidRPr="00032E12" w:rsidRDefault="00915F77" w:rsidP="00AE1DED">
            <w:pPr>
              <w:rPr>
                <w:color w:val="000000" w:themeColor="text1"/>
                <w:sz w:val="20"/>
                <w:szCs w:val="20"/>
              </w:rPr>
            </w:pPr>
            <w:r w:rsidRPr="00032E12">
              <w:rPr>
                <w:color w:val="000000" w:themeColor="text1"/>
                <w:sz w:val="20"/>
                <w:szCs w:val="20"/>
              </w:rPr>
              <w:t>Complete setup tutorial</w:t>
            </w:r>
          </w:p>
        </w:tc>
      </w:tr>
      <w:tr w:rsidR="00032E12" w:rsidRPr="00032E12" w14:paraId="4AC4B557" w14:textId="77777777" w:rsidTr="009B7E43">
        <w:trPr>
          <w:trHeight w:val="81"/>
        </w:trPr>
        <w:tc>
          <w:tcPr>
            <w:tcW w:w="1700" w:type="dxa"/>
            <w:tcBorders>
              <w:top w:val="nil"/>
              <w:left w:val="single" w:sz="8" w:space="0" w:color="BFBFBF"/>
              <w:bottom w:val="single" w:sz="4" w:space="0" w:color="BFBFBF"/>
              <w:right w:val="single" w:sz="4" w:space="0" w:color="BFBFBF"/>
            </w:tcBorders>
            <w:vAlign w:val="center"/>
            <w:hideMark/>
          </w:tcPr>
          <w:p w14:paraId="012CC648" w14:textId="77777777" w:rsidR="00915F77" w:rsidRPr="00032E12" w:rsidRDefault="00915F77" w:rsidP="00AE1DED">
            <w:pPr>
              <w:rPr>
                <w:color w:val="000000" w:themeColor="text1"/>
                <w:sz w:val="20"/>
                <w:szCs w:val="20"/>
              </w:rPr>
            </w:pPr>
            <w:r w:rsidRPr="00032E12">
              <w:rPr>
                <w:color w:val="000000" w:themeColor="text1"/>
                <w:sz w:val="20"/>
                <w:szCs w:val="20"/>
              </w:rPr>
              <w:t>Bridge understanding</w:t>
            </w:r>
          </w:p>
        </w:tc>
        <w:tc>
          <w:tcPr>
            <w:tcW w:w="2610" w:type="dxa"/>
            <w:tcBorders>
              <w:top w:val="nil"/>
              <w:left w:val="nil"/>
              <w:bottom w:val="single" w:sz="4" w:space="0" w:color="BFBFBF"/>
              <w:right w:val="single" w:sz="4" w:space="0" w:color="BFBFBF"/>
            </w:tcBorders>
            <w:vAlign w:val="center"/>
            <w:hideMark/>
          </w:tcPr>
          <w:p w14:paraId="2DBF66FD" w14:textId="77777777" w:rsidR="00915F77" w:rsidRPr="00032E12" w:rsidRDefault="00915F77" w:rsidP="00AE1DED">
            <w:pPr>
              <w:rPr>
                <w:color w:val="000000" w:themeColor="text1"/>
                <w:sz w:val="20"/>
                <w:szCs w:val="20"/>
              </w:rPr>
            </w:pPr>
            <w:r w:rsidRPr="00032E12">
              <w:rPr>
                <w:color w:val="000000" w:themeColor="text1"/>
                <w:sz w:val="20"/>
                <w:szCs w:val="20"/>
              </w:rPr>
              <w:t>Can move funds from exchange to alt-L1</w:t>
            </w:r>
          </w:p>
        </w:tc>
        <w:tc>
          <w:tcPr>
            <w:tcW w:w="2800" w:type="dxa"/>
            <w:tcBorders>
              <w:top w:val="nil"/>
              <w:left w:val="nil"/>
              <w:bottom w:val="single" w:sz="4" w:space="0" w:color="BFBFBF"/>
              <w:right w:val="single" w:sz="4" w:space="0" w:color="BFBFBF"/>
            </w:tcBorders>
            <w:vAlign w:val="center"/>
            <w:hideMark/>
          </w:tcPr>
          <w:p w14:paraId="22DEBF8B" w14:textId="77777777" w:rsidR="00915F77" w:rsidRPr="00032E12" w:rsidRDefault="00915F77" w:rsidP="00AE1DED">
            <w:pPr>
              <w:rPr>
                <w:color w:val="000000" w:themeColor="text1"/>
                <w:sz w:val="20"/>
                <w:szCs w:val="20"/>
              </w:rPr>
            </w:pPr>
            <w:r w:rsidRPr="00032E12">
              <w:rPr>
                <w:color w:val="000000" w:themeColor="text1"/>
                <w:sz w:val="20"/>
                <w:szCs w:val="20"/>
              </w:rPr>
              <w:t>Successfully bridged &lt;$50 test amount?</w:t>
            </w:r>
          </w:p>
        </w:tc>
        <w:tc>
          <w:tcPr>
            <w:tcW w:w="2420" w:type="dxa"/>
            <w:tcBorders>
              <w:top w:val="nil"/>
              <w:left w:val="nil"/>
              <w:bottom w:val="single" w:sz="4" w:space="0" w:color="BFBFBF"/>
              <w:right w:val="single" w:sz="8" w:space="0" w:color="BFBFBF"/>
            </w:tcBorders>
            <w:vAlign w:val="center"/>
            <w:hideMark/>
          </w:tcPr>
          <w:p w14:paraId="56670F59" w14:textId="77777777" w:rsidR="00915F77" w:rsidRPr="00032E12" w:rsidRDefault="00915F77" w:rsidP="00AE1DED">
            <w:pPr>
              <w:rPr>
                <w:color w:val="000000" w:themeColor="text1"/>
                <w:sz w:val="20"/>
                <w:szCs w:val="20"/>
              </w:rPr>
            </w:pPr>
            <w:r w:rsidRPr="00032E12">
              <w:rPr>
                <w:color w:val="000000" w:themeColor="text1"/>
                <w:sz w:val="20"/>
                <w:szCs w:val="20"/>
              </w:rPr>
              <w:t>Practice with small amounts</w:t>
            </w:r>
          </w:p>
        </w:tc>
      </w:tr>
      <w:tr w:rsidR="00032E12" w:rsidRPr="00032E12" w14:paraId="2952213D" w14:textId="77777777" w:rsidTr="009B7E43">
        <w:trPr>
          <w:trHeight w:val="81"/>
        </w:trPr>
        <w:tc>
          <w:tcPr>
            <w:tcW w:w="1700" w:type="dxa"/>
            <w:tcBorders>
              <w:top w:val="nil"/>
              <w:left w:val="single" w:sz="8" w:space="0" w:color="BFBFBF"/>
              <w:bottom w:val="nil"/>
              <w:right w:val="single" w:sz="4" w:space="0" w:color="BFBFBF"/>
            </w:tcBorders>
            <w:vAlign w:val="center"/>
            <w:hideMark/>
          </w:tcPr>
          <w:p w14:paraId="776DB154" w14:textId="77777777" w:rsidR="00915F77" w:rsidRPr="00032E12" w:rsidRDefault="00915F77" w:rsidP="00AE1DED">
            <w:pPr>
              <w:rPr>
                <w:color w:val="000000" w:themeColor="text1"/>
                <w:sz w:val="20"/>
                <w:szCs w:val="20"/>
              </w:rPr>
            </w:pPr>
            <w:r w:rsidRPr="00032E12">
              <w:rPr>
                <w:color w:val="000000" w:themeColor="text1"/>
                <w:sz w:val="20"/>
                <w:szCs w:val="20"/>
              </w:rPr>
              <w:t>Gas token holdings</w:t>
            </w:r>
          </w:p>
        </w:tc>
        <w:tc>
          <w:tcPr>
            <w:tcW w:w="2610" w:type="dxa"/>
            <w:tcBorders>
              <w:top w:val="nil"/>
              <w:left w:val="nil"/>
              <w:bottom w:val="nil"/>
              <w:right w:val="single" w:sz="4" w:space="0" w:color="BFBFBF"/>
            </w:tcBorders>
            <w:vAlign w:val="center"/>
            <w:hideMark/>
          </w:tcPr>
          <w:p w14:paraId="4638E4D8" w14:textId="77777777" w:rsidR="00915F77" w:rsidRPr="00032E12" w:rsidRDefault="00915F77" w:rsidP="00AE1DED">
            <w:pPr>
              <w:rPr>
                <w:color w:val="000000" w:themeColor="text1"/>
                <w:sz w:val="20"/>
                <w:szCs w:val="20"/>
              </w:rPr>
            </w:pPr>
            <w:r w:rsidRPr="00032E12">
              <w:rPr>
                <w:color w:val="000000" w:themeColor="text1"/>
                <w:sz w:val="20"/>
                <w:szCs w:val="20"/>
              </w:rPr>
              <w:t>5-10 MATIC or 0.05-0.1 BNB for fees</w:t>
            </w:r>
          </w:p>
        </w:tc>
        <w:tc>
          <w:tcPr>
            <w:tcW w:w="2800" w:type="dxa"/>
            <w:tcBorders>
              <w:top w:val="nil"/>
              <w:left w:val="nil"/>
              <w:bottom w:val="nil"/>
              <w:right w:val="single" w:sz="4" w:space="0" w:color="BFBFBF"/>
            </w:tcBorders>
            <w:vAlign w:val="center"/>
            <w:hideMark/>
          </w:tcPr>
          <w:p w14:paraId="0FAFF994" w14:textId="77777777" w:rsidR="00915F77" w:rsidRPr="00032E12" w:rsidRDefault="00915F77" w:rsidP="00AE1DED">
            <w:pPr>
              <w:rPr>
                <w:color w:val="000000" w:themeColor="text1"/>
                <w:sz w:val="20"/>
                <w:szCs w:val="20"/>
              </w:rPr>
            </w:pPr>
            <w:r w:rsidRPr="00032E12">
              <w:rPr>
                <w:color w:val="000000" w:themeColor="text1"/>
                <w:sz w:val="20"/>
                <w:szCs w:val="20"/>
              </w:rPr>
              <w:t>Sufficient gas tokens in wallet?</w:t>
            </w:r>
          </w:p>
        </w:tc>
        <w:tc>
          <w:tcPr>
            <w:tcW w:w="2420" w:type="dxa"/>
            <w:tcBorders>
              <w:top w:val="nil"/>
              <w:left w:val="nil"/>
              <w:bottom w:val="nil"/>
              <w:right w:val="single" w:sz="8" w:space="0" w:color="BFBFBF"/>
            </w:tcBorders>
            <w:vAlign w:val="center"/>
            <w:hideMark/>
          </w:tcPr>
          <w:p w14:paraId="6D0664B3" w14:textId="77777777" w:rsidR="00915F77" w:rsidRPr="00032E12" w:rsidRDefault="00915F77" w:rsidP="00AE1DED">
            <w:pPr>
              <w:rPr>
                <w:color w:val="000000" w:themeColor="text1"/>
                <w:sz w:val="20"/>
                <w:szCs w:val="20"/>
              </w:rPr>
            </w:pPr>
            <w:proofErr w:type="gramStart"/>
            <w:r w:rsidRPr="00032E12">
              <w:rPr>
                <w:color w:val="000000" w:themeColor="text1"/>
                <w:sz w:val="20"/>
                <w:szCs w:val="20"/>
              </w:rPr>
              <w:t>Acquire</w:t>
            </w:r>
            <w:proofErr w:type="gramEnd"/>
            <w:r w:rsidRPr="00032E12">
              <w:rPr>
                <w:color w:val="000000" w:themeColor="text1"/>
                <w:sz w:val="20"/>
                <w:szCs w:val="20"/>
              </w:rPr>
              <w:t xml:space="preserve"> gas tokens first</w:t>
            </w:r>
          </w:p>
        </w:tc>
      </w:tr>
      <w:tr w:rsidR="00032E12" w:rsidRPr="00032E12" w14:paraId="6452B1D0" w14:textId="77777777" w:rsidTr="00E80913">
        <w:trPr>
          <w:trHeight w:val="340"/>
        </w:trPr>
        <w:tc>
          <w:tcPr>
            <w:tcW w:w="9530" w:type="dxa"/>
            <w:gridSpan w:val="4"/>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4ED1DE87" w14:textId="77777777" w:rsidR="00915F77" w:rsidRPr="00032E12" w:rsidRDefault="00915F77" w:rsidP="00AE1DED">
            <w:pPr>
              <w:jc w:val="center"/>
              <w:rPr>
                <w:b/>
                <w:bCs/>
                <w:color w:val="000000" w:themeColor="text1"/>
                <w:sz w:val="20"/>
                <w:szCs w:val="20"/>
              </w:rPr>
            </w:pPr>
            <w:r w:rsidRPr="00032E12">
              <w:rPr>
                <w:b/>
                <w:bCs/>
                <w:color w:val="000000" w:themeColor="text1"/>
                <w:sz w:val="20"/>
                <w:szCs w:val="20"/>
              </w:rPr>
              <w:t>STRATEGY</w:t>
            </w:r>
          </w:p>
        </w:tc>
      </w:tr>
      <w:tr w:rsidR="00032E12" w:rsidRPr="00032E12" w14:paraId="2E77508E" w14:textId="77777777" w:rsidTr="009F7824">
        <w:trPr>
          <w:trHeight w:val="71"/>
        </w:trPr>
        <w:tc>
          <w:tcPr>
            <w:tcW w:w="1700" w:type="dxa"/>
            <w:tcBorders>
              <w:top w:val="nil"/>
              <w:left w:val="single" w:sz="8" w:space="0" w:color="BFBFBF"/>
              <w:bottom w:val="single" w:sz="4" w:space="0" w:color="BFBFBF"/>
              <w:right w:val="single" w:sz="4" w:space="0" w:color="BFBFBF"/>
            </w:tcBorders>
            <w:vAlign w:val="center"/>
            <w:hideMark/>
          </w:tcPr>
          <w:p w14:paraId="537C716C" w14:textId="77777777" w:rsidR="00915F77" w:rsidRPr="00032E12" w:rsidRDefault="00915F77" w:rsidP="00AE1DED">
            <w:pPr>
              <w:rPr>
                <w:color w:val="000000" w:themeColor="text1"/>
                <w:sz w:val="20"/>
                <w:szCs w:val="20"/>
              </w:rPr>
            </w:pPr>
            <w:r w:rsidRPr="00032E12">
              <w:rPr>
                <w:color w:val="000000" w:themeColor="text1"/>
                <w:sz w:val="20"/>
                <w:szCs w:val="20"/>
              </w:rPr>
              <w:t>Stablecoin pairs only</w:t>
            </w:r>
          </w:p>
        </w:tc>
        <w:tc>
          <w:tcPr>
            <w:tcW w:w="2610" w:type="dxa"/>
            <w:tcBorders>
              <w:top w:val="nil"/>
              <w:left w:val="nil"/>
              <w:bottom w:val="single" w:sz="4" w:space="0" w:color="BFBFBF"/>
              <w:right w:val="single" w:sz="4" w:space="0" w:color="BFBFBF"/>
            </w:tcBorders>
            <w:vAlign w:val="center"/>
            <w:hideMark/>
          </w:tcPr>
          <w:p w14:paraId="6818158C" w14:textId="77777777" w:rsidR="00915F77" w:rsidRPr="00032E12" w:rsidRDefault="00915F77" w:rsidP="00AE1DED">
            <w:pPr>
              <w:rPr>
                <w:color w:val="000000" w:themeColor="text1"/>
                <w:sz w:val="20"/>
                <w:szCs w:val="20"/>
              </w:rPr>
            </w:pPr>
            <w:r w:rsidRPr="00032E12">
              <w:rPr>
                <w:color w:val="000000" w:themeColor="text1"/>
                <w:sz w:val="20"/>
                <w:szCs w:val="20"/>
              </w:rPr>
              <w:t>USDC/USDT or DAI/USDC exclusively</w:t>
            </w:r>
          </w:p>
        </w:tc>
        <w:tc>
          <w:tcPr>
            <w:tcW w:w="2800" w:type="dxa"/>
            <w:tcBorders>
              <w:top w:val="nil"/>
              <w:left w:val="nil"/>
              <w:bottom w:val="single" w:sz="4" w:space="0" w:color="BFBFBF"/>
              <w:right w:val="single" w:sz="4" w:space="0" w:color="BFBFBF"/>
            </w:tcBorders>
            <w:vAlign w:val="center"/>
            <w:hideMark/>
          </w:tcPr>
          <w:p w14:paraId="7EFF897A" w14:textId="77777777" w:rsidR="00915F77" w:rsidRPr="00032E12" w:rsidRDefault="00915F77" w:rsidP="00AE1DED">
            <w:pPr>
              <w:rPr>
                <w:color w:val="000000" w:themeColor="text1"/>
                <w:sz w:val="20"/>
                <w:szCs w:val="20"/>
              </w:rPr>
            </w:pPr>
            <w:r w:rsidRPr="00032E12">
              <w:rPr>
                <w:color w:val="000000" w:themeColor="text1"/>
                <w:sz w:val="20"/>
                <w:szCs w:val="20"/>
              </w:rPr>
              <w:t>Understand why volatile pairs will lose money?</w:t>
            </w:r>
          </w:p>
        </w:tc>
        <w:tc>
          <w:tcPr>
            <w:tcW w:w="2420" w:type="dxa"/>
            <w:tcBorders>
              <w:top w:val="nil"/>
              <w:left w:val="nil"/>
              <w:bottom w:val="single" w:sz="4" w:space="0" w:color="BFBFBF"/>
              <w:right w:val="single" w:sz="8" w:space="0" w:color="BFBFBF"/>
            </w:tcBorders>
            <w:vAlign w:val="center"/>
            <w:hideMark/>
          </w:tcPr>
          <w:p w14:paraId="2C4A038F" w14:textId="77777777" w:rsidR="00915F77" w:rsidRPr="00032E12" w:rsidRDefault="00915F77" w:rsidP="00AE1DED">
            <w:pPr>
              <w:rPr>
                <w:color w:val="000000" w:themeColor="text1"/>
                <w:sz w:val="20"/>
                <w:szCs w:val="20"/>
              </w:rPr>
            </w:pPr>
            <w:r w:rsidRPr="00032E12">
              <w:rPr>
                <w:color w:val="000000" w:themeColor="text1"/>
                <w:sz w:val="20"/>
                <w:szCs w:val="20"/>
              </w:rPr>
              <w:t>Study impermanent loss mechanics</w:t>
            </w:r>
          </w:p>
        </w:tc>
      </w:tr>
      <w:tr w:rsidR="00032E12" w:rsidRPr="00032E12" w14:paraId="06E165CB" w14:textId="77777777" w:rsidTr="009F7824">
        <w:trPr>
          <w:trHeight w:val="116"/>
        </w:trPr>
        <w:tc>
          <w:tcPr>
            <w:tcW w:w="1700" w:type="dxa"/>
            <w:tcBorders>
              <w:top w:val="nil"/>
              <w:left w:val="single" w:sz="8" w:space="0" w:color="BFBFBF"/>
              <w:bottom w:val="single" w:sz="4" w:space="0" w:color="BFBFBF"/>
              <w:right w:val="single" w:sz="4" w:space="0" w:color="BFBFBF"/>
            </w:tcBorders>
            <w:vAlign w:val="center"/>
            <w:hideMark/>
          </w:tcPr>
          <w:p w14:paraId="325A15A1" w14:textId="77777777" w:rsidR="00915F77" w:rsidRPr="00032E12" w:rsidRDefault="00915F77" w:rsidP="00AE1DED">
            <w:pPr>
              <w:rPr>
                <w:color w:val="000000" w:themeColor="text1"/>
                <w:sz w:val="20"/>
                <w:szCs w:val="20"/>
              </w:rPr>
            </w:pPr>
            <w:r w:rsidRPr="00032E12">
              <w:rPr>
                <w:color w:val="000000" w:themeColor="text1"/>
                <w:sz w:val="20"/>
                <w:szCs w:val="20"/>
              </w:rPr>
              <w:t>Wide-range positions</w:t>
            </w:r>
          </w:p>
        </w:tc>
        <w:tc>
          <w:tcPr>
            <w:tcW w:w="2610" w:type="dxa"/>
            <w:tcBorders>
              <w:top w:val="nil"/>
              <w:left w:val="nil"/>
              <w:bottom w:val="single" w:sz="4" w:space="0" w:color="BFBFBF"/>
              <w:right w:val="single" w:sz="4" w:space="0" w:color="BFBFBF"/>
            </w:tcBorders>
            <w:vAlign w:val="center"/>
            <w:hideMark/>
          </w:tcPr>
          <w:p w14:paraId="44FC8440" w14:textId="77777777" w:rsidR="00915F77" w:rsidRPr="00032E12" w:rsidRDefault="00915F77" w:rsidP="00AE1DED">
            <w:pPr>
              <w:rPr>
                <w:color w:val="000000" w:themeColor="text1"/>
                <w:sz w:val="20"/>
                <w:szCs w:val="20"/>
              </w:rPr>
            </w:pPr>
            <w:r w:rsidRPr="00032E12">
              <w:rPr>
                <w:color w:val="000000" w:themeColor="text1"/>
                <w:sz w:val="20"/>
                <w:szCs w:val="20"/>
              </w:rPr>
              <w:t xml:space="preserve">Full-range or &gt;±5% </w:t>
            </w:r>
            <w:proofErr w:type="gramStart"/>
            <w:r w:rsidRPr="00032E12">
              <w:rPr>
                <w:color w:val="000000" w:themeColor="text1"/>
                <w:sz w:val="20"/>
                <w:szCs w:val="20"/>
              </w:rPr>
              <w:t>from</w:t>
            </w:r>
            <w:proofErr w:type="gramEnd"/>
            <w:r w:rsidRPr="00032E12">
              <w:rPr>
                <w:color w:val="000000" w:themeColor="text1"/>
                <w:sz w:val="20"/>
                <w:szCs w:val="20"/>
              </w:rPr>
              <w:t xml:space="preserve"> current price</w:t>
            </w:r>
          </w:p>
        </w:tc>
        <w:tc>
          <w:tcPr>
            <w:tcW w:w="2800" w:type="dxa"/>
            <w:tcBorders>
              <w:top w:val="nil"/>
              <w:left w:val="nil"/>
              <w:bottom w:val="single" w:sz="4" w:space="0" w:color="BFBFBF"/>
              <w:right w:val="single" w:sz="4" w:space="0" w:color="BFBFBF"/>
            </w:tcBorders>
            <w:vAlign w:val="center"/>
            <w:hideMark/>
          </w:tcPr>
          <w:p w14:paraId="266A5F06" w14:textId="77777777" w:rsidR="00915F77" w:rsidRPr="00032E12" w:rsidRDefault="00915F77" w:rsidP="00AE1DED">
            <w:pPr>
              <w:rPr>
                <w:color w:val="000000" w:themeColor="text1"/>
                <w:sz w:val="20"/>
                <w:szCs w:val="20"/>
              </w:rPr>
            </w:pPr>
            <w:r w:rsidRPr="00032E12">
              <w:rPr>
                <w:color w:val="000000" w:themeColor="text1"/>
                <w:sz w:val="20"/>
                <w:szCs w:val="20"/>
              </w:rPr>
              <w:t>Can you explain why tight ranges fail at this capital level?</w:t>
            </w:r>
          </w:p>
        </w:tc>
        <w:tc>
          <w:tcPr>
            <w:tcW w:w="2420" w:type="dxa"/>
            <w:tcBorders>
              <w:top w:val="nil"/>
              <w:left w:val="nil"/>
              <w:bottom w:val="single" w:sz="4" w:space="0" w:color="BFBFBF"/>
              <w:right w:val="single" w:sz="8" w:space="0" w:color="BFBFBF"/>
            </w:tcBorders>
            <w:vAlign w:val="center"/>
            <w:hideMark/>
          </w:tcPr>
          <w:p w14:paraId="59CC1F80" w14:textId="77777777" w:rsidR="00915F77" w:rsidRPr="00032E12" w:rsidRDefault="00915F77" w:rsidP="00AE1DED">
            <w:pPr>
              <w:rPr>
                <w:color w:val="000000" w:themeColor="text1"/>
                <w:sz w:val="20"/>
                <w:szCs w:val="20"/>
              </w:rPr>
            </w:pPr>
            <w:r w:rsidRPr="00032E12">
              <w:rPr>
                <w:color w:val="000000" w:themeColor="text1"/>
                <w:sz w:val="20"/>
                <w:szCs w:val="20"/>
              </w:rPr>
              <w:t>Do not attempt concentrated liquidity</w:t>
            </w:r>
          </w:p>
        </w:tc>
      </w:tr>
      <w:tr w:rsidR="00032E12" w:rsidRPr="00032E12" w14:paraId="5066DA85" w14:textId="77777777" w:rsidTr="009F7824">
        <w:trPr>
          <w:trHeight w:val="81"/>
        </w:trPr>
        <w:tc>
          <w:tcPr>
            <w:tcW w:w="1700" w:type="dxa"/>
            <w:tcBorders>
              <w:top w:val="nil"/>
              <w:left w:val="single" w:sz="8" w:space="0" w:color="BFBFBF"/>
              <w:bottom w:val="nil"/>
              <w:right w:val="single" w:sz="4" w:space="0" w:color="BFBFBF"/>
            </w:tcBorders>
            <w:vAlign w:val="center"/>
            <w:hideMark/>
          </w:tcPr>
          <w:p w14:paraId="100ACCA1" w14:textId="77777777" w:rsidR="00915F77" w:rsidRPr="00032E12" w:rsidRDefault="00915F77" w:rsidP="00AE1DED">
            <w:pPr>
              <w:rPr>
                <w:color w:val="000000" w:themeColor="text1"/>
                <w:sz w:val="20"/>
                <w:szCs w:val="20"/>
              </w:rPr>
            </w:pPr>
            <w:r w:rsidRPr="00032E12">
              <w:rPr>
                <w:color w:val="000000" w:themeColor="text1"/>
                <w:sz w:val="20"/>
                <w:szCs w:val="20"/>
              </w:rPr>
              <w:t>Minimal rebalancing</w:t>
            </w:r>
          </w:p>
        </w:tc>
        <w:tc>
          <w:tcPr>
            <w:tcW w:w="2610" w:type="dxa"/>
            <w:tcBorders>
              <w:top w:val="nil"/>
              <w:left w:val="nil"/>
              <w:bottom w:val="nil"/>
              <w:right w:val="single" w:sz="4" w:space="0" w:color="BFBFBF"/>
            </w:tcBorders>
            <w:vAlign w:val="center"/>
            <w:hideMark/>
          </w:tcPr>
          <w:p w14:paraId="0958F297" w14:textId="77777777" w:rsidR="00915F77" w:rsidRPr="00032E12" w:rsidRDefault="00915F77" w:rsidP="00AE1DED">
            <w:pPr>
              <w:rPr>
                <w:color w:val="000000" w:themeColor="text1"/>
                <w:sz w:val="20"/>
                <w:szCs w:val="20"/>
              </w:rPr>
            </w:pPr>
            <w:r w:rsidRPr="00032E12">
              <w:rPr>
                <w:color w:val="000000" w:themeColor="text1"/>
                <w:sz w:val="20"/>
                <w:szCs w:val="20"/>
              </w:rPr>
              <w:t>Strategy requires &lt;1 rebalance monthly</w:t>
            </w:r>
          </w:p>
        </w:tc>
        <w:tc>
          <w:tcPr>
            <w:tcW w:w="2800" w:type="dxa"/>
            <w:tcBorders>
              <w:top w:val="nil"/>
              <w:left w:val="nil"/>
              <w:bottom w:val="nil"/>
              <w:right w:val="single" w:sz="4" w:space="0" w:color="BFBFBF"/>
            </w:tcBorders>
            <w:vAlign w:val="center"/>
            <w:hideMark/>
          </w:tcPr>
          <w:p w14:paraId="345F43E0" w14:textId="77777777" w:rsidR="00915F77" w:rsidRPr="00032E12" w:rsidRDefault="00915F77" w:rsidP="00AE1DED">
            <w:pPr>
              <w:rPr>
                <w:color w:val="000000" w:themeColor="text1"/>
                <w:sz w:val="20"/>
                <w:szCs w:val="20"/>
              </w:rPr>
            </w:pPr>
            <w:r w:rsidRPr="00032E12">
              <w:rPr>
                <w:color w:val="000000" w:themeColor="text1"/>
                <w:sz w:val="20"/>
                <w:szCs w:val="20"/>
              </w:rPr>
              <w:t>Understand rebalancing costs exceed benefits?</w:t>
            </w:r>
          </w:p>
        </w:tc>
        <w:tc>
          <w:tcPr>
            <w:tcW w:w="2420" w:type="dxa"/>
            <w:tcBorders>
              <w:top w:val="nil"/>
              <w:left w:val="nil"/>
              <w:bottom w:val="nil"/>
              <w:right w:val="single" w:sz="8" w:space="0" w:color="BFBFBF"/>
            </w:tcBorders>
            <w:vAlign w:val="center"/>
            <w:hideMark/>
          </w:tcPr>
          <w:p w14:paraId="45BBCAFB" w14:textId="77777777" w:rsidR="00915F77" w:rsidRPr="00032E12" w:rsidRDefault="00915F77" w:rsidP="00AE1DED">
            <w:pPr>
              <w:rPr>
                <w:color w:val="000000" w:themeColor="text1"/>
                <w:sz w:val="20"/>
                <w:szCs w:val="20"/>
              </w:rPr>
            </w:pPr>
            <w:r w:rsidRPr="00032E12">
              <w:rPr>
                <w:color w:val="000000" w:themeColor="text1"/>
                <w:sz w:val="20"/>
                <w:szCs w:val="20"/>
              </w:rPr>
              <w:t>Choose passive strategies only</w:t>
            </w:r>
          </w:p>
        </w:tc>
      </w:tr>
      <w:tr w:rsidR="00032E12" w:rsidRPr="00032E12" w14:paraId="0BC8A667" w14:textId="77777777" w:rsidTr="00E80913">
        <w:trPr>
          <w:trHeight w:val="340"/>
        </w:trPr>
        <w:tc>
          <w:tcPr>
            <w:tcW w:w="9530" w:type="dxa"/>
            <w:gridSpan w:val="4"/>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14DA0A45" w14:textId="77777777" w:rsidR="00915F77" w:rsidRPr="00032E12" w:rsidRDefault="00915F77" w:rsidP="00AE1DED">
            <w:pPr>
              <w:jc w:val="center"/>
              <w:rPr>
                <w:b/>
                <w:bCs/>
                <w:color w:val="000000" w:themeColor="text1"/>
                <w:sz w:val="20"/>
                <w:szCs w:val="20"/>
              </w:rPr>
            </w:pPr>
            <w:r w:rsidRPr="00032E12">
              <w:rPr>
                <w:b/>
                <w:bCs/>
                <w:color w:val="000000" w:themeColor="text1"/>
                <w:sz w:val="20"/>
                <w:szCs w:val="20"/>
              </w:rPr>
              <w:t>COMPETENCE</w:t>
            </w:r>
          </w:p>
        </w:tc>
      </w:tr>
      <w:tr w:rsidR="00032E12" w:rsidRPr="00032E12" w14:paraId="0592575D" w14:textId="77777777" w:rsidTr="009F7824">
        <w:trPr>
          <w:trHeight w:val="71"/>
        </w:trPr>
        <w:tc>
          <w:tcPr>
            <w:tcW w:w="1700" w:type="dxa"/>
            <w:tcBorders>
              <w:top w:val="nil"/>
              <w:left w:val="single" w:sz="8" w:space="0" w:color="BFBFBF"/>
              <w:bottom w:val="single" w:sz="4" w:space="0" w:color="BFBFBF"/>
              <w:right w:val="single" w:sz="4" w:space="0" w:color="BFBFBF"/>
            </w:tcBorders>
            <w:vAlign w:val="center"/>
            <w:hideMark/>
          </w:tcPr>
          <w:p w14:paraId="2BA46CC6" w14:textId="77777777" w:rsidR="00915F77" w:rsidRPr="00032E12" w:rsidRDefault="00915F77" w:rsidP="00AE1DED">
            <w:pPr>
              <w:rPr>
                <w:color w:val="000000" w:themeColor="text1"/>
                <w:sz w:val="20"/>
                <w:szCs w:val="20"/>
              </w:rPr>
            </w:pPr>
            <w:r w:rsidRPr="00032E12">
              <w:rPr>
                <w:color w:val="000000" w:themeColor="text1"/>
                <w:sz w:val="20"/>
                <w:szCs w:val="20"/>
              </w:rPr>
              <w:lastRenderedPageBreak/>
              <w:t>Wallet security</w:t>
            </w:r>
          </w:p>
        </w:tc>
        <w:tc>
          <w:tcPr>
            <w:tcW w:w="2610" w:type="dxa"/>
            <w:tcBorders>
              <w:top w:val="nil"/>
              <w:left w:val="nil"/>
              <w:bottom w:val="single" w:sz="4" w:space="0" w:color="BFBFBF"/>
              <w:right w:val="single" w:sz="4" w:space="0" w:color="BFBFBF"/>
            </w:tcBorders>
            <w:vAlign w:val="center"/>
            <w:hideMark/>
          </w:tcPr>
          <w:p w14:paraId="5DEDB9FA" w14:textId="77777777" w:rsidR="00915F77" w:rsidRPr="00032E12" w:rsidRDefault="00915F77" w:rsidP="00AE1DED">
            <w:pPr>
              <w:rPr>
                <w:color w:val="000000" w:themeColor="text1"/>
                <w:sz w:val="20"/>
                <w:szCs w:val="20"/>
              </w:rPr>
            </w:pPr>
            <w:r w:rsidRPr="00032E12">
              <w:rPr>
                <w:color w:val="000000" w:themeColor="text1"/>
                <w:sz w:val="20"/>
                <w:szCs w:val="20"/>
              </w:rPr>
              <w:t>Hardware wallet or secure software wallet</w:t>
            </w:r>
          </w:p>
        </w:tc>
        <w:tc>
          <w:tcPr>
            <w:tcW w:w="2800" w:type="dxa"/>
            <w:tcBorders>
              <w:top w:val="nil"/>
              <w:left w:val="nil"/>
              <w:bottom w:val="single" w:sz="4" w:space="0" w:color="BFBFBF"/>
              <w:right w:val="single" w:sz="4" w:space="0" w:color="BFBFBF"/>
            </w:tcBorders>
            <w:vAlign w:val="center"/>
            <w:hideMark/>
          </w:tcPr>
          <w:p w14:paraId="040481B1" w14:textId="77777777" w:rsidR="00915F77" w:rsidRPr="00032E12" w:rsidRDefault="00915F77" w:rsidP="00AE1DED">
            <w:pPr>
              <w:rPr>
                <w:color w:val="000000" w:themeColor="text1"/>
                <w:sz w:val="20"/>
                <w:szCs w:val="20"/>
              </w:rPr>
            </w:pPr>
            <w:r w:rsidRPr="00032E12">
              <w:rPr>
                <w:color w:val="000000" w:themeColor="text1"/>
                <w:sz w:val="20"/>
                <w:szCs w:val="20"/>
              </w:rPr>
              <w:t>Backed up seed phrase in 2 physical locations?</w:t>
            </w:r>
          </w:p>
        </w:tc>
        <w:tc>
          <w:tcPr>
            <w:tcW w:w="2420" w:type="dxa"/>
            <w:tcBorders>
              <w:top w:val="nil"/>
              <w:left w:val="nil"/>
              <w:bottom w:val="single" w:sz="4" w:space="0" w:color="BFBFBF"/>
              <w:right w:val="single" w:sz="8" w:space="0" w:color="BFBFBF"/>
            </w:tcBorders>
            <w:vAlign w:val="center"/>
            <w:hideMark/>
          </w:tcPr>
          <w:p w14:paraId="3BF01CEC" w14:textId="77777777" w:rsidR="00915F77" w:rsidRPr="00032E12" w:rsidRDefault="00915F77" w:rsidP="00AE1DED">
            <w:pPr>
              <w:rPr>
                <w:color w:val="000000" w:themeColor="text1"/>
                <w:sz w:val="20"/>
                <w:szCs w:val="20"/>
              </w:rPr>
            </w:pPr>
            <w:r w:rsidRPr="00032E12">
              <w:rPr>
                <w:color w:val="000000" w:themeColor="text1"/>
                <w:sz w:val="20"/>
                <w:szCs w:val="20"/>
              </w:rPr>
              <w:t>Improve security before funding</w:t>
            </w:r>
          </w:p>
        </w:tc>
      </w:tr>
      <w:tr w:rsidR="00032E12" w:rsidRPr="00032E12" w14:paraId="6ECF7E58" w14:textId="77777777" w:rsidTr="009F7824">
        <w:trPr>
          <w:trHeight w:val="81"/>
        </w:trPr>
        <w:tc>
          <w:tcPr>
            <w:tcW w:w="1700" w:type="dxa"/>
            <w:tcBorders>
              <w:top w:val="nil"/>
              <w:left w:val="single" w:sz="8" w:space="0" w:color="BFBFBF"/>
              <w:bottom w:val="single" w:sz="4" w:space="0" w:color="BFBFBF"/>
              <w:right w:val="single" w:sz="4" w:space="0" w:color="BFBFBF"/>
            </w:tcBorders>
            <w:vAlign w:val="center"/>
            <w:hideMark/>
          </w:tcPr>
          <w:p w14:paraId="5A2E4527" w14:textId="77777777" w:rsidR="00915F77" w:rsidRPr="00032E12" w:rsidRDefault="00915F77" w:rsidP="00AE1DED">
            <w:pPr>
              <w:rPr>
                <w:color w:val="000000" w:themeColor="text1"/>
                <w:sz w:val="20"/>
                <w:szCs w:val="20"/>
              </w:rPr>
            </w:pPr>
            <w:r w:rsidRPr="00032E12">
              <w:rPr>
                <w:color w:val="000000" w:themeColor="text1"/>
                <w:sz w:val="20"/>
                <w:szCs w:val="20"/>
              </w:rPr>
              <w:t>Transaction signing</w:t>
            </w:r>
          </w:p>
        </w:tc>
        <w:tc>
          <w:tcPr>
            <w:tcW w:w="2610" w:type="dxa"/>
            <w:tcBorders>
              <w:top w:val="nil"/>
              <w:left w:val="nil"/>
              <w:bottom w:val="single" w:sz="4" w:space="0" w:color="BFBFBF"/>
              <w:right w:val="single" w:sz="4" w:space="0" w:color="BFBFBF"/>
            </w:tcBorders>
            <w:vAlign w:val="center"/>
            <w:hideMark/>
          </w:tcPr>
          <w:p w14:paraId="3C1FD61D" w14:textId="77777777" w:rsidR="00915F77" w:rsidRPr="00032E12" w:rsidRDefault="00915F77" w:rsidP="00AE1DED">
            <w:pPr>
              <w:rPr>
                <w:color w:val="000000" w:themeColor="text1"/>
                <w:sz w:val="20"/>
                <w:szCs w:val="20"/>
              </w:rPr>
            </w:pPr>
            <w:r w:rsidRPr="00032E12">
              <w:rPr>
                <w:color w:val="000000" w:themeColor="text1"/>
                <w:sz w:val="20"/>
                <w:szCs w:val="20"/>
              </w:rPr>
              <w:t>Understand what you're approving</w:t>
            </w:r>
          </w:p>
        </w:tc>
        <w:tc>
          <w:tcPr>
            <w:tcW w:w="2800" w:type="dxa"/>
            <w:tcBorders>
              <w:top w:val="nil"/>
              <w:left w:val="nil"/>
              <w:bottom w:val="single" w:sz="4" w:space="0" w:color="BFBFBF"/>
              <w:right w:val="single" w:sz="4" w:space="0" w:color="BFBFBF"/>
            </w:tcBorders>
            <w:vAlign w:val="center"/>
            <w:hideMark/>
          </w:tcPr>
          <w:p w14:paraId="2C65F46C" w14:textId="77777777" w:rsidR="00915F77" w:rsidRPr="00032E12" w:rsidRDefault="00915F77" w:rsidP="00AE1DED">
            <w:pPr>
              <w:rPr>
                <w:color w:val="000000" w:themeColor="text1"/>
                <w:sz w:val="20"/>
                <w:szCs w:val="20"/>
              </w:rPr>
            </w:pPr>
            <w:r w:rsidRPr="00032E12">
              <w:rPr>
                <w:color w:val="000000" w:themeColor="text1"/>
                <w:sz w:val="20"/>
                <w:szCs w:val="20"/>
              </w:rPr>
              <w:t>Can you identify malicious transaction requests?</w:t>
            </w:r>
          </w:p>
        </w:tc>
        <w:tc>
          <w:tcPr>
            <w:tcW w:w="2420" w:type="dxa"/>
            <w:tcBorders>
              <w:top w:val="nil"/>
              <w:left w:val="nil"/>
              <w:bottom w:val="single" w:sz="4" w:space="0" w:color="BFBFBF"/>
              <w:right w:val="single" w:sz="8" w:space="0" w:color="BFBFBF"/>
            </w:tcBorders>
            <w:vAlign w:val="center"/>
            <w:hideMark/>
          </w:tcPr>
          <w:p w14:paraId="5E5E9D90" w14:textId="77777777" w:rsidR="00915F77" w:rsidRPr="00032E12" w:rsidRDefault="00915F77" w:rsidP="00AE1DED">
            <w:pPr>
              <w:rPr>
                <w:color w:val="000000" w:themeColor="text1"/>
                <w:sz w:val="20"/>
                <w:szCs w:val="20"/>
              </w:rPr>
            </w:pPr>
            <w:r w:rsidRPr="00032E12">
              <w:rPr>
                <w:color w:val="000000" w:themeColor="text1"/>
                <w:sz w:val="20"/>
                <w:szCs w:val="20"/>
              </w:rPr>
              <w:t>Complete security training</w:t>
            </w:r>
          </w:p>
        </w:tc>
      </w:tr>
      <w:tr w:rsidR="00032E12" w:rsidRPr="00032E12" w14:paraId="58C8FF21" w14:textId="77777777" w:rsidTr="00E80913">
        <w:trPr>
          <w:trHeight w:val="81"/>
        </w:trPr>
        <w:tc>
          <w:tcPr>
            <w:tcW w:w="1700" w:type="dxa"/>
            <w:tcBorders>
              <w:top w:val="nil"/>
              <w:left w:val="single" w:sz="8" w:space="0" w:color="BFBFBF"/>
              <w:bottom w:val="nil"/>
              <w:right w:val="single" w:sz="4" w:space="0" w:color="BFBFBF"/>
            </w:tcBorders>
            <w:vAlign w:val="center"/>
            <w:hideMark/>
          </w:tcPr>
          <w:p w14:paraId="292ED86D" w14:textId="77777777" w:rsidR="00915F77" w:rsidRPr="00032E12" w:rsidRDefault="00915F77" w:rsidP="00AE1DED">
            <w:pPr>
              <w:rPr>
                <w:color w:val="000000" w:themeColor="text1"/>
                <w:sz w:val="20"/>
                <w:szCs w:val="20"/>
              </w:rPr>
            </w:pPr>
            <w:r w:rsidRPr="00032E12">
              <w:rPr>
                <w:color w:val="000000" w:themeColor="text1"/>
                <w:sz w:val="20"/>
                <w:szCs w:val="20"/>
              </w:rPr>
              <w:t>Basic terminology</w:t>
            </w:r>
          </w:p>
        </w:tc>
        <w:tc>
          <w:tcPr>
            <w:tcW w:w="2610" w:type="dxa"/>
            <w:tcBorders>
              <w:top w:val="nil"/>
              <w:left w:val="nil"/>
              <w:bottom w:val="nil"/>
              <w:right w:val="single" w:sz="4" w:space="0" w:color="BFBFBF"/>
            </w:tcBorders>
            <w:vAlign w:val="center"/>
            <w:hideMark/>
          </w:tcPr>
          <w:p w14:paraId="05319B01" w14:textId="77777777" w:rsidR="00915F77" w:rsidRPr="00032E12" w:rsidRDefault="00915F77" w:rsidP="00AE1DED">
            <w:pPr>
              <w:rPr>
                <w:color w:val="000000" w:themeColor="text1"/>
                <w:sz w:val="20"/>
                <w:szCs w:val="20"/>
              </w:rPr>
            </w:pPr>
            <w:r w:rsidRPr="00032E12">
              <w:rPr>
                <w:color w:val="000000" w:themeColor="text1"/>
                <w:sz w:val="20"/>
                <w:szCs w:val="20"/>
              </w:rPr>
              <w:t>Understand LP, APY, TVL, slippage</w:t>
            </w:r>
          </w:p>
        </w:tc>
        <w:tc>
          <w:tcPr>
            <w:tcW w:w="2800" w:type="dxa"/>
            <w:tcBorders>
              <w:top w:val="nil"/>
              <w:left w:val="nil"/>
              <w:bottom w:val="nil"/>
              <w:right w:val="single" w:sz="4" w:space="0" w:color="BFBFBF"/>
            </w:tcBorders>
            <w:vAlign w:val="center"/>
            <w:hideMark/>
          </w:tcPr>
          <w:p w14:paraId="5B141AD3" w14:textId="77777777" w:rsidR="00915F77" w:rsidRPr="00032E12" w:rsidRDefault="00915F77" w:rsidP="00AE1DED">
            <w:pPr>
              <w:rPr>
                <w:color w:val="000000" w:themeColor="text1"/>
                <w:sz w:val="20"/>
                <w:szCs w:val="20"/>
              </w:rPr>
            </w:pPr>
            <w:r w:rsidRPr="00032E12">
              <w:rPr>
                <w:color w:val="000000" w:themeColor="text1"/>
                <w:sz w:val="20"/>
                <w:szCs w:val="20"/>
              </w:rPr>
              <w:t>Can you define these without looking them up?</w:t>
            </w:r>
          </w:p>
        </w:tc>
        <w:tc>
          <w:tcPr>
            <w:tcW w:w="2420" w:type="dxa"/>
            <w:tcBorders>
              <w:top w:val="nil"/>
              <w:left w:val="nil"/>
              <w:bottom w:val="nil"/>
              <w:right w:val="single" w:sz="8" w:space="0" w:color="BFBFBF"/>
            </w:tcBorders>
            <w:vAlign w:val="center"/>
            <w:hideMark/>
          </w:tcPr>
          <w:p w14:paraId="2D5609F6" w14:textId="77777777" w:rsidR="00915F77" w:rsidRPr="00032E12" w:rsidRDefault="00915F77" w:rsidP="00AE1DED">
            <w:pPr>
              <w:rPr>
                <w:color w:val="000000" w:themeColor="text1"/>
                <w:sz w:val="20"/>
                <w:szCs w:val="20"/>
              </w:rPr>
            </w:pPr>
            <w:r w:rsidRPr="00032E12">
              <w:rPr>
                <w:color w:val="000000" w:themeColor="text1"/>
                <w:sz w:val="20"/>
                <w:szCs w:val="20"/>
              </w:rPr>
              <w:t>Study fundamentals first</w:t>
            </w:r>
          </w:p>
        </w:tc>
      </w:tr>
      <w:tr w:rsidR="00032E12" w:rsidRPr="00032E12" w14:paraId="6F1AD538" w14:textId="77777777" w:rsidTr="00E80913">
        <w:trPr>
          <w:trHeight w:val="340"/>
        </w:trPr>
        <w:tc>
          <w:tcPr>
            <w:tcW w:w="9530" w:type="dxa"/>
            <w:gridSpan w:val="4"/>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31F069E2" w14:textId="77777777" w:rsidR="00915F77" w:rsidRPr="00032E12" w:rsidRDefault="00915F77" w:rsidP="00AE1DED">
            <w:pPr>
              <w:jc w:val="center"/>
              <w:rPr>
                <w:b/>
                <w:bCs/>
                <w:color w:val="000000" w:themeColor="text1"/>
                <w:sz w:val="20"/>
                <w:szCs w:val="20"/>
              </w:rPr>
            </w:pPr>
            <w:r w:rsidRPr="00032E12">
              <w:rPr>
                <w:b/>
                <w:bCs/>
                <w:color w:val="000000" w:themeColor="text1"/>
                <w:sz w:val="20"/>
                <w:szCs w:val="20"/>
              </w:rPr>
              <w:t>TIME</w:t>
            </w:r>
          </w:p>
        </w:tc>
      </w:tr>
      <w:tr w:rsidR="00032E12" w:rsidRPr="00032E12" w14:paraId="20B74ADA" w14:textId="77777777" w:rsidTr="00E80913">
        <w:trPr>
          <w:trHeight w:val="71"/>
        </w:trPr>
        <w:tc>
          <w:tcPr>
            <w:tcW w:w="1700" w:type="dxa"/>
            <w:tcBorders>
              <w:top w:val="nil"/>
              <w:left w:val="single" w:sz="8" w:space="0" w:color="BFBFBF"/>
              <w:bottom w:val="single" w:sz="4" w:space="0" w:color="BFBFBF"/>
              <w:right w:val="single" w:sz="4" w:space="0" w:color="BFBFBF"/>
            </w:tcBorders>
            <w:vAlign w:val="center"/>
            <w:hideMark/>
          </w:tcPr>
          <w:p w14:paraId="7372C88A" w14:textId="77777777" w:rsidR="00915F77" w:rsidRPr="00032E12" w:rsidRDefault="00915F77" w:rsidP="00AE1DED">
            <w:pPr>
              <w:rPr>
                <w:color w:val="000000" w:themeColor="text1"/>
                <w:sz w:val="20"/>
                <w:szCs w:val="20"/>
              </w:rPr>
            </w:pPr>
            <w:r w:rsidRPr="00032E12">
              <w:rPr>
                <w:color w:val="000000" w:themeColor="text1"/>
                <w:sz w:val="20"/>
                <w:szCs w:val="20"/>
              </w:rPr>
              <w:t>Weekly commitment</w:t>
            </w:r>
          </w:p>
        </w:tc>
        <w:tc>
          <w:tcPr>
            <w:tcW w:w="2610" w:type="dxa"/>
            <w:tcBorders>
              <w:top w:val="nil"/>
              <w:left w:val="nil"/>
              <w:bottom w:val="single" w:sz="4" w:space="0" w:color="BFBFBF"/>
              <w:right w:val="single" w:sz="4" w:space="0" w:color="BFBFBF"/>
            </w:tcBorders>
            <w:vAlign w:val="center"/>
            <w:hideMark/>
          </w:tcPr>
          <w:p w14:paraId="15845870" w14:textId="77777777" w:rsidR="00915F77" w:rsidRPr="00032E12" w:rsidRDefault="00915F77" w:rsidP="00AE1DED">
            <w:pPr>
              <w:rPr>
                <w:color w:val="000000" w:themeColor="text1"/>
                <w:sz w:val="20"/>
                <w:szCs w:val="20"/>
              </w:rPr>
            </w:pPr>
            <w:r w:rsidRPr="00032E12">
              <w:rPr>
                <w:color w:val="000000" w:themeColor="text1"/>
                <w:sz w:val="20"/>
                <w:szCs w:val="20"/>
              </w:rPr>
              <w:t>5 hours/week available</w:t>
            </w:r>
          </w:p>
        </w:tc>
        <w:tc>
          <w:tcPr>
            <w:tcW w:w="2800" w:type="dxa"/>
            <w:tcBorders>
              <w:top w:val="nil"/>
              <w:left w:val="nil"/>
              <w:bottom w:val="single" w:sz="4" w:space="0" w:color="BFBFBF"/>
              <w:right w:val="single" w:sz="4" w:space="0" w:color="BFBFBF"/>
            </w:tcBorders>
            <w:vAlign w:val="center"/>
            <w:hideMark/>
          </w:tcPr>
          <w:p w14:paraId="11416F5F" w14:textId="77777777" w:rsidR="00915F77" w:rsidRPr="00032E12" w:rsidRDefault="00915F77" w:rsidP="00AE1DED">
            <w:pPr>
              <w:rPr>
                <w:color w:val="000000" w:themeColor="text1"/>
                <w:sz w:val="20"/>
                <w:szCs w:val="20"/>
              </w:rPr>
            </w:pPr>
            <w:r w:rsidRPr="00032E12">
              <w:rPr>
                <w:color w:val="000000" w:themeColor="text1"/>
                <w:sz w:val="20"/>
                <w:szCs w:val="20"/>
              </w:rPr>
              <w:t>Scheduled specific times for DeFi management?</w:t>
            </w:r>
          </w:p>
        </w:tc>
        <w:tc>
          <w:tcPr>
            <w:tcW w:w="2420" w:type="dxa"/>
            <w:tcBorders>
              <w:top w:val="nil"/>
              <w:left w:val="nil"/>
              <w:bottom w:val="single" w:sz="4" w:space="0" w:color="BFBFBF"/>
              <w:right w:val="single" w:sz="8" w:space="0" w:color="BFBFBF"/>
            </w:tcBorders>
            <w:vAlign w:val="center"/>
            <w:hideMark/>
          </w:tcPr>
          <w:p w14:paraId="165A4936" w14:textId="77777777" w:rsidR="00915F77" w:rsidRPr="00032E12" w:rsidRDefault="00915F77" w:rsidP="00AE1DED">
            <w:pPr>
              <w:rPr>
                <w:color w:val="000000" w:themeColor="text1"/>
                <w:sz w:val="20"/>
                <w:szCs w:val="20"/>
              </w:rPr>
            </w:pPr>
            <w:r w:rsidRPr="00032E12">
              <w:rPr>
                <w:color w:val="000000" w:themeColor="text1"/>
                <w:sz w:val="20"/>
                <w:szCs w:val="20"/>
              </w:rPr>
              <w:t>Reduce commitment or don't participate</w:t>
            </w:r>
          </w:p>
        </w:tc>
      </w:tr>
      <w:tr w:rsidR="00032E12" w:rsidRPr="00032E12" w14:paraId="023C6FDA" w14:textId="77777777" w:rsidTr="00E80913">
        <w:trPr>
          <w:trHeight w:val="206"/>
        </w:trPr>
        <w:tc>
          <w:tcPr>
            <w:tcW w:w="1700" w:type="dxa"/>
            <w:tcBorders>
              <w:top w:val="nil"/>
              <w:left w:val="single" w:sz="8" w:space="0" w:color="BFBFBF"/>
              <w:bottom w:val="single" w:sz="4" w:space="0" w:color="BFBFBF"/>
              <w:right w:val="single" w:sz="4" w:space="0" w:color="BFBFBF"/>
            </w:tcBorders>
            <w:vAlign w:val="center"/>
            <w:hideMark/>
          </w:tcPr>
          <w:p w14:paraId="32BF4372" w14:textId="77777777" w:rsidR="00915F77" w:rsidRPr="00032E12" w:rsidRDefault="00915F77" w:rsidP="00AE1DED">
            <w:pPr>
              <w:rPr>
                <w:color w:val="000000" w:themeColor="text1"/>
                <w:sz w:val="20"/>
                <w:szCs w:val="20"/>
              </w:rPr>
            </w:pPr>
            <w:r w:rsidRPr="00032E12">
              <w:rPr>
                <w:color w:val="000000" w:themeColor="text1"/>
                <w:sz w:val="20"/>
                <w:szCs w:val="20"/>
              </w:rPr>
              <w:t>Monitoring routine</w:t>
            </w:r>
          </w:p>
        </w:tc>
        <w:tc>
          <w:tcPr>
            <w:tcW w:w="2610" w:type="dxa"/>
            <w:tcBorders>
              <w:top w:val="nil"/>
              <w:left w:val="nil"/>
              <w:bottom w:val="single" w:sz="4" w:space="0" w:color="BFBFBF"/>
              <w:right w:val="single" w:sz="4" w:space="0" w:color="BFBFBF"/>
            </w:tcBorders>
            <w:vAlign w:val="center"/>
            <w:hideMark/>
          </w:tcPr>
          <w:p w14:paraId="6E8B335E" w14:textId="77777777" w:rsidR="00915F77" w:rsidRPr="00032E12" w:rsidRDefault="00915F77" w:rsidP="00AE1DED">
            <w:pPr>
              <w:rPr>
                <w:color w:val="000000" w:themeColor="text1"/>
                <w:sz w:val="20"/>
                <w:szCs w:val="20"/>
              </w:rPr>
            </w:pPr>
            <w:r w:rsidRPr="00032E12">
              <w:rPr>
                <w:color w:val="000000" w:themeColor="text1"/>
                <w:sz w:val="20"/>
                <w:szCs w:val="20"/>
              </w:rPr>
              <w:t>Daily 10-minute position check</w:t>
            </w:r>
          </w:p>
        </w:tc>
        <w:tc>
          <w:tcPr>
            <w:tcW w:w="2800" w:type="dxa"/>
            <w:tcBorders>
              <w:top w:val="nil"/>
              <w:left w:val="nil"/>
              <w:bottom w:val="single" w:sz="4" w:space="0" w:color="BFBFBF"/>
              <w:right w:val="single" w:sz="4" w:space="0" w:color="BFBFBF"/>
            </w:tcBorders>
            <w:vAlign w:val="center"/>
            <w:hideMark/>
          </w:tcPr>
          <w:p w14:paraId="6D3E9DDF" w14:textId="77777777" w:rsidR="00915F77" w:rsidRPr="00032E12" w:rsidRDefault="00915F77" w:rsidP="00AE1DED">
            <w:pPr>
              <w:rPr>
                <w:color w:val="000000" w:themeColor="text1"/>
                <w:sz w:val="20"/>
                <w:szCs w:val="20"/>
              </w:rPr>
            </w:pPr>
            <w:r w:rsidRPr="00032E12">
              <w:rPr>
                <w:color w:val="000000" w:themeColor="text1"/>
                <w:sz w:val="20"/>
                <w:szCs w:val="20"/>
              </w:rPr>
              <w:t xml:space="preserve">Will you </w:t>
            </w:r>
            <w:proofErr w:type="gramStart"/>
            <w:r w:rsidRPr="00032E12">
              <w:rPr>
                <w:color w:val="000000" w:themeColor="text1"/>
                <w:sz w:val="20"/>
                <w:szCs w:val="20"/>
              </w:rPr>
              <w:t>actually check</w:t>
            </w:r>
            <w:proofErr w:type="gramEnd"/>
            <w:r w:rsidRPr="00032E12">
              <w:rPr>
                <w:color w:val="000000" w:themeColor="text1"/>
                <w:sz w:val="20"/>
                <w:szCs w:val="20"/>
              </w:rPr>
              <w:t xml:space="preserve"> daily?</w:t>
            </w:r>
          </w:p>
        </w:tc>
        <w:tc>
          <w:tcPr>
            <w:tcW w:w="2420" w:type="dxa"/>
            <w:tcBorders>
              <w:top w:val="nil"/>
              <w:left w:val="nil"/>
              <w:bottom w:val="single" w:sz="4" w:space="0" w:color="BFBFBF"/>
              <w:right w:val="single" w:sz="8" w:space="0" w:color="BFBFBF"/>
            </w:tcBorders>
            <w:vAlign w:val="center"/>
            <w:hideMark/>
          </w:tcPr>
          <w:p w14:paraId="163B7677" w14:textId="77777777" w:rsidR="00915F77" w:rsidRPr="00032E12" w:rsidRDefault="00915F77" w:rsidP="00AE1DED">
            <w:pPr>
              <w:rPr>
                <w:color w:val="000000" w:themeColor="text1"/>
                <w:sz w:val="20"/>
                <w:szCs w:val="20"/>
              </w:rPr>
            </w:pPr>
            <w:r w:rsidRPr="00032E12">
              <w:rPr>
                <w:color w:val="000000" w:themeColor="text1"/>
                <w:sz w:val="20"/>
                <w:szCs w:val="20"/>
              </w:rPr>
              <w:t xml:space="preserve">If </w:t>
            </w:r>
            <w:proofErr w:type="gramStart"/>
            <w:r w:rsidRPr="00032E12">
              <w:rPr>
                <w:color w:val="000000" w:themeColor="text1"/>
                <w:sz w:val="20"/>
                <w:szCs w:val="20"/>
              </w:rPr>
              <w:t>no</w:t>
            </w:r>
            <w:proofErr w:type="gramEnd"/>
            <w:r w:rsidRPr="00032E12">
              <w:rPr>
                <w:color w:val="000000" w:themeColor="text1"/>
                <w:sz w:val="20"/>
                <w:szCs w:val="20"/>
              </w:rPr>
              <w:t>, choose even simpler strategy</w:t>
            </w:r>
          </w:p>
        </w:tc>
      </w:tr>
      <w:tr w:rsidR="00032E12" w:rsidRPr="00032E12" w14:paraId="4DE6D597" w14:textId="77777777" w:rsidTr="00E80913">
        <w:trPr>
          <w:trHeight w:val="143"/>
        </w:trPr>
        <w:tc>
          <w:tcPr>
            <w:tcW w:w="1700" w:type="dxa"/>
            <w:tcBorders>
              <w:top w:val="nil"/>
              <w:left w:val="single" w:sz="8" w:space="0" w:color="BFBFBF"/>
              <w:bottom w:val="nil"/>
              <w:right w:val="single" w:sz="4" w:space="0" w:color="BFBFBF"/>
            </w:tcBorders>
            <w:vAlign w:val="center"/>
            <w:hideMark/>
          </w:tcPr>
          <w:p w14:paraId="639BAFA5" w14:textId="77777777" w:rsidR="00915F77" w:rsidRPr="00032E12" w:rsidRDefault="00915F77" w:rsidP="00AE1DED">
            <w:pPr>
              <w:rPr>
                <w:color w:val="000000" w:themeColor="text1"/>
                <w:sz w:val="20"/>
                <w:szCs w:val="20"/>
              </w:rPr>
            </w:pPr>
            <w:r w:rsidRPr="00032E12">
              <w:rPr>
                <w:color w:val="000000" w:themeColor="text1"/>
                <w:sz w:val="20"/>
                <w:szCs w:val="20"/>
              </w:rPr>
              <w:t>Learning time</w:t>
            </w:r>
          </w:p>
        </w:tc>
        <w:tc>
          <w:tcPr>
            <w:tcW w:w="2610" w:type="dxa"/>
            <w:tcBorders>
              <w:top w:val="nil"/>
              <w:left w:val="nil"/>
              <w:bottom w:val="nil"/>
              <w:right w:val="single" w:sz="4" w:space="0" w:color="BFBFBF"/>
            </w:tcBorders>
            <w:vAlign w:val="center"/>
            <w:hideMark/>
          </w:tcPr>
          <w:p w14:paraId="66AE48A6" w14:textId="77777777" w:rsidR="00915F77" w:rsidRPr="00032E12" w:rsidRDefault="00915F77" w:rsidP="00AE1DED">
            <w:pPr>
              <w:rPr>
                <w:color w:val="000000" w:themeColor="text1"/>
                <w:sz w:val="20"/>
                <w:szCs w:val="20"/>
              </w:rPr>
            </w:pPr>
            <w:r w:rsidRPr="00032E12">
              <w:rPr>
                <w:color w:val="000000" w:themeColor="text1"/>
                <w:sz w:val="20"/>
                <w:szCs w:val="20"/>
              </w:rPr>
              <w:t>2 hours/week for education</w:t>
            </w:r>
          </w:p>
        </w:tc>
        <w:tc>
          <w:tcPr>
            <w:tcW w:w="2800" w:type="dxa"/>
            <w:tcBorders>
              <w:top w:val="nil"/>
              <w:left w:val="nil"/>
              <w:bottom w:val="nil"/>
              <w:right w:val="single" w:sz="4" w:space="0" w:color="BFBFBF"/>
            </w:tcBorders>
            <w:vAlign w:val="center"/>
            <w:hideMark/>
          </w:tcPr>
          <w:p w14:paraId="4725F4E0" w14:textId="77777777" w:rsidR="00915F77" w:rsidRPr="00032E12" w:rsidRDefault="00915F77" w:rsidP="00AE1DED">
            <w:pPr>
              <w:rPr>
                <w:color w:val="000000" w:themeColor="text1"/>
                <w:sz w:val="20"/>
                <w:szCs w:val="20"/>
              </w:rPr>
            </w:pPr>
            <w:r w:rsidRPr="00032E12">
              <w:rPr>
                <w:color w:val="000000" w:themeColor="text1"/>
                <w:sz w:val="20"/>
                <w:szCs w:val="20"/>
              </w:rPr>
              <w:t>Committed to continuous learning?</w:t>
            </w:r>
          </w:p>
        </w:tc>
        <w:tc>
          <w:tcPr>
            <w:tcW w:w="2420" w:type="dxa"/>
            <w:tcBorders>
              <w:top w:val="nil"/>
              <w:left w:val="nil"/>
              <w:bottom w:val="nil"/>
              <w:right w:val="single" w:sz="8" w:space="0" w:color="BFBFBF"/>
            </w:tcBorders>
            <w:vAlign w:val="center"/>
            <w:hideMark/>
          </w:tcPr>
          <w:p w14:paraId="163016C9" w14:textId="77777777" w:rsidR="00915F77" w:rsidRPr="00032E12" w:rsidRDefault="00915F77" w:rsidP="00AE1DED">
            <w:pPr>
              <w:rPr>
                <w:color w:val="000000" w:themeColor="text1"/>
                <w:sz w:val="20"/>
                <w:szCs w:val="20"/>
              </w:rPr>
            </w:pPr>
            <w:r w:rsidRPr="00032E12">
              <w:rPr>
                <w:color w:val="000000" w:themeColor="text1"/>
                <w:sz w:val="20"/>
                <w:szCs w:val="20"/>
              </w:rPr>
              <w:t>Expectations unrealistic</w:t>
            </w:r>
          </w:p>
        </w:tc>
      </w:tr>
      <w:tr w:rsidR="00032E12" w:rsidRPr="00032E12" w14:paraId="3C712428" w14:textId="77777777" w:rsidTr="00E80913">
        <w:trPr>
          <w:trHeight w:val="71"/>
        </w:trPr>
        <w:tc>
          <w:tcPr>
            <w:tcW w:w="9530" w:type="dxa"/>
            <w:gridSpan w:val="4"/>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2B9CE104" w14:textId="77777777" w:rsidR="00915F77" w:rsidRPr="00032E12" w:rsidRDefault="00915F77" w:rsidP="00AE1DED">
            <w:pPr>
              <w:jc w:val="center"/>
              <w:rPr>
                <w:b/>
                <w:bCs/>
                <w:color w:val="000000" w:themeColor="text1"/>
                <w:sz w:val="20"/>
                <w:szCs w:val="20"/>
              </w:rPr>
            </w:pPr>
            <w:r w:rsidRPr="00032E12">
              <w:rPr>
                <w:b/>
                <w:bCs/>
                <w:color w:val="000000" w:themeColor="text1"/>
                <w:sz w:val="20"/>
                <w:szCs w:val="20"/>
              </w:rPr>
              <w:t>REALISTIC EXPECTATIONS</w:t>
            </w:r>
          </w:p>
        </w:tc>
      </w:tr>
      <w:tr w:rsidR="00032E12" w:rsidRPr="00032E12" w14:paraId="7EE06797" w14:textId="77777777" w:rsidTr="009D7403">
        <w:trPr>
          <w:trHeight w:val="160"/>
        </w:trPr>
        <w:tc>
          <w:tcPr>
            <w:tcW w:w="1700" w:type="dxa"/>
            <w:tcBorders>
              <w:top w:val="nil"/>
              <w:left w:val="single" w:sz="8" w:space="0" w:color="BFBFBF"/>
              <w:bottom w:val="single" w:sz="4" w:space="0" w:color="BFBFBF"/>
              <w:right w:val="single" w:sz="4" w:space="0" w:color="BFBFBF"/>
            </w:tcBorders>
            <w:vAlign w:val="center"/>
            <w:hideMark/>
          </w:tcPr>
          <w:p w14:paraId="5B84D3DE" w14:textId="77777777" w:rsidR="00915F77" w:rsidRPr="00032E12" w:rsidRDefault="00915F77" w:rsidP="00AE1DED">
            <w:pPr>
              <w:rPr>
                <w:color w:val="000000" w:themeColor="text1"/>
                <w:sz w:val="20"/>
                <w:szCs w:val="20"/>
              </w:rPr>
            </w:pPr>
            <w:r w:rsidRPr="00032E12">
              <w:rPr>
                <w:color w:val="000000" w:themeColor="text1"/>
                <w:sz w:val="20"/>
                <w:szCs w:val="20"/>
              </w:rPr>
              <w:t>Return expectations</w:t>
            </w:r>
          </w:p>
        </w:tc>
        <w:tc>
          <w:tcPr>
            <w:tcW w:w="2610" w:type="dxa"/>
            <w:tcBorders>
              <w:top w:val="nil"/>
              <w:left w:val="nil"/>
              <w:bottom w:val="single" w:sz="4" w:space="0" w:color="BFBFBF"/>
              <w:right w:val="single" w:sz="4" w:space="0" w:color="BFBFBF"/>
            </w:tcBorders>
            <w:vAlign w:val="center"/>
            <w:hideMark/>
          </w:tcPr>
          <w:p w14:paraId="11C0D47A" w14:textId="77777777" w:rsidR="00915F77" w:rsidRPr="00032E12" w:rsidRDefault="00915F77" w:rsidP="00AE1DED">
            <w:pPr>
              <w:rPr>
                <w:color w:val="000000" w:themeColor="text1"/>
                <w:sz w:val="20"/>
                <w:szCs w:val="20"/>
              </w:rPr>
            </w:pPr>
            <w:r w:rsidRPr="00032E12">
              <w:rPr>
                <w:color w:val="000000" w:themeColor="text1"/>
                <w:sz w:val="20"/>
                <w:szCs w:val="20"/>
              </w:rPr>
              <w:t>3-5% annually, not 50-100%</w:t>
            </w:r>
          </w:p>
        </w:tc>
        <w:tc>
          <w:tcPr>
            <w:tcW w:w="2800" w:type="dxa"/>
            <w:tcBorders>
              <w:top w:val="nil"/>
              <w:left w:val="nil"/>
              <w:bottom w:val="single" w:sz="4" w:space="0" w:color="BFBFBF"/>
              <w:right w:val="single" w:sz="4" w:space="0" w:color="BFBFBF"/>
            </w:tcBorders>
            <w:vAlign w:val="center"/>
            <w:hideMark/>
          </w:tcPr>
          <w:p w14:paraId="2DA40438" w14:textId="77777777" w:rsidR="00915F77" w:rsidRPr="00032E12" w:rsidRDefault="00915F77" w:rsidP="00AE1DED">
            <w:pPr>
              <w:rPr>
                <w:color w:val="000000" w:themeColor="text1"/>
                <w:sz w:val="20"/>
                <w:szCs w:val="20"/>
              </w:rPr>
            </w:pPr>
            <w:r w:rsidRPr="00032E12">
              <w:rPr>
                <w:color w:val="000000" w:themeColor="text1"/>
                <w:sz w:val="20"/>
                <w:szCs w:val="20"/>
              </w:rPr>
              <w:t>Willing to accept bond-like returns?</w:t>
            </w:r>
          </w:p>
        </w:tc>
        <w:tc>
          <w:tcPr>
            <w:tcW w:w="2420" w:type="dxa"/>
            <w:tcBorders>
              <w:top w:val="nil"/>
              <w:left w:val="nil"/>
              <w:bottom w:val="single" w:sz="4" w:space="0" w:color="BFBFBF"/>
              <w:right w:val="single" w:sz="8" w:space="0" w:color="BFBFBF"/>
            </w:tcBorders>
            <w:vAlign w:val="center"/>
            <w:hideMark/>
          </w:tcPr>
          <w:p w14:paraId="08429F28" w14:textId="77777777" w:rsidR="00915F77" w:rsidRPr="00032E12" w:rsidRDefault="00915F77" w:rsidP="00AE1DED">
            <w:pPr>
              <w:rPr>
                <w:color w:val="000000" w:themeColor="text1"/>
                <w:sz w:val="20"/>
                <w:szCs w:val="20"/>
              </w:rPr>
            </w:pPr>
            <w:r w:rsidRPr="00032E12">
              <w:rPr>
                <w:color w:val="000000" w:themeColor="text1"/>
                <w:sz w:val="20"/>
                <w:szCs w:val="20"/>
              </w:rPr>
              <w:t>Your expectations will cause poor decisions</w:t>
            </w:r>
          </w:p>
        </w:tc>
      </w:tr>
      <w:tr w:rsidR="00032E12" w:rsidRPr="00032E12" w14:paraId="19AFC01B" w14:textId="77777777" w:rsidTr="009D7403">
        <w:trPr>
          <w:trHeight w:val="143"/>
        </w:trPr>
        <w:tc>
          <w:tcPr>
            <w:tcW w:w="1700" w:type="dxa"/>
            <w:tcBorders>
              <w:top w:val="nil"/>
              <w:left w:val="single" w:sz="8" w:space="0" w:color="BFBFBF"/>
              <w:bottom w:val="single" w:sz="4" w:space="0" w:color="BFBFBF"/>
              <w:right w:val="single" w:sz="4" w:space="0" w:color="BFBFBF"/>
            </w:tcBorders>
            <w:vAlign w:val="center"/>
            <w:hideMark/>
          </w:tcPr>
          <w:p w14:paraId="01F3168D" w14:textId="77777777" w:rsidR="00915F77" w:rsidRPr="00032E12" w:rsidRDefault="00915F77" w:rsidP="00AE1DED">
            <w:pPr>
              <w:rPr>
                <w:color w:val="000000" w:themeColor="text1"/>
                <w:sz w:val="20"/>
                <w:szCs w:val="20"/>
              </w:rPr>
            </w:pPr>
            <w:r w:rsidRPr="00032E12">
              <w:rPr>
                <w:color w:val="000000" w:themeColor="text1"/>
                <w:sz w:val="20"/>
                <w:szCs w:val="20"/>
              </w:rPr>
              <w:t>Risk acceptance</w:t>
            </w:r>
          </w:p>
        </w:tc>
        <w:tc>
          <w:tcPr>
            <w:tcW w:w="2610" w:type="dxa"/>
            <w:tcBorders>
              <w:top w:val="nil"/>
              <w:left w:val="nil"/>
              <w:bottom w:val="single" w:sz="4" w:space="0" w:color="BFBFBF"/>
              <w:right w:val="single" w:sz="4" w:space="0" w:color="BFBFBF"/>
            </w:tcBorders>
            <w:vAlign w:val="center"/>
            <w:hideMark/>
          </w:tcPr>
          <w:p w14:paraId="65B4DB17" w14:textId="77777777" w:rsidR="00915F77" w:rsidRPr="00032E12" w:rsidRDefault="00915F77" w:rsidP="00AE1DED">
            <w:pPr>
              <w:rPr>
                <w:color w:val="000000" w:themeColor="text1"/>
                <w:sz w:val="20"/>
                <w:szCs w:val="20"/>
              </w:rPr>
            </w:pPr>
            <w:r w:rsidRPr="00032E12">
              <w:rPr>
                <w:color w:val="000000" w:themeColor="text1"/>
                <w:sz w:val="20"/>
                <w:szCs w:val="20"/>
              </w:rPr>
              <w:t>35-45% annual loss probability</w:t>
            </w:r>
          </w:p>
        </w:tc>
        <w:tc>
          <w:tcPr>
            <w:tcW w:w="2800" w:type="dxa"/>
            <w:tcBorders>
              <w:top w:val="nil"/>
              <w:left w:val="nil"/>
              <w:bottom w:val="single" w:sz="4" w:space="0" w:color="BFBFBF"/>
              <w:right w:val="single" w:sz="4" w:space="0" w:color="BFBFBF"/>
            </w:tcBorders>
            <w:vAlign w:val="center"/>
            <w:hideMark/>
          </w:tcPr>
          <w:p w14:paraId="6645E037" w14:textId="77777777" w:rsidR="00915F77" w:rsidRPr="00032E12" w:rsidRDefault="00915F77" w:rsidP="00AE1DED">
            <w:pPr>
              <w:rPr>
                <w:color w:val="000000" w:themeColor="text1"/>
                <w:sz w:val="20"/>
                <w:szCs w:val="20"/>
              </w:rPr>
            </w:pPr>
            <w:r w:rsidRPr="00032E12">
              <w:rPr>
                <w:color w:val="000000" w:themeColor="text1"/>
                <w:sz w:val="20"/>
                <w:szCs w:val="20"/>
              </w:rPr>
              <w:t>Truly comfortable with near-coin-flip loss odds?</w:t>
            </w:r>
          </w:p>
        </w:tc>
        <w:tc>
          <w:tcPr>
            <w:tcW w:w="2420" w:type="dxa"/>
            <w:tcBorders>
              <w:top w:val="nil"/>
              <w:left w:val="nil"/>
              <w:bottom w:val="single" w:sz="4" w:space="0" w:color="BFBFBF"/>
              <w:right w:val="single" w:sz="8" w:space="0" w:color="BFBFBF"/>
            </w:tcBorders>
            <w:vAlign w:val="center"/>
            <w:hideMark/>
          </w:tcPr>
          <w:p w14:paraId="21B78D2D" w14:textId="77777777" w:rsidR="00915F77" w:rsidRPr="00032E12" w:rsidRDefault="00915F77" w:rsidP="00AE1DED">
            <w:pPr>
              <w:rPr>
                <w:color w:val="000000" w:themeColor="text1"/>
                <w:sz w:val="20"/>
                <w:szCs w:val="20"/>
              </w:rPr>
            </w:pPr>
            <w:r w:rsidRPr="00032E12">
              <w:rPr>
                <w:color w:val="000000" w:themeColor="text1"/>
                <w:sz w:val="20"/>
                <w:szCs w:val="20"/>
              </w:rPr>
              <w:t>Do not participate</w:t>
            </w:r>
          </w:p>
        </w:tc>
      </w:tr>
      <w:tr w:rsidR="00032E12" w:rsidRPr="00032E12" w14:paraId="264C47DA" w14:textId="77777777" w:rsidTr="00E80913">
        <w:trPr>
          <w:trHeight w:val="233"/>
        </w:trPr>
        <w:tc>
          <w:tcPr>
            <w:tcW w:w="1700" w:type="dxa"/>
            <w:tcBorders>
              <w:top w:val="nil"/>
              <w:left w:val="single" w:sz="8" w:space="0" w:color="BFBFBF"/>
              <w:bottom w:val="single" w:sz="4" w:space="0" w:color="BFBFBF"/>
              <w:right w:val="single" w:sz="4" w:space="0" w:color="BFBFBF"/>
            </w:tcBorders>
            <w:vAlign w:val="center"/>
            <w:hideMark/>
          </w:tcPr>
          <w:p w14:paraId="06698D99" w14:textId="77777777" w:rsidR="00915F77" w:rsidRPr="00032E12" w:rsidRDefault="00915F77" w:rsidP="00AE1DED">
            <w:pPr>
              <w:rPr>
                <w:color w:val="000000" w:themeColor="text1"/>
                <w:sz w:val="20"/>
                <w:szCs w:val="20"/>
              </w:rPr>
            </w:pPr>
            <w:r w:rsidRPr="00032E12">
              <w:rPr>
                <w:color w:val="000000" w:themeColor="text1"/>
                <w:sz w:val="20"/>
                <w:szCs w:val="20"/>
              </w:rPr>
              <w:t>Time horizon</w:t>
            </w:r>
          </w:p>
        </w:tc>
        <w:tc>
          <w:tcPr>
            <w:tcW w:w="2610" w:type="dxa"/>
            <w:tcBorders>
              <w:top w:val="nil"/>
              <w:left w:val="nil"/>
              <w:bottom w:val="single" w:sz="4" w:space="0" w:color="BFBFBF"/>
              <w:right w:val="single" w:sz="4" w:space="0" w:color="BFBFBF"/>
            </w:tcBorders>
            <w:vAlign w:val="center"/>
            <w:hideMark/>
          </w:tcPr>
          <w:p w14:paraId="1A69EC7E" w14:textId="467DC6AF" w:rsidR="00915F77" w:rsidRPr="00032E12" w:rsidRDefault="009D7403" w:rsidP="00AE1DED">
            <w:pPr>
              <w:rPr>
                <w:color w:val="000000" w:themeColor="text1"/>
                <w:sz w:val="20"/>
                <w:szCs w:val="20"/>
              </w:rPr>
            </w:pPr>
            <w:r w:rsidRPr="00032E12">
              <w:rPr>
                <w:color w:val="000000" w:themeColor="text1"/>
                <w:sz w:val="20"/>
                <w:szCs w:val="20"/>
              </w:rPr>
              <w:t>6–12-month</w:t>
            </w:r>
            <w:r w:rsidR="00915F77" w:rsidRPr="00032E12">
              <w:rPr>
                <w:color w:val="000000" w:themeColor="text1"/>
                <w:sz w:val="20"/>
                <w:szCs w:val="20"/>
              </w:rPr>
              <w:t xml:space="preserve"> minimum commitment</w:t>
            </w:r>
          </w:p>
        </w:tc>
        <w:tc>
          <w:tcPr>
            <w:tcW w:w="2800" w:type="dxa"/>
            <w:tcBorders>
              <w:top w:val="nil"/>
              <w:left w:val="nil"/>
              <w:bottom w:val="single" w:sz="4" w:space="0" w:color="BFBFBF"/>
              <w:right w:val="single" w:sz="4" w:space="0" w:color="BFBFBF"/>
            </w:tcBorders>
            <w:vAlign w:val="center"/>
            <w:hideMark/>
          </w:tcPr>
          <w:p w14:paraId="6CA2634E" w14:textId="77777777" w:rsidR="00915F77" w:rsidRPr="00032E12" w:rsidRDefault="00915F77" w:rsidP="00AE1DED">
            <w:pPr>
              <w:rPr>
                <w:color w:val="000000" w:themeColor="text1"/>
                <w:sz w:val="20"/>
                <w:szCs w:val="20"/>
              </w:rPr>
            </w:pPr>
            <w:proofErr w:type="gramStart"/>
            <w:r w:rsidRPr="00032E12">
              <w:rPr>
                <w:color w:val="000000" w:themeColor="text1"/>
                <w:sz w:val="20"/>
                <w:szCs w:val="20"/>
              </w:rPr>
              <w:t>Won't</w:t>
            </w:r>
            <w:proofErr w:type="gramEnd"/>
            <w:r w:rsidRPr="00032E12">
              <w:rPr>
                <w:color w:val="000000" w:themeColor="text1"/>
                <w:sz w:val="20"/>
                <w:szCs w:val="20"/>
              </w:rPr>
              <w:t xml:space="preserve"> need capital back for emergencies?</w:t>
            </w:r>
          </w:p>
        </w:tc>
        <w:tc>
          <w:tcPr>
            <w:tcW w:w="2420" w:type="dxa"/>
            <w:tcBorders>
              <w:top w:val="nil"/>
              <w:left w:val="nil"/>
              <w:bottom w:val="single" w:sz="4" w:space="0" w:color="BFBFBF"/>
              <w:right w:val="single" w:sz="8" w:space="0" w:color="BFBFBF"/>
            </w:tcBorders>
            <w:vAlign w:val="center"/>
            <w:hideMark/>
          </w:tcPr>
          <w:p w14:paraId="2CC896C1" w14:textId="77777777" w:rsidR="00915F77" w:rsidRPr="00032E12" w:rsidRDefault="00915F77" w:rsidP="00AE1DED">
            <w:pPr>
              <w:rPr>
                <w:color w:val="000000" w:themeColor="text1"/>
                <w:sz w:val="20"/>
                <w:szCs w:val="20"/>
              </w:rPr>
            </w:pPr>
            <w:r w:rsidRPr="00032E12">
              <w:rPr>
                <w:color w:val="000000" w:themeColor="text1"/>
                <w:sz w:val="20"/>
                <w:szCs w:val="20"/>
              </w:rPr>
              <w:t>Keep capital in liquid savings</w:t>
            </w:r>
          </w:p>
        </w:tc>
      </w:tr>
      <w:tr w:rsidR="00032E12" w:rsidRPr="00032E12" w14:paraId="2C7BA508" w14:textId="77777777" w:rsidTr="00E80913">
        <w:trPr>
          <w:trHeight w:val="81"/>
        </w:trPr>
        <w:tc>
          <w:tcPr>
            <w:tcW w:w="1700" w:type="dxa"/>
            <w:tcBorders>
              <w:top w:val="nil"/>
              <w:left w:val="single" w:sz="8" w:space="0" w:color="BFBFBF"/>
              <w:bottom w:val="single" w:sz="8" w:space="0" w:color="BFBFBF"/>
              <w:right w:val="single" w:sz="4" w:space="0" w:color="BFBFBF"/>
            </w:tcBorders>
            <w:vAlign w:val="center"/>
            <w:hideMark/>
          </w:tcPr>
          <w:p w14:paraId="576D3296" w14:textId="77777777" w:rsidR="00915F77" w:rsidRPr="00032E12" w:rsidRDefault="00915F77" w:rsidP="00AE1DED">
            <w:pPr>
              <w:rPr>
                <w:b/>
                <w:bCs/>
                <w:color w:val="000000" w:themeColor="text1"/>
                <w:sz w:val="20"/>
                <w:szCs w:val="20"/>
              </w:rPr>
            </w:pPr>
            <w:r w:rsidRPr="00032E12">
              <w:rPr>
                <w:b/>
                <w:bCs/>
                <w:color w:val="000000" w:themeColor="text1"/>
                <w:sz w:val="20"/>
                <w:szCs w:val="20"/>
              </w:rPr>
              <w:t>READY TO PROCEED?</w:t>
            </w:r>
          </w:p>
        </w:tc>
        <w:tc>
          <w:tcPr>
            <w:tcW w:w="2610" w:type="dxa"/>
            <w:tcBorders>
              <w:top w:val="nil"/>
              <w:left w:val="nil"/>
              <w:bottom w:val="single" w:sz="8" w:space="0" w:color="BFBFBF"/>
              <w:right w:val="single" w:sz="4" w:space="0" w:color="BFBFBF"/>
            </w:tcBorders>
            <w:vAlign w:val="center"/>
            <w:hideMark/>
          </w:tcPr>
          <w:p w14:paraId="133A8DC5" w14:textId="77777777" w:rsidR="00915F77" w:rsidRPr="00032E12" w:rsidRDefault="00915F77" w:rsidP="00AE1DED">
            <w:pPr>
              <w:rPr>
                <w:color w:val="000000" w:themeColor="text1"/>
                <w:sz w:val="20"/>
                <w:szCs w:val="20"/>
              </w:rPr>
            </w:pPr>
            <w:r w:rsidRPr="00032E12">
              <w:rPr>
                <w:color w:val="000000" w:themeColor="text1"/>
                <w:sz w:val="20"/>
                <w:szCs w:val="20"/>
              </w:rPr>
              <w:t>All items checked</w:t>
            </w:r>
          </w:p>
        </w:tc>
        <w:tc>
          <w:tcPr>
            <w:tcW w:w="2800" w:type="dxa"/>
            <w:tcBorders>
              <w:top w:val="nil"/>
              <w:left w:val="nil"/>
              <w:bottom w:val="single" w:sz="8" w:space="0" w:color="BFBFBF"/>
              <w:right w:val="single" w:sz="4" w:space="0" w:color="BFBFBF"/>
            </w:tcBorders>
            <w:vAlign w:val="center"/>
            <w:hideMark/>
          </w:tcPr>
          <w:p w14:paraId="485D79E9" w14:textId="77777777" w:rsidR="00915F77" w:rsidRPr="00032E12" w:rsidRDefault="00915F77" w:rsidP="00AE1DED">
            <w:pPr>
              <w:rPr>
                <w:color w:val="000000" w:themeColor="text1"/>
                <w:sz w:val="20"/>
                <w:szCs w:val="20"/>
              </w:rPr>
            </w:pPr>
            <w:r w:rsidRPr="00032E12">
              <w:rPr>
                <w:color w:val="000000" w:themeColor="text1"/>
                <w:sz w:val="20"/>
                <w:szCs w:val="20"/>
              </w:rPr>
              <w:t>Begin with 50% of planned capital</w:t>
            </w:r>
          </w:p>
        </w:tc>
        <w:tc>
          <w:tcPr>
            <w:tcW w:w="2420" w:type="dxa"/>
            <w:tcBorders>
              <w:top w:val="nil"/>
              <w:left w:val="nil"/>
              <w:bottom w:val="single" w:sz="8" w:space="0" w:color="BFBFBF"/>
              <w:right w:val="single" w:sz="8" w:space="0" w:color="BFBFBF"/>
            </w:tcBorders>
            <w:vAlign w:val="center"/>
            <w:hideMark/>
          </w:tcPr>
          <w:p w14:paraId="451AB417" w14:textId="77777777" w:rsidR="00915F77" w:rsidRPr="00032E12" w:rsidRDefault="00915F77" w:rsidP="00AE1DED">
            <w:pPr>
              <w:rPr>
                <w:color w:val="000000" w:themeColor="text1"/>
                <w:sz w:val="20"/>
                <w:szCs w:val="20"/>
              </w:rPr>
            </w:pPr>
            <w:r w:rsidRPr="00032E12">
              <w:rPr>
                <w:color w:val="000000" w:themeColor="text1"/>
                <w:sz w:val="20"/>
                <w:szCs w:val="20"/>
              </w:rPr>
              <w:t>Scale up only after 3 months success</w:t>
            </w:r>
          </w:p>
        </w:tc>
      </w:tr>
    </w:tbl>
    <w:p w14:paraId="042AD8C1" w14:textId="77777777" w:rsidR="00A1686D" w:rsidRDefault="00A1686D" w:rsidP="00AE1DED">
      <w:pPr>
        <w:pStyle w:val="Heading5"/>
        <w:rPr>
          <w:color w:val="0070C0"/>
        </w:rPr>
      </w:pPr>
    </w:p>
    <w:p w14:paraId="75B44688" w14:textId="77777777" w:rsidR="00D63A14" w:rsidRDefault="00D63A14" w:rsidP="00AE1DED">
      <w:pPr>
        <w:pStyle w:val="Heading3"/>
      </w:pPr>
    </w:p>
    <w:p w14:paraId="049CF167" w14:textId="21F9A1D8" w:rsidR="00C41BFC" w:rsidRPr="00750A6E" w:rsidRDefault="00C41BFC" w:rsidP="00AE1DED">
      <w:pPr>
        <w:pStyle w:val="Heading3"/>
      </w:pPr>
      <w:bookmarkStart w:id="226" w:name="_Toc214722032"/>
      <w:r w:rsidRPr="00750A6E">
        <w:t>Table 10.</w:t>
      </w:r>
      <w:r w:rsidR="009122A9">
        <w:t>D</w:t>
      </w:r>
      <w:r w:rsidRPr="00750A6E">
        <w:t>: Small-Modest Capital Implementation Checklist ($3,500-$25,000)</w:t>
      </w:r>
      <w:bookmarkEnd w:id="226"/>
    </w:p>
    <w:p w14:paraId="0BCC1830" w14:textId="77777777" w:rsidR="008026AF" w:rsidRPr="00750A6E" w:rsidRDefault="008026AF" w:rsidP="00AE1DED">
      <w:pPr>
        <w:rPr>
          <w:color w:val="0070C0"/>
        </w:rPr>
      </w:pPr>
    </w:p>
    <w:tbl>
      <w:tblPr>
        <w:tblW w:w="9697" w:type="dxa"/>
        <w:tblLook w:val="04A0" w:firstRow="1" w:lastRow="0" w:firstColumn="1" w:lastColumn="0" w:noHBand="0" w:noVBand="1"/>
      </w:tblPr>
      <w:tblGrid>
        <w:gridCol w:w="1970"/>
        <w:gridCol w:w="2520"/>
        <w:gridCol w:w="2880"/>
        <w:gridCol w:w="2160"/>
        <w:gridCol w:w="167"/>
      </w:tblGrid>
      <w:tr w:rsidR="00A1686D" w:rsidRPr="00A1686D" w14:paraId="6CE8AF73" w14:textId="77777777" w:rsidTr="00B14022">
        <w:trPr>
          <w:gridAfter w:val="1"/>
          <w:wAfter w:w="167" w:type="dxa"/>
          <w:trHeight w:val="360"/>
        </w:trPr>
        <w:tc>
          <w:tcPr>
            <w:tcW w:w="1970" w:type="dxa"/>
            <w:tcBorders>
              <w:top w:val="single" w:sz="8" w:space="0" w:color="BFBFBF"/>
              <w:left w:val="single" w:sz="8" w:space="0" w:color="BFBFBF"/>
              <w:bottom w:val="nil"/>
              <w:right w:val="single" w:sz="4" w:space="0" w:color="BFBFBF"/>
            </w:tcBorders>
            <w:shd w:val="clear" w:color="auto" w:fill="BFBFBF" w:themeFill="background1" w:themeFillShade="BF"/>
            <w:vAlign w:val="center"/>
            <w:hideMark/>
          </w:tcPr>
          <w:p w14:paraId="1E9A85A6" w14:textId="77777777" w:rsidR="00E8608C" w:rsidRPr="00A1686D" w:rsidRDefault="00E8608C" w:rsidP="00AE1DED">
            <w:pPr>
              <w:jc w:val="center"/>
              <w:rPr>
                <w:b/>
                <w:bCs/>
                <w:color w:val="000000" w:themeColor="text1"/>
                <w:sz w:val="20"/>
                <w:szCs w:val="20"/>
              </w:rPr>
            </w:pPr>
            <w:r w:rsidRPr="00A1686D">
              <w:rPr>
                <w:b/>
                <w:bCs/>
                <w:color w:val="000000" w:themeColor="text1"/>
                <w:sz w:val="20"/>
                <w:szCs w:val="20"/>
              </w:rPr>
              <w:t>Category</w:t>
            </w:r>
          </w:p>
        </w:tc>
        <w:tc>
          <w:tcPr>
            <w:tcW w:w="2520" w:type="dxa"/>
            <w:tcBorders>
              <w:top w:val="single" w:sz="8" w:space="0" w:color="BFBFBF"/>
              <w:left w:val="nil"/>
              <w:bottom w:val="nil"/>
              <w:right w:val="single" w:sz="4" w:space="0" w:color="BFBFBF"/>
            </w:tcBorders>
            <w:shd w:val="clear" w:color="auto" w:fill="BFBFBF" w:themeFill="background1" w:themeFillShade="BF"/>
            <w:vAlign w:val="center"/>
            <w:hideMark/>
          </w:tcPr>
          <w:p w14:paraId="2905E349" w14:textId="77777777" w:rsidR="00E8608C" w:rsidRPr="00A1686D" w:rsidRDefault="00E8608C" w:rsidP="00AE1DED">
            <w:pPr>
              <w:jc w:val="center"/>
              <w:rPr>
                <w:b/>
                <w:bCs/>
                <w:color w:val="000000" w:themeColor="text1"/>
                <w:sz w:val="20"/>
                <w:szCs w:val="20"/>
              </w:rPr>
            </w:pPr>
            <w:r w:rsidRPr="00A1686D">
              <w:rPr>
                <w:b/>
                <w:bCs/>
                <w:color w:val="000000" w:themeColor="text1"/>
                <w:sz w:val="20"/>
                <w:szCs w:val="20"/>
              </w:rPr>
              <w:t>Requirement</w:t>
            </w:r>
          </w:p>
        </w:tc>
        <w:tc>
          <w:tcPr>
            <w:tcW w:w="2880" w:type="dxa"/>
            <w:tcBorders>
              <w:top w:val="single" w:sz="8" w:space="0" w:color="BFBFBF"/>
              <w:left w:val="nil"/>
              <w:bottom w:val="nil"/>
              <w:right w:val="single" w:sz="4" w:space="0" w:color="BFBFBF"/>
            </w:tcBorders>
            <w:shd w:val="clear" w:color="auto" w:fill="BFBFBF" w:themeFill="background1" w:themeFillShade="BF"/>
            <w:vAlign w:val="center"/>
            <w:hideMark/>
          </w:tcPr>
          <w:p w14:paraId="61ED20EA" w14:textId="77777777" w:rsidR="00E8608C" w:rsidRPr="00A1686D" w:rsidRDefault="00E8608C" w:rsidP="00AE1DED">
            <w:pPr>
              <w:jc w:val="center"/>
              <w:rPr>
                <w:b/>
                <w:bCs/>
                <w:color w:val="000000" w:themeColor="text1"/>
                <w:sz w:val="20"/>
                <w:szCs w:val="20"/>
              </w:rPr>
            </w:pPr>
            <w:r w:rsidRPr="00A1686D">
              <w:rPr>
                <w:b/>
                <w:bCs/>
                <w:color w:val="000000" w:themeColor="text1"/>
                <w:sz w:val="20"/>
                <w:szCs w:val="20"/>
              </w:rPr>
              <w:t>Verification Method</w:t>
            </w:r>
          </w:p>
        </w:tc>
        <w:tc>
          <w:tcPr>
            <w:tcW w:w="2160" w:type="dxa"/>
            <w:tcBorders>
              <w:top w:val="single" w:sz="8" w:space="0" w:color="BFBFBF"/>
              <w:left w:val="nil"/>
              <w:bottom w:val="nil"/>
              <w:right w:val="single" w:sz="8" w:space="0" w:color="BFBFBF"/>
            </w:tcBorders>
            <w:shd w:val="clear" w:color="auto" w:fill="BFBFBF" w:themeFill="background1" w:themeFillShade="BF"/>
            <w:vAlign w:val="center"/>
            <w:hideMark/>
          </w:tcPr>
          <w:p w14:paraId="61149017" w14:textId="77777777" w:rsidR="00E8608C" w:rsidRPr="00A1686D" w:rsidRDefault="00E8608C" w:rsidP="00AE1DED">
            <w:pPr>
              <w:jc w:val="center"/>
              <w:rPr>
                <w:b/>
                <w:bCs/>
                <w:color w:val="000000" w:themeColor="text1"/>
                <w:sz w:val="20"/>
                <w:szCs w:val="20"/>
              </w:rPr>
            </w:pPr>
            <w:r w:rsidRPr="00A1686D">
              <w:rPr>
                <w:b/>
                <w:bCs/>
                <w:color w:val="000000" w:themeColor="text1"/>
                <w:sz w:val="20"/>
                <w:szCs w:val="20"/>
              </w:rPr>
              <w:t>If Not Met</w:t>
            </w:r>
          </w:p>
        </w:tc>
      </w:tr>
      <w:tr w:rsidR="00A1686D" w:rsidRPr="00A1686D" w14:paraId="4BC6681B" w14:textId="77777777" w:rsidTr="00B14022">
        <w:trPr>
          <w:trHeight w:val="340"/>
        </w:trPr>
        <w:tc>
          <w:tcPr>
            <w:tcW w:w="9697" w:type="dxa"/>
            <w:gridSpan w:val="5"/>
            <w:tcBorders>
              <w:top w:val="single" w:sz="8" w:space="0" w:color="BFBFBF"/>
              <w:left w:val="single" w:sz="8" w:space="0" w:color="BFBFBF"/>
              <w:bottom w:val="single" w:sz="8" w:space="0" w:color="BFBFBF"/>
              <w:right w:val="single" w:sz="8" w:space="0" w:color="BFBFBF"/>
            </w:tcBorders>
            <w:vAlign w:val="center"/>
            <w:hideMark/>
          </w:tcPr>
          <w:p w14:paraId="359FBA9A" w14:textId="77777777" w:rsidR="00E8608C" w:rsidRPr="00A1686D" w:rsidRDefault="00E8608C" w:rsidP="00AE1DED">
            <w:pPr>
              <w:jc w:val="center"/>
              <w:rPr>
                <w:b/>
                <w:bCs/>
                <w:color w:val="000000" w:themeColor="text1"/>
                <w:sz w:val="20"/>
                <w:szCs w:val="20"/>
              </w:rPr>
            </w:pPr>
            <w:r w:rsidRPr="00A1686D">
              <w:rPr>
                <w:b/>
                <w:bCs/>
                <w:color w:val="000000" w:themeColor="text1"/>
                <w:sz w:val="20"/>
                <w:szCs w:val="20"/>
              </w:rPr>
              <w:t>CAPITAL</w:t>
            </w:r>
          </w:p>
        </w:tc>
      </w:tr>
      <w:tr w:rsidR="00A1686D" w:rsidRPr="00A1686D" w14:paraId="4F5B47A7" w14:textId="77777777" w:rsidTr="00B14022">
        <w:trPr>
          <w:gridAfter w:val="1"/>
          <w:wAfter w:w="167" w:type="dxa"/>
          <w:trHeight w:val="71"/>
        </w:trPr>
        <w:tc>
          <w:tcPr>
            <w:tcW w:w="1970" w:type="dxa"/>
            <w:tcBorders>
              <w:top w:val="nil"/>
              <w:left w:val="single" w:sz="8" w:space="0" w:color="BFBFBF"/>
              <w:bottom w:val="single" w:sz="4" w:space="0" w:color="BFBFBF"/>
              <w:right w:val="single" w:sz="4" w:space="0" w:color="BFBFBF"/>
            </w:tcBorders>
            <w:vAlign w:val="center"/>
            <w:hideMark/>
          </w:tcPr>
          <w:p w14:paraId="1594BC90" w14:textId="77777777" w:rsidR="00E8608C" w:rsidRPr="00A1686D" w:rsidRDefault="00E8608C" w:rsidP="00AE1DED">
            <w:pPr>
              <w:rPr>
                <w:color w:val="000000" w:themeColor="text1"/>
                <w:sz w:val="20"/>
                <w:szCs w:val="20"/>
              </w:rPr>
            </w:pPr>
            <w:r w:rsidRPr="00A1686D">
              <w:rPr>
                <w:color w:val="000000" w:themeColor="text1"/>
                <w:sz w:val="20"/>
                <w:szCs w:val="20"/>
              </w:rPr>
              <w:t>Risk capital available</w:t>
            </w:r>
          </w:p>
        </w:tc>
        <w:tc>
          <w:tcPr>
            <w:tcW w:w="2520" w:type="dxa"/>
            <w:tcBorders>
              <w:top w:val="nil"/>
              <w:left w:val="nil"/>
              <w:bottom w:val="single" w:sz="4" w:space="0" w:color="BFBFBF"/>
              <w:right w:val="single" w:sz="4" w:space="0" w:color="BFBFBF"/>
            </w:tcBorders>
            <w:vAlign w:val="center"/>
            <w:hideMark/>
          </w:tcPr>
          <w:p w14:paraId="0612913F" w14:textId="77777777" w:rsidR="00E8608C" w:rsidRPr="00A1686D" w:rsidRDefault="00E8608C" w:rsidP="00AE1DED">
            <w:pPr>
              <w:rPr>
                <w:color w:val="000000" w:themeColor="text1"/>
                <w:sz w:val="20"/>
                <w:szCs w:val="20"/>
              </w:rPr>
            </w:pPr>
            <w:r w:rsidRPr="00A1686D">
              <w:rPr>
                <w:color w:val="000000" w:themeColor="text1"/>
                <w:sz w:val="20"/>
                <w:szCs w:val="20"/>
              </w:rPr>
              <w:t>$3,500-$25,000 in true risk capital</w:t>
            </w:r>
          </w:p>
        </w:tc>
        <w:tc>
          <w:tcPr>
            <w:tcW w:w="2880" w:type="dxa"/>
            <w:tcBorders>
              <w:top w:val="nil"/>
              <w:left w:val="nil"/>
              <w:bottom w:val="single" w:sz="4" w:space="0" w:color="BFBFBF"/>
              <w:right w:val="single" w:sz="4" w:space="0" w:color="BFBFBF"/>
            </w:tcBorders>
            <w:vAlign w:val="center"/>
            <w:hideMark/>
          </w:tcPr>
          <w:p w14:paraId="115AC274" w14:textId="77777777" w:rsidR="00E8608C" w:rsidRPr="00A1686D" w:rsidRDefault="00E8608C" w:rsidP="00AE1DED">
            <w:pPr>
              <w:rPr>
                <w:color w:val="000000" w:themeColor="text1"/>
                <w:sz w:val="20"/>
                <w:szCs w:val="20"/>
              </w:rPr>
            </w:pPr>
            <w:r w:rsidRPr="00A1686D">
              <w:rPr>
                <w:color w:val="000000" w:themeColor="text1"/>
                <w:sz w:val="20"/>
                <w:szCs w:val="20"/>
              </w:rPr>
              <w:t>Can lose 50% without lifestyle impact?</w:t>
            </w:r>
          </w:p>
        </w:tc>
        <w:tc>
          <w:tcPr>
            <w:tcW w:w="2160" w:type="dxa"/>
            <w:tcBorders>
              <w:top w:val="nil"/>
              <w:left w:val="nil"/>
              <w:bottom w:val="single" w:sz="4" w:space="0" w:color="BFBFBF"/>
              <w:right w:val="single" w:sz="8" w:space="0" w:color="BFBFBF"/>
            </w:tcBorders>
            <w:vAlign w:val="center"/>
            <w:hideMark/>
          </w:tcPr>
          <w:p w14:paraId="61E2A831" w14:textId="77777777" w:rsidR="00E8608C" w:rsidRPr="00A1686D" w:rsidRDefault="00E8608C" w:rsidP="00AE1DED">
            <w:pPr>
              <w:rPr>
                <w:color w:val="000000" w:themeColor="text1"/>
                <w:sz w:val="20"/>
                <w:szCs w:val="20"/>
              </w:rPr>
            </w:pPr>
            <w:r w:rsidRPr="00A1686D">
              <w:rPr>
                <w:color w:val="000000" w:themeColor="text1"/>
                <w:sz w:val="20"/>
                <w:szCs w:val="20"/>
              </w:rPr>
              <w:t>Reduce position size</w:t>
            </w:r>
          </w:p>
        </w:tc>
      </w:tr>
      <w:tr w:rsidR="00A1686D" w:rsidRPr="00A1686D" w14:paraId="074FA157" w14:textId="77777777" w:rsidTr="00B14022">
        <w:trPr>
          <w:gridAfter w:val="1"/>
          <w:wAfter w:w="167" w:type="dxa"/>
          <w:trHeight w:val="152"/>
        </w:trPr>
        <w:tc>
          <w:tcPr>
            <w:tcW w:w="1970" w:type="dxa"/>
            <w:tcBorders>
              <w:top w:val="nil"/>
              <w:left w:val="single" w:sz="8" w:space="0" w:color="BFBFBF"/>
              <w:bottom w:val="single" w:sz="4" w:space="0" w:color="BFBFBF"/>
              <w:right w:val="single" w:sz="4" w:space="0" w:color="BFBFBF"/>
            </w:tcBorders>
            <w:vAlign w:val="center"/>
            <w:hideMark/>
          </w:tcPr>
          <w:p w14:paraId="7BD8A210" w14:textId="77777777" w:rsidR="00E8608C" w:rsidRPr="00A1686D" w:rsidRDefault="00E8608C" w:rsidP="00AE1DED">
            <w:pPr>
              <w:rPr>
                <w:color w:val="000000" w:themeColor="text1"/>
                <w:sz w:val="20"/>
                <w:szCs w:val="20"/>
              </w:rPr>
            </w:pPr>
            <w:r w:rsidRPr="00A1686D">
              <w:rPr>
                <w:color w:val="000000" w:themeColor="text1"/>
                <w:sz w:val="20"/>
                <w:szCs w:val="20"/>
              </w:rPr>
              <w:t>Position sizing</w:t>
            </w:r>
          </w:p>
        </w:tc>
        <w:tc>
          <w:tcPr>
            <w:tcW w:w="2520" w:type="dxa"/>
            <w:tcBorders>
              <w:top w:val="nil"/>
              <w:left w:val="nil"/>
              <w:bottom w:val="single" w:sz="4" w:space="0" w:color="BFBFBF"/>
              <w:right w:val="single" w:sz="4" w:space="0" w:color="BFBFBF"/>
            </w:tcBorders>
            <w:vAlign w:val="center"/>
            <w:hideMark/>
          </w:tcPr>
          <w:p w14:paraId="40CE3C32" w14:textId="77777777" w:rsidR="00E8608C" w:rsidRPr="00A1686D" w:rsidRDefault="00E8608C" w:rsidP="00AE1DED">
            <w:pPr>
              <w:rPr>
                <w:color w:val="000000" w:themeColor="text1"/>
                <w:sz w:val="20"/>
                <w:szCs w:val="20"/>
              </w:rPr>
            </w:pPr>
            <w:r w:rsidRPr="00A1686D">
              <w:rPr>
                <w:color w:val="000000" w:themeColor="text1"/>
                <w:sz w:val="20"/>
                <w:szCs w:val="20"/>
              </w:rPr>
              <w:t>No single position &gt;33% of total capital</w:t>
            </w:r>
          </w:p>
        </w:tc>
        <w:tc>
          <w:tcPr>
            <w:tcW w:w="2880" w:type="dxa"/>
            <w:tcBorders>
              <w:top w:val="nil"/>
              <w:left w:val="nil"/>
              <w:bottom w:val="single" w:sz="4" w:space="0" w:color="BFBFBF"/>
              <w:right w:val="single" w:sz="4" w:space="0" w:color="BFBFBF"/>
            </w:tcBorders>
            <w:vAlign w:val="center"/>
            <w:hideMark/>
          </w:tcPr>
          <w:p w14:paraId="42E811B9" w14:textId="77777777" w:rsidR="00E8608C" w:rsidRPr="00A1686D" w:rsidRDefault="00E8608C" w:rsidP="00AE1DED">
            <w:pPr>
              <w:rPr>
                <w:color w:val="000000" w:themeColor="text1"/>
                <w:sz w:val="20"/>
                <w:szCs w:val="20"/>
              </w:rPr>
            </w:pPr>
            <w:r w:rsidRPr="00A1686D">
              <w:rPr>
                <w:color w:val="000000" w:themeColor="text1"/>
                <w:sz w:val="20"/>
                <w:szCs w:val="20"/>
              </w:rPr>
              <w:t>Planned positions follow this rule?</w:t>
            </w:r>
          </w:p>
        </w:tc>
        <w:tc>
          <w:tcPr>
            <w:tcW w:w="2160" w:type="dxa"/>
            <w:tcBorders>
              <w:top w:val="nil"/>
              <w:left w:val="nil"/>
              <w:bottom w:val="single" w:sz="4" w:space="0" w:color="BFBFBF"/>
              <w:right w:val="single" w:sz="8" w:space="0" w:color="BFBFBF"/>
            </w:tcBorders>
            <w:vAlign w:val="center"/>
            <w:hideMark/>
          </w:tcPr>
          <w:p w14:paraId="5BFCAB97" w14:textId="77777777" w:rsidR="00E8608C" w:rsidRPr="00A1686D" w:rsidRDefault="00E8608C" w:rsidP="00AE1DED">
            <w:pPr>
              <w:rPr>
                <w:color w:val="000000" w:themeColor="text1"/>
                <w:sz w:val="20"/>
                <w:szCs w:val="20"/>
              </w:rPr>
            </w:pPr>
            <w:r w:rsidRPr="00A1686D">
              <w:rPr>
                <w:color w:val="000000" w:themeColor="text1"/>
                <w:sz w:val="20"/>
                <w:szCs w:val="20"/>
              </w:rPr>
              <w:t>Revise allocation</w:t>
            </w:r>
          </w:p>
        </w:tc>
      </w:tr>
      <w:tr w:rsidR="00A1686D" w:rsidRPr="00A1686D" w14:paraId="18A69F41" w14:textId="77777777" w:rsidTr="00B14022">
        <w:trPr>
          <w:gridAfter w:val="1"/>
          <w:wAfter w:w="167" w:type="dxa"/>
          <w:trHeight w:val="81"/>
        </w:trPr>
        <w:tc>
          <w:tcPr>
            <w:tcW w:w="1970" w:type="dxa"/>
            <w:tcBorders>
              <w:top w:val="nil"/>
              <w:left w:val="single" w:sz="8" w:space="0" w:color="BFBFBF"/>
              <w:bottom w:val="nil"/>
              <w:right w:val="single" w:sz="4" w:space="0" w:color="BFBFBF"/>
            </w:tcBorders>
            <w:vAlign w:val="center"/>
            <w:hideMark/>
          </w:tcPr>
          <w:p w14:paraId="14ED4626" w14:textId="77777777" w:rsidR="00E8608C" w:rsidRPr="00A1686D" w:rsidRDefault="00E8608C" w:rsidP="00AE1DED">
            <w:pPr>
              <w:rPr>
                <w:color w:val="000000" w:themeColor="text1"/>
                <w:sz w:val="20"/>
                <w:szCs w:val="20"/>
              </w:rPr>
            </w:pPr>
            <w:r w:rsidRPr="00A1686D">
              <w:rPr>
                <w:color w:val="000000" w:themeColor="text1"/>
                <w:sz w:val="20"/>
                <w:szCs w:val="20"/>
              </w:rPr>
              <w:t>Reserve funds</w:t>
            </w:r>
          </w:p>
        </w:tc>
        <w:tc>
          <w:tcPr>
            <w:tcW w:w="2520" w:type="dxa"/>
            <w:tcBorders>
              <w:top w:val="nil"/>
              <w:left w:val="nil"/>
              <w:bottom w:val="nil"/>
              <w:right w:val="single" w:sz="4" w:space="0" w:color="BFBFBF"/>
            </w:tcBorders>
            <w:vAlign w:val="center"/>
            <w:hideMark/>
          </w:tcPr>
          <w:p w14:paraId="6DA8D47A" w14:textId="77777777" w:rsidR="00E8608C" w:rsidRPr="00A1686D" w:rsidRDefault="00E8608C" w:rsidP="00AE1DED">
            <w:pPr>
              <w:rPr>
                <w:color w:val="000000" w:themeColor="text1"/>
                <w:sz w:val="20"/>
                <w:szCs w:val="20"/>
              </w:rPr>
            </w:pPr>
            <w:r w:rsidRPr="00A1686D">
              <w:rPr>
                <w:color w:val="000000" w:themeColor="text1"/>
                <w:sz w:val="20"/>
                <w:szCs w:val="20"/>
              </w:rPr>
              <w:t>20% of capital reserved for opportunities</w:t>
            </w:r>
          </w:p>
        </w:tc>
        <w:tc>
          <w:tcPr>
            <w:tcW w:w="2880" w:type="dxa"/>
            <w:tcBorders>
              <w:top w:val="nil"/>
              <w:left w:val="nil"/>
              <w:bottom w:val="nil"/>
              <w:right w:val="single" w:sz="4" w:space="0" w:color="BFBFBF"/>
            </w:tcBorders>
            <w:vAlign w:val="center"/>
            <w:hideMark/>
          </w:tcPr>
          <w:p w14:paraId="00EC40C3" w14:textId="77777777" w:rsidR="00E8608C" w:rsidRPr="00A1686D" w:rsidRDefault="00E8608C" w:rsidP="00AE1DED">
            <w:pPr>
              <w:rPr>
                <w:color w:val="000000" w:themeColor="text1"/>
                <w:sz w:val="20"/>
                <w:szCs w:val="20"/>
              </w:rPr>
            </w:pPr>
            <w:r w:rsidRPr="00A1686D">
              <w:rPr>
                <w:color w:val="000000" w:themeColor="text1"/>
                <w:sz w:val="20"/>
                <w:szCs w:val="20"/>
              </w:rPr>
              <w:t>Not deploying 100% immediately?</w:t>
            </w:r>
          </w:p>
        </w:tc>
        <w:tc>
          <w:tcPr>
            <w:tcW w:w="2160" w:type="dxa"/>
            <w:tcBorders>
              <w:top w:val="nil"/>
              <w:left w:val="nil"/>
              <w:bottom w:val="nil"/>
              <w:right w:val="single" w:sz="8" w:space="0" w:color="BFBFBF"/>
            </w:tcBorders>
            <w:vAlign w:val="center"/>
            <w:hideMark/>
          </w:tcPr>
          <w:p w14:paraId="027D36A9" w14:textId="77777777" w:rsidR="00E8608C" w:rsidRPr="00A1686D" w:rsidRDefault="00E8608C" w:rsidP="00AE1DED">
            <w:pPr>
              <w:rPr>
                <w:color w:val="000000" w:themeColor="text1"/>
                <w:sz w:val="20"/>
                <w:szCs w:val="20"/>
              </w:rPr>
            </w:pPr>
            <w:r w:rsidRPr="00A1686D">
              <w:rPr>
                <w:color w:val="000000" w:themeColor="text1"/>
                <w:sz w:val="20"/>
                <w:szCs w:val="20"/>
              </w:rPr>
              <w:t>Reduce initial deployment</w:t>
            </w:r>
          </w:p>
        </w:tc>
      </w:tr>
      <w:tr w:rsidR="00A1686D" w:rsidRPr="00A1686D" w14:paraId="48DDC24F" w14:textId="77777777" w:rsidTr="00B14022">
        <w:trPr>
          <w:trHeight w:val="340"/>
        </w:trPr>
        <w:tc>
          <w:tcPr>
            <w:tcW w:w="9697" w:type="dxa"/>
            <w:gridSpan w:val="5"/>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4B3845E2" w14:textId="77777777" w:rsidR="00E8608C" w:rsidRPr="00A1686D" w:rsidRDefault="00E8608C" w:rsidP="00AE1DED">
            <w:pPr>
              <w:jc w:val="center"/>
              <w:rPr>
                <w:b/>
                <w:bCs/>
                <w:color w:val="000000" w:themeColor="text1"/>
                <w:sz w:val="20"/>
                <w:szCs w:val="20"/>
              </w:rPr>
            </w:pPr>
            <w:r w:rsidRPr="00A1686D">
              <w:rPr>
                <w:b/>
                <w:bCs/>
                <w:color w:val="000000" w:themeColor="text1"/>
                <w:sz w:val="20"/>
                <w:szCs w:val="20"/>
              </w:rPr>
              <w:t>NETWORK</w:t>
            </w:r>
          </w:p>
        </w:tc>
      </w:tr>
      <w:tr w:rsidR="00A1686D" w:rsidRPr="00A1686D" w14:paraId="614AAC79" w14:textId="77777777" w:rsidTr="00B14022">
        <w:trPr>
          <w:gridAfter w:val="1"/>
          <w:wAfter w:w="167" w:type="dxa"/>
          <w:trHeight w:val="71"/>
        </w:trPr>
        <w:tc>
          <w:tcPr>
            <w:tcW w:w="1970" w:type="dxa"/>
            <w:tcBorders>
              <w:top w:val="nil"/>
              <w:left w:val="single" w:sz="8" w:space="0" w:color="BFBFBF"/>
              <w:bottom w:val="single" w:sz="4" w:space="0" w:color="BFBFBF"/>
              <w:right w:val="single" w:sz="4" w:space="0" w:color="BFBFBF"/>
            </w:tcBorders>
            <w:vAlign w:val="center"/>
            <w:hideMark/>
          </w:tcPr>
          <w:p w14:paraId="7E7432B4" w14:textId="77777777" w:rsidR="00E8608C" w:rsidRPr="00A1686D" w:rsidRDefault="00E8608C" w:rsidP="00AE1DED">
            <w:pPr>
              <w:rPr>
                <w:color w:val="000000" w:themeColor="text1"/>
                <w:sz w:val="20"/>
                <w:szCs w:val="20"/>
              </w:rPr>
            </w:pPr>
            <w:r w:rsidRPr="00A1686D">
              <w:rPr>
                <w:color w:val="000000" w:themeColor="text1"/>
                <w:sz w:val="20"/>
                <w:szCs w:val="20"/>
              </w:rPr>
              <w:t>L2 proficiency</w:t>
            </w:r>
          </w:p>
        </w:tc>
        <w:tc>
          <w:tcPr>
            <w:tcW w:w="2520" w:type="dxa"/>
            <w:tcBorders>
              <w:top w:val="nil"/>
              <w:left w:val="nil"/>
              <w:bottom w:val="single" w:sz="4" w:space="0" w:color="BFBFBF"/>
              <w:right w:val="single" w:sz="4" w:space="0" w:color="BFBFBF"/>
            </w:tcBorders>
            <w:vAlign w:val="center"/>
            <w:hideMark/>
          </w:tcPr>
          <w:p w14:paraId="4ACA13B5" w14:textId="77777777" w:rsidR="00E8608C" w:rsidRPr="00A1686D" w:rsidRDefault="00E8608C" w:rsidP="00AE1DED">
            <w:pPr>
              <w:rPr>
                <w:color w:val="000000" w:themeColor="text1"/>
                <w:sz w:val="20"/>
                <w:szCs w:val="20"/>
              </w:rPr>
            </w:pPr>
            <w:r w:rsidRPr="00A1686D">
              <w:rPr>
                <w:color w:val="000000" w:themeColor="text1"/>
                <w:sz w:val="20"/>
                <w:szCs w:val="20"/>
              </w:rPr>
              <w:t xml:space="preserve">Comfortable with </w:t>
            </w:r>
            <w:proofErr w:type="spellStart"/>
            <w:r w:rsidRPr="00A1686D">
              <w:rPr>
                <w:color w:val="000000" w:themeColor="text1"/>
                <w:sz w:val="20"/>
                <w:szCs w:val="20"/>
              </w:rPr>
              <w:t>Arbitrum</w:t>
            </w:r>
            <w:proofErr w:type="spellEnd"/>
            <w:r w:rsidRPr="00A1686D">
              <w:rPr>
                <w:color w:val="000000" w:themeColor="text1"/>
                <w:sz w:val="20"/>
                <w:szCs w:val="20"/>
              </w:rPr>
              <w:t xml:space="preserve"> or Optimism</w:t>
            </w:r>
          </w:p>
        </w:tc>
        <w:tc>
          <w:tcPr>
            <w:tcW w:w="2880" w:type="dxa"/>
            <w:tcBorders>
              <w:top w:val="nil"/>
              <w:left w:val="nil"/>
              <w:bottom w:val="single" w:sz="4" w:space="0" w:color="BFBFBF"/>
              <w:right w:val="single" w:sz="4" w:space="0" w:color="BFBFBF"/>
            </w:tcBorders>
            <w:vAlign w:val="center"/>
            <w:hideMark/>
          </w:tcPr>
          <w:p w14:paraId="4562EB62" w14:textId="77777777" w:rsidR="00E8608C" w:rsidRPr="00A1686D" w:rsidRDefault="00E8608C" w:rsidP="00AE1DED">
            <w:pPr>
              <w:rPr>
                <w:color w:val="000000" w:themeColor="text1"/>
                <w:sz w:val="20"/>
                <w:szCs w:val="20"/>
              </w:rPr>
            </w:pPr>
            <w:r w:rsidRPr="00A1686D">
              <w:rPr>
                <w:color w:val="000000" w:themeColor="text1"/>
                <w:sz w:val="20"/>
                <w:szCs w:val="20"/>
              </w:rPr>
              <w:t>Completed 5+ transactions successfully?</w:t>
            </w:r>
          </w:p>
        </w:tc>
        <w:tc>
          <w:tcPr>
            <w:tcW w:w="2160" w:type="dxa"/>
            <w:tcBorders>
              <w:top w:val="nil"/>
              <w:left w:val="nil"/>
              <w:bottom w:val="single" w:sz="4" w:space="0" w:color="BFBFBF"/>
              <w:right w:val="single" w:sz="8" w:space="0" w:color="BFBFBF"/>
            </w:tcBorders>
            <w:vAlign w:val="center"/>
            <w:hideMark/>
          </w:tcPr>
          <w:p w14:paraId="7EECE644" w14:textId="77777777" w:rsidR="00E8608C" w:rsidRPr="00A1686D" w:rsidRDefault="00E8608C" w:rsidP="00AE1DED">
            <w:pPr>
              <w:rPr>
                <w:color w:val="000000" w:themeColor="text1"/>
                <w:sz w:val="20"/>
                <w:szCs w:val="20"/>
              </w:rPr>
            </w:pPr>
            <w:r w:rsidRPr="00A1686D">
              <w:rPr>
                <w:color w:val="000000" w:themeColor="text1"/>
                <w:sz w:val="20"/>
                <w:szCs w:val="20"/>
              </w:rPr>
              <w:t>Practice more before large amounts</w:t>
            </w:r>
          </w:p>
        </w:tc>
      </w:tr>
      <w:tr w:rsidR="00A1686D" w:rsidRPr="00A1686D" w14:paraId="71CD9E2B" w14:textId="77777777" w:rsidTr="00B14022">
        <w:trPr>
          <w:gridAfter w:val="1"/>
          <w:wAfter w:w="167" w:type="dxa"/>
          <w:trHeight w:val="81"/>
        </w:trPr>
        <w:tc>
          <w:tcPr>
            <w:tcW w:w="1970" w:type="dxa"/>
            <w:tcBorders>
              <w:top w:val="nil"/>
              <w:left w:val="single" w:sz="8" w:space="0" w:color="BFBFBF"/>
              <w:bottom w:val="single" w:sz="4" w:space="0" w:color="BFBFBF"/>
              <w:right w:val="single" w:sz="4" w:space="0" w:color="BFBFBF"/>
            </w:tcBorders>
            <w:vAlign w:val="center"/>
            <w:hideMark/>
          </w:tcPr>
          <w:p w14:paraId="08C77BD9" w14:textId="77777777" w:rsidR="00E8608C" w:rsidRPr="00A1686D" w:rsidRDefault="00E8608C" w:rsidP="00AE1DED">
            <w:pPr>
              <w:rPr>
                <w:color w:val="000000" w:themeColor="text1"/>
                <w:sz w:val="20"/>
                <w:szCs w:val="20"/>
              </w:rPr>
            </w:pPr>
            <w:r w:rsidRPr="00A1686D">
              <w:rPr>
                <w:color w:val="000000" w:themeColor="text1"/>
                <w:sz w:val="20"/>
                <w:szCs w:val="20"/>
              </w:rPr>
              <w:t>Bridge costs understood</w:t>
            </w:r>
          </w:p>
        </w:tc>
        <w:tc>
          <w:tcPr>
            <w:tcW w:w="2520" w:type="dxa"/>
            <w:tcBorders>
              <w:top w:val="nil"/>
              <w:left w:val="nil"/>
              <w:bottom w:val="single" w:sz="4" w:space="0" w:color="BFBFBF"/>
              <w:right w:val="single" w:sz="4" w:space="0" w:color="BFBFBF"/>
            </w:tcBorders>
            <w:vAlign w:val="center"/>
            <w:hideMark/>
          </w:tcPr>
          <w:p w14:paraId="67E6D7CC" w14:textId="77777777" w:rsidR="00E8608C" w:rsidRPr="00A1686D" w:rsidRDefault="00E8608C" w:rsidP="00AE1DED">
            <w:pPr>
              <w:rPr>
                <w:color w:val="000000" w:themeColor="text1"/>
                <w:sz w:val="20"/>
                <w:szCs w:val="20"/>
              </w:rPr>
            </w:pPr>
            <w:r w:rsidRPr="00A1686D">
              <w:rPr>
                <w:color w:val="000000" w:themeColor="text1"/>
                <w:sz w:val="20"/>
                <w:szCs w:val="20"/>
              </w:rPr>
              <w:t>Know exact bridging costs and timing</w:t>
            </w:r>
          </w:p>
        </w:tc>
        <w:tc>
          <w:tcPr>
            <w:tcW w:w="2880" w:type="dxa"/>
            <w:tcBorders>
              <w:top w:val="nil"/>
              <w:left w:val="nil"/>
              <w:bottom w:val="single" w:sz="4" w:space="0" w:color="BFBFBF"/>
              <w:right w:val="single" w:sz="4" w:space="0" w:color="BFBFBF"/>
            </w:tcBorders>
            <w:vAlign w:val="center"/>
            <w:hideMark/>
          </w:tcPr>
          <w:p w14:paraId="1DF18E25" w14:textId="77777777" w:rsidR="00E8608C" w:rsidRPr="00A1686D" w:rsidRDefault="00E8608C" w:rsidP="00AE1DED">
            <w:pPr>
              <w:rPr>
                <w:color w:val="000000" w:themeColor="text1"/>
                <w:sz w:val="20"/>
                <w:szCs w:val="20"/>
              </w:rPr>
            </w:pPr>
            <w:r w:rsidRPr="00A1686D">
              <w:rPr>
                <w:color w:val="000000" w:themeColor="text1"/>
                <w:sz w:val="20"/>
                <w:szCs w:val="20"/>
              </w:rPr>
              <w:t>Calculated total cost to deploy capital?</w:t>
            </w:r>
          </w:p>
        </w:tc>
        <w:tc>
          <w:tcPr>
            <w:tcW w:w="2160" w:type="dxa"/>
            <w:tcBorders>
              <w:top w:val="nil"/>
              <w:left w:val="nil"/>
              <w:bottom w:val="single" w:sz="4" w:space="0" w:color="BFBFBF"/>
              <w:right w:val="single" w:sz="8" w:space="0" w:color="BFBFBF"/>
            </w:tcBorders>
            <w:vAlign w:val="center"/>
            <w:hideMark/>
          </w:tcPr>
          <w:p w14:paraId="56E6DD88" w14:textId="77777777" w:rsidR="00E8608C" w:rsidRPr="00A1686D" w:rsidRDefault="00E8608C" w:rsidP="00AE1DED">
            <w:pPr>
              <w:rPr>
                <w:color w:val="000000" w:themeColor="text1"/>
                <w:sz w:val="20"/>
                <w:szCs w:val="20"/>
              </w:rPr>
            </w:pPr>
            <w:r w:rsidRPr="00A1686D">
              <w:rPr>
                <w:color w:val="000000" w:themeColor="text1"/>
                <w:sz w:val="20"/>
                <w:szCs w:val="20"/>
              </w:rPr>
              <w:t>Factor in 0.1-0.3% bridging costs</w:t>
            </w:r>
          </w:p>
        </w:tc>
      </w:tr>
      <w:tr w:rsidR="00A1686D" w:rsidRPr="00A1686D" w14:paraId="500C7ED9" w14:textId="77777777" w:rsidTr="00B14022">
        <w:trPr>
          <w:gridAfter w:val="1"/>
          <w:wAfter w:w="167" w:type="dxa"/>
          <w:trHeight w:val="81"/>
        </w:trPr>
        <w:tc>
          <w:tcPr>
            <w:tcW w:w="1970" w:type="dxa"/>
            <w:tcBorders>
              <w:top w:val="nil"/>
              <w:left w:val="single" w:sz="8" w:space="0" w:color="BFBFBF"/>
              <w:bottom w:val="nil"/>
              <w:right w:val="single" w:sz="4" w:space="0" w:color="BFBFBF"/>
            </w:tcBorders>
            <w:vAlign w:val="center"/>
            <w:hideMark/>
          </w:tcPr>
          <w:p w14:paraId="7839C9CF" w14:textId="77777777" w:rsidR="00E8608C" w:rsidRPr="00A1686D" w:rsidRDefault="00E8608C" w:rsidP="00AE1DED">
            <w:pPr>
              <w:rPr>
                <w:color w:val="000000" w:themeColor="text1"/>
                <w:sz w:val="20"/>
                <w:szCs w:val="20"/>
              </w:rPr>
            </w:pPr>
            <w:r w:rsidRPr="00A1686D">
              <w:rPr>
                <w:color w:val="000000" w:themeColor="text1"/>
                <w:sz w:val="20"/>
                <w:szCs w:val="20"/>
              </w:rPr>
              <w:t>Gas optimization</w:t>
            </w:r>
          </w:p>
        </w:tc>
        <w:tc>
          <w:tcPr>
            <w:tcW w:w="2520" w:type="dxa"/>
            <w:tcBorders>
              <w:top w:val="nil"/>
              <w:left w:val="nil"/>
              <w:bottom w:val="nil"/>
              <w:right w:val="single" w:sz="4" w:space="0" w:color="BFBFBF"/>
            </w:tcBorders>
            <w:vAlign w:val="center"/>
            <w:hideMark/>
          </w:tcPr>
          <w:p w14:paraId="5C000382" w14:textId="77777777" w:rsidR="00E8608C" w:rsidRPr="00A1686D" w:rsidRDefault="00E8608C" w:rsidP="00AE1DED">
            <w:pPr>
              <w:rPr>
                <w:color w:val="000000" w:themeColor="text1"/>
                <w:sz w:val="20"/>
                <w:szCs w:val="20"/>
              </w:rPr>
            </w:pPr>
            <w:r w:rsidRPr="00A1686D">
              <w:rPr>
                <w:color w:val="000000" w:themeColor="text1"/>
                <w:sz w:val="20"/>
                <w:szCs w:val="20"/>
              </w:rPr>
              <w:t>Understand peak/off-peak gas timing</w:t>
            </w:r>
          </w:p>
        </w:tc>
        <w:tc>
          <w:tcPr>
            <w:tcW w:w="2880" w:type="dxa"/>
            <w:tcBorders>
              <w:top w:val="nil"/>
              <w:left w:val="nil"/>
              <w:bottom w:val="nil"/>
              <w:right w:val="single" w:sz="4" w:space="0" w:color="BFBFBF"/>
            </w:tcBorders>
            <w:vAlign w:val="center"/>
            <w:hideMark/>
          </w:tcPr>
          <w:p w14:paraId="07936F11" w14:textId="77777777" w:rsidR="00E8608C" w:rsidRPr="00A1686D" w:rsidRDefault="00E8608C" w:rsidP="00AE1DED">
            <w:pPr>
              <w:rPr>
                <w:color w:val="000000" w:themeColor="text1"/>
                <w:sz w:val="20"/>
                <w:szCs w:val="20"/>
              </w:rPr>
            </w:pPr>
            <w:r w:rsidRPr="00A1686D">
              <w:rPr>
                <w:color w:val="000000" w:themeColor="text1"/>
                <w:sz w:val="20"/>
                <w:szCs w:val="20"/>
              </w:rPr>
              <w:t>Can you identify low-gas windows?</w:t>
            </w:r>
          </w:p>
        </w:tc>
        <w:tc>
          <w:tcPr>
            <w:tcW w:w="2160" w:type="dxa"/>
            <w:tcBorders>
              <w:top w:val="nil"/>
              <w:left w:val="nil"/>
              <w:bottom w:val="nil"/>
              <w:right w:val="single" w:sz="8" w:space="0" w:color="BFBFBF"/>
            </w:tcBorders>
            <w:vAlign w:val="center"/>
            <w:hideMark/>
          </w:tcPr>
          <w:p w14:paraId="3E1894AD" w14:textId="77777777" w:rsidR="00E8608C" w:rsidRPr="00A1686D" w:rsidRDefault="00E8608C" w:rsidP="00AE1DED">
            <w:pPr>
              <w:rPr>
                <w:color w:val="000000" w:themeColor="text1"/>
                <w:sz w:val="20"/>
                <w:szCs w:val="20"/>
              </w:rPr>
            </w:pPr>
            <w:r w:rsidRPr="00A1686D">
              <w:rPr>
                <w:color w:val="000000" w:themeColor="text1"/>
                <w:sz w:val="20"/>
                <w:szCs w:val="20"/>
              </w:rPr>
              <w:t>Will overspend 15-20% on fees</w:t>
            </w:r>
          </w:p>
        </w:tc>
      </w:tr>
      <w:tr w:rsidR="00A1686D" w:rsidRPr="00A1686D" w14:paraId="4BEC0656" w14:textId="77777777" w:rsidTr="00B14022">
        <w:trPr>
          <w:trHeight w:val="340"/>
        </w:trPr>
        <w:tc>
          <w:tcPr>
            <w:tcW w:w="9697" w:type="dxa"/>
            <w:gridSpan w:val="5"/>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0A6B280C" w14:textId="77777777" w:rsidR="00E8608C" w:rsidRPr="00A1686D" w:rsidRDefault="00E8608C" w:rsidP="00AE1DED">
            <w:pPr>
              <w:jc w:val="center"/>
              <w:rPr>
                <w:b/>
                <w:bCs/>
                <w:color w:val="000000" w:themeColor="text1"/>
                <w:sz w:val="20"/>
                <w:szCs w:val="20"/>
              </w:rPr>
            </w:pPr>
            <w:r w:rsidRPr="00A1686D">
              <w:rPr>
                <w:b/>
                <w:bCs/>
                <w:color w:val="000000" w:themeColor="text1"/>
                <w:sz w:val="20"/>
                <w:szCs w:val="20"/>
              </w:rPr>
              <w:t>STRATEGY</w:t>
            </w:r>
          </w:p>
        </w:tc>
      </w:tr>
      <w:tr w:rsidR="00A1686D" w:rsidRPr="00A1686D" w14:paraId="7E172411" w14:textId="77777777" w:rsidTr="00B14022">
        <w:trPr>
          <w:gridAfter w:val="1"/>
          <w:wAfter w:w="167" w:type="dxa"/>
          <w:trHeight w:val="71"/>
        </w:trPr>
        <w:tc>
          <w:tcPr>
            <w:tcW w:w="1970" w:type="dxa"/>
            <w:tcBorders>
              <w:top w:val="nil"/>
              <w:left w:val="single" w:sz="8" w:space="0" w:color="BFBFBF"/>
              <w:bottom w:val="single" w:sz="4" w:space="0" w:color="BFBFBF"/>
              <w:right w:val="single" w:sz="4" w:space="0" w:color="BFBFBF"/>
            </w:tcBorders>
            <w:vAlign w:val="center"/>
            <w:hideMark/>
          </w:tcPr>
          <w:p w14:paraId="38BBF100" w14:textId="77777777" w:rsidR="00E8608C" w:rsidRPr="00A1686D" w:rsidRDefault="00E8608C" w:rsidP="00AE1DED">
            <w:pPr>
              <w:rPr>
                <w:color w:val="000000" w:themeColor="text1"/>
                <w:sz w:val="20"/>
                <w:szCs w:val="20"/>
              </w:rPr>
            </w:pPr>
            <w:r w:rsidRPr="00A1686D">
              <w:rPr>
                <w:color w:val="000000" w:themeColor="text1"/>
                <w:sz w:val="20"/>
                <w:szCs w:val="20"/>
              </w:rPr>
              <w:t>Correlated pairs viable</w:t>
            </w:r>
          </w:p>
        </w:tc>
        <w:tc>
          <w:tcPr>
            <w:tcW w:w="2520" w:type="dxa"/>
            <w:tcBorders>
              <w:top w:val="nil"/>
              <w:left w:val="nil"/>
              <w:bottom w:val="single" w:sz="4" w:space="0" w:color="BFBFBF"/>
              <w:right w:val="single" w:sz="4" w:space="0" w:color="BFBFBF"/>
            </w:tcBorders>
            <w:vAlign w:val="center"/>
            <w:hideMark/>
          </w:tcPr>
          <w:p w14:paraId="1D196C16" w14:textId="77777777" w:rsidR="00E8608C" w:rsidRPr="00A1686D" w:rsidRDefault="00E8608C" w:rsidP="00AE1DED">
            <w:pPr>
              <w:rPr>
                <w:color w:val="000000" w:themeColor="text1"/>
                <w:sz w:val="20"/>
                <w:szCs w:val="20"/>
              </w:rPr>
            </w:pPr>
            <w:r w:rsidRPr="00A1686D">
              <w:rPr>
                <w:color w:val="000000" w:themeColor="text1"/>
                <w:sz w:val="20"/>
                <w:szCs w:val="20"/>
              </w:rPr>
              <w:t>ETH/</w:t>
            </w:r>
            <w:proofErr w:type="spellStart"/>
            <w:r w:rsidRPr="00A1686D">
              <w:rPr>
                <w:color w:val="000000" w:themeColor="text1"/>
                <w:sz w:val="20"/>
                <w:szCs w:val="20"/>
              </w:rPr>
              <w:t>stETH</w:t>
            </w:r>
            <w:proofErr w:type="spellEnd"/>
            <w:r w:rsidRPr="00A1686D">
              <w:rPr>
                <w:color w:val="000000" w:themeColor="text1"/>
                <w:sz w:val="20"/>
                <w:szCs w:val="20"/>
              </w:rPr>
              <w:t>, WBTC/BTC, or stablecoins</w:t>
            </w:r>
          </w:p>
        </w:tc>
        <w:tc>
          <w:tcPr>
            <w:tcW w:w="2880" w:type="dxa"/>
            <w:tcBorders>
              <w:top w:val="nil"/>
              <w:left w:val="nil"/>
              <w:bottom w:val="single" w:sz="4" w:space="0" w:color="BFBFBF"/>
              <w:right w:val="single" w:sz="4" w:space="0" w:color="BFBFBF"/>
            </w:tcBorders>
            <w:vAlign w:val="center"/>
            <w:hideMark/>
          </w:tcPr>
          <w:p w14:paraId="73544EB9" w14:textId="77777777" w:rsidR="00E8608C" w:rsidRPr="00A1686D" w:rsidRDefault="00E8608C" w:rsidP="00AE1DED">
            <w:pPr>
              <w:rPr>
                <w:color w:val="000000" w:themeColor="text1"/>
                <w:sz w:val="20"/>
                <w:szCs w:val="20"/>
              </w:rPr>
            </w:pPr>
            <w:r w:rsidRPr="00A1686D">
              <w:rPr>
                <w:color w:val="000000" w:themeColor="text1"/>
                <w:sz w:val="20"/>
                <w:szCs w:val="20"/>
              </w:rPr>
              <w:t>Understand IL risk for chosen pair?</w:t>
            </w:r>
          </w:p>
        </w:tc>
        <w:tc>
          <w:tcPr>
            <w:tcW w:w="2160" w:type="dxa"/>
            <w:tcBorders>
              <w:top w:val="nil"/>
              <w:left w:val="nil"/>
              <w:bottom w:val="single" w:sz="4" w:space="0" w:color="BFBFBF"/>
              <w:right w:val="single" w:sz="8" w:space="0" w:color="BFBFBF"/>
            </w:tcBorders>
            <w:vAlign w:val="center"/>
            <w:hideMark/>
          </w:tcPr>
          <w:p w14:paraId="045CFB08" w14:textId="77777777" w:rsidR="00E8608C" w:rsidRPr="00A1686D" w:rsidRDefault="00E8608C" w:rsidP="00AE1DED">
            <w:pPr>
              <w:rPr>
                <w:color w:val="000000" w:themeColor="text1"/>
                <w:sz w:val="20"/>
                <w:szCs w:val="20"/>
              </w:rPr>
            </w:pPr>
            <w:r w:rsidRPr="00A1686D">
              <w:rPr>
                <w:color w:val="000000" w:themeColor="text1"/>
                <w:sz w:val="20"/>
                <w:szCs w:val="20"/>
              </w:rPr>
              <w:t>Study IL mechanics more</w:t>
            </w:r>
          </w:p>
        </w:tc>
      </w:tr>
      <w:tr w:rsidR="00A1686D" w:rsidRPr="00A1686D" w14:paraId="6555F264" w14:textId="77777777" w:rsidTr="00B14022">
        <w:trPr>
          <w:gridAfter w:val="1"/>
          <w:wAfter w:w="167" w:type="dxa"/>
          <w:trHeight w:val="81"/>
        </w:trPr>
        <w:tc>
          <w:tcPr>
            <w:tcW w:w="1970" w:type="dxa"/>
            <w:tcBorders>
              <w:top w:val="nil"/>
              <w:left w:val="single" w:sz="8" w:space="0" w:color="BFBFBF"/>
              <w:bottom w:val="single" w:sz="4" w:space="0" w:color="BFBFBF"/>
              <w:right w:val="single" w:sz="4" w:space="0" w:color="BFBFBF"/>
            </w:tcBorders>
            <w:vAlign w:val="center"/>
            <w:hideMark/>
          </w:tcPr>
          <w:p w14:paraId="58CF88ED" w14:textId="77777777" w:rsidR="00E8608C" w:rsidRPr="00A1686D" w:rsidRDefault="00E8608C" w:rsidP="00AE1DED">
            <w:pPr>
              <w:rPr>
                <w:color w:val="000000" w:themeColor="text1"/>
                <w:sz w:val="20"/>
                <w:szCs w:val="20"/>
              </w:rPr>
            </w:pPr>
            <w:r w:rsidRPr="00A1686D">
              <w:rPr>
                <w:color w:val="000000" w:themeColor="text1"/>
                <w:sz w:val="20"/>
                <w:szCs w:val="20"/>
              </w:rPr>
              <w:t>Rebalancing plan</w:t>
            </w:r>
          </w:p>
        </w:tc>
        <w:tc>
          <w:tcPr>
            <w:tcW w:w="2520" w:type="dxa"/>
            <w:tcBorders>
              <w:top w:val="nil"/>
              <w:left w:val="nil"/>
              <w:bottom w:val="single" w:sz="4" w:space="0" w:color="BFBFBF"/>
              <w:right w:val="single" w:sz="4" w:space="0" w:color="BFBFBF"/>
            </w:tcBorders>
            <w:vAlign w:val="center"/>
            <w:hideMark/>
          </w:tcPr>
          <w:p w14:paraId="2CC4C364" w14:textId="77777777" w:rsidR="00E8608C" w:rsidRPr="00A1686D" w:rsidRDefault="00E8608C" w:rsidP="00AE1DED">
            <w:pPr>
              <w:rPr>
                <w:color w:val="000000" w:themeColor="text1"/>
                <w:sz w:val="20"/>
                <w:szCs w:val="20"/>
              </w:rPr>
            </w:pPr>
            <w:r w:rsidRPr="00A1686D">
              <w:rPr>
                <w:color w:val="000000" w:themeColor="text1"/>
                <w:sz w:val="20"/>
                <w:szCs w:val="20"/>
              </w:rPr>
              <w:t>Monthly rebalancing schedule defined</w:t>
            </w:r>
          </w:p>
        </w:tc>
        <w:tc>
          <w:tcPr>
            <w:tcW w:w="2880" w:type="dxa"/>
            <w:tcBorders>
              <w:top w:val="nil"/>
              <w:left w:val="nil"/>
              <w:bottom w:val="single" w:sz="4" w:space="0" w:color="BFBFBF"/>
              <w:right w:val="single" w:sz="4" w:space="0" w:color="BFBFBF"/>
            </w:tcBorders>
            <w:vAlign w:val="center"/>
            <w:hideMark/>
          </w:tcPr>
          <w:p w14:paraId="13889E42" w14:textId="77777777" w:rsidR="00E8608C" w:rsidRPr="00A1686D" w:rsidRDefault="00E8608C" w:rsidP="00AE1DED">
            <w:pPr>
              <w:rPr>
                <w:color w:val="000000" w:themeColor="text1"/>
                <w:sz w:val="20"/>
                <w:szCs w:val="20"/>
              </w:rPr>
            </w:pPr>
            <w:r w:rsidRPr="00A1686D">
              <w:rPr>
                <w:color w:val="000000" w:themeColor="text1"/>
                <w:sz w:val="20"/>
                <w:szCs w:val="20"/>
              </w:rPr>
              <w:t>Calculated rebalancing costs vs benefits?</w:t>
            </w:r>
          </w:p>
        </w:tc>
        <w:tc>
          <w:tcPr>
            <w:tcW w:w="2160" w:type="dxa"/>
            <w:tcBorders>
              <w:top w:val="nil"/>
              <w:left w:val="nil"/>
              <w:bottom w:val="single" w:sz="4" w:space="0" w:color="BFBFBF"/>
              <w:right w:val="single" w:sz="8" w:space="0" w:color="BFBFBF"/>
            </w:tcBorders>
            <w:vAlign w:val="center"/>
            <w:hideMark/>
          </w:tcPr>
          <w:p w14:paraId="7B2C1607" w14:textId="77777777" w:rsidR="00E8608C" w:rsidRPr="00A1686D" w:rsidRDefault="00E8608C" w:rsidP="00AE1DED">
            <w:pPr>
              <w:rPr>
                <w:color w:val="000000" w:themeColor="text1"/>
                <w:sz w:val="20"/>
                <w:szCs w:val="20"/>
              </w:rPr>
            </w:pPr>
            <w:r w:rsidRPr="00A1686D">
              <w:rPr>
                <w:color w:val="000000" w:themeColor="text1"/>
                <w:sz w:val="20"/>
                <w:szCs w:val="20"/>
              </w:rPr>
              <w:t>May rebalance too frequently</w:t>
            </w:r>
          </w:p>
        </w:tc>
      </w:tr>
      <w:tr w:rsidR="00A1686D" w:rsidRPr="00A1686D" w14:paraId="40E73B3C" w14:textId="77777777" w:rsidTr="00B14022">
        <w:trPr>
          <w:gridAfter w:val="1"/>
          <w:wAfter w:w="167" w:type="dxa"/>
          <w:trHeight w:val="81"/>
        </w:trPr>
        <w:tc>
          <w:tcPr>
            <w:tcW w:w="1970" w:type="dxa"/>
            <w:tcBorders>
              <w:top w:val="nil"/>
              <w:left w:val="single" w:sz="8" w:space="0" w:color="BFBFBF"/>
              <w:bottom w:val="nil"/>
              <w:right w:val="single" w:sz="4" w:space="0" w:color="BFBFBF"/>
            </w:tcBorders>
            <w:vAlign w:val="center"/>
            <w:hideMark/>
          </w:tcPr>
          <w:p w14:paraId="2D40DD17" w14:textId="77777777" w:rsidR="00E8608C" w:rsidRPr="00A1686D" w:rsidRDefault="00E8608C" w:rsidP="00AE1DED">
            <w:pPr>
              <w:rPr>
                <w:color w:val="000000" w:themeColor="text1"/>
                <w:sz w:val="20"/>
                <w:szCs w:val="20"/>
              </w:rPr>
            </w:pPr>
            <w:r w:rsidRPr="00A1686D">
              <w:rPr>
                <w:color w:val="000000" w:themeColor="text1"/>
                <w:sz w:val="20"/>
                <w:szCs w:val="20"/>
              </w:rPr>
              <w:t>Range management</w:t>
            </w:r>
          </w:p>
        </w:tc>
        <w:tc>
          <w:tcPr>
            <w:tcW w:w="2520" w:type="dxa"/>
            <w:tcBorders>
              <w:top w:val="nil"/>
              <w:left w:val="nil"/>
              <w:bottom w:val="nil"/>
              <w:right w:val="single" w:sz="4" w:space="0" w:color="BFBFBF"/>
            </w:tcBorders>
            <w:vAlign w:val="center"/>
            <w:hideMark/>
          </w:tcPr>
          <w:p w14:paraId="2C6E9160" w14:textId="77777777" w:rsidR="00E8608C" w:rsidRPr="00A1686D" w:rsidRDefault="00E8608C" w:rsidP="00AE1DED">
            <w:pPr>
              <w:rPr>
                <w:color w:val="000000" w:themeColor="text1"/>
                <w:sz w:val="20"/>
                <w:szCs w:val="20"/>
              </w:rPr>
            </w:pPr>
            <w:r w:rsidRPr="00A1686D">
              <w:rPr>
                <w:color w:val="000000" w:themeColor="text1"/>
                <w:sz w:val="20"/>
                <w:szCs w:val="20"/>
              </w:rPr>
              <w:t>Can set ranges based on volatility</w:t>
            </w:r>
          </w:p>
        </w:tc>
        <w:tc>
          <w:tcPr>
            <w:tcW w:w="2880" w:type="dxa"/>
            <w:tcBorders>
              <w:top w:val="nil"/>
              <w:left w:val="nil"/>
              <w:bottom w:val="nil"/>
              <w:right w:val="single" w:sz="4" w:space="0" w:color="BFBFBF"/>
            </w:tcBorders>
            <w:vAlign w:val="center"/>
            <w:hideMark/>
          </w:tcPr>
          <w:p w14:paraId="28CBD76F" w14:textId="77777777" w:rsidR="00E8608C" w:rsidRPr="00A1686D" w:rsidRDefault="00E8608C" w:rsidP="00AE1DED">
            <w:pPr>
              <w:rPr>
                <w:color w:val="000000" w:themeColor="text1"/>
                <w:sz w:val="20"/>
                <w:szCs w:val="20"/>
              </w:rPr>
            </w:pPr>
            <w:r w:rsidRPr="00A1686D">
              <w:rPr>
                <w:color w:val="000000" w:themeColor="text1"/>
                <w:sz w:val="20"/>
                <w:szCs w:val="20"/>
              </w:rPr>
              <w:t xml:space="preserve">Practiced range setting on </w:t>
            </w:r>
            <w:proofErr w:type="spellStart"/>
            <w:r w:rsidRPr="00A1686D">
              <w:rPr>
                <w:color w:val="000000" w:themeColor="text1"/>
                <w:sz w:val="20"/>
                <w:szCs w:val="20"/>
              </w:rPr>
              <w:t>testnet</w:t>
            </w:r>
            <w:proofErr w:type="spellEnd"/>
            <w:r w:rsidRPr="00A1686D">
              <w:rPr>
                <w:color w:val="000000" w:themeColor="text1"/>
                <w:sz w:val="20"/>
                <w:szCs w:val="20"/>
              </w:rPr>
              <w:t>?</w:t>
            </w:r>
          </w:p>
        </w:tc>
        <w:tc>
          <w:tcPr>
            <w:tcW w:w="2160" w:type="dxa"/>
            <w:tcBorders>
              <w:top w:val="nil"/>
              <w:left w:val="nil"/>
              <w:bottom w:val="nil"/>
              <w:right w:val="single" w:sz="8" w:space="0" w:color="BFBFBF"/>
            </w:tcBorders>
            <w:vAlign w:val="center"/>
            <w:hideMark/>
          </w:tcPr>
          <w:p w14:paraId="2F1482B6" w14:textId="77777777" w:rsidR="00E8608C" w:rsidRPr="00A1686D" w:rsidRDefault="00E8608C" w:rsidP="00AE1DED">
            <w:pPr>
              <w:rPr>
                <w:color w:val="000000" w:themeColor="text1"/>
                <w:sz w:val="20"/>
                <w:szCs w:val="20"/>
              </w:rPr>
            </w:pPr>
            <w:r w:rsidRPr="00A1686D">
              <w:rPr>
                <w:color w:val="000000" w:themeColor="text1"/>
                <w:sz w:val="20"/>
                <w:szCs w:val="20"/>
              </w:rPr>
              <w:t>Will set ranges incorrectly</w:t>
            </w:r>
          </w:p>
        </w:tc>
      </w:tr>
      <w:tr w:rsidR="00A1686D" w:rsidRPr="00A1686D" w14:paraId="62E97810" w14:textId="77777777" w:rsidTr="00B14022">
        <w:trPr>
          <w:trHeight w:val="340"/>
        </w:trPr>
        <w:tc>
          <w:tcPr>
            <w:tcW w:w="9697" w:type="dxa"/>
            <w:gridSpan w:val="5"/>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01D852B4" w14:textId="77777777" w:rsidR="00E8608C" w:rsidRPr="00A1686D" w:rsidRDefault="00E8608C" w:rsidP="00AE1DED">
            <w:pPr>
              <w:jc w:val="center"/>
              <w:rPr>
                <w:b/>
                <w:bCs/>
                <w:color w:val="000000" w:themeColor="text1"/>
                <w:sz w:val="20"/>
                <w:szCs w:val="20"/>
              </w:rPr>
            </w:pPr>
            <w:r w:rsidRPr="00A1686D">
              <w:rPr>
                <w:b/>
                <w:bCs/>
                <w:color w:val="000000" w:themeColor="text1"/>
                <w:sz w:val="20"/>
                <w:szCs w:val="20"/>
              </w:rPr>
              <w:t>COMPETENCE</w:t>
            </w:r>
          </w:p>
        </w:tc>
      </w:tr>
      <w:tr w:rsidR="00A1686D" w:rsidRPr="00A1686D" w14:paraId="06966549" w14:textId="77777777" w:rsidTr="00B14022">
        <w:trPr>
          <w:gridAfter w:val="1"/>
          <w:wAfter w:w="167" w:type="dxa"/>
          <w:trHeight w:val="106"/>
        </w:trPr>
        <w:tc>
          <w:tcPr>
            <w:tcW w:w="1970" w:type="dxa"/>
            <w:tcBorders>
              <w:top w:val="nil"/>
              <w:left w:val="single" w:sz="8" w:space="0" w:color="BFBFBF"/>
              <w:bottom w:val="single" w:sz="4" w:space="0" w:color="BFBFBF"/>
              <w:right w:val="single" w:sz="4" w:space="0" w:color="BFBFBF"/>
            </w:tcBorders>
            <w:vAlign w:val="center"/>
            <w:hideMark/>
          </w:tcPr>
          <w:p w14:paraId="31AFF241" w14:textId="77777777" w:rsidR="00E8608C" w:rsidRPr="00A1686D" w:rsidRDefault="00E8608C" w:rsidP="00AE1DED">
            <w:pPr>
              <w:rPr>
                <w:color w:val="000000" w:themeColor="text1"/>
                <w:sz w:val="20"/>
                <w:szCs w:val="20"/>
              </w:rPr>
            </w:pPr>
            <w:r w:rsidRPr="00A1686D">
              <w:rPr>
                <w:color w:val="000000" w:themeColor="text1"/>
                <w:sz w:val="20"/>
                <w:szCs w:val="20"/>
              </w:rPr>
              <w:t>IL calculation</w:t>
            </w:r>
          </w:p>
        </w:tc>
        <w:tc>
          <w:tcPr>
            <w:tcW w:w="2520" w:type="dxa"/>
            <w:tcBorders>
              <w:top w:val="nil"/>
              <w:left w:val="nil"/>
              <w:bottom w:val="single" w:sz="4" w:space="0" w:color="BFBFBF"/>
              <w:right w:val="single" w:sz="4" w:space="0" w:color="BFBFBF"/>
            </w:tcBorders>
            <w:vAlign w:val="center"/>
            <w:hideMark/>
          </w:tcPr>
          <w:p w14:paraId="45ED7C6F" w14:textId="77777777" w:rsidR="00E8608C" w:rsidRPr="00A1686D" w:rsidRDefault="00E8608C" w:rsidP="00AE1DED">
            <w:pPr>
              <w:rPr>
                <w:color w:val="000000" w:themeColor="text1"/>
                <w:sz w:val="20"/>
                <w:szCs w:val="20"/>
              </w:rPr>
            </w:pPr>
            <w:r w:rsidRPr="00A1686D">
              <w:rPr>
                <w:color w:val="000000" w:themeColor="text1"/>
                <w:sz w:val="20"/>
                <w:szCs w:val="20"/>
              </w:rPr>
              <w:t>Can calculate IL for price movements</w:t>
            </w:r>
          </w:p>
        </w:tc>
        <w:tc>
          <w:tcPr>
            <w:tcW w:w="2880" w:type="dxa"/>
            <w:tcBorders>
              <w:top w:val="nil"/>
              <w:left w:val="nil"/>
              <w:bottom w:val="single" w:sz="4" w:space="0" w:color="BFBFBF"/>
              <w:right w:val="single" w:sz="4" w:space="0" w:color="BFBFBF"/>
            </w:tcBorders>
            <w:vAlign w:val="center"/>
            <w:hideMark/>
          </w:tcPr>
          <w:p w14:paraId="42CB797A" w14:textId="77777777" w:rsidR="00E8608C" w:rsidRPr="00A1686D" w:rsidRDefault="00E8608C" w:rsidP="00AE1DED">
            <w:pPr>
              <w:rPr>
                <w:color w:val="000000" w:themeColor="text1"/>
                <w:sz w:val="20"/>
                <w:szCs w:val="20"/>
              </w:rPr>
            </w:pPr>
            <w:r w:rsidRPr="00A1686D">
              <w:rPr>
                <w:color w:val="000000" w:themeColor="text1"/>
                <w:sz w:val="20"/>
                <w:szCs w:val="20"/>
              </w:rPr>
              <w:t>Correctly calculated IL for 20% move?</w:t>
            </w:r>
          </w:p>
        </w:tc>
        <w:tc>
          <w:tcPr>
            <w:tcW w:w="2160" w:type="dxa"/>
            <w:tcBorders>
              <w:top w:val="nil"/>
              <w:left w:val="nil"/>
              <w:bottom w:val="single" w:sz="4" w:space="0" w:color="BFBFBF"/>
              <w:right w:val="single" w:sz="8" w:space="0" w:color="BFBFBF"/>
            </w:tcBorders>
            <w:vAlign w:val="center"/>
            <w:hideMark/>
          </w:tcPr>
          <w:p w14:paraId="13001E48" w14:textId="77777777" w:rsidR="00E8608C" w:rsidRPr="00A1686D" w:rsidRDefault="00E8608C" w:rsidP="00AE1DED">
            <w:pPr>
              <w:rPr>
                <w:color w:val="000000" w:themeColor="text1"/>
                <w:sz w:val="20"/>
                <w:szCs w:val="20"/>
              </w:rPr>
            </w:pPr>
            <w:r w:rsidRPr="00A1686D">
              <w:rPr>
                <w:color w:val="000000" w:themeColor="text1"/>
                <w:sz w:val="20"/>
                <w:szCs w:val="20"/>
              </w:rPr>
              <w:t>Study formula and practice</w:t>
            </w:r>
          </w:p>
        </w:tc>
      </w:tr>
      <w:tr w:rsidR="00A1686D" w:rsidRPr="00A1686D" w14:paraId="7AA6E9FF" w14:textId="77777777" w:rsidTr="00B14022">
        <w:trPr>
          <w:gridAfter w:val="1"/>
          <w:wAfter w:w="167" w:type="dxa"/>
          <w:trHeight w:val="81"/>
        </w:trPr>
        <w:tc>
          <w:tcPr>
            <w:tcW w:w="1970" w:type="dxa"/>
            <w:tcBorders>
              <w:top w:val="nil"/>
              <w:left w:val="single" w:sz="8" w:space="0" w:color="BFBFBF"/>
              <w:bottom w:val="single" w:sz="4" w:space="0" w:color="BFBFBF"/>
              <w:right w:val="single" w:sz="4" w:space="0" w:color="BFBFBF"/>
            </w:tcBorders>
            <w:vAlign w:val="center"/>
            <w:hideMark/>
          </w:tcPr>
          <w:p w14:paraId="52B84CAD" w14:textId="77777777" w:rsidR="00E8608C" w:rsidRPr="00A1686D" w:rsidRDefault="00E8608C" w:rsidP="00AE1DED">
            <w:pPr>
              <w:rPr>
                <w:color w:val="000000" w:themeColor="text1"/>
                <w:sz w:val="20"/>
                <w:szCs w:val="20"/>
              </w:rPr>
            </w:pPr>
            <w:r w:rsidRPr="00A1686D">
              <w:rPr>
                <w:color w:val="000000" w:themeColor="text1"/>
                <w:sz w:val="20"/>
                <w:szCs w:val="20"/>
              </w:rPr>
              <w:lastRenderedPageBreak/>
              <w:t>Protocol research</w:t>
            </w:r>
          </w:p>
        </w:tc>
        <w:tc>
          <w:tcPr>
            <w:tcW w:w="2520" w:type="dxa"/>
            <w:tcBorders>
              <w:top w:val="nil"/>
              <w:left w:val="nil"/>
              <w:bottom w:val="single" w:sz="4" w:space="0" w:color="BFBFBF"/>
              <w:right w:val="single" w:sz="4" w:space="0" w:color="BFBFBF"/>
            </w:tcBorders>
            <w:vAlign w:val="center"/>
            <w:hideMark/>
          </w:tcPr>
          <w:p w14:paraId="03627AAB" w14:textId="77777777" w:rsidR="00E8608C" w:rsidRPr="00A1686D" w:rsidRDefault="00E8608C" w:rsidP="00AE1DED">
            <w:pPr>
              <w:rPr>
                <w:color w:val="000000" w:themeColor="text1"/>
                <w:sz w:val="20"/>
                <w:szCs w:val="20"/>
              </w:rPr>
            </w:pPr>
            <w:r w:rsidRPr="00A1686D">
              <w:rPr>
                <w:color w:val="000000" w:themeColor="text1"/>
                <w:sz w:val="20"/>
                <w:szCs w:val="20"/>
              </w:rPr>
              <w:t>Understand protocol risks/audits</w:t>
            </w:r>
          </w:p>
        </w:tc>
        <w:tc>
          <w:tcPr>
            <w:tcW w:w="2880" w:type="dxa"/>
            <w:tcBorders>
              <w:top w:val="nil"/>
              <w:left w:val="nil"/>
              <w:bottom w:val="single" w:sz="4" w:space="0" w:color="BFBFBF"/>
              <w:right w:val="single" w:sz="4" w:space="0" w:color="BFBFBF"/>
            </w:tcBorders>
            <w:vAlign w:val="center"/>
            <w:hideMark/>
          </w:tcPr>
          <w:p w14:paraId="7408A239" w14:textId="77777777" w:rsidR="00E8608C" w:rsidRPr="00A1686D" w:rsidRDefault="00E8608C" w:rsidP="00AE1DED">
            <w:pPr>
              <w:rPr>
                <w:color w:val="000000" w:themeColor="text1"/>
                <w:sz w:val="20"/>
                <w:szCs w:val="20"/>
              </w:rPr>
            </w:pPr>
            <w:r w:rsidRPr="00A1686D">
              <w:rPr>
                <w:color w:val="000000" w:themeColor="text1"/>
                <w:sz w:val="20"/>
                <w:szCs w:val="20"/>
              </w:rPr>
              <w:t>Read audit reports for chosen protocols?</w:t>
            </w:r>
          </w:p>
        </w:tc>
        <w:tc>
          <w:tcPr>
            <w:tcW w:w="2160" w:type="dxa"/>
            <w:tcBorders>
              <w:top w:val="nil"/>
              <w:left w:val="nil"/>
              <w:bottom w:val="single" w:sz="4" w:space="0" w:color="BFBFBF"/>
              <w:right w:val="single" w:sz="8" w:space="0" w:color="BFBFBF"/>
            </w:tcBorders>
            <w:vAlign w:val="center"/>
            <w:hideMark/>
          </w:tcPr>
          <w:p w14:paraId="0A445614" w14:textId="77777777" w:rsidR="00E8608C" w:rsidRPr="00A1686D" w:rsidRDefault="00E8608C" w:rsidP="00AE1DED">
            <w:pPr>
              <w:rPr>
                <w:color w:val="000000" w:themeColor="text1"/>
                <w:sz w:val="20"/>
                <w:szCs w:val="20"/>
              </w:rPr>
            </w:pPr>
            <w:r w:rsidRPr="00A1686D">
              <w:rPr>
                <w:color w:val="000000" w:themeColor="text1"/>
                <w:sz w:val="20"/>
                <w:szCs w:val="20"/>
              </w:rPr>
              <w:t>Cannot assess risk properly</w:t>
            </w:r>
          </w:p>
        </w:tc>
      </w:tr>
      <w:tr w:rsidR="00A1686D" w:rsidRPr="00A1686D" w14:paraId="5C2E2115" w14:textId="77777777" w:rsidTr="00B14022">
        <w:trPr>
          <w:gridAfter w:val="1"/>
          <w:wAfter w:w="167" w:type="dxa"/>
          <w:trHeight w:val="81"/>
        </w:trPr>
        <w:tc>
          <w:tcPr>
            <w:tcW w:w="1970" w:type="dxa"/>
            <w:tcBorders>
              <w:top w:val="nil"/>
              <w:left w:val="single" w:sz="8" w:space="0" w:color="BFBFBF"/>
              <w:bottom w:val="nil"/>
              <w:right w:val="single" w:sz="4" w:space="0" w:color="BFBFBF"/>
            </w:tcBorders>
            <w:vAlign w:val="center"/>
            <w:hideMark/>
          </w:tcPr>
          <w:p w14:paraId="706BC655" w14:textId="77777777" w:rsidR="00E8608C" w:rsidRPr="00A1686D" w:rsidRDefault="00E8608C" w:rsidP="00AE1DED">
            <w:pPr>
              <w:rPr>
                <w:color w:val="000000" w:themeColor="text1"/>
                <w:sz w:val="20"/>
                <w:szCs w:val="20"/>
              </w:rPr>
            </w:pPr>
            <w:r w:rsidRPr="00A1686D">
              <w:rPr>
                <w:color w:val="000000" w:themeColor="text1"/>
                <w:sz w:val="20"/>
                <w:szCs w:val="20"/>
              </w:rPr>
              <w:t>Tax tracking</w:t>
            </w:r>
          </w:p>
        </w:tc>
        <w:tc>
          <w:tcPr>
            <w:tcW w:w="2520" w:type="dxa"/>
            <w:tcBorders>
              <w:top w:val="nil"/>
              <w:left w:val="nil"/>
              <w:bottom w:val="nil"/>
              <w:right w:val="single" w:sz="4" w:space="0" w:color="BFBFBF"/>
            </w:tcBorders>
            <w:vAlign w:val="center"/>
            <w:hideMark/>
          </w:tcPr>
          <w:p w14:paraId="71A49DE4" w14:textId="77777777" w:rsidR="00E8608C" w:rsidRPr="00A1686D" w:rsidRDefault="00E8608C" w:rsidP="00AE1DED">
            <w:pPr>
              <w:rPr>
                <w:color w:val="000000" w:themeColor="text1"/>
                <w:sz w:val="20"/>
                <w:szCs w:val="20"/>
              </w:rPr>
            </w:pPr>
            <w:r w:rsidRPr="00A1686D">
              <w:rPr>
                <w:color w:val="000000" w:themeColor="text1"/>
                <w:sz w:val="20"/>
                <w:szCs w:val="20"/>
              </w:rPr>
              <w:t>Have system for recording transactions</w:t>
            </w:r>
          </w:p>
        </w:tc>
        <w:tc>
          <w:tcPr>
            <w:tcW w:w="2880" w:type="dxa"/>
            <w:tcBorders>
              <w:top w:val="nil"/>
              <w:left w:val="nil"/>
              <w:bottom w:val="nil"/>
              <w:right w:val="single" w:sz="4" w:space="0" w:color="BFBFBF"/>
            </w:tcBorders>
            <w:vAlign w:val="center"/>
            <w:hideMark/>
          </w:tcPr>
          <w:p w14:paraId="534A2D23" w14:textId="77777777" w:rsidR="00E8608C" w:rsidRPr="00A1686D" w:rsidRDefault="00E8608C" w:rsidP="00AE1DED">
            <w:pPr>
              <w:rPr>
                <w:color w:val="000000" w:themeColor="text1"/>
                <w:sz w:val="20"/>
                <w:szCs w:val="20"/>
              </w:rPr>
            </w:pPr>
            <w:r w:rsidRPr="00A1686D">
              <w:rPr>
                <w:color w:val="000000" w:themeColor="text1"/>
                <w:sz w:val="20"/>
                <w:szCs w:val="20"/>
              </w:rPr>
              <w:t>Tracking method tested with mock data?</w:t>
            </w:r>
          </w:p>
        </w:tc>
        <w:tc>
          <w:tcPr>
            <w:tcW w:w="2160" w:type="dxa"/>
            <w:tcBorders>
              <w:top w:val="nil"/>
              <w:left w:val="nil"/>
              <w:bottom w:val="nil"/>
              <w:right w:val="single" w:sz="8" w:space="0" w:color="BFBFBF"/>
            </w:tcBorders>
            <w:vAlign w:val="center"/>
            <w:hideMark/>
          </w:tcPr>
          <w:p w14:paraId="5FB2748D" w14:textId="77777777" w:rsidR="00E8608C" w:rsidRPr="00A1686D" w:rsidRDefault="00E8608C" w:rsidP="00AE1DED">
            <w:pPr>
              <w:rPr>
                <w:color w:val="000000" w:themeColor="text1"/>
                <w:sz w:val="20"/>
                <w:szCs w:val="20"/>
              </w:rPr>
            </w:pPr>
            <w:r w:rsidRPr="00A1686D">
              <w:rPr>
                <w:color w:val="000000" w:themeColor="text1"/>
                <w:sz w:val="20"/>
                <w:szCs w:val="20"/>
              </w:rPr>
              <w:t>Will face tax nightmare</w:t>
            </w:r>
          </w:p>
        </w:tc>
      </w:tr>
      <w:tr w:rsidR="00A1686D" w:rsidRPr="00A1686D" w14:paraId="6156EB7C" w14:textId="77777777" w:rsidTr="00B14022">
        <w:trPr>
          <w:trHeight w:val="340"/>
        </w:trPr>
        <w:tc>
          <w:tcPr>
            <w:tcW w:w="9697" w:type="dxa"/>
            <w:gridSpan w:val="5"/>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70B816FD" w14:textId="77777777" w:rsidR="00E8608C" w:rsidRPr="00A1686D" w:rsidRDefault="00E8608C" w:rsidP="00AE1DED">
            <w:pPr>
              <w:jc w:val="center"/>
              <w:rPr>
                <w:b/>
                <w:bCs/>
                <w:color w:val="000000" w:themeColor="text1"/>
                <w:sz w:val="20"/>
                <w:szCs w:val="20"/>
              </w:rPr>
            </w:pPr>
            <w:r w:rsidRPr="00A1686D">
              <w:rPr>
                <w:b/>
                <w:bCs/>
                <w:color w:val="000000" w:themeColor="text1"/>
                <w:sz w:val="20"/>
                <w:szCs w:val="20"/>
              </w:rPr>
              <w:t>TIME</w:t>
            </w:r>
          </w:p>
        </w:tc>
      </w:tr>
      <w:tr w:rsidR="00A1686D" w:rsidRPr="00A1686D" w14:paraId="27F5E6A5" w14:textId="77777777" w:rsidTr="00B14022">
        <w:trPr>
          <w:gridAfter w:val="1"/>
          <w:wAfter w:w="167" w:type="dxa"/>
          <w:trHeight w:val="71"/>
        </w:trPr>
        <w:tc>
          <w:tcPr>
            <w:tcW w:w="1970" w:type="dxa"/>
            <w:tcBorders>
              <w:top w:val="nil"/>
              <w:left w:val="single" w:sz="8" w:space="0" w:color="BFBFBF"/>
              <w:bottom w:val="single" w:sz="4" w:space="0" w:color="BFBFBF"/>
              <w:right w:val="single" w:sz="4" w:space="0" w:color="BFBFBF"/>
            </w:tcBorders>
            <w:vAlign w:val="center"/>
            <w:hideMark/>
          </w:tcPr>
          <w:p w14:paraId="5E94CC63" w14:textId="77777777" w:rsidR="00E8608C" w:rsidRPr="00A1686D" w:rsidRDefault="00E8608C" w:rsidP="00AE1DED">
            <w:pPr>
              <w:rPr>
                <w:color w:val="000000" w:themeColor="text1"/>
                <w:sz w:val="20"/>
                <w:szCs w:val="20"/>
              </w:rPr>
            </w:pPr>
            <w:r w:rsidRPr="00A1686D">
              <w:rPr>
                <w:color w:val="000000" w:themeColor="text1"/>
                <w:sz w:val="20"/>
                <w:szCs w:val="20"/>
              </w:rPr>
              <w:t>Weekly commitment</w:t>
            </w:r>
          </w:p>
        </w:tc>
        <w:tc>
          <w:tcPr>
            <w:tcW w:w="2520" w:type="dxa"/>
            <w:tcBorders>
              <w:top w:val="nil"/>
              <w:left w:val="nil"/>
              <w:bottom w:val="single" w:sz="4" w:space="0" w:color="BFBFBF"/>
              <w:right w:val="single" w:sz="4" w:space="0" w:color="BFBFBF"/>
            </w:tcBorders>
            <w:vAlign w:val="center"/>
            <w:hideMark/>
          </w:tcPr>
          <w:p w14:paraId="0D71D1BA" w14:textId="77777777" w:rsidR="00E8608C" w:rsidRPr="00A1686D" w:rsidRDefault="00E8608C" w:rsidP="00AE1DED">
            <w:pPr>
              <w:rPr>
                <w:color w:val="000000" w:themeColor="text1"/>
                <w:sz w:val="20"/>
                <w:szCs w:val="20"/>
              </w:rPr>
            </w:pPr>
            <w:r w:rsidRPr="00A1686D">
              <w:rPr>
                <w:color w:val="000000" w:themeColor="text1"/>
                <w:sz w:val="20"/>
                <w:szCs w:val="20"/>
              </w:rPr>
              <w:t>10-15 hours/week available</w:t>
            </w:r>
          </w:p>
        </w:tc>
        <w:tc>
          <w:tcPr>
            <w:tcW w:w="2880" w:type="dxa"/>
            <w:tcBorders>
              <w:top w:val="nil"/>
              <w:left w:val="nil"/>
              <w:bottom w:val="single" w:sz="4" w:space="0" w:color="BFBFBF"/>
              <w:right w:val="single" w:sz="4" w:space="0" w:color="BFBFBF"/>
            </w:tcBorders>
            <w:vAlign w:val="center"/>
            <w:hideMark/>
          </w:tcPr>
          <w:p w14:paraId="6287854A" w14:textId="77777777" w:rsidR="00E8608C" w:rsidRPr="00A1686D" w:rsidRDefault="00E8608C" w:rsidP="00AE1DED">
            <w:pPr>
              <w:rPr>
                <w:color w:val="000000" w:themeColor="text1"/>
                <w:sz w:val="20"/>
                <w:szCs w:val="20"/>
              </w:rPr>
            </w:pPr>
            <w:r w:rsidRPr="00A1686D">
              <w:rPr>
                <w:color w:val="000000" w:themeColor="text1"/>
                <w:sz w:val="20"/>
                <w:szCs w:val="20"/>
              </w:rPr>
              <w:t xml:space="preserve">Time </w:t>
            </w:r>
            <w:proofErr w:type="gramStart"/>
            <w:r w:rsidRPr="00A1686D">
              <w:rPr>
                <w:color w:val="000000" w:themeColor="text1"/>
                <w:sz w:val="20"/>
                <w:szCs w:val="20"/>
              </w:rPr>
              <w:t>actually available</w:t>
            </w:r>
            <w:proofErr w:type="gramEnd"/>
            <w:r w:rsidRPr="00A1686D">
              <w:rPr>
                <w:color w:val="000000" w:themeColor="text1"/>
                <w:sz w:val="20"/>
                <w:szCs w:val="20"/>
              </w:rPr>
              <w:t>, not aspirational?</w:t>
            </w:r>
          </w:p>
        </w:tc>
        <w:tc>
          <w:tcPr>
            <w:tcW w:w="2160" w:type="dxa"/>
            <w:tcBorders>
              <w:top w:val="nil"/>
              <w:left w:val="nil"/>
              <w:bottom w:val="single" w:sz="4" w:space="0" w:color="BFBFBF"/>
              <w:right w:val="single" w:sz="8" w:space="0" w:color="BFBFBF"/>
            </w:tcBorders>
            <w:vAlign w:val="center"/>
            <w:hideMark/>
          </w:tcPr>
          <w:p w14:paraId="041154FB" w14:textId="77777777" w:rsidR="00E8608C" w:rsidRPr="00A1686D" w:rsidRDefault="00E8608C" w:rsidP="00AE1DED">
            <w:pPr>
              <w:rPr>
                <w:color w:val="000000" w:themeColor="text1"/>
                <w:sz w:val="20"/>
                <w:szCs w:val="20"/>
              </w:rPr>
            </w:pPr>
            <w:r w:rsidRPr="00A1686D">
              <w:rPr>
                <w:color w:val="000000" w:themeColor="text1"/>
                <w:sz w:val="20"/>
                <w:szCs w:val="20"/>
              </w:rPr>
              <w:t>Scale down to simpler strategy</w:t>
            </w:r>
          </w:p>
        </w:tc>
      </w:tr>
      <w:tr w:rsidR="00A1686D" w:rsidRPr="00A1686D" w14:paraId="37DAAB15" w14:textId="77777777" w:rsidTr="00B14022">
        <w:trPr>
          <w:gridAfter w:val="1"/>
          <w:wAfter w:w="167" w:type="dxa"/>
          <w:trHeight w:val="81"/>
        </w:trPr>
        <w:tc>
          <w:tcPr>
            <w:tcW w:w="1970" w:type="dxa"/>
            <w:tcBorders>
              <w:top w:val="nil"/>
              <w:left w:val="single" w:sz="8" w:space="0" w:color="BFBFBF"/>
              <w:bottom w:val="single" w:sz="4" w:space="0" w:color="BFBFBF"/>
              <w:right w:val="single" w:sz="4" w:space="0" w:color="BFBFBF"/>
            </w:tcBorders>
            <w:vAlign w:val="center"/>
            <w:hideMark/>
          </w:tcPr>
          <w:p w14:paraId="1F9E0A08" w14:textId="77777777" w:rsidR="00E8608C" w:rsidRPr="00A1686D" w:rsidRDefault="00E8608C" w:rsidP="00AE1DED">
            <w:pPr>
              <w:rPr>
                <w:color w:val="000000" w:themeColor="text1"/>
                <w:sz w:val="20"/>
                <w:szCs w:val="20"/>
              </w:rPr>
            </w:pPr>
            <w:r w:rsidRPr="00A1686D">
              <w:rPr>
                <w:color w:val="000000" w:themeColor="text1"/>
                <w:sz w:val="20"/>
                <w:szCs w:val="20"/>
              </w:rPr>
              <w:t>Monitoring discipline</w:t>
            </w:r>
          </w:p>
        </w:tc>
        <w:tc>
          <w:tcPr>
            <w:tcW w:w="2520" w:type="dxa"/>
            <w:tcBorders>
              <w:top w:val="nil"/>
              <w:left w:val="nil"/>
              <w:bottom w:val="single" w:sz="4" w:space="0" w:color="BFBFBF"/>
              <w:right w:val="single" w:sz="4" w:space="0" w:color="BFBFBF"/>
            </w:tcBorders>
            <w:vAlign w:val="center"/>
            <w:hideMark/>
          </w:tcPr>
          <w:p w14:paraId="0CF39054" w14:textId="77777777" w:rsidR="00E8608C" w:rsidRPr="00A1686D" w:rsidRDefault="00E8608C" w:rsidP="00AE1DED">
            <w:pPr>
              <w:rPr>
                <w:color w:val="000000" w:themeColor="text1"/>
                <w:sz w:val="20"/>
                <w:szCs w:val="20"/>
              </w:rPr>
            </w:pPr>
            <w:r w:rsidRPr="00A1686D">
              <w:rPr>
                <w:color w:val="000000" w:themeColor="text1"/>
                <w:sz w:val="20"/>
                <w:szCs w:val="20"/>
              </w:rPr>
              <w:t>Check positions 2x daily minimum</w:t>
            </w:r>
          </w:p>
        </w:tc>
        <w:tc>
          <w:tcPr>
            <w:tcW w:w="2880" w:type="dxa"/>
            <w:tcBorders>
              <w:top w:val="nil"/>
              <w:left w:val="nil"/>
              <w:bottom w:val="single" w:sz="4" w:space="0" w:color="BFBFBF"/>
              <w:right w:val="single" w:sz="4" w:space="0" w:color="BFBFBF"/>
            </w:tcBorders>
            <w:vAlign w:val="center"/>
            <w:hideMark/>
          </w:tcPr>
          <w:p w14:paraId="76F49B90" w14:textId="77777777" w:rsidR="00E8608C" w:rsidRPr="00A1686D" w:rsidRDefault="00E8608C" w:rsidP="00AE1DED">
            <w:pPr>
              <w:rPr>
                <w:color w:val="000000" w:themeColor="text1"/>
                <w:sz w:val="20"/>
                <w:szCs w:val="20"/>
              </w:rPr>
            </w:pPr>
            <w:r w:rsidRPr="00A1686D">
              <w:rPr>
                <w:color w:val="000000" w:themeColor="text1"/>
                <w:sz w:val="20"/>
                <w:szCs w:val="20"/>
              </w:rPr>
              <w:t>Will this fit your actual schedule?</w:t>
            </w:r>
          </w:p>
        </w:tc>
        <w:tc>
          <w:tcPr>
            <w:tcW w:w="2160" w:type="dxa"/>
            <w:tcBorders>
              <w:top w:val="nil"/>
              <w:left w:val="nil"/>
              <w:bottom w:val="single" w:sz="4" w:space="0" w:color="BFBFBF"/>
              <w:right w:val="single" w:sz="8" w:space="0" w:color="BFBFBF"/>
            </w:tcBorders>
            <w:vAlign w:val="center"/>
            <w:hideMark/>
          </w:tcPr>
          <w:p w14:paraId="2100D43B" w14:textId="77777777" w:rsidR="00E8608C" w:rsidRPr="00A1686D" w:rsidRDefault="00E8608C" w:rsidP="00AE1DED">
            <w:pPr>
              <w:rPr>
                <w:color w:val="000000" w:themeColor="text1"/>
                <w:sz w:val="20"/>
                <w:szCs w:val="20"/>
              </w:rPr>
            </w:pPr>
            <w:r w:rsidRPr="00A1686D">
              <w:rPr>
                <w:color w:val="000000" w:themeColor="text1"/>
                <w:sz w:val="20"/>
                <w:szCs w:val="20"/>
              </w:rPr>
              <w:t>Risk missing critical movements</w:t>
            </w:r>
          </w:p>
        </w:tc>
      </w:tr>
      <w:tr w:rsidR="00A1686D" w:rsidRPr="00A1686D" w14:paraId="3535A389" w14:textId="77777777" w:rsidTr="00B14022">
        <w:trPr>
          <w:gridAfter w:val="1"/>
          <w:wAfter w:w="167" w:type="dxa"/>
          <w:trHeight w:val="81"/>
        </w:trPr>
        <w:tc>
          <w:tcPr>
            <w:tcW w:w="1970" w:type="dxa"/>
            <w:tcBorders>
              <w:top w:val="nil"/>
              <w:left w:val="single" w:sz="8" w:space="0" w:color="BFBFBF"/>
              <w:bottom w:val="nil"/>
              <w:right w:val="single" w:sz="4" w:space="0" w:color="BFBFBF"/>
            </w:tcBorders>
            <w:vAlign w:val="center"/>
            <w:hideMark/>
          </w:tcPr>
          <w:p w14:paraId="5AE221B0" w14:textId="77777777" w:rsidR="00E8608C" w:rsidRPr="00A1686D" w:rsidRDefault="00E8608C" w:rsidP="00AE1DED">
            <w:pPr>
              <w:rPr>
                <w:color w:val="000000" w:themeColor="text1"/>
                <w:sz w:val="20"/>
                <w:szCs w:val="20"/>
              </w:rPr>
            </w:pPr>
            <w:r w:rsidRPr="00A1686D">
              <w:rPr>
                <w:color w:val="000000" w:themeColor="text1"/>
                <w:sz w:val="20"/>
                <w:szCs w:val="20"/>
              </w:rPr>
              <w:t>Research allocation</w:t>
            </w:r>
          </w:p>
        </w:tc>
        <w:tc>
          <w:tcPr>
            <w:tcW w:w="2520" w:type="dxa"/>
            <w:tcBorders>
              <w:top w:val="nil"/>
              <w:left w:val="nil"/>
              <w:bottom w:val="nil"/>
              <w:right w:val="single" w:sz="4" w:space="0" w:color="BFBFBF"/>
            </w:tcBorders>
            <w:vAlign w:val="center"/>
            <w:hideMark/>
          </w:tcPr>
          <w:p w14:paraId="30334DB5" w14:textId="77777777" w:rsidR="00E8608C" w:rsidRPr="00A1686D" w:rsidRDefault="00E8608C" w:rsidP="00AE1DED">
            <w:pPr>
              <w:rPr>
                <w:color w:val="000000" w:themeColor="text1"/>
                <w:sz w:val="20"/>
                <w:szCs w:val="20"/>
              </w:rPr>
            </w:pPr>
            <w:r w:rsidRPr="00A1686D">
              <w:rPr>
                <w:color w:val="000000" w:themeColor="text1"/>
                <w:sz w:val="20"/>
                <w:szCs w:val="20"/>
              </w:rPr>
              <w:t>3-5 hours weekly for protocol updates</w:t>
            </w:r>
          </w:p>
        </w:tc>
        <w:tc>
          <w:tcPr>
            <w:tcW w:w="2880" w:type="dxa"/>
            <w:tcBorders>
              <w:top w:val="nil"/>
              <w:left w:val="nil"/>
              <w:bottom w:val="nil"/>
              <w:right w:val="single" w:sz="4" w:space="0" w:color="BFBFBF"/>
            </w:tcBorders>
            <w:vAlign w:val="center"/>
            <w:hideMark/>
          </w:tcPr>
          <w:p w14:paraId="3B38DA64" w14:textId="77777777" w:rsidR="00E8608C" w:rsidRPr="00A1686D" w:rsidRDefault="00E8608C" w:rsidP="00AE1DED">
            <w:pPr>
              <w:rPr>
                <w:color w:val="000000" w:themeColor="text1"/>
                <w:sz w:val="20"/>
                <w:szCs w:val="20"/>
              </w:rPr>
            </w:pPr>
            <w:r w:rsidRPr="00A1686D">
              <w:rPr>
                <w:color w:val="000000" w:themeColor="text1"/>
                <w:sz w:val="20"/>
                <w:szCs w:val="20"/>
              </w:rPr>
              <w:t>Committed to staying informed?</w:t>
            </w:r>
          </w:p>
        </w:tc>
        <w:tc>
          <w:tcPr>
            <w:tcW w:w="2160" w:type="dxa"/>
            <w:tcBorders>
              <w:top w:val="nil"/>
              <w:left w:val="nil"/>
              <w:bottom w:val="nil"/>
              <w:right w:val="single" w:sz="8" w:space="0" w:color="BFBFBF"/>
            </w:tcBorders>
            <w:vAlign w:val="center"/>
            <w:hideMark/>
          </w:tcPr>
          <w:p w14:paraId="0F1F0CAB" w14:textId="77777777" w:rsidR="00E8608C" w:rsidRPr="00A1686D" w:rsidRDefault="00E8608C" w:rsidP="00AE1DED">
            <w:pPr>
              <w:rPr>
                <w:color w:val="000000" w:themeColor="text1"/>
                <w:sz w:val="20"/>
                <w:szCs w:val="20"/>
              </w:rPr>
            </w:pPr>
            <w:r w:rsidRPr="00A1686D">
              <w:rPr>
                <w:color w:val="000000" w:themeColor="text1"/>
                <w:sz w:val="20"/>
                <w:szCs w:val="20"/>
              </w:rPr>
              <w:t>Will miss important changes</w:t>
            </w:r>
          </w:p>
        </w:tc>
      </w:tr>
      <w:tr w:rsidR="00A1686D" w:rsidRPr="00A1686D" w14:paraId="657DC89B" w14:textId="77777777" w:rsidTr="00B14022">
        <w:trPr>
          <w:trHeight w:val="340"/>
        </w:trPr>
        <w:tc>
          <w:tcPr>
            <w:tcW w:w="9697" w:type="dxa"/>
            <w:gridSpan w:val="5"/>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65CF8713" w14:textId="77777777" w:rsidR="00E8608C" w:rsidRPr="00A1686D" w:rsidRDefault="00E8608C" w:rsidP="00AE1DED">
            <w:pPr>
              <w:jc w:val="center"/>
              <w:rPr>
                <w:b/>
                <w:bCs/>
                <w:color w:val="000000" w:themeColor="text1"/>
                <w:sz w:val="20"/>
                <w:szCs w:val="20"/>
              </w:rPr>
            </w:pPr>
            <w:r w:rsidRPr="00A1686D">
              <w:rPr>
                <w:b/>
                <w:bCs/>
                <w:color w:val="000000" w:themeColor="text1"/>
                <w:sz w:val="20"/>
                <w:szCs w:val="20"/>
              </w:rPr>
              <w:t>REALISTIC EXPECTATIONS</w:t>
            </w:r>
          </w:p>
        </w:tc>
      </w:tr>
      <w:tr w:rsidR="00A1686D" w:rsidRPr="00A1686D" w14:paraId="612C0B56" w14:textId="77777777" w:rsidTr="00B14022">
        <w:trPr>
          <w:gridAfter w:val="1"/>
          <w:wAfter w:w="167" w:type="dxa"/>
          <w:trHeight w:val="71"/>
        </w:trPr>
        <w:tc>
          <w:tcPr>
            <w:tcW w:w="1970" w:type="dxa"/>
            <w:tcBorders>
              <w:top w:val="nil"/>
              <w:left w:val="single" w:sz="8" w:space="0" w:color="BFBFBF"/>
              <w:bottom w:val="single" w:sz="4" w:space="0" w:color="BFBFBF"/>
              <w:right w:val="single" w:sz="4" w:space="0" w:color="BFBFBF"/>
            </w:tcBorders>
            <w:vAlign w:val="center"/>
            <w:hideMark/>
          </w:tcPr>
          <w:p w14:paraId="2585C0F2" w14:textId="77777777" w:rsidR="00E8608C" w:rsidRPr="00A1686D" w:rsidRDefault="00E8608C" w:rsidP="00AE1DED">
            <w:pPr>
              <w:rPr>
                <w:color w:val="000000" w:themeColor="text1"/>
                <w:sz w:val="20"/>
                <w:szCs w:val="20"/>
              </w:rPr>
            </w:pPr>
            <w:r w:rsidRPr="00A1686D">
              <w:rPr>
                <w:color w:val="000000" w:themeColor="text1"/>
                <w:sz w:val="20"/>
                <w:szCs w:val="20"/>
              </w:rPr>
              <w:t>Return expectations</w:t>
            </w:r>
          </w:p>
        </w:tc>
        <w:tc>
          <w:tcPr>
            <w:tcW w:w="2520" w:type="dxa"/>
            <w:tcBorders>
              <w:top w:val="nil"/>
              <w:left w:val="nil"/>
              <w:bottom w:val="single" w:sz="4" w:space="0" w:color="BFBFBF"/>
              <w:right w:val="single" w:sz="4" w:space="0" w:color="BFBFBF"/>
            </w:tcBorders>
            <w:vAlign w:val="center"/>
            <w:hideMark/>
          </w:tcPr>
          <w:p w14:paraId="1747C734" w14:textId="77777777" w:rsidR="00E8608C" w:rsidRPr="00A1686D" w:rsidRDefault="00E8608C" w:rsidP="00AE1DED">
            <w:pPr>
              <w:rPr>
                <w:color w:val="000000" w:themeColor="text1"/>
                <w:sz w:val="20"/>
                <w:szCs w:val="20"/>
              </w:rPr>
            </w:pPr>
            <w:r w:rsidRPr="00A1686D">
              <w:rPr>
                <w:color w:val="000000" w:themeColor="text1"/>
                <w:sz w:val="20"/>
                <w:szCs w:val="20"/>
              </w:rPr>
              <w:t>5-8% annually after all costs</w:t>
            </w:r>
          </w:p>
        </w:tc>
        <w:tc>
          <w:tcPr>
            <w:tcW w:w="2880" w:type="dxa"/>
            <w:tcBorders>
              <w:top w:val="nil"/>
              <w:left w:val="nil"/>
              <w:bottom w:val="single" w:sz="4" w:space="0" w:color="BFBFBF"/>
              <w:right w:val="single" w:sz="4" w:space="0" w:color="BFBFBF"/>
            </w:tcBorders>
            <w:vAlign w:val="center"/>
            <w:hideMark/>
          </w:tcPr>
          <w:p w14:paraId="37B1CDB7" w14:textId="77777777" w:rsidR="00E8608C" w:rsidRPr="00A1686D" w:rsidRDefault="00E8608C" w:rsidP="00AE1DED">
            <w:pPr>
              <w:rPr>
                <w:color w:val="000000" w:themeColor="text1"/>
                <w:sz w:val="20"/>
                <w:szCs w:val="20"/>
              </w:rPr>
            </w:pPr>
            <w:r w:rsidRPr="00A1686D">
              <w:rPr>
                <w:color w:val="000000" w:themeColor="text1"/>
                <w:sz w:val="20"/>
                <w:szCs w:val="20"/>
              </w:rPr>
              <w:t>Satisfied with these returns vs. effort?</w:t>
            </w:r>
          </w:p>
        </w:tc>
        <w:tc>
          <w:tcPr>
            <w:tcW w:w="2160" w:type="dxa"/>
            <w:tcBorders>
              <w:top w:val="nil"/>
              <w:left w:val="nil"/>
              <w:bottom w:val="single" w:sz="4" w:space="0" w:color="BFBFBF"/>
              <w:right w:val="single" w:sz="8" w:space="0" w:color="BFBFBF"/>
            </w:tcBorders>
            <w:vAlign w:val="center"/>
            <w:hideMark/>
          </w:tcPr>
          <w:p w14:paraId="3B2DA552" w14:textId="77777777" w:rsidR="00E8608C" w:rsidRPr="00A1686D" w:rsidRDefault="00E8608C" w:rsidP="00AE1DED">
            <w:pPr>
              <w:rPr>
                <w:color w:val="000000" w:themeColor="text1"/>
                <w:sz w:val="20"/>
                <w:szCs w:val="20"/>
              </w:rPr>
            </w:pPr>
            <w:r w:rsidRPr="00A1686D">
              <w:rPr>
                <w:color w:val="000000" w:themeColor="text1"/>
                <w:sz w:val="20"/>
                <w:szCs w:val="20"/>
              </w:rPr>
              <w:t>Reconsider participation</w:t>
            </w:r>
          </w:p>
        </w:tc>
      </w:tr>
      <w:tr w:rsidR="00A1686D" w:rsidRPr="00A1686D" w14:paraId="757D4B8B" w14:textId="77777777" w:rsidTr="00B14022">
        <w:trPr>
          <w:gridAfter w:val="1"/>
          <w:wAfter w:w="167" w:type="dxa"/>
          <w:trHeight w:val="116"/>
        </w:trPr>
        <w:tc>
          <w:tcPr>
            <w:tcW w:w="1970" w:type="dxa"/>
            <w:tcBorders>
              <w:top w:val="nil"/>
              <w:left w:val="single" w:sz="8" w:space="0" w:color="BFBFBF"/>
              <w:bottom w:val="single" w:sz="4" w:space="0" w:color="BFBFBF"/>
              <w:right w:val="single" w:sz="4" w:space="0" w:color="BFBFBF"/>
            </w:tcBorders>
            <w:vAlign w:val="center"/>
            <w:hideMark/>
          </w:tcPr>
          <w:p w14:paraId="71BBC632" w14:textId="77777777" w:rsidR="00E8608C" w:rsidRPr="00A1686D" w:rsidRDefault="00E8608C" w:rsidP="00AE1DED">
            <w:pPr>
              <w:rPr>
                <w:color w:val="000000" w:themeColor="text1"/>
                <w:sz w:val="20"/>
                <w:szCs w:val="20"/>
              </w:rPr>
            </w:pPr>
            <w:r w:rsidRPr="00A1686D">
              <w:rPr>
                <w:color w:val="000000" w:themeColor="text1"/>
                <w:sz w:val="20"/>
                <w:szCs w:val="20"/>
              </w:rPr>
              <w:t>Risk acceptance</w:t>
            </w:r>
          </w:p>
        </w:tc>
        <w:tc>
          <w:tcPr>
            <w:tcW w:w="2520" w:type="dxa"/>
            <w:tcBorders>
              <w:top w:val="nil"/>
              <w:left w:val="nil"/>
              <w:bottom w:val="single" w:sz="4" w:space="0" w:color="BFBFBF"/>
              <w:right w:val="single" w:sz="4" w:space="0" w:color="BFBFBF"/>
            </w:tcBorders>
            <w:vAlign w:val="center"/>
            <w:hideMark/>
          </w:tcPr>
          <w:p w14:paraId="4BAF51D7" w14:textId="77777777" w:rsidR="00E8608C" w:rsidRPr="00A1686D" w:rsidRDefault="00E8608C" w:rsidP="00AE1DED">
            <w:pPr>
              <w:rPr>
                <w:color w:val="000000" w:themeColor="text1"/>
                <w:sz w:val="20"/>
                <w:szCs w:val="20"/>
              </w:rPr>
            </w:pPr>
            <w:r w:rsidRPr="00A1686D">
              <w:rPr>
                <w:color w:val="000000" w:themeColor="text1"/>
                <w:sz w:val="20"/>
                <w:szCs w:val="20"/>
              </w:rPr>
              <w:t>41% annual incident probability</w:t>
            </w:r>
          </w:p>
        </w:tc>
        <w:tc>
          <w:tcPr>
            <w:tcW w:w="2880" w:type="dxa"/>
            <w:tcBorders>
              <w:top w:val="nil"/>
              <w:left w:val="nil"/>
              <w:bottom w:val="single" w:sz="4" w:space="0" w:color="BFBFBF"/>
              <w:right w:val="single" w:sz="4" w:space="0" w:color="BFBFBF"/>
            </w:tcBorders>
            <w:vAlign w:val="center"/>
            <w:hideMark/>
          </w:tcPr>
          <w:p w14:paraId="1FE391AE" w14:textId="77777777" w:rsidR="00E8608C" w:rsidRPr="00A1686D" w:rsidRDefault="00E8608C" w:rsidP="00AE1DED">
            <w:pPr>
              <w:rPr>
                <w:color w:val="000000" w:themeColor="text1"/>
                <w:sz w:val="20"/>
                <w:szCs w:val="20"/>
              </w:rPr>
            </w:pPr>
            <w:r w:rsidRPr="00A1686D">
              <w:rPr>
                <w:color w:val="000000" w:themeColor="text1"/>
                <w:sz w:val="20"/>
                <w:szCs w:val="20"/>
              </w:rPr>
              <w:t>Position sized for potential total loss?</w:t>
            </w:r>
          </w:p>
        </w:tc>
        <w:tc>
          <w:tcPr>
            <w:tcW w:w="2160" w:type="dxa"/>
            <w:tcBorders>
              <w:top w:val="nil"/>
              <w:left w:val="nil"/>
              <w:bottom w:val="single" w:sz="4" w:space="0" w:color="BFBFBF"/>
              <w:right w:val="single" w:sz="8" w:space="0" w:color="BFBFBF"/>
            </w:tcBorders>
            <w:vAlign w:val="center"/>
            <w:hideMark/>
          </w:tcPr>
          <w:p w14:paraId="78587B40" w14:textId="77777777" w:rsidR="00E8608C" w:rsidRPr="00A1686D" w:rsidRDefault="00E8608C" w:rsidP="00AE1DED">
            <w:pPr>
              <w:rPr>
                <w:color w:val="000000" w:themeColor="text1"/>
                <w:sz w:val="20"/>
                <w:szCs w:val="20"/>
              </w:rPr>
            </w:pPr>
            <w:r w:rsidRPr="00A1686D">
              <w:rPr>
                <w:color w:val="000000" w:themeColor="text1"/>
                <w:sz w:val="20"/>
                <w:szCs w:val="20"/>
              </w:rPr>
              <w:t>Overallocated</w:t>
            </w:r>
          </w:p>
        </w:tc>
      </w:tr>
      <w:tr w:rsidR="00A1686D" w:rsidRPr="00A1686D" w14:paraId="3E024B9B" w14:textId="77777777" w:rsidTr="00B14022">
        <w:trPr>
          <w:gridAfter w:val="1"/>
          <w:wAfter w:w="167" w:type="dxa"/>
          <w:trHeight w:val="81"/>
        </w:trPr>
        <w:tc>
          <w:tcPr>
            <w:tcW w:w="1970" w:type="dxa"/>
            <w:tcBorders>
              <w:top w:val="nil"/>
              <w:left w:val="single" w:sz="8" w:space="0" w:color="BFBFBF"/>
              <w:bottom w:val="single" w:sz="4" w:space="0" w:color="BFBFBF"/>
              <w:right w:val="single" w:sz="4" w:space="0" w:color="BFBFBF"/>
            </w:tcBorders>
            <w:vAlign w:val="center"/>
            <w:hideMark/>
          </w:tcPr>
          <w:p w14:paraId="62C81917" w14:textId="77777777" w:rsidR="00E8608C" w:rsidRPr="00A1686D" w:rsidRDefault="00E8608C" w:rsidP="00AE1DED">
            <w:pPr>
              <w:rPr>
                <w:color w:val="000000" w:themeColor="text1"/>
                <w:sz w:val="20"/>
                <w:szCs w:val="20"/>
              </w:rPr>
            </w:pPr>
            <w:r w:rsidRPr="00A1686D">
              <w:rPr>
                <w:color w:val="000000" w:themeColor="text1"/>
                <w:sz w:val="20"/>
                <w:szCs w:val="20"/>
              </w:rPr>
              <w:t>Complexity acceptance</w:t>
            </w:r>
          </w:p>
        </w:tc>
        <w:tc>
          <w:tcPr>
            <w:tcW w:w="2520" w:type="dxa"/>
            <w:tcBorders>
              <w:top w:val="nil"/>
              <w:left w:val="nil"/>
              <w:bottom w:val="single" w:sz="4" w:space="0" w:color="BFBFBF"/>
              <w:right w:val="single" w:sz="4" w:space="0" w:color="BFBFBF"/>
            </w:tcBorders>
            <w:vAlign w:val="center"/>
            <w:hideMark/>
          </w:tcPr>
          <w:p w14:paraId="31778277" w14:textId="77777777" w:rsidR="00E8608C" w:rsidRPr="00A1686D" w:rsidRDefault="00E8608C" w:rsidP="00AE1DED">
            <w:pPr>
              <w:rPr>
                <w:color w:val="000000" w:themeColor="text1"/>
                <w:sz w:val="20"/>
                <w:szCs w:val="20"/>
              </w:rPr>
            </w:pPr>
            <w:r w:rsidRPr="00A1686D">
              <w:rPr>
                <w:color w:val="000000" w:themeColor="text1"/>
                <w:sz w:val="20"/>
                <w:szCs w:val="20"/>
              </w:rPr>
              <w:t>More complex than micro capital</w:t>
            </w:r>
          </w:p>
        </w:tc>
        <w:tc>
          <w:tcPr>
            <w:tcW w:w="2880" w:type="dxa"/>
            <w:tcBorders>
              <w:top w:val="nil"/>
              <w:left w:val="nil"/>
              <w:bottom w:val="single" w:sz="4" w:space="0" w:color="BFBFBF"/>
              <w:right w:val="single" w:sz="4" w:space="0" w:color="BFBFBF"/>
            </w:tcBorders>
            <w:vAlign w:val="center"/>
            <w:hideMark/>
          </w:tcPr>
          <w:p w14:paraId="50D4D36A" w14:textId="77777777" w:rsidR="00E8608C" w:rsidRPr="00A1686D" w:rsidRDefault="00E8608C" w:rsidP="00AE1DED">
            <w:pPr>
              <w:rPr>
                <w:color w:val="000000" w:themeColor="text1"/>
                <w:sz w:val="20"/>
                <w:szCs w:val="20"/>
              </w:rPr>
            </w:pPr>
            <w:r w:rsidRPr="00A1686D">
              <w:rPr>
                <w:color w:val="000000" w:themeColor="text1"/>
                <w:sz w:val="20"/>
                <w:szCs w:val="20"/>
              </w:rPr>
              <w:t>Understand added complexity vs. modest return increase?</w:t>
            </w:r>
          </w:p>
        </w:tc>
        <w:tc>
          <w:tcPr>
            <w:tcW w:w="2160" w:type="dxa"/>
            <w:tcBorders>
              <w:top w:val="nil"/>
              <w:left w:val="nil"/>
              <w:bottom w:val="single" w:sz="4" w:space="0" w:color="BFBFBF"/>
              <w:right w:val="single" w:sz="8" w:space="0" w:color="BFBFBF"/>
            </w:tcBorders>
            <w:vAlign w:val="center"/>
            <w:hideMark/>
          </w:tcPr>
          <w:p w14:paraId="0FBF6E97" w14:textId="77777777" w:rsidR="00E8608C" w:rsidRPr="00A1686D" w:rsidRDefault="00E8608C" w:rsidP="00AE1DED">
            <w:pPr>
              <w:rPr>
                <w:color w:val="000000" w:themeColor="text1"/>
                <w:sz w:val="20"/>
                <w:szCs w:val="20"/>
              </w:rPr>
            </w:pPr>
            <w:r w:rsidRPr="00A1686D">
              <w:rPr>
                <w:color w:val="000000" w:themeColor="text1"/>
                <w:sz w:val="20"/>
                <w:szCs w:val="20"/>
              </w:rPr>
              <w:t>May prefer simpler approach</w:t>
            </w:r>
          </w:p>
        </w:tc>
      </w:tr>
      <w:tr w:rsidR="00A1686D" w:rsidRPr="00A1686D" w14:paraId="5DA1A31B" w14:textId="77777777" w:rsidTr="00B14022">
        <w:trPr>
          <w:gridAfter w:val="1"/>
          <w:wAfter w:w="167" w:type="dxa"/>
          <w:trHeight w:val="215"/>
        </w:trPr>
        <w:tc>
          <w:tcPr>
            <w:tcW w:w="1970" w:type="dxa"/>
            <w:tcBorders>
              <w:top w:val="nil"/>
              <w:left w:val="single" w:sz="8" w:space="0" w:color="BFBFBF"/>
              <w:bottom w:val="single" w:sz="8" w:space="0" w:color="BFBFBF"/>
              <w:right w:val="single" w:sz="4" w:space="0" w:color="BFBFBF"/>
            </w:tcBorders>
            <w:vAlign w:val="center"/>
            <w:hideMark/>
          </w:tcPr>
          <w:p w14:paraId="791B4E59" w14:textId="77777777" w:rsidR="00E8608C" w:rsidRPr="00A1686D" w:rsidRDefault="00E8608C" w:rsidP="00AE1DED">
            <w:pPr>
              <w:rPr>
                <w:b/>
                <w:bCs/>
                <w:color w:val="000000" w:themeColor="text1"/>
                <w:sz w:val="20"/>
                <w:szCs w:val="20"/>
              </w:rPr>
            </w:pPr>
            <w:r w:rsidRPr="00A1686D">
              <w:rPr>
                <w:b/>
                <w:bCs/>
                <w:color w:val="000000" w:themeColor="text1"/>
                <w:sz w:val="20"/>
                <w:szCs w:val="20"/>
              </w:rPr>
              <w:t>READY TO PROCEED?</w:t>
            </w:r>
          </w:p>
        </w:tc>
        <w:tc>
          <w:tcPr>
            <w:tcW w:w="2520" w:type="dxa"/>
            <w:tcBorders>
              <w:top w:val="nil"/>
              <w:left w:val="nil"/>
              <w:bottom w:val="single" w:sz="8" w:space="0" w:color="BFBFBF"/>
              <w:right w:val="single" w:sz="4" w:space="0" w:color="BFBFBF"/>
            </w:tcBorders>
            <w:vAlign w:val="center"/>
            <w:hideMark/>
          </w:tcPr>
          <w:p w14:paraId="2799B2C1" w14:textId="77777777" w:rsidR="00E8608C" w:rsidRPr="00A1686D" w:rsidRDefault="00E8608C" w:rsidP="00AE1DED">
            <w:pPr>
              <w:rPr>
                <w:color w:val="000000" w:themeColor="text1"/>
                <w:sz w:val="20"/>
                <w:szCs w:val="20"/>
              </w:rPr>
            </w:pPr>
            <w:r w:rsidRPr="00A1686D">
              <w:rPr>
                <w:color w:val="000000" w:themeColor="text1"/>
                <w:sz w:val="20"/>
                <w:szCs w:val="20"/>
              </w:rPr>
              <w:t>All items checked</w:t>
            </w:r>
          </w:p>
        </w:tc>
        <w:tc>
          <w:tcPr>
            <w:tcW w:w="2880" w:type="dxa"/>
            <w:tcBorders>
              <w:top w:val="nil"/>
              <w:left w:val="nil"/>
              <w:bottom w:val="single" w:sz="8" w:space="0" w:color="BFBFBF"/>
              <w:right w:val="single" w:sz="4" w:space="0" w:color="BFBFBF"/>
            </w:tcBorders>
            <w:vAlign w:val="center"/>
            <w:hideMark/>
          </w:tcPr>
          <w:p w14:paraId="4E6B6AB5" w14:textId="77777777" w:rsidR="00E8608C" w:rsidRPr="00A1686D" w:rsidRDefault="00E8608C" w:rsidP="00AE1DED">
            <w:pPr>
              <w:rPr>
                <w:color w:val="000000" w:themeColor="text1"/>
                <w:sz w:val="20"/>
                <w:szCs w:val="20"/>
              </w:rPr>
            </w:pPr>
            <w:r w:rsidRPr="00A1686D">
              <w:rPr>
                <w:color w:val="000000" w:themeColor="text1"/>
                <w:sz w:val="20"/>
                <w:szCs w:val="20"/>
              </w:rPr>
              <w:t>Begin with 40% of planned capital</w:t>
            </w:r>
          </w:p>
        </w:tc>
        <w:tc>
          <w:tcPr>
            <w:tcW w:w="2160" w:type="dxa"/>
            <w:tcBorders>
              <w:top w:val="nil"/>
              <w:left w:val="nil"/>
              <w:bottom w:val="single" w:sz="8" w:space="0" w:color="BFBFBF"/>
              <w:right w:val="single" w:sz="8" w:space="0" w:color="BFBFBF"/>
            </w:tcBorders>
            <w:vAlign w:val="center"/>
            <w:hideMark/>
          </w:tcPr>
          <w:p w14:paraId="09E97E5E" w14:textId="77777777" w:rsidR="00E8608C" w:rsidRPr="00A1686D" w:rsidRDefault="00E8608C" w:rsidP="00AE1DED">
            <w:pPr>
              <w:rPr>
                <w:color w:val="000000" w:themeColor="text1"/>
                <w:sz w:val="20"/>
                <w:szCs w:val="20"/>
              </w:rPr>
            </w:pPr>
            <w:r w:rsidRPr="00A1686D">
              <w:rPr>
                <w:color w:val="000000" w:themeColor="text1"/>
                <w:sz w:val="20"/>
                <w:szCs w:val="20"/>
              </w:rPr>
              <w:t>Add 20% monthly if metrics met</w:t>
            </w:r>
          </w:p>
        </w:tc>
      </w:tr>
    </w:tbl>
    <w:p w14:paraId="473F9964" w14:textId="77777777" w:rsidR="00E8608C" w:rsidRPr="00750A6E" w:rsidRDefault="00E8608C" w:rsidP="00AE1DED">
      <w:pPr>
        <w:rPr>
          <w:b/>
          <w:bCs/>
          <w:color w:val="0070C0"/>
        </w:rPr>
      </w:pPr>
    </w:p>
    <w:p w14:paraId="6A7487D4" w14:textId="77777777" w:rsidR="00D63A14" w:rsidRDefault="00D63A14" w:rsidP="00AE1DED">
      <w:pPr>
        <w:pStyle w:val="Heading3"/>
      </w:pPr>
    </w:p>
    <w:p w14:paraId="72C05C7F" w14:textId="44207E02" w:rsidR="00C41BFC" w:rsidRPr="00750A6E" w:rsidRDefault="00C41BFC" w:rsidP="00AE1DED">
      <w:pPr>
        <w:pStyle w:val="Heading3"/>
      </w:pPr>
      <w:bookmarkStart w:id="227" w:name="_Toc214722033"/>
      <w:r w:rsidRPr="00750A6E">
        <w:t>Table 10.</w:t>
      </w:r>
      <w:r w:rsidR="009122A9">
        <w:t>E</w:t>
      </w:r>
      <w:r w:rsidRPr="00750A6E">
        <w:t>: Substantial Capital Implementation Checklist ($25,000-$100,000)</w:t>
      </w:r>
      <w:bookmarkEnd w:id="227"/>
    </w:p>
    <w:p w14:paraId="781D614C" w14:textId="77777777" w:rsidR="008026AF" w:rsidRPr="00750A6E" w:rsidRDefault="008026AF" w:rsidP="00AE1DED">
      <w:pPr>
        <w:rPr>
          <w:color w:val="0070C0"/>
        </w:rPr>
      </w:pPr>
    </w:p>
    <w:tbl>
      <w:tblPr>
        <w:tblW w:w="9580" w:type="dxa"/>
        <w:tblLook w:val="04A0" w:firstRow="1" w:lastRow="0" w:firstColumn="1" w:lastColumn="0" w:noHBand="0" w:noVBand="1"/>
      </w:tblPr>
      <w:tblGrid>
        <w:gridCol w:w="2380"/>
        <w:gridCol w:w="2240"/>
        <w:gridCol w:w="2660"/>
        <w:gridCol w:w="2300"/>
      </w:tblGrid>
      <w:tr w:rsidR="00355772" w:rsidRPr="00355772" w14:paraId="7008E0E8" w14:textId="77777777" w:rsidTr="00B14022">
        <w:trPr>
          <w:trHeight w:val="340"/>
        </w:trPr>
        <w:tc>
          <w:tcPr>
            <w:tcW w:w="2380" w:type="dxa"/>
            <w:tcBorders>
              <w:top w:val="single" w:sz="8" w:space="0" w:color="BFBFBF"/>
              <w:left w:val="single" w:sz="8" w:space="0" w:color="BFBFBF"/>
              <w:bottom w:val="single" w:sz="4" w:space="0" w:color="BFBFBF"/>
              <w:right w:val="single" w:sz="4" w:space="0" w:color="BFBFBF"/>
            </w:tcBorders>
            <w:shd w:val="clear" w:color="auto" w:fill="BFBFBF" w:themeFill="background1" w:themeFillShade="BF"/>
            <w:vAlign w:val="center"/>
            <w:hideMark/>
          </w:tcPr>
          <w:p w14:paraId="5F690E26" w14:textId="77777777" w:rsidR="002B5E64" w:rsidRPr="00355772" w:rsidRDefault="002B5E64" w:rsidP="00AE1DED">
            <w:pPr>
              <w:jc w:val="center"/>
              <w:rPr>
                <w:b/>
                <w:bCs/>
                <w:color w:val="000000" w:themeColor="text1"/>
                <w:sz w:val="20"/>
                <w:szCs w:val="20"/>
              </w:rPr>
            </w:pPr>
            <w:r w:rsidRPr="00355772">
              <w:rPr>
                <w:b/>
                <w:bCs/>
                <w:color w:val="000000" w:themeColor="text1"/>
                <w:sz w:val="20"/>
                <w:szCs w:val="20"/>
              </w:rPr>
              <w:t>Category</w:t>
            </w:r>
          </w:p>
        </w:tc>
        <w:tc>
          <w:tcPr>
            <w:tcW w:w="2240" w:type="dxa"/>
            <w:tcBorders>
              <w:top w:val="single" w:sz="8" w:space="0" w:color="BFBFBF"/>
              <w:left w:val="nil"/>
              <w:bottom w:val="single" w:sz="4" w:space="0" w:color="BFBFBF"/>
              <w:right w:val="single" w:sz="4" w:space="0" w:color="BFBFBF"/>
            </w:tcBorders>
            <w:shd w:val="clear" w:color="auto" w:fill="BFBFBF" w:themeFill="background1" w:themeFillShade="BF"/>
            <w:vAlign w:val="center"/>
            <w:hideMark/>
          </w:tcPr>
          <w:p w14:paraId="5C50A96F" w14:textId="77777777" w:rsidR="002B5E64" w:rsidRPr="00355772" w:rsidRDefault="002B5E64" w:rsidP="00AE1DED">
            <w:pPr>
              <w:jc w:val="center"/>
              <w:rPr>
                <w:b/>
                <w:bCs/>
                <w:color w:val="000000" w:themeColor="text1"/>
                <w:sz w:val="20"/>
                <w:szCs w:val="20"/>
              </w:rPr>
            </w:pPr>
            <w:r w:rsidRPr="00355772">
              <w:rPr>
                <w:b/>
                <w:bCs/>
                <w:color w:val="000000" w:themeColor="text1"/>
                <w:sz w:val="20"/>
                <w:szCs w:val="20"/>
              </w:rPr>
              <w:t>Requirement</w:t>
            </w:r>
          </w:p>
        </w:tc>
        <w:tc>
          <w:tcPr>
            <w:tcW w:w="2660" w:type="dxa"/>
            <w:tcBorders>
              <w:top w:val="single" w:sz="8" w:space="0" w:color="BFBFBF"/>
              <w:left w:val="nil"/>
              <w:bottom w:val="single" w:sz="4" w:space="0" w:color="BFBFBF"/>
              <w:right w:val="single" w:sz="4" w:space="0" w:color="BFBFBF"/>
            </w:tcBorders>
            <w:shd w:val="clear" w:color="auto" w:fill="BFBFBF" w:themeFill="background1" w:themeFillShade="BF"/>
            <w:vAlign w:val="center"/>
            <w:hideMark/>
          </w:tcPr>
          <w:p w14:paraId="1D80FB2A" w14:textId="77777777" w:rsidR="002B5E64" w:rsidRPr="00355772" w:rsidRDefault="002B5E64" w:rsidP="00AE1DED">
            <w:pPr>
              <w:jc w:val="center"/>
              <w:rPr>
                <w:b/>
                <w:bCs/>
                <w:color w:val="000000" w:themeColor="text1"/>
                <w:sz w:val="20"/>
                <w:szCs w:val="20"/>
              </w:rPr>
            </w:pPr>
            <w:r w:rsidRPr="00355772">
              <w:rPr>
                <w:b/>
                <w:bCs/>
                <w:color w:val="000000" w:themeColor="text1"/>
                <w:sz w:val="20"/>
                <w:szCs w:val="20"/>
              </w:rPr>
              <w:t>Verification Method</w:t>
            </w:r>
          </w:p>
        </w:tc>
        <w:tc>
          <w:tcPr>
            <w:tcW w:w="2300" w:type="dxa"/>
            <w:tcBorders>
              <w:top w:val="single" w:sz="8" w:space="0" w:color="BFBFBF"/>
              <w:left w:val="nil"/>
              <w:bottom w:val="single" w:sz="4" w:space="0" w:color="BFBFBF"/>
              <w:right w:val="single" w:sz="8" w:space="0" w:color="BFBFBF"/>
            </w:tcBorders>
            <w:shd w:val="clear" w:color="auto" w:fill="BFBFBF" w:themeFill="background1" w:themeFillShade="BF"/>
            <w:vAlign w:val="center"/>
            <w:hideMark/>
          </w:tcPr>
          <w:p w14:paraId="78304D0D" w14:textId="77777777" w:rsidR="002B5E64" w:rsidRPr="00355772" w:rsidRDefault="002B5E64" w:rsidP="00AE1DED">
            <w:pPr>
              <w:jc w:val="center"/>
              <w:rPr>
                <w:b/>
                <w:bCs/>
                <w:color w:val="000000" w:themeColor="text1"/>
                <w:sz w:val="20"/>
                <w:szCs w:val="20"/>
              </w:rPr>
            </w:pPr>
            <w:r w:rsidRPr="00355772">
              <w:rPr>
                <w:b/>
                <w:bCs/>
                <w:color w:val="000000" w:themeColor="text1"/>
                <w:sz w:val="20"/>
                <w:szCs w:val="20"/>
              </w:rPr>
              <w:t>If Not Met</w:t>
            </w:r>
          </w:p>
        </w:tc>
      </w:tr>
      <w:tr w:rsidR="00355772" w:rsidRPr="00355772" w14:paraId="3767F51B" w14:textId="77777777" w:rsidTr="00B14022">
        <w:trPr>
          <w:trHeight w:val="340"/>
        </w:trPr>
        <w:tc>
          <w:tcPr>
            <w:tcW w:w="9580" w:type="dxa"/>
            <w:gridSpan w:val="4"/>
            <w:tcBorders>
              <w:top w:val="single" w:sz="4" w:space="0" w:color="BFBFBF"/>
              <w:left w:val="single" w:sz="8" w:space="0" w:color="BFBFBF"/>
              <w:bottom w:val="single" w:sz="4" w:space="0" w:color="BFBFBF"/>
              <w:right w:val="single" w:sz="8" w:space="0" w:color="BFBFBF"/>
            </w:tcBorders>
            <w:shd w:val="clear" w:color="auto" w:fill="D9D9D9" w:themeFill="background1" w:themeFillShade="D9"/>
            <w:vAlign w:val="center"/>
            <w:hideMark/>
          </w:tcPr>
          <w:p w14:paraId="1FA927C8" w14:textId="77777777" w:rsidR="002B5E64" w:rsidRPr="00355772" w:rsidRDefault="002B5E64" w:rsidP="00AE1DED">
            <w:pPr>
              <w:jc w:val="center"/>
              <w:rPr>
                <w:b/>
                <w:bCs/>
                <w:color w:val="000000" w:themeColor="text1"/>
                <w:sz w:val="20"/>
                <w:szCs w:val="20"/>
              </w:rPr>
            </w:pPr>
            <w:r w:rsidRPr="00355772">
              <w:rPr>
                <w:b/>
                <w:bCs/>
                <w:color w:val="000000" w:themeColor="text1"/>
                <w:sz w:val="20"/>
                <w:szCs w:val="20"/>
              </w:rPr>
              <w:t>CAPITAL</w:t>
            </w:r>
          </w:p>
        </w:tc>
      </w:tr>
      <w:tr w:rsidR="00355772" w:rsidRPr="00355772" w14:paraId="655FA20E" w14:textId="77777777" w:rsidTr="00D91CFA">
        <w:trPr>
          <w:trHeight w:val="74"/>
        </w:trPr>
        <w:tc>
          <w:tcPr>
            <w:tcW w:w="2380" w:type="dxa"/>
            <w:tcBorders>
              <w:top w:val="nil"/>
              <w:left w:val="single" w:sz="8" w:space="0" w:color="BFBFBF"/>
              <w:bottom w:val="single" w:sz="4" w:space="0" w:color="BFBFBF"/>
              <w:right w:val="single" w:sz="4" w:space="0" w:color="BFBFBF"/>
            </w:tcBorders>
            <w:vAlign w:val="center"/>
            <w:hideMark/>
          </w:tcPr>
          <w:p w14:paraId="2A32D14B" w14:textId="77777777" w:rsidR="002B5E64" w:rsidRPr="00355772" w:rsidRDefault="002B5E64" w:rsidP="00AE1DED">
            <w:pPr>
              <w:rPr>
                <w:color w:val="000000" w:themeColor="text1"/>
                <w:sz w:val="20"/>
                <w:szCs w:val="20"/>
              </w:rPr>
            </w:pPr>
            <w:r w:rsidRPr="00355772">
              <w:rPr>
                <w:color w:val="000000" w:themeColor="text1"/>
                <w:sz w:val="20"/>
                <w:szCs w:val="20"/>
              </w:rPr>
              <w:t>Diversification capacity</w:t>
            </w:r>
          </w:p>
        </w:tc>
        <w:tc>
          <w:tcPr>
            <w:tcW w:w="2240" w:type="dxa"/>
            <w:tcBorders>
              <w:top w:val="nil"/>
              <w:left w:val="nil"/>
              <w:bottom w:val="single" w:sz="4" w:space="0" w:color="BFBFBF"/>
              <w:right w:val="single" w:sz="4" w:space="0" w:color="BFBFBF"/>
            </w:tcBorders>
            <w:vAlign w:val="center"/>
            <w:hideMark/>
          </w:tcPr>
          <w:p w14:paraId="7A9404D5" w14:textId="77777777" w:rsidR="002B5E64" w:rsidRPr="00355772" w:rsidRDefault="002B5E64" w:rsidP="00AE1DED">
            <w:pPr>
              <w:rPr>
                <w:color w:val="000000" w:themeColor="text1"/>
                <w:sz w:val="20"/>
                <w:szCs w:val="20"/>
              </w:rPr>
            </w:pPr>
            <w:r w:rsidRPr="00355772">
              <w:rPr>
                <w:color w:val="000000" w:themeColor="text1"/>
                <w:sz w:val="20"/>
                <w:szCs w:val="20"/>
              </w:rPr>
              <w:t>Can spread across 3-5 positions</w:t>
            </w:r>
          </w:p>
        </w:tc>
        <w:tc>
          <w:tcPr>
            <w:tcW w:w="2660" w:type="dxa"/>
            <w:tcBorders>
              <w:top w:val="nil"/>
              <w:left w:val="nil"/>
              <w:bottom w:val="single" w:sz="4" w:space="0" w:color="BFBFBF"/>
              <w:right w:val="single" w:sz="4" w:space="0" w:color="BFBFBF"/>
            </w:tcBorders>
            <w:vAlign w:val="center"/>
            <w:hideMark/>
          </w:tcPr>
          <w:p w14:paraId="1B8A5060" w14:textId="77777777" w:rsidR="002B5E64" w:rsidRPr="00355772" w:rsidRDefault="002B5E64" w:rsidP="00AE1DED">
            <w:pPr>
              <w:rPr>
                <w:color w:val="000000" w:themeColor="text1"/>
                <w:sz w:val="20"/>
                <w:szCs w:val="20"/>
              </w:rPr>
            </w:pPr>
            <w:r w:rsidRPr="00355772">
              <w:rPr>
                <w:color w:val="000000" w:themeColor="text1"/>
                <w:sz w:val="20"/>
                <w:szCs w:val="20"/>
              </w:rPr>
              <w:t>Planned allocation across protocols?</w:t>
            </w:r>
          </w:p>
        </w:tc>
        <w:tc>
          <w:tcPr>
            <w:tcW w:w="2300" w:type="dxa"/>
            <w:tcBorders>
              <w:top w:val="nil"/>
              <w:left w:val="nil"/>
              <w:bottom w:val="single" w:sz="4" w:space="0" w:color="BFBFBF"/>
              <w:right w:val="single" w:sz="8" w:space="0" w:color="BFBFBF"/>
            </w:tcBorders>
            <w:vAlign w:val="center"/>
            <w:hideMark/>
          </w:tcPr>
          <w:p w14:paraId="243A230E" w14:textId="77777777" w:rsidR="002B5E64" w:rsidRPr="00355772" w:rsidRDefault="002B5E64" w:rsidP="00AE1DED">
            <w:pPr>
              <w:rPr>
                <w:color w:val="000000" w:themeColor="text1"/>
                <w:sz w:val="20"/>
                <w:szCs w:val="20"/>
              </w:rPr>
            </w:pPr>
            <w:r w:rsidRPr="00355772">
              <w:rPr>
                <w:color w:val="000000" w:themeColor="text1"/>
                <w:sz w:val="20"/>
                <w:szCs w:val="20"/>
              </w:rPr>
              <w:t>Single protocol concentration too risky</w:t>
            </w:r>
          </w:p>
        </w:tc>
      </w:tr>
      <w:tr w:rsidR="00355772" w:rsidRPr="00355772" w14:paraId="71DAE03C" w14:textId="77777777" w:rsidTr="00D91CFA">
        <w:trPr>
          <w:trHeight w:val="161"/>
        </w:trPr>
        <w:tc>
          <w:tcPr>
            <w:tcW w:w="2380" w:type="dxa"/>
            <w:tcBorders>
              <w:top w:val="nil"/>
              <w:left w:val="single" w:sz="8" w:space="0" w:color="BFBFBF"/>
              <w:bottom w:val="single" w:sz="4" w:space="0" w:color="BFBFBF"/>
              <w:right w:val="single" w:sz="4" w:space="0" w:color="BFBFBF"/>
            </w:tcBorders>
            <w:vAlign w:val="center"/>
            <w:hideMark/>
          </w:tcPr>
          <w:p w14:paraId="20D8E85A" w14:textId="77777777" w:rsidR="002B5E64" w:rsidRPr="00355772" w:rsidRDefault="002B5E64" w:rsidP="00AE1DED">
            <w:pPr>
              <w:rPr>
                <w:color w:val="000000" w:themeColor="text1"/>
                <w:sz w:val="20"/>
                <w:szCs w:val="20"/>
              </w:rPr>
            </w:pPr>
            <w:r w:rsidRPr="00355772">
              <w:rPr>
                <w:color w:val="000000" w:themeColor="text1"/>
                <w:sz w:val="20"/>
                <w:szCs w:val="20"/>
              </w:rPr>
              <w:t xml:space="preserve">Ethereum </w:t>
            </w:r>
            <w:proofErr w:type="spellStart"/>
            <w:r w:rsidRPr="00355772">
              <w:rPr>
                <w:color w:val="000000" w:themeColor="text1"/>
                <w:sz w:val="20"/>
                <w:szCs w:val="20"/>
              </w:rPr>
              <w:t>mainnet</w:t>
            </w:r>
            <w:proofErr w:type="spellEnd"/>
            <w:r w:rsidRPr="00355772">
              <w:rPr>
                <w:color w:val="000000" w:themeColor="text1"/>
                <w:sz w:val="20"/>
                <w:szCs w:val="20"/>
              </w:rPr>
              <w:t xml:space="preserve"> access</w:t>
            </w:r>
          </w:p>
        </w:tc>
        <w:tc>
          <w:tcPr>
            <w:tcW w:w="2240" w:type="dxa"/>
            <w:tcBorders>
              <w:top w:val="nil"/>
              <w:left w:val="nil"/>
              <w:bottom w:val="single" w:sz="4" w:space="0" w:color="BFBFBF"/>
              <w:right w:val="single" w:sz="4" w:space="0" w:color="BFBFBF"/>
            </w:tcBorders>
            <w:vAlign w:val="center"/>
            <w:hideMark/>
          </w:tcPr>
          <w:p w14:paraId="3C568270" w14:textId="77777777" w:rsidR="002B5E64" w:rsidRPr="00355772" w:rsidRDefault="002B5E64" w:rsidP="00AE1DED">
            <w:pPr>
              <w:rPr>
                <w:color w:val="000000" w:themeColor="text1"/>
                <w:sz w:val="20"/>
                <w:szCs w:val="20"/>
              </w:rPr>
            </w:pPr>
            <w:r w:rsidRPr="00355772">
              <w:rPr>
                <w:color w:val="000000" w:themeColor="text1"/>
                <w:sz w:val="20"/>
                <w:szCs w:val="20"/>
              </w:rPr>
              <w:t xml:space="preserve">Capital sufficient for </w:t>
            </w:r>
            <w:proofErr w:type="spellStart"/>
            <w:r w:rsidRPr="00355772">
              <w:rPr>
                <w:color w:val="000000" w:themeColor="text1"/>
                <w:sz w:val="20"/>
                <w:szCs w:val="20"/>
              </w:rPr>
              <w:t>mainnet</w:t>
            </w:r>
            <w:proofErr w:type="spellEnd"/>
            <w:r w:rsidRPr="00355772">
              <w:rPr>
                <w:color w:val="000000" w:themeColor="text1"/>
                <w:sz w:val="20"/>
                <w:szCs w:val="20"/>
              </w:rPr>
              <w:t xml:space="preserve"> positions</w:t>
            </w:r>
          </w:p>
        </w:tc>
        <w:tc>
          <w:tcPr>
            <w:tcW w:w="2660" w:type="dxa"/>
            <w:tcBorders>
              <w:top w:val="nil"/>
              <w:left w:val="nil"/>
              <w:bottom w:val="single" w:sz="4" w:space="0" w:color="BFBFBF"/>
              <w:right w:val="single" w:sz="4" w:space="0" w:color="BFBFBF"/>
            </w:tcBorders>
            <w:vAlign w:val="center"/>
            <w:hideMark/>
          </w:tcPr>
          <w:p w14:paraId="5DD6CFF0" w14:textId="77777777" w:rsidR="002B5E64" w:rsidRPr="00355772" w:rsidRDefault="002B5E64" w:rsidP="00AE1DED">
            <w:pPr>
              <w:rPr>
                <w:color w:val="000000" w:themeColor="text1"/>
                <w:sz w:val="20"/>
                <w:szCs w:val="20"/>
              </w:rPr>
            </w:pPr>
            <w:r w:rsidRPr="00355772">
              <w:rPr>
                <w:color w:val="000000" w:themeColor="text1"/>
                <w:sz w:val="20"/>
                <w:szCs w:val="20"/>
              </w:rPr>
              <w:t xml:space="preserve">Calculated </w:t>
            </w:r>
            <w:proofErr w:type="spellStart"/>
            <w:r w:rsidRPr="00355772">
              <w:rPr>
                <w:color w:val="000000" w:themeColor="text1"/>
                <w:sz w:val="20"/>
                <w:szCs w:val="20"/>
              </w:rPr>
              <w:t>mainnet</w:t>
            </w:r>
            <w:proofErr w:type="spellEnd"/>
            <w:r w:rsidRPr="00355772">
              <w:rPr>
                <w:color w:val="000000" w:themeColor="text1"/>
                <w:sz w:val="20"/>
                <w:szCs w:val="20"/>
              </w:rPr>
              <w:t xml:space="preserve"> viability at $25,000+?</w:t>
            </w:r>
          </w:p>
        </w:tc>
        <w:tc>
          <w:tcPr>
            <w:tcW w:w="2300" w:type="dxa"/>
            <w:tcBorders>
              <w:top w:val="nil"/>
              <w:left w:val="nil"/>
              <w:bottom w:val="single" w:sz="4" w:space="0" w:color="BFBFBF"/>
              <w:right w:val="single" w:sz="8" w:space="0" w:color="BFBFBF"/>
            </w:tcBorders>
            <w:vAlign w:val="center"/>
            <w:hideMark/>
          </w:tcPr>
          <w:p w14:paraId="14F40E72" w14:textId="77777777" w:rsidR="002B5E64" w:rsidRPr="00355772" w:rsidRDefault="002B5E64" w:rsidP="00AE1DED">
            <w:pPr>
              <w:rPr>
                <w:color w:val="000000" w:themeColor="text1"/>
                <w:sz w:val="20"/>
                <w:szCs w:val="20"/>
              </w:rPr>
            </w:pPr>
            <w:r w:rsidRPr="00355772">
              <w:rPr>
                <w:color w:val="000000" w:themeColor="text1"/>
                <w:sz w:val="20"/>
                <w:szCs w:val="20"/>
              </w:rPr>
              <w:t>Verify against Table 1.1A thresholds</w:t>
            </w:r>
          </w:p>
        </w:tc>
      </w:tr>
      <w:tr w:rsidR="00355772" w:rsidRPr="00355772" w14:paraId="691ADC4A" w14:textId="77777777" w:rsidTr="00D91CFA">
        <w:trPr>
          <w:trHeight w:val="242"/>
        </w:trPr>
        <w:tc>
          <w:tcPr>
            <w:tcW w:w="2380" w:type="dxa"/>
            <w:tcBorders>
              <w:top w:val="nil"/>
              <w:left w:val="single" w:sz="8" w:space="0" w:color="BFBFBF"/>
              <w:bottom w:val="single" w:sz="4" w:space="0" w:color="BFBFBF"/>
              <w:right w:val="single" w:sz="4" w:space="0" w:color="BFBFBF"/>
            </w:tcBorders>
            <w:vAlign w:val="center"/>
            <w:hideMark/>
          </w:tcPr>
          <w:p w14:paraId="74D9602B" w14:textId="77777777" w:rsidR="002B5E64" w:rsidRPr="00355772" w:rsidRDefault="002B5E64" w:rsidP="00AE1DED">
            <w:pPr>
              <w:rPr>
                <w:color w:val="000000" w:themeColor="text1"/>
                <w:sz w:val="20"/>
                <w:szCs w:val="20"/>
              </w:rPr>
            </w:pPr>
            <w:r w:rsidRPr="00355772">
              <w:rPr>
                <w:color w:val="000000" w:themeColor="text1"/>
                <w:sz w:val="20"/>
                <w:szCs w:val="20"/>
              </w:rPr>
              <w:t>Professional tools budget</w:t>
            </w:r>
          </w:p>
        </w:tc>
        <w:tc>
          <w:tcPr>
            <w:tcW w:w="2240" w:type="dxa"/>
            <w:tcBorders>
              <w:top w:val="nil"/>
              <w:left w:val="nil"/>
              <w:bottom w:val="single" w:sz="4" w:space="0" w:color="BFBFBF"/>
              <w:right w:val="single" w:sz="4" w:space="0" w:color="BFBFBF"/>
            </w:tcBorders>
            <w:vAlign w:val="center"/>
            <w:hideMark/>
          </w:tcPr>
          <w:p w14:paraId="524B53EC" w14:textId="77777777" w:rsidR="002B5E64" w:rsidRPr="00355772" w:rsidRDefault="002B5E64" w:rsidP="00AE1DED">
            <w:pPr>
              <w:rPr>
                <w:color w:val="000000" w:themeColor="text1"/>
                <w:sz w:val="20"/>
                <w:szCs w:val="20"/>
              </w:rPr>
            </w:pPr>
            <w:r w:rsidRPr="00355772">
              <w:rPr>
                <w:color w:val="000000" w:themeColor="text1"/>
                <w:sz w:val="20"/>
                <w:szCs w:val="20"/>
              </w:rPr>
              <w:t>$50-200/month for analytics/automation</w:t>
            </w:r>
          </w:p>
        </w:tc>
        <w:tc>
          <w:tcPr>
            <w:tcW w:w="2660" w:type="dxa"/>
            <w:tcBorders>
              <w:top w:val="nil"/>
              <w:left w:val="nil"/>
              <w:bottom w:val="single" w:sz="4" w:space="0" w:color="BFBFBF"/>
              <w:right w:val="single" w:sz="4" w:space="0" w:color="BFBFBF"/>
            </w:tcBorders>
            <w:vAlign w:val="center"/>
            <w:hideMark/>
          </w:tcPr>
          <w:p w14:paraId="2EDF59C8" w14:textId="77777777" w:rsidR="002B5E64" w:rsidRPr="00355772" w:rsidRDefault="002B5E64" w:rsidP="00AE1DED">
            <w:pPr>
              <w:rPr>
                <w:color w:val="000000" w:themeColor="text1"/>
                <w:sz w:val="20"/>
                <w:szCs w:val="20"/>
              </w:rPr>
            </w:pPr>
            <w:r w:rsidRPr="00355772">
              <w:rPr>
                <w:color w:val="000000" w:themeColor="text1"/>
                <w:sz w:val="20"/>
                <w:szCs w:val="20"/>
              </w:rPr>
              <w:t>Budget allocated for tools?</w:t>
            </w:r>
          </w:p>
        </w:tc>
        <w:tc>
          <w:tcPr>
            <w:tcW w:w="2300" w:type="dxa"/>
            <w:tcBorders>
              <w:top w:val="nil"/>
              <w:left w:val="nil"/>
              <w:bottom w:val="single" w:sz="4" w:space="0" w:color="BFBFBF"/>
              <w:right w:val="single" w:sz="8" w:space="0" w:color="BFBFBF"/>
            </w:tcBorders>
            <w:vAlign w:val="center"/>
            <w:hideMark/>
          </w:tcPr>
          <w:p w14:paraId="4984075A" w14:textId="77777777" w:rsidR="002B5E64" w:rsidRPr="00355772" w:rsidRDefault="002B5E64" w:rsidP="00AE1DED">
            <w:pPr>
              <w:rPr>
                <w:color w:val="000000" w:themeColor="text1"/>
                <w:sz w:val="20"/>
                <w:szCs w:val="20"/>
              </w:rPr>
            </w:pPr>
            <w:r w:rsidRPr="00355772">
              <w:rPr>
                <w:color w:val="000000" w:themeColor="text1"/>
                <w:sz w:val="20"/>
                <w:szCs w:val="20"/>
              </w:rPr>
              <w:t>Will underperform without infrastructure</w:t>
            </w:r>
          </w:p>
        </w:tc>
      </w:tr>
      <w:tr w:rsidR="00355772" w:rsidRPr="00355772" w14:paraId="7F67D217" w14:textId="77777777" w:rsidTr="00B14022">
        <w:trPr>
          <w:trHeight w:val="340"/>
        </w:trPr>
        <w:tc>
          <w:tcPr>
            <w:tcW w:w="9580" w:type="dxa"/>
            <w:gridSpan w:val="4"/>
            <w:tcBorders>
              <w:top w:val="single" w:sz="4" w:space="0" w:color="BFBFBF"/>
              <w:left w:val="single" w:sz="8" w:space="0" w:color="BFBFBF"/>
              <w:bottom w:val="single" w:sz="4" w:space="0" w:color="BFBFBF"/>
              <w:right w:val="single" w:sz="8" w:space="0" w:color="BFBFBF"/>
            </w:tcBorders>
            <w:shd w:val="clear" w:color="auto" w:fill="D9D9D9" w:themeFill="background1" w:themeFillShade="D9"/>
            <w:vAlign w:val="center"/>
            <w:hideMark/>
          </w:tcPr>
          <w:p w14:paraId="4681DF7E" w14:textId="77777777" w:rsidR="002B5E64" w:rsidRPr="00355772" w:rsidRDefault="002B5E64" w:rsidP="00AE1DED">
            <w:pPr>
              <w:jc w:val="center"/>
              <w:rPr>
                <w:b/>
                <w:bCs/>
                <w:color w:val="000000" w:themeColor="text1"/>
                <w:sz w:val="20"/>
                <w:szCs w:val="20"/>
              </w:rPr>
            </w:pPr>
            <w:r w:rsidRPr="00355772">
              <w:rPr>
                <w:b/>
                <w:bCs/>
                <w:color w:val="000000" w:themeColor="text1"/>
                <w:sz w:val="20"/>
                <w:szCs w:val="20"/>
              </w:rPr>
              <w:t>NETWORK</w:t>
            </w:r>
          </w:p>
        </w:tc>
      </w:tr>
      <w:tr w:rsidR="00355772" w:rsidRPr="00355772" w14:paraId="73F4AC06" w14:textId="77777777" w:rsidTr="00D91CFA">
        <w:trPr>
          <w:trHeight w:val="125"/>
        </w:trPr>
        <w:tc>
          <w:tcPr>
            <w:tcW w:w="2380" w:type="dxa"/>
            <w:tcBorders>
              <w:top w:val="nil"/>
              <w:left w:val="single" w:sz="8" w:space="0" w:color="BFBFBF"/>
              <w:bottom w:val="single" w:sz="4" w:space="0" w:color="BFBFBF"/>
              <w:right w:val="single" w:sz="4" w:space="0" w:color="BFBFBF"/>
            </w:tcBorders>
            <w:vAlign w:val="center"/>
            <w:hideMark/>
          </w:tcPr>
          <w:p w14:paraId="4CF3BD15" w14:textId="77777777" w:rsidR="002B5E64" w:rsidRPr="00355772" w:rsidRDefault="002B5E64" w:rsidP="00AE1DED">
            <w:pPr>
              <w:rPr>
                <w:color w:val="000000" w:themeColor="text1"/>
                <w:sz w:val="20"/>
                <w:szCs w:val="20"/>
              </w:rPr>
            </w:pPr>
            <w:r w:rsidRPr="00355772">
              <w:rPr>
                <w:color w:val="000000" w:themeColor="text1"/>
                <w:sz w:val="20"/>
                <w:szCs w:val="20"/>
              </w:rPr>
              <w:t>Multi-network fluency</w:t>
            </w:r>
          </w:p>
        </w:tc>
        <w:tc>
          <w:tcPr>
            <w:tcW w:w="2240" w:type="dxa"/>
            <w:tcBorders>
              <w:top w:val="nil"/>
              <w:left w:val="nil"/>
              <w:bottom w:val="single" w:sz="4" w:space="0" w:color="BFBFBF"/>
              <w:right w:val="single" w:sz="4" w:space="0" w:color="BFBFBF"/>
            </w:tcBorders>
            <w:vAlign w:val="center"/>
            <w:hideMark/>
          </w:tcPr>
          <w:p w14:paraId="3DA9AAB7" w14:textId="77777777" w:rsidR="002B5E64" w:rsidRPr="00355772" w:rsidRDefault="002B5E64" w:rsidP="00AE1DED">
            <w:pPr>
              <w:rPr>
                <w:color w:val="000000" w:themeColor="text1"/>
                <w:sz w:val="20"/>
                <w:szCs w:val="20"/>
              </w:rPr>
            </w:pPr>
            <w:r w:rsidRPr="00355772">
              <w:rPr>
                <w:color w:val="000000" w:themeColor="text1"/>
                <w:sz w:val="20"/>
                <w:szCs w:val="20"/>
              </w:rPr>
              <w:t xml:space="preserve">Comfortable with </w:t>
            </w:r>
            <w:proofErr w:type="spellStart"/>
            <w:r w:rsidRPr="00355772">
              <w:rPr>
                <w:color w:val="000000" w:themeColor="text1"/>
                <w:sz w:val="20"/>
                <w:szCs w:val="20"/>
              </w:rPr>
              <w:t>mainnet</w:t>
            </w:r>
            <w:proofErr w:type="spellEnd"/>
            <w:r w:rsidRPr="00355772">
              <w:rPr>
                <w:color w:val="000000" w:themeColor="text1"/>
                <w:sz w:val="20"/>
                <w:szCs w:val="20"/>
              </w:rPr>
              <w:t xml:space="preserve"> + L2 + alt-L1</w:t>
            </w:r>
          </w:p>
        </w:tc>
        <w:tc>
          <w:tcPr>
            <w:tcW w:w="2660" w:type="dxa"/>
            <w:tcBorders>
              <w:top w:val="nil"/>
              <w:left w:val="nil"/>
              <w:bottom w:val="single" w:sz="4" w:space="0" w:color="BFBFBF"/>
              <w:right w:val="single" w:sz="4" w:space="0" w:color="BFBFBF"/>
            </w:tcBorders>
            <w:vAlign w:val="center"/>
            <w:hideMark/>
          </w:tcPr>
          <w:p w14:paraId="31071163" w14:textId="77777777" w:rsidR="002B5E64" w:rsidRPr="00355772" w:rsidRDefault="002B5E64" w:rsidP="00AE1DED">
            <w:pPr>
              <w:rPr>
                <w:color w:val="000000" w:themeColor="text1"/>
                <w:sz w:val="20"/>
                <w:szCs w:val="20"/>
              </w:rPr>
            </w:pPr>
            <w:r w:rsidRPr="00355772">
              <w:rPr>
                <w:color w:val="000000" w:themeColor="text1"/>
                <w:sz w:val="20"/>
                <w:szCs w:val="20"/>
              </w:rPr>
              <w:t>Active positions on 2+ networks?</w:t>
            </w:r>
          </w:p>
        </w:tc>
        <w:tc>
          <w:tcPr>
            <w:tcW w:w="2300" w:type="dxa"/>
            <w:tcBorders>
              <w:top w:val="nil"/>
              <w:left w:val="nil"/>
              <w:bottom w:val="single" w:sz="4" w:space="0" w:color="BFBFBF"/>
              <w:right w:val="single" w:sz="8" w:space="0" w:color="BFBFBF"/>
            </w:tcBorders>
            <w:vAlign w:val="center"/>
            <w:hideMark/>
          </w:tcPr>
          <w:p w14:paraId="7732D3CF" w14:textId="77777777" w:rsidR="002B5E64" w:rsidRPr="00355772" w:rsidRDefault="002B5E64" w:rsidP="00AE1DED">
            <w:pPr>
              <w:rPr>
                <w:color w:val="000000" w:themeColor="text1"/>
                <w:sz w:val="20"/>
                <w:szCs w:val="20"/>
              </w:rPr>
            </w:pPr>
            <w:r w:rsidRPr="00355772">
              <w:rPr>
                <w:color w:val="000000" w:themeColor="text1"/>
                <w:sz w:val="20"/>
                <w:szCs w:val="20"/>
              </w:rPr>
              <w:t>Limited to suboptimal opportunities</w:t>
            </w:r>
          </w:p>
        </w:tc>
      </w:tr>
      <w:tr w:rsidR="00355772" w:rsidRPr="00355772" w14:paraId="53CA4188" w14:textId="77777777" w:rsidTr="00D91CFA">
        <w:trPr>
          <w:trHeight w:val="197"/>
        </w:trPr>
        <w:tc>
          <w:tcPr>
            <w:tcW w:w="2380" w:type="dxa"/>
            <w:tcBorders>
              <w:top w:val="nil"/>
              <w:left w:val="single" w:sz="8" w:space="0" w:color="BFBFBF"/>
              <w:bottom w:val="single" w:sz="4" w:space="0" w:color="BFBFBF"/>
              <w:right w:val="single" w:sz="4" w:space="0" w:color="BFBFBF"/>
            </w:tcBorders>
            <w:vAlign w:val="center"/>
            <w:hideMark/>
          </w:tcPr>
          <w:p w14:paraId="0C785DBD" w14:textId="77777777" w:rsidR="002B5E64" w:rsidRPr="00355772" w:rsidRDefault="002B5E64" w:rsidP="00AE1DED">
            <w:pPr>
              <w:rPr>
                <w:color w:val="000000" w:themeColor="text1"/>
                <w:sz w:val="20"/>
                <w:szCs w:val="20"/>
              </w:rPr>
            </w:pPr>
            <w:r w:rsidRPr="00355772">
              <w:rPr>
                <w:color w:val="000000" w:themeColor="text1"/>
                <w:sz w:val="20"/>
                <w:szCs w:val="20"/>
              </w:rPr>
              <w:t>MEV awareness</w:t>
            </w:r>
          </w:p>
        </w:tc>
        <w:tc>
          <w:tcPr>
            <w:tcW w:w="2240" w:type="dxa"/>
            <w:tcBorders>
              <w:top w:val="nil"/>
              <w:left w:val="nil"/>
              <w:bottom w:val="single" w:sz="4" w:space="0" w:color="BFBFBF"/>
              <w:right w:val="single" w:sz="4" w:space="0" w:color="BFBFBF"/>
            </w:tcBorders>
            <w:vAlign w:val="center"/>
            <w:hideMark/>
          </w:tcPr>
          <w:p w14:paraId="00B0E35F" w14:textId="77777777" w:rsidR="002B5E64" w:rsidRPr="00355772" w:rsidRDefault="002B5E64" w:rsidP="00AE1DED">
            <w:pPr>
              <w:rPr>
                <w:color w:val="000000" w:themeColor="text1"/>
                <w:sz w:val="20"/>
                <w:szCs w:val="20"/>
              </w:rPr>
            </w:pPr>
            <w:r w:rsidRPr="00355772">
              <w:rPr>
                <w:color w:val="000000" w:themeColor="text1"/>
                <w:sz w:val="20"/>
                <w:szCs w:val="20"/>
              </w:rPr>
              <w:t>Understand MEV risks and protection</w:t>
            </w:r>
          </w:p>
        </w:tc>
        <w:tc>
          <w:tcPr>
            <w:tcW w:w="2660" w:type="dxa"/>
            <w:tcBorders>
              <w:top w:val="nil"/>
              <w:left w:val="nil"/>
              <w:bottom w:val="single" w:sz="4" w:space="0" w:color="BFBFBF"/>
              <w:right w:val="single" w:sz="4" w:space="0" w:color="BFBFBF"/>
            </w:tcBorders>
            <w:vAlign w:val="center"/>
            <w:hideMark/>
          </w:tcPr>
          <w:p w14:paraId="1D0F6079" w14:textId="77777777" w:rsidR="002B5E64" w:rsidRPr="00355772" w:rsidRDefault="002B5E64" w:rsidP="00AE1DED">
            <w:pPr>
              <w:rPr>
                <w:color w:val="000000" w:themeColor="text1"/>
                <w:sz w:val="20"/>
                <w:szCs w:val="20"/>
              </w:rPr>
            </w:pPr>
            <w:proofErr w:type="gramStart"/>
            <w:r w:rsidRPr="00355772">
              <w:rPr>
                <w:color w:val="000000" w:themeColor="text1"/>
                <w:sz w:val="20"/>
                <w:szCs w:val="20"/>
              </w:rPr>
              <w:t>Can</w:t>
            </w:r>
            <w:proofErr w:type="gramEnd"/>
            <w:r w:rsidRPr="00355772">
              <w:rPr>
                <w:color w:val="000000" w:themeColor="text1"/>
                <w:sz w:val="20"/>
                <w:szCs w:val="20"/>
              </w:rPr>
              <w:t xml:space="preserve"> explain sandwich attacks and protection?</w:t>
            </w:r>
          </w:p>
        </w:tc>
        <w:tc>
          <w:tcPr>
            <w:tcW w:w="2300" w:type="dxa"/>
            <w:tcBorders>
              <w:top w:val="nil"/>
              <w:left w:val="nil"/>
              <w:bottom w:val="single" w:sz="4" w:space="0" w:color="BFBFBF"/>
              <w:right w:val="single" w:sz="8" w:space="0" w:color="BFBFBF"/>
            </w:tcBorders>
            <w:vAlign w:val="center"/>
            <w:hideMark/>
          </w:tcPr>
          <w:p w14:paraId="71F4B4D5" w14:textId="77777777" w:rsidR="002B5E64" w:rsidRPr="00355772" w:rsidRDefault="002B5E64" w:rsidP="00AE1DED">
            <w:pPr>
              <w:rPr>
                <w:color w:val="000000" w:themeColor="text1"/>
                <w:sz w:val="20"/>
                <w:szCs w:val="20"/>
              </w:rPr>
            </w:pPr>
            <w:r w:rsidRPr="00355772">
              <w:rPr>
                <w:color w:val="000000" w:themeColor="text1"/>
                <w:sz w:val="20"/>
                <w:szCs w:val="20"/>
              </w:rPr>
              <w:t>Will lose 0.5-2% to MEV extraction</w:t>
            </w:r>
          </w:p>
        </w:tc>
      </w:tr>
      <w:tr w:rsidR="00355772" w:rsidRPr="00355772" w14:paraId="6AC9842C" w14:textId="77777777" w:rsidTr="00D91CFA">
        <w:trPr>
          <w:trHeight w:val="170"/>
        </w:trPr>
        <w:tc>
          <w:tcPr>
            <w:tcW w:w="2380" w:type="dxa"/>
            <w:tcBorders>
              <w:top w:val="nil"/>
              <w:left w:val="single" w:sz="8" w:space="0" w:color="BFBFBF"/>
              <w:bottom w:val="single" w:sz="4" w:space="0" w:color="BFBFBF"/>
              <w:right w:val="single" w:sz="4" w:space="0" w:color="BFBFBF"/>
            </w:tcBorders>
            <w:vAlign w:val="center"/>
            <w:hideMark/>
          </w:tcPr>
          <w:p w14:paraId="1140E117" w14:textId="77777777" w:rsidR="002B5E64" w:rsidRPr="00355772" w:rsidRDefault="002B5E64" w:rsidP="00AE1DED">
            <w:pPr>
              <w:rPr>
                <w:color w:val="000000" w:themeColor="text1"/>
                <w:sz w:val="20"/>
                <w:szCs w:val="20"/>
              </w:rPr>
            </w:pPr>
            <w:r w:rsidRPr="00355772">
              <w:rPr>
                <w:color w:val="000000" w:themeColor="text1"/>
                <w:sz w:val="20"/>
                <w:szCs w:val="20"/>
              </w:rPr>
              <w:t>Advanced bridging</w:t>
            </w:r>
          </w:p>
        </w:tc>
        <w:tc>
          <w:tcPr>
            <w:tcW w:w="2240" w:type="dxa"/>
            <w:tcBorders>
              <w:top w:val="nil"/>
              <w:left w:val="nil"/>
              <w:bottom w:val="single" w:sz="4" w:space="0" w:color="BFBFBF"/>
              <w:right w:val="single" w:sz="4" w:space="0" w:color="BFBFBF"/>
            </w:tcBorders>
            <w:vAlign w:val="center"/>
            <w:hideMark/>
          </w:tcPr>
          <w:p w14:paraId="0107EB4D" w14:textId="77777777" w:rsidR="002B5E64" w:rsidRPr="00355772" w:rsidRDefault="002B5E64" w:rsidP="00AE1DED">
            <w:pPr>
              <w:rPr>
                <w:color w:val="000000" w:themeColor="text1"/>
                <w:sz w:val="20"/>
                <w:szCs w:val="20"/>
              </w:rPr>
            </w:pPr>
            <w:r w:rsidRPr="00355772">
              <w:rPr>
                <w:color w:val="000000" w:themeColor="text1"/>
                <w:sz w:val="20"/>
                <w:szCs w:val="20"/>
              </w:rPr>
              <w:t>Understand optimal bridge selection</w:t>
            </w:r>
          </w:p>
        </w:tc>
        <w:tc>
          <w:tcPr>
            <w:tcW w:w="2660" w:type="dxa"/>
            <w:tcBorders>
              <w:top w:val="nil"/>
              <w:left w:val="nil"/>
              <w:bottom w:val="single" w:sz="4" w:space="0" w:color="BFBFBF"/>
              <w:right w:val="single" w:sz="4" w:space="0" w:color="BFBFBF"/>
            </w:tcBorders>
            <w:vAlign w:val="center"/>
            <w:hideMark/>
          </w:tcPr>
          <w:p w14:paraId="27DAA870" w14:textId="77777777" w:rsidR="002B5E64" w:rsidRPr="00355772" w:rsidRDefault="002B5E64" w:rsidP="00AE1DED">
            <w:pPr>
              <w:rPr>
                <w:color w:val="000000" w:themeColor="text1"/>
                <w:sz w:val="20"/>
                <w:szCs w:val="20"/>
              </w:rPr>
            </w:pPr>
            <w:r w:rsidRPr="00355772">
              <w:rPr>
                <w:color w:val="000000" w:themeColor="text1"/>
                <w:sz w:val="20"/>
                <w:szCs w:val="20"/>
              </w:rPr>
              <w:t>Compared costs across 3+ bridges?</w:t>
            </w:r>
          </w:p>
        </w:tc>
        <w:tc>
          <w:tcPr>
            <w:tcW w:w="2300" w:type="dxa"/>
            <w:tcBorders>
              <w:top w:val="nil"/>
              <w:left w:val="nil"/>
              <w:bottom w:val="single" w:sz="4" w:space="0" w:color="BFBFBF"/>
              <w:right w:val="single" w:sz="8" w:space="0" w:color="BFBFBF"/>
            </w:tcBorders>
            <w:vAlign w:val="center"/>
            <w:hideMark/>
          </w:tcPr>
          <w:p w14:paraId="0A7CA4C3" w14:textId="77777777" w:rsidR="002B5E64" w:rsidRPr="00355772" w:rsidRDefault="002B5E64" w:rsidP="00AE1DED">
            <w:pPr>
              <w:rPr>
                <w:color w:val="000000" w:themeColor="text1"/>
                <w:sz w:val="20"/>
                <w:szCs w:val="20"/>
              </w:rPr>
            </w:pPr>
            <w:r w:rsidRPr="00355772">
              <w:rPr>
                <w:color w:val="000000" w:themeColor="text1"/>
                <w:sz w:val="20"/>
                <w:szCs w:val="20"/>
              </w:rPr>
              <w:t>Overpaying on cross-chain moves</w:t>
            </w:r>
          </w:p>
        </w:tc>
      </w:tr>
      <w:tr w:rsidR="00355772" w:rsidRPr="00355772" w14:paraId="725F66E0" w14:textId="77777777" w:rsidTr="00B14022">
        <w:trPr>
          <w:trHeight w:val="340"/>
        </w:trPr>
        <w:tc>
          <w:tcPr>
            <w:tcW w:w="9580" w:type="dxa"/>
            <w:gridSpan w:val="4"/>
            <w:tcBorders>
              <w:top w:val="single" w:sz="4" w:space="0" w:color="BFBFBF"/>
              <w:left w:val="single" w:sz="8" w:space="0" w:color="BFBFBF"/>
              <w:bottom w:val="single" w:sz="4" w:space="0" w:color="BFBFBF"/>
              <w:right w:val="single" w:sz="8" w:space="0" w:color="BFBFBF"/>
            </w:tcBorders>
            <w:shd w:val="clear" w:color="auto" w:fill="D9D9D9" w:themeFill="background1" w:themeFillShade="D9"/>
            <w:vAlign w:val="center"/>
            <w:hideMark/>
          </w:tcPr>
          <w:p w14:paraId="4FE07E70" w14:textId="77777777" w:rsidR="002B5E64" w:rsidRPr="00355772" w:rsidRDefault="002B5E64" w:rsidP="00AE1DED">
            <w:pPr>
              <w:jc w:val="center"/>
              <w:rPr>
                <w:b/>
                <w:bCs/>
                <w:color w:val="000000" w:themeColor="text1"/>
                <w:sz w:val="20"/>
                <w:szCs w:val="20"/>
              </w:rPr>
            </w:pPr>
            <w:r w:rsidRPr="00355772">
              <w:rPr>
                <w:b/>
                <w:bCs/>
                <w:color w:val="000000" w:themeColor="text1"/>
                <w:sz w:val="20"/>
                <w:szCs w:val="20"/>
              </w:rPr>
              <w:t>STRATEGY</w:t>
            </w:r>
          </w:p>
        </w:tc>
      </w:tr>
      <w:tr w:rsidR="00355772" w:rsidRPr="00355772" w14:paraId="6A6B1E0B" w14:textId="77777777" w:rsidTr="00D91CFA">
        <w:trPr>
          <w:trHeight w:val="179"/>
        </w:trPr>
        <w:tc>
          <w:tcPr>
            <w:tcW w:w="2380" w:type="dxa"/>
            <w:tcBorders>
              <w:top w:val="nil"/>
              <w:left w:val="single" w:sz="8" w:space="0" w:color="BFBFBF"/>
              <w:bottom w:val="single" w:sz="4" w:space="0" w:color="BFBFBF"/>
              <w:right w:val="single" w:sz="4" w:space="0" w:color="BFBFBF"/>
            </w:tcBorders>
            <w:vAlign w:val="center"/>
            <w:hideMark/>
          </w:tcPr>
          <w:p w14:paraId="50FA978F" w14:textId="77777777" w:rsidR="002B5E64" w:rsidRPr="00355772" w:rsidRDefault="002B5E64" w:rsidP="00AE1DED">
            <w:pPr>
              <w:rPr>
                <w:color w:val="000000" w:themeColor="text1"/>
                <w:sz w:val="20"/>
                <w:szCs w:val="20"/>
              </w:rPr>
            </w:pPr>
            <w:r w:rsidRPr="00355772">
              <w:rPr>
                <w:color w:val="000000" w:themeColor="text1"/>
                <w:sz w:val="20"/>
                <w:szCs w:val="20"/>
              </w:rPr>
              <w:t>Multi-protocol positions</w:t>
            </w:r>
          </w:p>
        </w:tc>
        <w:tc>
          <w:tcPr>
            <w:tcW w:w="2240" w:type="dxa"/>
            <w:tcBorders>
              <w:top w:val="nil"/>
              <w:left w:val="nil"/>
              <w:bottom w:val="single" w:sz="4" w:space="0" w:color="BFBFBF"/>
              <w:right w:val="single" w:sz="4" w:space="0" w:color="BFBFBF"/>
            </w:tcBorders>
            <w:vAlign w:val="center"/>
            <w:hideMark/>
          </w:tcPr>
          <w:p w14:paraId="38953047" w14:textId="77777777" w:rsidR="002B5E64" w:rsidRPr="00355772" w:rsidRDefault="002B5E64" w:rsidP="00AE1DED">
            <w:pPr>
              <w:rPr>
                <w:color w:val="000000" w:themeColor="text1"/>
                <w:sz w:val="20"/>
                <w:szCs w:val="20"/>
              </w:rPr>
            </w:pPr>
            <w:r w:rsidRPr="00355772">
              <w:rPr>
                <w:color w:val="000000" w:themeColor="text1"/>
                <w:sz w:val="20"/>
                <w:szCs w:val="20"/>
              </w:rPr>
              <w:t>Spreading risk across protocols</w:t>
            </w:r>
          </w:p>
        </w:tc>
        <w:tc>
          <w:tcPr>
            <w:tcW w:w="2660" w:type="dxa"/>
            <w:tcBorders>
              <w:top w:val="nil"/>
              <w:left w:val="nil"/>
              <w:bottom w:val="single" w:sz="4" w:space="0" w:color="BFBFBF"/>
              <w:right w:val="single" w:sz="4" w:space="0" w:color="BFBFBF"/>
            </w:tcBorders>
            <w:vAlign w:val="center"/>
            <w:hideMark/>
          </w:tcPr>
          <w:p w14:paraId="4E69D9C7" w14:textId="77777777" w:rsidR="002B5E64" w:rsidRPr="00355772" w:rsidRDefault="002B5E64" w:rsidP="00AE1DED">
            <w:pPr>
              <w:rPr>
                <w:color w:val="000000" w:themeColor="text1"/>
                <w:sz w:val="20"/>
                <w:szCs w:val="20"/>
              </w:rPr>
            </w:pPr>
            <w:r w:rsidRPr="00355772">
              <w:rPr>
                <w:color w:val="000000" w:themeColor="text1"/>
                <w:sz w:val="20"/>
                <w:szCs w:val="20"/>
              </w:rPr>
              <w:t>No &gt;40% in single protocol?</w:t>
            </w:r>
          </w:p>
        </w:tc>
        <w:tc>
          <w:tcPr>
            <w:tcW w:w="2300" w:type="dxa"/>
            <w:tcBorders>
              <w:top w:val="nil"/>
              <w:left w:val="nil"/>
              <w:bottom w:val="single" w:sz="4" w:space="0" w:color="BFBFBF"/>
              <w:right w:val="single" w:sz="8" w:space="0" w:color="BFBFBF"/>
            </w:tcBorders>
            <w:vAlign w:val="center"/>
            <w:hideMark/>
          </w:tcPr>
          <w:p w14:paraId="4DD473CB" w14:textId="77777777" w:rsidR="002B5E64" w:rsidRPr="00355772" w:rsidRDefault="002B5E64" w:rsidP="00AE1DED">
            <w:pPr>
              <w:rPr>
                <w:color w:val="000000" w:themeColor="text1"/>
                <w:sz w:val="20"/>
                <w:szCs w:val="20"/>
              </w:rPr>
            </w:pPr>
            <w:r w:rsidRPr="00355772">
              <w:rPr>
                <w:color w:val="000000" w:themeColor="text1"/>
                <w:sz w:val="20"/>
                <w:szCs w:val="20"/>
              </w:rPr>
              <w:t>Concentration risk too high</w:t>
            </w:r>
          </w:p>
        </w:tc>
      </w:tr>
      <w:tr w:rsidR="00355772" w:rsidRPr="00355772" w14:paraId="08BBA914" w14:textId="77777777" w:rsidTr="00D91CFA">
        <w:trPr>
          <w:trHeight w:val="74"/>
        </w:trPr>
        <w:tc>
          <w:tcPr>
            <w:tcW w:w="2380" w:type="dxa"/>
            <w:tcBorders>
              <w:top w:val="nil"/>
              <w:left w:val="single" w:sz="8" w:space="0" w:color="BFBFBF"/>
              <w:bottom w:val="single" w:sz="4" w:space="0" w:color="BFBFBF"/>
              <w:right w:val="single" w:sz="4" w:space="0" w:color="BFBFBF"/>
            </w:tcBorders>
            <w:vAlign w:val="center"/>
            <w:hideMark/>
          </w:tcPr>
          <w:p w14:paraId="2A6C6A08" w14:textId="77777777" w:rsidR="002B5E64" w:rsidRPr="00355772" w:rsidRDefault="002B5E64" w:rsidP="00AE1DED">
            <w:pPr>
              <w:rPr>
                <w:color w:val="000000" w:themeColor="text1"/>
                <w:sz w:val="20"/>
                <w:szCs w:val="20"/>
              </w:rPr>
            </w:pPr>
            <w:r w:rsidRPr="00355772">
              <w:rPr>
                <w:color w:val="000000" w:themeColor="text1"/>
                <w:sz w:val="20"/>
                <w:szCs w:val="20"/>
              </w:rPr>
              <w:t>Active management viable</w:t>
            </w:r>
          </w:p>
        </w:tc>
        <w:tc>
          <w:tcPr>
            <w:tcW w:w="2240" w:type="dxa"/>
            <w:tcBorders>
              <w:top w:val="nil"/>
              <w:left w:val="nil"/>
              <w:bottom w:val="single" w:sz="4" w:space="0" w:color="BFBFBF"/>
              <w:right w:val="single" w:sz="4" w:space="0" w:color="BFBFBF"/>
            </w:tcBorders>
            <w:vAlign w:val="center"/>
            <w:hideMark/>
          </w:tcPr>
          <w:p w14:paraId="1C2C8D2D" w14:textId="77777777" w:rsidR="002B5E64" w:rsidRPr="00355772" w:rsidRDefault="002B5E64" w:rsidP="00AE1DED">
            <w:pPr>
              <w:rPr>
                <w:color w:val="000000" w:themeColor="text1"/>
                <w:sz w:val="20"/>
                <w:szCs w:val="20"/>
              </w:rPr>
            </w:pPr>
            <w:r w:rsidRPr="00355772">
              <w:rPr>
                <w:color w:val="000000" w:themeColor="text1"/>
                <w:sz w:val="20"/>
                <w:szCs w:val="20"/>
              </w:rPr>
              <w:t>Capital justifies 15-20 hours weekly</w:t>
            </w:r>
          </w:p>
        </w:tc>
        <w:tc>
          <w:tcPr>
            <w:tcW w:w="2660" w:type="dxa"/>
            <w:tcBorders>
              <w:top w:val="nil"/>
              <w:left w:val="nil"/>
              <w:bottom w:val="single" w:sz="4" w:space="0" w:color="BFBFBF"/>
              <w:right w:val="single" w:sz="4" w:space="0" w:color="BFBFBF"/>
            </w:tcBorders>
            <w:vAlign w:val="center"/>
            <w:hideMark/>
          </w:tcPr>
          <w:p w14:paraId="7430A9C6" w14:textId="77777777" w:rsidR="002B5E64" w:rsidRPr="00355772" w:rsidRDefault="002B5E64" w:rsidP="00AE1DED">
            <w:pPr>
              <w:rPr>
                <w:color w:val="000000" w:themeColor="text1"/>
                <w:sz w:val="20"/>
                <w:szCs w:val="20"/>
              </w:rPr>
            </w:pPr>
            <w:r w:rsidRPr="00355772">
              <w:rPr>
                <w:color w:val="000000" w:themeColor="text1"/>
                <w:sz w:val="20"/>
                <w:szCs w:val="20"/>
              </w:rPr>
              <w:t>Time investment economically rational?</w:t>
            </w:r>
          </w:p>
        </w:tc>
        <w:tc>
          <w:tcPr>
            <w:tcW w:w="2300" w:type="dxa"/>
            <w:tcBorders>
              <w:top w:val="nil"/>
              <w:left w:val="nil"/>
              <w:bottom w:val="single" w:sz="4" w:space="0" w:color="BFBFBF"/>
              <w:right w:val="single" w:sz="8" w:space="0" w:color="BFBFBF"/>
            </w:tcBorders>
            <w:vAlign w:val="center"/>
            <w:hideMark/>
          </w:tcPr>
          <w:p w14:paraId="09EDF423" w14:textId="77777777" w:rsidR="002B5E64" w:rsidRPr="00355772" w:rsidRDefault="002B5E64" w:rsidP="00AE1DED">
            <w:pPr>
              <w:rPr>
                <w:color w:val="000000" w:themeColor="text1"/>
                <w:sz w:val="20"/>
                <w:szCs w:val="20"/>
              </w:rPr>
            </w:pPr>
            <w:r w:rsidRPr="00355772">
              <w:rPr>
                <w:color w:val="000000" w:themeColor="text1"/>
                <w:sz w:val="20"/>
                <w:szCs w:val="20"/>
              </w:rPr>
              <w:t>May be undercompensated for time</w:t>
            </w:r>
          </w:p>
        </w:tc>
      </w:tr>
      <w:tr w:rsidR="00355772" w:rsidRPr="00355772" w14:paraId="0049D8CC" w14:textId="77777777" w:rsidTr="00D91CFA">
        <w:trPr>
          <w:trHeight w:val="74"/>
        </w:trPr>
        <w:tc>
          <w:tcPr>
            <w:tcW w:w="2380" w:type="dxa"/>
            <w:tcBorders>
              <w:top w:val="nil"/>
              <w:left w:val="single" w:sz="8" w:space="0" w:color="BFBFBF"/>
              <w:bottom w:val="single" w:sz="4" w:space="0" w:color="BFBFBF"/>
              <w:right w:val="single" w:sz="4" w:space="0" w:color="BFBFBF"/>
            </w:tcBorders>
            <w:vAlign w:val="center"/>
            <w:hideMark/>
          </w:tcPr>
          <w:p w14:paraId="225206E2" w14:textId="77777777" w:rsidR="002B5E64" w:rsidRPr="00355772" w:rsidRDefault="002B5E64" w:rsidP="00AE1DED">
            <w:pPr>
              <w:rPr>
                <w:color w:val="000000" w:themeColor="text1"/>
                <w:sz w:val="20"/>
                <w:szCs w:val="20"/>
              </w:rPr>
            </w:pPr>
            <w:r w:rsidRPr="00355772">
              <w:rPr>
                <w:color w:val="000000" w:themeColor="text1"/>
                <w:sz w:val="20"/>
                <w:szCs w:val="20"/>
              </w:rPr>
              <w:t>Concentrated liquidity option</w:t>
            </w:r>
          </w:p>
        </w:tc>
        <w:tc>
          <w:tcPr>
            <w:tcW w:w="2240" w:type="dxa"/>
            <w:tcBorders>
              <w:top w:val="nil"/>
              <w:left w:val="nil"/>
              <w:bottom w:val="single" w:sz="4" w:space="0" w:color="BFBFBF"/>
              <w:right w:val="single" w:sz="4" w:space="0" w:color="BFBFBF"/>
            </w:tcBorders>
            <w:vAlign w:val="center"/>
            <w:hideMark/>
          </w:tcPr>
          <w:p w14:paraId="3FDEE2CB" w14:textId="77777777" w:rsidR="002B5E64" w:rsidRPr="00355772" w:rsidRDefault="002B5E64" w:rsidP="00AE1DED">
            <w:pPr>
              <w:rPr>
                <w:color w:val="000000" w:themeColor="text1"/>
                <w:sz w:val="20"/>
                <w:szCs w:val="20"/>
              </w:rPr>
            </w:pPr>
            <w:r w:rsidRPr="00355772">
              <w:rPr>
                <w:color w:val="000000" w:themeColor="text1"/>
                <w:sz w:val="20"/>
                <w:szCs w:val="20"/>
              </w:rPr>
              <w:t>Can manage concentrated positions</w:t>
            </w:r>
          </w:p>
        </w:tc>
        <w:tc>
          <w:tcPr>
            <w:tcW w:w="2660" w:type="dxa"/>
            <w:tcBorders>
              <w:top w:val="nil"/>
              <w:left w:val="nil"/>
              <w:bottom w:val="single" w:sz="4" w:space="0" w:color="BFBFBF"/>
              <w:right w:val="single" w:sz="4" w:space="0" w:color="BFBFBF"/>
            </w:tcBorders>
            <w:vAlign w:val="center"/>
            <w:hideMark/>
          </w:tcPr>
          <w:p w14:paraId="64AF65A7" w14:textId="77777777" w:rsidR="002B5E64" w:rsidRPr="00355772" w:rsidRDefault="002B5E64" w:rsidP="00AE1DED">
            <w:pPr>
              <w:rPr>
                <w:color w:val="000000" w:themeColor="text1"/>
                <w:sz w:val="20"/>
                <w:szCs w:val="20"/>
              </w:rPr>
            </w:pPr>
            <w:r w:rsidRPr="00355772">
              <w:rPr>
                <w:color w:val="000000" w:themeColor="text1"/>
                <w:sz w:val="20"/>
                <w:szCs w:val="20"/>
              </w:rPr>
              <w:t xml:space="preserve">Practiced on </w:t>
            </w:r>
            <w:proofErr w:type="spellStart"/>
            <w:r w:rsidRPr="00355772">
              <w:rPr>
                <w:color w:val="000000" w:themeColor="text1"/>
                <w:sz w:val="20"/>
                <w:szCs w:val="20"/>
              </w:rPr>
              <w:t>testnet</w:t>
            </w:r>
            <w:proofErr w:type="spellEnd"/>
            <w:r w:rsidRPr="00355772">
              <w:rPr>
                <w:color w:val="000000" w:themeColor="text1"/>
                <w:sz w:val="20"/>
                <w:szCs w:val="20"/>
              </w:rPr>
              <w:t xml:space="preserve"> with real monitoring?</w:t>
            </w:r>
          </w:p>
        </w:tc>
        <w:tc>
          <w:tcPr>
            <w:tcW w:w="2300" w:type="dxa"/>
            <w:tcBorders>
              <w:top w:val="nil"/>
              <w:left w:val="nil"/>
              <w:bottom w:val="single" w:sz="4" w:space="0" w:color="BFBFBF"/>
              <w:right w:val="single" w:sz="8" w:space="0" w:color="BFBFBF"/>
            </w:tcBorders>
            <w:vAlign w:val="center"/>
            <w:hideMark/>
          </w:tcPr>
          <w:p w14:paraId="37DBA4B1" w14:textId="77777777" w:rsidR="002B5E64" w:rsidRPr="00355772" w:rsidRDefault="002B5E64" w:rsidP="00AE1DED">
            <w:pPr>
              <w:rPr>
                <w:color w:val="000000" w:themeColor="text1"/>
                <w:sz w:val="20"/>
                <w:szCs w:val="20"/>
              </w:rPr>
            </w:pPr>
            <w:r w:rsidRPr="00355772">
              <w:rPr>
                <w:color w:val="000000" w:themeColor="text1"/>
                <w:sz w:val="20"/>
                <w:szCs w:val="20"/>
              </w:rPr>
              <w:t>Will lose money on concentrated LP</w:t>
            </w:r>
          </w:p>
        </w:tc>
      </w:tr>
      <w:tr w:rsidR="00355772" w:rsidRPr="00355772" w14:paraId="499AD70C" w14:textId="77777777" w:rsidTr="00B14022">
        <w:trPr>
          <w:trHeight w:val="340"/>
        </w:trPr>
        <w:tc>
          <w:tcPr>
            <w:tcW w:w="9580" w:type="dxa"/>
            <w:gridSpan w:val="4"/>
            <w:tcBorders>
              <w:top w:val="single" w:sz="4" w:space="0" w:color="BFBFBF"/>
              <w:left w:val="single" w:sz="8" w:space="0" w:color="BFBFBF"/>
              <w:bottom w:val="single" w:sz="4" w:space="0" w:color="BFBFBF"/>
              <w:right w:val="single" w:sz="8" w:space="0" w:color="BFBFBF"/>
            </w:tcBorders>
            <w:shd w:val="clear" w:color="auto" w:fill="D9D9D9" w:themeFill="background1" w:themeFillShade="D9"/>
            <w:vAlign w:val="center"/>
            <w:hideMark/>
          </w:tcPr>
          <w:p w14:paraId="2C0EA9F5" w14:textId="77777777" w:rsidR="002B5E64" w:rsidRPr="00355772" w:rsidRDefault="002B5E64" w:rsidP="00AE1DED">
            <w:pPr>
              <w:jc w:val="center"/>
              <w:rPr>
                <w:b/>
                <w:bCs/>
                <w:color w:val="000000" w:themeColor="text1"/>
                <w:sz w:val="20"/>
                <w:szCs w:val="20"/>
              </w:rPr>
            </w:pPr>
            <w:r w:rsidRPr="00355772">
              <w:rPr>
                <w:b/>
                <w:bCs/>
                <w:color w:val="000000" w:themeColor="text1"/>
                <w:sz w:val="20"/>
                <w:szCs w:val="20"/>
              </w:rPr>
              <w:t>COMPETENCE</w:t>
            </w:r>
          </w:p>
        </w:tc>
      </w:tr>
      <w:tr w:rsidR="00355772" w:rsidRPr="00355772" w14:paraId="7BA04A45" w14:textId="77777777" w:rsidTr="00D91CFA">
        <w:trPr>
          <w:trHeight w:val="74"/>
        </w:trPr>
        <w:tc>
          <w:tcPr>
            <w:tcW w:w="2380" w:type="dxa"/>
            <w:tcBorders>
              <w:top w:val="nil"/>
              <w:left w:val="single" w:sz="8" w:space="0" w:color="BFBFBF"/>
              <w:bottom w:val="single" w:sz="4" w:space="0" w:color="BFBFBF"/>
              <w:right w:val="single" w:sz="4" w:space="0" w:color="BFBFBF"/>
            </w:tcBorders>
            <w:vAlign w:val="center"/>
            <w:hideMark/>
          </w:tcPr>
          <w:p w14:paraId="5438D4AE" w14:textId="77777777" w:rsidR="002B5E64" w:rsidRPr="00355772" w:rsidRDefault="002B5E64" w:rsidP="00AE1DED">
            <w:pPr>
              <w:rPr>
                <w:color w:val="000000" w:themeColor="text1"/>
                <w:sz w:val="20"/>
                <w:szCs w:val="20"/>
              </w:rPr>
            </w:pPr>
            <w:r w:rsidRPr="00355772">
              <w:rPr>
                <w:color w:val="000000" w:themeColor="text1"/>
                <w:sz w:val="20"/>
                <w:szCs w:val="20"/>
              </w:rPr>
              <w:t>Advanced DeFi concepts</w:t>
            </w:r>
          </w:p>
        </w:tc>
        <w:tc>
          <w:tcPr>
            <w:tcW w:w="2240" w:type="dxa"/>
            <w:tcBorders>
              <w:top w:val="nil"/>
              <w:left w:val="nil"/>
              <w:bottom w:val="single" w:sz="4" w:space="0" w:color="BFBFBF"/>
              <w:right w:val="single" w:sz="4" w:space="0" w:color="BFBFBF"/>
            </w:tcBorders>
            <w:vAlign w:val="center"/>
            <w:hideMark/>
          </w:tcPr>
          <w:p w14:paraId="2343F194" w14:textId="77777777" w:rsidR="002B5E64" w:rsidRPr="00355772" w:rsidRDefault="002B5E64" w:rsidP="00AE1DED">
            <w:pPr>
              <w:rPr>
                <w:color w:val="000000" w:themeColor="text1"/>
                <w:sz w:val="20"/>
                <w:szCs w:val="20"/>
              </w:rPr>
            </w:pPr>
            <w:r w:rsidRPr="00355772">
              <w:rPr>
                <w:color w:val="000000" w:themeColor="text1"/>
                <w:sz w:val="20"/>
                <w:szCs w:val="20"/>
              </w:rPr>
              <w:t xml:space="preserve">Understand MEV, governance, </w:t>
            </w:r>
            <w:proofErr w:type="spellStart"/>
            <w:r w:rsidRPr="00355772">
              <w:rPr>
                <w:color w:val="000000" w:themeColor="text1"/>
                <w:sz w:val="20"/>
                <w:szCs w:val="20"/>
              </w:rPr>
              <w:t>tokenomics</w:t>
            </w:r>
            <w:proofErr w:type="spellEnd"/>
          </w:p>
        </w:tc>
        <w:tc>
          <w:tcPr>
            <w:tcW w:w="2660" w:type="dxa"/>
            <w:tcBorders>
              <w:top w:val="nil"/>
              <w:left w:val="nil"/>
              <w:bottom w:val="single" w:sz="4" w:space="0" w:color="BFBFBF"/>
              <w:right w:val="single" w:sz="4" w:space="0" w:color="BFBFBF"/>
            </w:tcBorders>
            <w:vAlign w:val="center"/>
            <w:hideMark/>
          </w:tcPr>
          <w:p w14:paraId="0097707E" w14:textId="77777777" w:rsidR="002B5E64" w:rsidRPr="00355772" w:rsidRDefault="002B5E64" w:rsidP="00AE1DED">
            <w:pPr>
              <w:rPr>
                <w:color w:val="000000" w:themeColor="text1"/>
                <w:sz w:val="20"/>
                <w:szCs w:val="20"/>
              </w:rPr>
            </w:pPr>
            <w:proofErr w:type="gramStart"/>
            <w:r w:rsidRPr="00355772">
              <w:rPr>
                <w:color w:val="000000" w:themeColor="text1"/>
                <w:sz w:val="20"/>
                <w:szCs w:val="20"/>
              </w:rPr>
              <w:t>Can</w:t>
            </w:r>
            <w:proofErr w:type="gramEnd"/>
            <w:r w:rsidRPr="00355772">
              <w:rPr>
                <w:color w:val="000000" w:themeColor="text1"/>
                <w:sz w:val="20"/>
                <w:szCs w:val="20"/>
              </w:rPr>
              <w:t xml:space="preserve"> explain how governance attacks work?</w:t>
            </w:r>
          </w:p>
        </w:tc>
        <w:tc>
          <w:tcPr>
            <w:tcW w:w="2300" w:type="dxa"/>
            <w:tcBorders>
              <w:top w:val="nil"/>
              <w:left w:val="nil"/>
              <w:bottom w:val="single" w:sz="4" w:space="0" w:color="BFBFBF"/>
              <w:right w:val="single" w:sz="8" w:space="0" w:color="BFBFBF"/>
            </w:tcBorders>
            <w:vAlign w:val="center"/>
            <w:hideMark/>
          </w:tcPr>
          <w:p w14:paraId="4CC34E51" w14:textId="77777777" w:rsidR="002B5E64" w:rsidRPr="00355772" w:rsidRDefault="002B5E64" w:rsidP="00AE1DED">
            <w:pPr>
              <w:rPr>
                <w:color w:val="000000" w:themeColor="text1"/>
                <w:sz w:val="20"/>
                <w:szCs w:val="20"/>
              </w:rPr>
            </w:pPr>
            <w:r w:rsidRPr="00355772">
              <w:rPr>
                <w:color w:val="000000" w:themeColor="text1"/>
                <w:sz w:val="20"/>
                <w:szCs w:val="20"/>
              </w:rPr>
              <w:t>Vulnerable to risks you don't understand</w:t>
            </w:r>
          </w:p>
        </w:tc>
      </w:tr>
      <w:tr w:rsidR="00355772" w:rsidRPr="00355772" w14:paraId="73A4A5D7" w14:textId="77777777" w:rsidTr="00D91CFA">
        <w:trPr>
          <w:trHeight w:val="74"/>
        </w:trPr>
        <w:tc>
          <w:tcPr>
            <w:tcW w:w="2380" w:type="dxa"/>
            <w:tcBorders>
              <w:top w:val="nil"/>
              <w:left w:val="single" w:sz="8" w:space="0" w:color="BFBFBF"/>
              <w:bottom w:val="single" w:sz="4" w:space="0" w:color="BFBFBF"/>
              <w:right w:val="single" w:sz="4" w:space="0" w:color="BFBFBF"/>
            </w:tcBorders>
            <w:vAlign w:val="center"/>
            <w:hideMark/>
          </w:tcPr>
          <w:p w14:paraId="4F4E445C" w14:textId="77777777" w:rsidR="002B5E64" w:rsidRPr="00355772" w:rsidRDefault="002B5E64" w:rsidP="00AE1DED">
            <w:pPr>
              <w:rPr>
                <w:color w:val="000000" w:themeColor="text1"/>
                <w:sz w:val="20"/>
                <w:szCs w:val="20"/>
              </w:rPr>
            </w:pPr>
            <w:r w:rsidRPr="00355772">
              <w:rPr>
                <w:color w:val="000000" w:themeColor="text1"/>
                <w:sz w:val="20"/>
                <w:szCs w:val="20"/>
              </w:rPr>
              <w:t>Smart contract risks</w:t>
            </w:r>
          </w:p>
        </w:tc>
        <w:tc>
          <w:tcPr>
            <w:tcW w:w="2240" w:type="dxa"/>
            <w:tcBorders>
              <w:top w:val="nil"/>
              <w:left w:val="nil"/>
              <w:bottom w:val="single" w:sz="4" w:space="0" w:color="BFBFBF"/>
              <w:right w:val="single" w:sz="4" w:space="0" w:color="BFBFBF"/>
            </w:tcBorders>
            <w:vAlign w:val="center"/>
            <w:hideMark/>
          </w:tcPr>
          <w:p w14:paraId="08A14AAD" w14:textId="77777777" w:rsidR="002B5E64" w:rsidRPr="00355772" w:rsidRDefault="002B5E64" w:rsidP="00AE1DED">
            <w:pPr>
              <w:rPr>
                <w:color w:val="000000" w:themeColor="text1"/>
                <w:sz w:val="20"/>
                <w:szCs w:val="20"/>
              </w:rPr>
            </w:pPr>
            <w:r w:rsidRPr="00355772">
              <w:rPr>
                <w:color w:val="000000" w:themeColor="text1"/>
                <w:sz w:val="20"/>
                <w:szCs w:val="20"/>
              </w:rPr>
              <w:t>Can read basic Solidity, understand audits</w:t>
            </w:r>
          </w:p>
        </w:tc>
        <w:tc>
          <w:tcPr>
            <w:tcW w:w="2660" w:type="dxa"/>
            <w:tcBorders>
              <w:top w:val="nil"/>
              <w:left w:val="nil"/>
              <w:bottom w:val="single" w:sz="4" w:space="0" w:color="BFBFBF"/>
              <w:right w:val="single" w:sz="4" w:space="0" w:color="BFBFBF"/>
            </w:tcBorders>
            <w:vAlign w:val="center"/>
            <w:hideMark/>
          </w:tcPr>
          <w:p w14:paraId="2EBA8CBD" w14:textId="77777777" w:rsidR="002B5E64" w:rsidRPr="00355772" w:rsidRDefault="002B5E64" w:rsidP="00AE1DED">
            <w:pPr>
              <w:rPr>
                <w:color w:val="000000" w:themeColor="text1"/>
                <w:sz w:val="20"/>
                <w:szCs w:val="20"/>
              </w:rPr>
            </w:pPr>
            <w:r w:rsidRPr="00355772">
              <w:rPr>
                <w:color w:val="000000" w:themeColor="text1"/>
                <w:sz w:val="20"/>
                <w:szCs w:val="20"/>
              </w:rPr>
              <w:t>Reviewed code for protocols you'll use?</w:t>
            </w:r>
          </w:p>
        </w:tc>
        <w:tc>
          <w:tcPr>
            <w:tcW w:w="2300" w:type="dxa"/>
            <w:tcBorders>
              <w:top w:val="nil"/>
              <w:left w:val="nil"/>
              <w:bottom w:val="single" w:sz="4" w:space="0" w:color="BFBFBF"/>
              <w:right w:val="single" w:sz="8" w:space="0" w:color="BFBFBF"/>
            </w:tcBorders>
            <w:vAlign w:val="center"/>
            <w:hideMark/>
          </w:tcPr>
          <w:p w14:paraId="45B609D9" w14:textId="77777777" w:rsidR="002B5E64" w:rsidRPr="00355772" w:rsidRDefault="002B5E64" w:rsidP="00AE1DED">
            <w:pPr>
              <w:rPr>
                <w:color w:val="000000" w:themeColor="text1"/>
                <w:sz w:val="20"/>
                <w:szCs w:val="20"/>
              </w:rPr>
            </w:pPr>
            <w:r w:rsidRPr="00355772">
              <w:rPr>
                <w:color w:val="000000" w:themeColor="text1"/>
                <w:sz w:val="20"/>
                <w:szCs w:val="20"/>
              </w:rPr>
              <w:t>Cannot assess technical risks</w:t>
            </w:r>
          </w:p>
        </w:tc>
      </w:tr>
      <w:tr w:rsidR="00355772" w:rsidRPr="00355772" w14:paraId="76C3AFBA" w14:textId="77777777" w:rsidTr="00D91CFA">
        <w:trPr>
          <w:trHeight w:val="74"/>
        </w:trPr>
        <w:tc>
          <w:tcPr>
            <w:tcW w:w="2380" w:type="dxa"/>
            <w:tcBorders>
              <w:top w:val="nil"/>
              <w:left w:val="single" w:sz="8" w:space="0" w:color="BFBFBF"/>
              <w:bottom w:val="single" w:sz="4" w:space="0" w:color="BFBFBF"/>
              <w:right w:val="single" w:sz="4" w:space="0" w:color="BFBFBF"/>
            </w:tcBorders>
            <w:vAlign w:val="center"/>
            <w:hideMark/>
          </w:tcPr>
          <w:p w14:paraId="0E7B2B69" w14:textId="77777777" w:rsidR="002B5E64" w:rsidRPr="00355772" w:rsidRDefault="002B5E64" w:rsidP="00AE1DED">
            <w:pPr>
              <w:rPr>
                <w:color w:val="000000" w:themeColor="text1"/>
                <w:sz w:val="20"/>
                <w:szCs w:val="20"/>
              </w:rPr>
            </w:pPr>
            <w:r w:rsidRPr="00355772">
              <w:rPr>
                <w:color w:val="000000" w:themeColor="text1"/>
                <w:sz w:val="20"/>
                <w:szCs w:val="20"/>
              </w:rPr>
              <w:lastRenderedPageBreak/>
              <w:t>Protocol governance</w:t>
            </w:r>
          </w:p>
        </w:tc>
        <w:tc>
          <w:tcPr>
            <w:tcW w:w="2240" w:type="dxa"/>
            <w:tcBorders>
              <w:top w:val="nil"/>
              <w:left w:val="nil"/>
              <w:bottom w:val="single" w:sz="4" w:space="0" w:color="BFBFBF"/>
              <w:right w:val="single" w:sz="4" w:space="0" w:color="BFBFBF"/>
            </w:tcBorders>
            <w:vAlign w:val="center"/>
            <w:hideMark/>
          </w:tcPr>
          <w:p w14:paraId="263D09D4" w14:textId="77777777" w:rsidR="002B5E64" w:rsidRPr="00355772" w:rsidRDefault="002B5E64" w:rsidP="00AE1DED">
            <w:pPr>
              <w:rPr>
                <w:color w:val="000000" w:themeColor="text1"/>
                <w:sz w:val="20"/>
                <w:szCs w:val="20"/>
              </w:rPr>
            </w:pPr>
            <w:proofErr w:type="gramStart"/>
            <w:r w:rsidRPr="00355772">
              <w:rPr>
                <w:color w:val="000000" w:themeColor="text1"/>
                <w:sz w:val="20"/>
                <w:szCs w:val="20"/>
              </w:rPr>
              <w:t>Participate</w:t>
            </w:r>
            <w:proofErr w:type="gramEnd"/>
            <w:r w:rsidRPr="00355772">
              <w:rPr>
                <w:color w:val="000000" w:themeColor="text1"/>
                <w:sz w:val="20"/>
                <w:szCs w:val="20"/>
              </w:rPr>
              <w:t xml:space="preserve"> in governance decisions</w:t>
            </w:r>
          </w:p>
        </w:tc>
        <w:tc>
          <w:tcPr>
            <w:tcW w:w="2660" w:type="dxa"/>
            <w:tcBorders>
              <w:top w:val="nil"/>
              <w:left w:val="nil"/>
              <w:bottom w:val="single" w:sz="4" w:space="0" w:color="BFBFBF"/>
              <w:right w:val="single" w:sz="4" w:space="0" w:color="BFBFBF"/>
            </w:tcBorders>
            <w:vAlign w:val="center"/>
            <w:hideMark/>
          </w:tcPr>
          <w:p w14:paraId="0EAEC3B7" w14:textId="77777777" w:rsidR="002B5E64" w:rsidRPr="00355772" w:rsidRDefault="002B5E64" w:rsidP="00AE1DED">
            <w:pPr>
              <w:rPr>
                <w:color w:val="000000" w:themeColor="text1"/>
                <w:sz w:val="20"/>
                <w:szCs w:val="20"/>
              </w:rPr>
            </w:pPr>
            <w:r w:rsidRPr="00355772">
              <w:rPr>
                <w:color w:val="000000" w:themeColor="text1"/>
                <w:sz w:val="20"/>
                <w:szCs w:val="20"/>
              </w:rPr>
              <w:t>Voted in test governance proposals?</w:t>
            </w:r>
          </w:p>
        </w:tc>
        <w:tc>
          <w:tcPr>
            <w:tcW w:w="2300" w:type="dxa"/>
            <w:tcBorders>
              <w:top w:val="nil"/>
              <w:left w:val="nil"/>
              <w:bottom w:val="single" w:sz="4" w:space="0" w:color="BFBFBF"/>
              <w:right w:val="single" w:sz="8" w:space="0" w:color="BFBFBF"/>
            </w:tcBorders>
            <w:vAlign w:val="center"/>
            <w:hideMark/>
          </w:tcPr>
          <w:p w14:paraId="6196F1B6" w14:textId="77777777" w:rsidR="002B5E64" w:rsidRPr="00355772" w:rsidRDefault="002B5E64" w:rsidP="00AE1DED">
            <w:pPr>
              <w:rPr>
                <w:color w:val="000000" w:themeColor="text1"/>
                <w:sz w:val="20"/>
                <w:szCs w:val="20"/>
              </w:rPr>
            </w:pPr>
            <w:r w:rsidRPr="00355772">
              <w:rPr>
                <w:color w:val="000000" w:themeColor="text1"/>
                <w:sz w:val="20"/>
                <w:szCs w:val="20"/>
              </w:rPr>
              <w:t>Miss important protocol changes</w:t>
            </w:r>
          </w:p>
        </w:tc>
      </w:tr>
      <w:tr w:rsidR="00355772" w:rsidRPr="00355772" w14:paraId="50208844" w14:textId="77777777" w:rsidTr="00B14022">
        <w:trPr>
          <w:trHeight w:val="340"/>
        </w:trPr>
        <w:tc>
          <w:tcPr>
            <w:tcW w:w="9580" w:type="dxa"/>
            <w:gridSpan w:val="4"/>
            <w:tcBorders>
              <w:top w:val="single" w:sz="4" w:space="0" w:color="BFBFBF"/>
              <w:left w:val="single" w:sz="8" w:space="0" w:color="BFBFBF"/>
              <w:bottom w:val="single" w:sz="4" w:space="0" w:color="BFBFBF"/>
              <w:right w:val="single" w:sz="8" w:space="0" w:color="BFBFBF"/>
            </w:tcBorders>
            <w:shd w:val="clear" w:color="auto" w:fill="D9D9D9" w:themeFill="background1" w:themeFillShade="D9"/>
            <w:vAlign w:val="center"/>
            <w:hideMark/>
          </w:tcPr>
          <w:p w14:paraId="4C395FE4" w14:textId="77777777" w:rsidR="002B5E64" w:rsidRPr="00355772" w:rsidRDefault="002B5E64" w:rsidP="00AE1DED">
            <w:pPr>
              <w:jc w:val="center"/>
              <w:rPr>
                <w:b/>
                <w:bCs/>
                <w:color w:val="000000" w:themeColor="text1"/>
                <w:sz w:val="20"/>
                <w:szCs w:val="20"/>
              </w:rPr>
            </w:pPr>
            <w:r w:rsidRPr="00355772">
              <w:rPr>
                <w:b/>
                <w:bCs/>
                <w:color w:val="000000" w:themeColor="text1"/>
                <w:sz w:val="20"/>
                <w:szCs w:val="20"/>
              </w:rPr>
              <w:t>TIME</w:t>
            </w:r>
          </w:p>
        </w:tc>
      </w:tr>
      <w:tr w:rsidR="00355772" w:rsidRPr="00355772" w14:paraId="53873990" w14:textId="77777777" w:rsidTr="00D91CFA">
        <w:trPr>
          <w:trHeight w:val="74"/>
        </w:trPr>
        <w:tc>
          <w:tcPr>
            <w:tcW w:w="2380" w:type="dxa"/>
            <w:tcBorders>
              <w:top w:val="nil"/>
              <w:left w:val="single" w:sz="8" w:space="0" w:color="BFBFBF"/>
              <w:bottom w:val="single" w:sz="4" w:space="0" w:color="BFBFBF"/>
              <w:right w:val="single" w:sz="4" w:space="0" w:color="BFBFBF"/>
            </w:tcBorders>
            <w:vAlign w:val="center"/>
            <w:hideMark/>
          </w:tcPr>
          <w:p w14:paraId="0B187BC3" w14:textId="77777777" w:rsidR="002B5E64" w:rsidRPr="00355772" w:rsidRDefault="002B5E64" w:rsidP="00AE1DED">
            <w:pPr>
              <w:rPr>
                <w:color w:val="000000" w:themeColor="text1"/>
                <w:sz w:val="20"/>
                <w:szCs w:val="20"/>
              </w:rPr>
            </w:pPr>
            <w:r w:rsidRPr="00355772">
              <w:rPr>
                <w:color w:val="000000" w:themeColor="text1"/>
                <w:sz w:val="20"/>
                <w:szCs w:val="20"/>
              </w:rPr>
              <w:t>Weekly commitment</w:t>
            </w:r>
          </w:p>
        </w:tc>
        <w:tc>
          <w:tcPr>
            <w:tcW w:w="2240" w:type="dxa"/>
            <w:tcBorders>
              <w:top w:val="nil"/>
              <w:left w:val="nil"/>
              <w:bottom w:val="single" w:sz="4" w:space="0" w:color="BFBFBF"/>
              <w:right w:val="single" w:sz="4" w:space="0" w:color="BFBFBF"/>
            </w:tcBorders>
            <w:vAlign w:val="center"/>
            <w:hideMark/>
          </w:tcPr>
          <w:p w14:paraId="4550A043" w14:textId="77777777" w:rsidR="002B5E64" w:rsidRPr="00355772" w:rsidRDefault="002B5E64" w:rsidP="00AE1DED">
            <w:pPr>
              <w:rPr>
                <w:color w:val="000000" w:themeColor="text1"/>
                <w:sz w:val="20"/>
                <w:szCs w:val="20"/>
              </w:rPr>
            </w:pPr>
            <w:r w:rsidRPr="00355772">
              <w:rPr>
                <w:color w:val="000000" w:themeColor="text1"/>
                <w:sz w:val="20"/>
                <w:szCs w:val="20"/>
              </w:rPr>
              <w:t>15-20 hours/week available</w:t>
            </w:r>
          </w:p>
        </w:tc>
        <w:tc>
          <w:tcPr>
            <w:tcW w:w="2660" w:type="dxa"/>
            <w:tcBorders>
              <w:top w:val="nil"/>
              <w:left w:val="nil"/>
              <w:bottom w:val="single" w:sz="4" w:space="0" w:color="BFBFBF"/>
              <w:right w:val="single" w:sz="4" w:space="0" w:color="BFBFBF"/>
            </w:tcBorders>
            <w:vAlign w:val="center"/>
            <w:hideMark/>
          </w:tcPr>
          <w:p w14:paraId="4120FB90" w14:textId="77777777" w:rsidR="002B5E64" w:rsidRPr="00355772" w:rsidRDefault="002B5E64" w:rsidP="00AE1DED">
            <w:pPr>
              <w:rPr>
                <w:color w:val="000000" w:themeColor="text1"/>
                <w:sz w:val="20"/>
                <w:szCs w:val="20"/>
              </w:rPr>
            </w:pPr>
            <w:r w:rsidRPr="00355772">
              <w:rPr>
                <w:color w:val="000000" w:themeColor="text1"/>
                <w:sz w:val="20"/>
                <w:szCs w:val="20"/>
              </w:rPr>
              <w:t xml:space="preserve">This time </w:t>
            </w:r>
            <w:proofErr w:type="gramStart"/>
            <w:r w:rsidRPr="00355772">
              <w:rPr>
                <w:color w:val="000000" w:themeColor="text1"/>
                <w:sz w:val="20"/>
                <w:szCs w:val="20"/>
              </w:rPr>
              <w:t>genuinely</w:t>
            </w:r>
            <w:proofErr w:type="gramEnd"/>
            <w:r w:rsidRPr="00355772">
              <w:rPr>
                <w:color w:val="000000" w:themeColor="text1"/>
                <w:sz w:val="20"/>
                <w:szCs w:val="20"/>
              </w:rPr>
              <w:t xml:space="preserve"> available weekly?</w:t>
            </w:r>
          </w:p>
        </w:tc>
        <w:tc>
          <w:tcPr>
            <w:tcW w:w="2300" w:type="dxa"/>
            <w:tcBorders>
              <w:top w:val="nil"/>
              <w:left w:val="nil"/>
              <w:bottom w:val="single" w:sz="4" w:space="0" w:color="BFBFBF"/>
              <w:right w:val="single" w:sz="8" w:space="0" w:color="BFBFBF"/>
            </w:tcBorders>
            <w:vAlign w:val="center"/>
            <w:hideMark/>
          </w:tcPr>
          <w:p w14:paraId="295F9942" w14:textId="77777777" w:rsidR="002B5E64" w:rsidRPr="00355772" w:rsidRDefault="002B5E64" w:rsidP="00AE1DED">
            <w:pPr>
              <w:rPr>
                <w:color w:val="000000" w:themeColor="text1"/>
                <w:sz w:val="20"/>
                <w:szCs w:val="20"/>
              </w:rPr>
            </w:pPr>
            <w:r w:rsidRPr="00355772">
              <w:rPr>
                <w:color w:val="000000" w:themeColor="text1"/>
                <w:sz w:val="20"/>
                <w:szCs w:val="20"/>
              </w:rPr>
              <w:t>Cannot sustain required effort</w:t>
            </w:r>
          </w:p>
        </w:tc>
      </w:tr>
      <w:tr w:rsidR="00355772" w:rsidRPr="00355772" w14:paraId="1EE50906" w14:textId="77777777" w:rsidTr="00D91CFA">
        <w:trPr>
          <w:trHeight w:val="74"/>
        </w:trPr>
        <w:tc>
          <w:tcPr>
            <w:tcW w:w="2380" w:type="dxa"/>
            <w:tcBorders>
              <w:top w:val="nil"/>
              <w:left w:val="single" w:sz="8" w:space="0" w:color="BFBFBF"/>
              <w:bottom w:val="single" w:sz="4" w:space="0" w:color="BFBFBF"/>
              <w:right w:val="single" w:sz="4" w:space="0" w:color="BFBFBF"/>
            </w:tcBorders>
            <w:vAlign w:val="center"/>
            <w:hideMark/>
          </w:tcPr>
          <w:p w14:paraId="05B8392F" w14:textId="77777777" w:rsidR="002B5E64" w:rsidRPr="00355772" w:rsidRDefault="002B5E64" w:rsidP="00AE1DED">
            <w:pPr>
              <w:rPr>
                <w:color w:val="000000" w:themeColor="text1"/>
                <w:sz w:val="20"/>
                <w:szCs w:val="20"/>
              </w:rPr>
            </w:pPr>
            <w:r w:rsidRPr="00355772">
              <w:rPr>
                <w:color w:val="000000" w:themeColor="text1"/>
                <w:sz w:val="20"/>
                <w:szCs w:val="20"/>
              </w:rPr>
              <w:t>Professional approach</w:t>
            </w:r>
          </w:p>
        </w:tc>
        <w:tc>
          <w:tcPr>
            <w:tcW w:w="2240" w:type="dxa"/>
            <w:tcBorders>
              <w:top w:val="nil"/>
              <w:left w:val="nil"/>
              <w:bottom w:val="single" w:sz="4" w:space="0" w:color="BFBFBF"/>
              <w:right w:val="single" w:sz="4" w:space="0" w:color="BFBFBF"/>
            </w:tcBorders>
            <w:vAlign w:val="center"/>
            <w:hideMark/>
          </w:tcPr>
          <w:p w14:paraId="07767AD2" w14:textId="77777777" w:rsidR="002B5E64" w:rsidRPr="00355772" w:rsidRDefault="002B5E64" w:rsidP="00AE1DED">
            <w:pPr>
              <w:rPr>
                <w:color w:val="000000" w:themeColor="text1"/>
                <w:sz w:val="20"/>
                <w:szCs w:val="20"/>
              </w:rPr>
            </w:pPr>
            <w:r w:rsidRPr="00355772">
              <w:rPr>
                <w:color w:val="000000" w:themeColor="text1"/>
                <w:sz w:val="20"/>
                <w:szCs w:val="20"/>
              </w:rPr>
              <w:t>Treat as part-time job, not hobby</w:t>
            </w:r>
          </w:p>
        </w:tc>
        <w:tc>
          <w:tcPr>
            <w:tcW w:w="2660" w:type="dxa"/>
            <w:tcBorders>
              <w:top w:val="nil"/>
              <w:left w:val="nil"/>
              <w:bottom w:val="single" w:sz="4" w:space="0" w:color="BFBFBF"/>
              <w:right w:val="single" w:sz="4" w:space="0" w:color="BFBFBF"/>
            </w:tcBorders>
            <w:vAlign w:val="center"/>
            <w:hideMark/>
          </w:tcPr>
          <w:p w14:paraId="67528D59" w14:textId="77777777" w:rsidR="002B5E64" w:rsidRPr="00355772" w:rsidRDefault="002B5E64" w:rsidP="00AE1DED">
            <w:pPr>
              <w:rPr>
                <w:color w:val="000000" w:themeColor="text1"/>
                <w:sz w:val="20"/>
                <w:szCs w:val="20"/>
              </w:rPr>
            </w:pPr>
            <w:r w:rsidRPr="00355772">
              <w:rPr>
                <w:color w:val="000000" w:themeColor="text1"/>
                <w:sz w:val="20"/>
                <w:szCs w:val="20"/>
              </w:rPr>
              <w:t>Created operational procedures document?</w:t>
            </w:r>
          </w:p>
        </w:tc>
        <w:tc>
          <w:tcPr>
            <w:tcW w:w="2300" w:type="dxa"/>
            <w:tcBorders>
              <w:top w:val="nil"/>
              <w:left w:val="nil"/>
              <w:bottom w:val="single" w:sz="4" w:space="0" w:color="BFBFBF"/>
              <w:right w:val="single" w:sz="8" w:space="0" w:color="BFBFBF"/>
            </w:tcBorders>
            <w:vAlign w:val="center"/>
            <w:hideMark/>
          </w:tcPr>
          <w:p w14:paraId="65057EF9" w14:textId="77777777" w:rsidR="002B5E64" w:rsidRPr="00355772" w:rsidRDefault="002B5E64" w:rsidP="00AE1DED">
            <w:pPr>
              <w:rPr>
                <w:color w:val="000000" w:themeColor="text1"/>
                <w:sz w:val="20"/>
                <w:szCs w:val="20"/>
              </w:rPr>
            </w:pPr>
            <w:r w:rsidRPr="00355772">
              <w:rPr>
                <w:color w:val="000000" w:themeColor="text1"/>
                <w:sz w:val="20"/>
                <w:szCs w:val="20"/>
              </w:rPr>
              <w:t>Ad-hoc approach will cause errors</w:t>
            </w:r>
          </w:p>
        </w:tc>
      </w:tr>
      <w:tr w:rsidR="00355772" w:rsidRPr="00355772" w14:paraId="0B407A7E" w14:textId="77777777" w:rsidTr="00D91CFA">
        <w:trPr>
          <w:trHeight w:val="74"/>
        </w:trPr>
        <w:tc>
          <w:tcPr>
            <w:tcW w:w="2380" w:type="dxa"/>
            <w:tcBorders>
              <w:top w:val="nil"/>
              <w:left w:val="single" w:sz="8" w:space="0" w:color="BFBFBF"/>
              <w:bottom w:val="single" w:sz="4" w:space="0" w:color="BFBFBF"/>
              <w:right w:val="single" w:sz="4" w:space="0" w:color="BFBFBF"/>
            </w:tcBorders>
            <w:vAlign w:val="center"/>
            <w:hideMark/>
          </w:tcPr>
          <w:p w14:paraId="5397FA9A" w14:textId="77777777" w:rsidR="002B5E64" w:rsidRPr="00355772" w:rsidRDefault="002B5E64" w:rsidP="00AE1DED">
            <w:pPr>
              <w:rPr>
                <w:color w:val="000000" w:themeColor="text1"/>
                <w:sz w:val="20"/>
                <w:szCs w:val="20"/>
              </w:rPr>
            </w:pPr>
            <w:r w:rsidRPr="00355772">
              <w:rPr>
                <w:color w:val="000000" w:themeColor="text1"/>
                <w:sz w:val="20"/>
                <w:szCs w:val="20"/>
              </w:rPr>
              <w:t>Continuous education</w:t>
            </w:r>
          </w:p>
        </w:tc>
        <w:tc>
          <w:tcPr>
            <w:tcW w:w="2240" w:type="dxa"/>
            <w:tcBorders>
              <w:top w:val="nil"/>
              <w:left w:val="nil"/>
              <w:bottom w:val="single" w:sz="4" w:space="0" w:color="BFBFBF"/>
              <w:right w:val="single" w:sz="4" w:space="0" w:color="BFBFBF"/>
            </w:tcBorders>
            <w:vAlign w:val="center"/>
            <w:hideMark/>
          </w:tcPr>
          <w:p w14:paraId="0875D478" w14:textId="77777777" w:rsidR="002B5E64" w:rsidRPr="00355772" w:rsidRDefault="002B5E64" w:rsidP="00AE1DED">
            <w:pPr>
              <w:rPr>
                <w:color w:val="000000" w:themeColor="text1"/>
                <w:sz w:val="20"/>
                <w:szCs w:val="20"/>
              </w:rPr>
            </w:pPr>
            <w:r w:rsidRPr="00355772">
              <w:rPr>
                <w:color w:val="000000" w:themeColor="text1"/>
                <w:sz w:val="20"/>
                <w:szCs w:val="20"/>
              </w:rPr>
              <w:t>5 hours weekly staying current</w:t>
            </w:r>
          </w:p>
        </w:tc>
        <w:tc>
          <w:tcPr>
            <w:tcW w:w="2660" w:type="dxa"/>
            <w:tcBorders>
              <w:top w:val="nil"/>
              <w:left w:val="nil"/>
              <w:bottom w:val="single" w:sz="4" w:space="0" w:color="BFBFBF"/>
              <w:right w:val="single" w:sz="4" w:space="0" w:color="BFBFBF"/>
            </w:tcBorders>
            <w:vAlign w:val="center"/>
            <w:hideMark/>
          </w:tcPr>
          <w:p w14:paraId="2B64B000" w14:textId="77777777" w:rsidR="002B5E64" w:rsidRPr="00355772" w:rsidRDefault="002B5E64" w:rsidP="00AE1DED">
            <w:pPr>
              <w:rPr>
                <w:color w:val="000000" w:themeColor="text1"/>
                <w:sz w:val="20"/>
                <w:szCs w:val="20"/>
              </w:rPr>
            </w:pPr>
            <w:r w:rsidRPr="00355772">
              <w:rPr>
                <w:color w:val="000000" w:themeColor="text1"/>
                <w:sz w:val="20"/>
                <w:szCs w:val="20"/>
              </w:rPr>
              <w:t>Subscribed to protocol updates/newsletters?</w:t>
            </w:r>
          </w:p>
        </w:tc>
        <w:tc>
          <w:tcPr>
            <w:tcW w:w="2300" w:type="dxa"/>
            <w:tcBorders>
              <w:top w:val="nil"/>
              <w:left w:val="nil"/>
              <w:bottom w:val="single" w:sz="4" w:space="0" w:color="BFBFBF"/>
              <w:right w:val="single" w:sz="8" w:space="0" w:color="BFBFBF"/>
            </w:tcBorders>
            <w:vAlign w:val="center"/>
            <w:hideMark/>
          </w:tcPr>
          <w:p w14:paraId="50C0B083" w14:textId="77777777" w:rsidR="002B5E64" w:rsidRPr="00355772" w:rsidRDefault="002B5E64" w:rsidP="00AE1DED">
            <w:pPr>
              <w:rPr>
                <w:color w:val="000000" w:themeColor="text1"/>
                <w:sz w:val="20"/>
                <w:szCs w:val="20"/>
              </w:rPr>
            </w:pPr>
            <w:r w:rsidRPr="00355772">
              <w:rPr>
                <w:color w:val="000000" w:themeColor="text1"/>
                <w:sz w:val="20"/>
                <w:szCs w:val="20"/>
              </w:rPr>
              <w:t>Will miss critical information</w:t>
            </w:r>
          </w:p>
        </w:tc>
      </w:tr>
      <w:tr w:rsidR="00355772" w:rsidRPr="00355772" w14:paraId="1D144044" w14:textId="77777777" w:rsidTr="00B14022">
        <w:trPr>
          <w:trHeight w:val="320"/>
        </w:trPr>
        <w:tc>
          <w:tcPr>
            <w:tcW w:w="9580" w:type="dxa"/>
            <w:gridSpan w:val="4"/>
            <w:tcBorders>
              <w:top w:val="single" w:sz="4" w:space="0" w:color="BFBFBF"/>
              <w:left w:val="single" w:sz="8" w:space="0" w:color="BFBFBF"/>
              <w:bottom w:val="single" w:sz="4" w:space="0" w:color="BFBFBF"/>
              <w:right w:val="single" w:sz="8" w:space="0" w:color="BFBFBF"/>
            </w:tcBorders>
            <w:shd w:val="clear" w:color="auto" w:fill="D9D9D9" w:themeFill="background1" w:themeFillShade="D9"/>
            <w:vAlign w:val="center"/>
            <w:hideMark/>
          </w:tcPr>
          <w:p w14:paraId="43A7F2A3" w14:textId="77777777" w:rsidR="002B5E64" w:rsidRPr="00355772" w:rsidRDefault="002B5E64" w:rsidP="00AE1DED">
            <w:pPr>
              <w:jc w:val="center"/>
              <w:rPr>
                <w:b/>
                <w:bCs/>
                <w:color w:val="000000" w:themeColor="text1"/>
                <w:sz w:val="20"/>
                <w:szCs w:val="20"/>
              </w:rPr>
            </w:pPr>
            <w:r w:rsidRPr="00355772">
              <w:rPr>
                <w:b/>
                <w:bCs/>
                <w:color w:val="000000" w:themeColor="text1"/>
                <w:sz w:val="20"/>
                <w:szCs w:val="20"/>
              </w:rPr>
              <w:t>REALISTIC EXPECTATIONS</w:t>
            </w:r>
          </w:p>
        </w:tc>
      </w:tr>
      <w:tr w:rsidR="00355772" w:rsidRPr="00355772" w14:paraId="6BAEB4F8" w14:textId="77777777" w:rsidTr="00D91CFA">
        <w:trPr>
          <w:trHeight w:val="74"/>
        </w:trPr>
        <w:tc>
          <w:tcPr>
            <w:tcW w:w="2380" w:type="dxa"/>
            <w:tcBorders>
              <w:top w:val="nil"/>
              <w:left w:val="single" w:sz="8" w:space="0" w:color="BFBFBF"/>
              <w:bottom w:val="single" w:sz="4" w:space="0" w:color="BFBFBF"/>
              <w:right w:val="single" w:sz="4" w:space="0" w:color="BFBFBF"/>
            </w:tcBorders>
            <w:vAlign w:val="center"/>
            <w:hideMark/>
          </w:tcPr>
          <w:p w14:paraId="2CF23D82" w14:textId="77777777" w:rsidR="002B5E64" w:rsidRPr="00355772" w:rsidRDefault="002B5E64" w:rsidP="00AE1DED">
            <w:pPr>
              <w:rPr>
                <w:color w:val="000000" w:themeColor="text1"/>
                <w:sz w:val="20"/>
                <w:szCs w:val="20"/>
              </w:rPr>
            </w:pPr>
            <w:r w:rsidRPr="00355772">
              <w:rPr>
                <w:color w:val="000000" w:themeColor="text1"/>
                <w:sz w:val="20"/>
                <w:szCs w:val="20"/>
              </w:rPr>
              <w:t>Return expectations</w:t>
            </w:r>
          </w:p>
        </w:tc>
        <w:tc>
          <w:tcPr>
            <w:tcW w:w="2240" w:type="dxa"/>
            <w:tcBorders>
              <w:top w:val="nil"/>
              <w:left w:val="nil"/>
              <w:bottom w:val="single" w:sz="4" w:space="0" w:color="BFBFBF"/>
              <w:right w:val="single" w:sz="4" w:space="0" w:color="BFBFBF"/>
            </w:tcBorders>
            <w:vAlign w:val="center"/>
            <w:hideMark/>
          </w:tcPr>
          <w:p w14:paraId="642E5EAB" w14:textId="77777777" w:rsidR="002B5E64" w:rsidRPr="00355772" w:rsidRDefault="002B5E64" w:rsidP="00AE1DED">
            <w:pPr>
              <w:rPr>
                <w:color w:val="000000" w:themeColor="text1"/>
                <w:sz w:val="20"/>
                <w:szCs w:val="20"/>
              </w:rPr>
            </w:pPr>
            <w:r w:rsidRPr="00355772">
              <w:rPr>
                <w:color w:val="000000" w:themeColor="text1"/>
                <w:sz w:val="20"/>
                <w:szCs w:val="20"/>
              </w:rPr>
              <w:t>8-12% annually after all costs</w:t>
            </w:r>
          </w:p>
        </w:tc>
        <w:tc>
          <w:tcPr>
            <w:tcW w:w="2660" w:type="dxa"/>
            <w:tcBorders>
              <w:top w:val="nil"/>
              <w:left w:val="nil"/>
              <w:bottom w:val="single" w:sz="4" w:space="0" w:color="BFBFBF"/>
              <w:right w:val="single" w:sz="4" w:space="0" w:color="BFBFBF"/>
            </w:tcBorders>
            <w:vAlign w:val="center"/>
            <w:hideMark/>
          </w:tcPr>
          <w:p w14:paraId="61F2BA09" w14:textId="77777777" w:rsidR="002B5E64" w:rsidRPr="00355772" w:rsidRDefault="002B5E64" w:rsidP="00AE1DED">
            <w:pPr>
              <w:rPr>
                <w:color w:val="000000" w:themeColor="text1"/>
                <w:sz w:val="20"/>
                <w:szCs w:val="20"/>
              </w:rPr>
            </w:pPr>
            <w:r w:rsidRPr="00355772">
              <w:rPr>
                <w:color w:val="000000" w:themeColor="text1"/>
                <w:sz w:val="20"/>
                <w:szCs w:val="20"/>
              </w:rPr>
              <w:t>Return justifies time investment at your hourly value?</w:t>
            </w:r>
          </w:p>
        </w:tc>
        <w:tc>
          <w:tcPr>
            <w:tcW w:w="2300" w:type="dxa"/>
            <w:tcBorders>
              <w:top w:val="nil"/>
              <w:left w:val="nil"/>
              <w:bottom w:val="single" w:sz="4" w:space="0" w:color="BFBFBF"/>
              <w:right w:val="single" w:sz="8" w:space="0" w:color="BFBFBF"/>
            </w:tcBorders>
            <w:vAlign w:val="center"/>
            <w:hideMark/>
          </w:tcPr>
          <w:p w14:paraId="37D7C509" w14:textId="77777777" w:rsidR="002B5E64" w:rsidRPr="00355772" w:rsidRDefault="002B5E64" w:rsidP="00AE1DED">
            <w:pPr>
              <w:rPr>
                <w:color w:val="000000" w:themeColor="text1"/>
                <w:sz w:val="20"/>
                <w:szCs w:val="20"/>
              </w:rPr>
            </w:pPr>
            <w:r w:rsidRPr="00355772">
              <w:rPr>
                <w:color w:val="000000" w:themeColor="text1"/>
                <w:sz w:val="20"/>
                <w:szCs w:val="20"/>
              </w:rPr>
              <w:t>Opportunity cost too high</w:t>
            </w:r>
          </w:p>
        </w:tc>
      </w:tr>
      <w:tr w:rsidR="00355772" w:rsidRPr="00355772" w14:paraId="2C8347D4" w14:textId="77777777" w:rsidTr="00D91CFA">
        <w:trPr>
          <w:trHeight w:val="74"/>
        </w:trPr>
        <w:tc>
          <w:tcPr>
            <w:tcW w:w="2380" w:type="dxa"/>
            <w:tcBorders>
              <w:top w:val="nil"/>
              <w:left w:val="single" w:sz="8" w:space="0" w:color="BFBFBF"/>
              <w:bottom w:val="single" w:sz="4" w:space="0" w:color="BFBFBF"/>
              <w:right w:val="single" w:sz="4" w:space="0" w:color="BFBFBF"/>
            </w:tcBorders>
            <w:vAlign w:val="center"/>
            <w:hideMark/>
          </w:tcPr>
          <w:p w14:paraId="286191F8" w14:textId="77777777" w:rsidR="002B5E64" w:rsidRPr="00355772" w:rsidRDefault="002B5E64" w:rsidP="00AE1DED">
            <w:pPr>
              <w:rPr>
                <w:color w:val="000000" w:themeColor="text1"/>
                <w:sz w:val="20"/>
                <w:szCs w:val="20"/>
              </w:rPr>
            </w:pPr>
            <w:r w:rsidRPr="00355772">
              <w:rPr>
                <w:color w:val="000000" w:themeColor="text1"/>
                <w:sz w:val="20"/>
                <w:szCs w:val="20"/>
              </w:rPr>
              <w:t>Risk acceptance</w:t>
            </w:r>
          </w:p>
        </w:tc>
        <w:tc>
          <w:tcPr>
            <w:tcW w:w="2240" w:type="dxa"/>
            <w:tcBorders>
              <w:top w:val="nil"/>
              <w:left w:val="nil"/>
              <w:bottom w:val="single" w:sz="4" w:space="0" w:color="BFBFBF"/>
              <w:right w:val="single" w:sz="4" w:space="0" w:color="BFBFBF"/>
            </w:tcBorders>
            <w:vAlign w:val="center"/>
            <w:hideMark/>
          </w:tcPr>
          <w:p w14:paraId="4229A4F2" w14:textId="77777777" w:rsidR="002B5E64" w:rsidRPr="00355772" w:rsidRDefault="002B5E64" w:rsidP="00AE1DED">
            <w:pPr>
              <w:rPr>
                <w:color w:val="000000" w:themeColor="text1"/>
                <w:sz w:val="20"/>
                <w:szCs w:val="20"/>
              </w:rPr>
            </w:pPr>
            <w:r w:rsidRPr="00355772">
              <w:rPr>
                <w:color w:val="000000" w:themeColor="text1"/>
                <w:sz w:val="20"/>
                <w:szCs w:val="20"/>
              </w:rPr>
              <w:t>Sized for potential 50% drawdown</w:t>
            </w:r>
          </w:p>
        </w:tc>
        <w:tc>
          <w:tcPr>
            <w:tcW w:w="2660" w:type="dxa"/>
            <w:tcBorders>
              <w:top w:val="nil"/>
              <w:left w:val="nil"/>
              <w:bottom w:val="single" w:sz="4" w:space="0" w:color="BFBFBF"/>
              <w:right w:val="single" w:sz="4" w:space="0" w:color="BFBFBF"/>
            </w:tcBorders>
            <w:vAlign w:val="center"/>
            <w:hideMark/>
          </w:tcPr>
          <w:p w14:paraId="52A9A730" w14:textId="77777777" w:rsidR="002B5E64" w:rsidRPr="00355772" w:rsidRDefault="002B5E64" w:rsidP="00AE1DED">
            <w:pPr>
              <w:rPr>
                <w:color w:val="000000" w:themeColor="text1"/>
                <w:sz w:val="20"/>
                <w:szCs w:val="20"/>
              </w:rPr>
            </w:pPr>
            <w:r w:rsidRPr="00355772">
              <w:rPr>
                <w:color w:val="000000" w:themeColor="text1"/>
                <w:sz w:val="20"/>
                <w:szCs w:val="20"/>
              </w:rPr>
              <w:t>Can maintain positions through 50% drop?</w:t>
            </w:r>
          </w:p>
        </w:tc>
        <w:tc>
          <w:tcPr>
            <w:tcW w:w="2300" w:type="dxa"/>
            <w:tcBorders>
              <w:top w:val="nil"/>
              <w:left w:val="nil"/>
              <w:bottom w:val="single" w:sz="4" w:space="0" w:color="BFBFBF"/>
              <w:right w:val="single" w:sz="8" w:space="0" w:color="BFBFBF"/>
            </w:tcBorders>
            <w:vAlign w:val="center"/>
            <w:hideMark/>
          </w:tcPr>
          <w:p w14:paraId="517FBD05" w14:textId="77777777" w:rsidR="002B5E64" w:rsidRPr="00355772" w:rsidRDefault="002B5E64" w:rsidP="00AE1DED">
            <w:pPr>
              <w:rPr>
                <w:color w:val="000000" w:themeColor="text1"/>
                <w:sz w:val="20"/>
                <w:szCs w:val="20"/>
              </w:rPr>
            </w:pPr>
            <w:r w:rsidRPr="00355772">
              <w:rPr>
                <w:color w:val="000000" w:themeColor="text1"/>
                <w:sz w:val="20"/>
                <w:szCs w:val="20"/>
              </w:rPr>
              <w:t>Will panic sell at worst time</w:t>
            </w:r>
          </w:p>
        </w:tc>
      </w:tr>
      <w:tr w:rsidR="00355772" w:rsidRPr="00355772" w14:paraId="7196F306" w14:textId="77777777" w:rsidTr="00D91CFA">
        <w:trPr>
          <w:trHeight w:val="74"/>
        </w:trPr>
        <w:tc>
          <w:tcPr>
            <w:tcW w:w="2380" w:type="dxa"/>
            <w:tcBorders>
              <w:top w:val="nil"/>
              <w:left w:val="single" w:sz="8" w:space="0" w:color="BFBFBF"/>
              <w:bottom w:val="single" w:sz="4" w:space="0" w:color="BFBFBF"/>
              <w:right w:val="single" w:sz="4" w:space="0" w:color="BFBFBF"/>
            </w:tcBorders>
            <w:vAlign w:val="center"/>
            <w:hideMark/>
          </w:tcPr>
          <w:p w14:paraId="43674FC8" w14:textId="77777777" w:rsidR="002B5E64" w:rsidRPr="00355772" w:rsidRDefault="002B5E64" w:rsidP="00AE1DED">
            <w:pPr>
              <w:rPr>
                <w:color w:val="000000" w:themeColor="text1"/>
                <w:sz w:val="20"/>
                <w:szCs w:val="20"/>
              </w:rPr>
            </w:pPr>
            <w:r w:rsidRPr="00355772">
              <w:rPr>
                <w:color w:val="000000" w:themeColor="text1"/>
                <w:sz w:val="20"/>
                <w:szCs w:val="20"/>
              </w:rPr>
              <w:t>Sophistication acceptance</w:t>
            </w:r>
          </w:p>
        </w:tc>
        <w:tc>
          <w:tcPr>
            <w:tcW w:w="2240" w:type="dxa"/>
            <w:tcBorders>
              <w:top w:val="nil"/>
              <w:left w:val="nil"/>
              <w:bottom w:val="single" w:sz="4" w:space="0" w:color="BFBFBF"/>
              <w:right w:val="single" w:sz="4" w:space="0" w:color="BFBFBF"/>
            </w:tcBorders>
            <w:vAlign w:val="center"/>
            <w:hideMark/>
          </w:tcPr>
          <w:p w14:paraId="6D6C753C" w14:textId="77777777" w:rsidR="002B5E64" w:rsidRPr="00355772" w:rsidRDefault="002B5E64" w:rsidP="00AE1DED">
            <w:pPr>
              <w:rPr>
                <w:color w:val="000000" w:themeColor="text1"/>
                <w:sz w:val="20"/>
                <w:szCs w:val="20"/>
              </w:rPr>
            </w:pPr>
            <w:r w:rsidRPr="00355772">
              <w:rPr>
                <w:color w:val="000000" w:themeColor="text1"/>
                <w:sz w:val="20"/>
                <w:szCs w:val="20"/>
              </w:rPr>
              <w:t>Competing with professionals</w:t>
            </w:r>
          </w:p>
        </w:tc>
        <w:tc>
          <w:tcPr>
            <w:tcW w:w="2660" w:type="dxa"/>
            <w:tcBorders>
              <w:top w:val="nil"/>
              <w:left w:val="nil"/>
              <w:bottom w:val="single" w:sz="4" w:space="0" w:color="BFBFBF"/>
              <w:right w:val="single" w:sz="4" w:space="0" w:color="BFBFBF"/>
            </w:tcBorders>
            <w:vAlign w:val="center"/>
            <w:hideMark/>
          </w:tcPr>
          <w:p w14:paraId="74DA66DF" w14:textId="77777777" w:rsidR="002B5E64" w:rsidRPr="00355772" w:rsidRDefault="002B5E64" w:rsidP="00AE1DED">
            <w:pPr>
              <w:rPr>
                <w:color w:val="000000" w:themeColor="text1"/>
                <w:sz w:val="20"/>
                <w:szCs w:val="20"/>
              </w:rPr>
            </w:pPr>
            <w:r w:rsidRPr="00355772">
              <w:rPr>
                <w:color w:val="000000" w:themeColor="text1"/>
                <w:sz w:val="20"/>
                <w:szCs w:val="20"/>
              </w:rPr>
              <w:t>Understand you're competing with institutions?</w:t>
            </w:r>
          </w:p>
        </w:tc>
        <w:tc>
          <w:tcPr>
            <w:tcW w:w="2300" w:type="dxa"/>
            <w:tcBorders>
              <w:top w:val="nil"/>
              <w:left w:val="nil"/>
              <w:bottom w:val="single" w:sz="4" w:space="0" w:color="BFBFBF"/>
              <w:right w:val="single" w:sz="8" w:space="0" w:color="BFBFBF"/>
            </w:tcBorders>
            <w:vAlign w:val="center"/>
            <w:hideMark/>
          </w:tcPr>
          <w:p w14:paraId="79A95E63" w14:textId="77777777" w:rsidR="002B5E64" w:rsidRPr="00355772" w:rsidRDefault="002B5E64" w:rsidP="00AE1DED">
            <w:pPr>
              <w:rPr>
                <w:color w:val="000000" w:themeColor="text1"/>
                <w:sz w:val="20"/>
                <w:szCs w:val="20"/>
              </w:rPr>
            </w:pPr>
            <w:r w:rsidRPr="00355772">
              <w:rPr>
                <w:color w:val="000000" w:themeColor="text1"/>
                <w:sz w:val="20"/>
                <w:szCs w:val="20"/>
              </w:rPr>
              <w:t>May be outmatched</w:t>
            </w:r>
          </w:p>
        </w:tc>
      </w:tr>
      <w:tr w:rsidR="00355772" w:rsidRPr="00355772" w14:paraId="40BE41CD" w14:textId="77777777" w:rsidTr="00D91CFA">
        <w:trPr>
          <w:trHeight w:val="74"/>
        </w:trPr>
        <w:tc>
          <w:tcPr>
            <w:tcW w:w="2380" w:type="dxa"/>
            <w:tcBorders>
              <w:top w:val="nil"/>
              <w:left w:val="single" w:sz="8" w:space="0" w:color="BFBFBF"/>
              <w:bottom w:val="single" w:sz="8" w:space="0" w:color="BFBFBF"/>
              <w:right w:val="single" w:sz="4" w:space="0" w:color="BFBFBF"/>
            </w:tcBorders>
            <w:vAlign w:val="center"/>
            <w:hideMark/>
          </w:tcPr>
          <w:p w14:paraId="46F61F25" w14:textId="77777777" w:rsidR="002B5E64" w:rsidRPr="00355772" w:rsidRDefault="002B5E64" w:rsidP="00AE1DED">
            <w:pPr>
              <w:rPr>
                <w:b/>
                <w:bCs/>
                <w:color w:val="000000" w:themeColor="text1"/>
                <w:sz w:val="20"/>
                <w:szCs w:val="20"/>
              </w:rPr>
            </w:pPr>
            <w:r w:rsidRPr="00355772">
              <w:rPr>
                <w:b/>
                <w:bCs/>
                <w:color w:val="000000" w:themeColor="text1"/>
                <w:sz w:val="20"/>
                <w:szCs w:val="20"/>
              </w:rPr>
              <w:t>READY TO PROCEED?</w:t>
            </w:r>
          </w:p>
        </w:tc>
        <w:tc>
          <w:tcPr>
            <w:tcW w:w="2240" w:type="dxa"/>
            <w:tcBorders>
              <w:top w:val="nil"/>
              <w:left w:val="nil"/>
              <w:bottom w:val="single" w:sz="8" w:space="0" w:color="BFBFBF"/>
              <w:right w:val="single" w:sz="4" w:space="0" w:color="BFBFBF"/>
            </w:tcBorders>
            <w:vAlign w:val="center"/>
            <w:hideMark/>
          </w:tcPr>
          <w:p w14:paraId="6B15B2EB" w14:textId="77777777" w:rsidR="002B5E64" w:rsidRPr="00355772" w:rsidRDefault="002B5E64" w:rsidP="00AE1DED">
            <w:pPr>
              <w:rPr>
                <w:color w:val="000000" w:themeColor="text1"/>
                <w:sz w:val="20"/>
                <w:szCs w:val="20"/>
              </w:rPr>
            </w:pPr>
            <w:r w:rsidRPr="00355772">
              <w:rPr>
                <w:color w:val="000000" w:themeColor="text1"/>
                <w:sz w:val="20"/>
                <w:szCs w:val="20"/>
              </w:rPr>
              <w:t>All items checked</w:t>
            </w:r>
          </w:p>
        </w:tc>
        <w:tc>
          <w:tcPr>
            <w:tcW w:w="2660" w:type="dxa"/>
            <w:tcBorders>
              <w:top w:val="nil"/>
              <w:left w:val="nil"/>
              <w:bottom w:val="single" w:sz="8" w:space="0" w:color="BFBFBF"/>
              <w:right w:val="single" w:sz="4" w:space="0" w:color="BFBFBF"/>
            </w:tcBorders>
            <w:vAlign w:val="center"/>
            <w:hideMark/>
          </w:tcPr>
          <w:p w14:paraId="3A7DD177" w14:textId="77777777" w:rsidR="002B5E64" w:rsidRPr="00355772" w:rsidRDefault="002B5E64" w:rsidP="00AE1DED">
            <w:pPr>
              <w:rPr>
                <w:color w:val="000000" w:themeColor="text1"/>
                <w:sz w:val="20"/>
                <w:szCs w:val="20"/>
              </w:rPr>
            </w:pPr>
            <w:r w:rsidRPr="00355772">
              <w:rPr>
                <w:color w:val="000000" w:themeColor="text1"/>
                <w:sz w:val="20"/>
                <w:szCs w:val="20"/>
              </w:rPr>
              <w:t>Deploy 30% immediately, 30% at 3mo, 40% at 6mo</w:t>
            </w:r>
          </w:p>
        </w:tc>
        <w:tc>
          <w:tcPr>
            <w:tcW w:w="2300" w:type="dxa"/>
            <w:tcBorders>
              <w:top w:val="nil"/>
              <w:left w:val="nil"/>
              <w:bottom w:val="single" w:sz="8" w:space="0" w:color="BFBFBF"/>
              <w:right w:val="single" w:sz="8" w:space="0" w:color="BFBFBF"/>
            </w:tcBorders>
            <w:vAlign w:val="center"/>
            <w:hideMark/>
          </w:tcPr>
          <w:p w14:paraId="07D991E2" w14:textId="77777777" w:rsidR="002B5E64" w:rsidRPr="00355772" w:rsidRDefault="002B5E64" w:rsidP="00AE1DED">
            <w:pPr>
              <w:rPr>
                <w:color w:val="000000" w:themeColor="text1"/>
                <w:sz w:val="20"/>
                <w:szCs w:val="20"/>
              </w:rPr>
            </w:pPr>
            <w:r w:rsidRPr="00355772">
              <w:rPr>
                <w:color w:val="000000" w:themeColor="text1"/>
                <w:sz w:val="20"/>
                <w:szCs w:val="20"/>
              </w:rPr>
              <w:t>Staged deployment reduces timing risk</w:t>
            </w:r>
          </w:p>
        </w:tc>
      </w:tr>
    </w:tbl>
    <w:p w14:paraId="5AB1338B" w14:textId="77777777" w:rsidR="002B5E64" w:rsidRPr="00750A6E" w:rsidRDefault="002B5E64" w:rsidP="00AE1DED">
      <w:pPr>
        <w:rPr>
          <w:b/>
          <w:bCs/>
          <w:color w:val="0070C0"/>
        </w:rPr>
      </w:pPr>
    </w:p>
    <w:p w14:paraId="0753A491" w14:textId="77777777" w:rsidR="00C144BA" w:rsidRDefault="00C144BA" w:rsidP="00AE1DED">
      <w:pPr>
        <w:pStyle w:val="Heading3"/>
      </w:pPr>
    </w:p>
    <w:p w14:paraId="5287A3BB" w14:textId="28F62E1C" w:rsidR="00C41BFC" w:rsidRPr="00750A6E" w:rsidRDefault="00C41BFC" w:rsidP="00AE1DED">
      <w:pPr>
        <w:pStyle w:val="Heading3"/>
      </w:pPr>
      <w:bookmarkStart w:id="228" w:name="_Toc214722034"/>
      <w:r w:rsidRPr="00750A6E">
        <w:t>Table 10.</w:t>
      </w:r>
      <w:r w:rsidR="009122A9">
        <w:t>F</w:t>
      </w:r>
      <w:r w:rsidRPr="00750A6E">
        <w:t>: Large Capital Implementation Checklist ($100,000+)</w:t>
      </w:r>
      <w:bookmarkEnd w:id="228"/>
    </w:p>
    <w:p w14:paraId="16046A11" w14:textId="77777777" w:rsidR="008026AF" w:rsidRPr="00750A6E" w:rsidRDefault="008026AF" w:rsidP="00AE1DED">
      <w:pPr>
        <w:rPr>
          <w:color w:val="0070C0"/>
        </w:rPr>
      </w:pPr>
    </w:p>
    <w:tbl>
      <w:tblPr>
        <w:tblW w:w="9415" w:type="dxa"/>
        <w:tblLook w:val="04A0" w:firstRow="1" w:lastRow="0" w:firstColumn="1" w:lastColumn="0" w:noHBand="0" w:noVBand="1"/>
      </w:tblPr>
      <w:tblGrid>
        <w:gridCol w:w="2056"/>
        <w:gridCol w:w="2704"/>
        <w:gridCol w:w="2430"/>
        <w:gridCol w:w="90"/>
        <w:gridCol w:w="2070"/>
        <w:gridCol w:w="53"/>
        <w:gridCol w:w="12"/>
      </w:tblGrid>
      <w:tr w:rsidR="00FF5135" w:rsidRPr="00FF5135" w14:paraId="5605A866" w14:textId="77777777" w:rsidTr="00B14022">
        <w:trPr>
          <w:trHeight w:val="360"/>
        </w:trPr>
        <w:tc>
          <w:tcPr>
            <w:tcW w:w="2056" w:type="dxa"/>
            <w:tcBorders>
              <w:top w:val="single" w:sz="8" w:space="0" w:color="BFBFBF"/>
              <w:left w:val="single" w:sz="8" w:space="0" w:color="BFBFBF"/>
              <w:bottom w:val="nil"/>
              <w:right w:val="single" w:sz="4" w:space="0" w:color="BFBFBF"/>
            </w:tcBorders>
            <w:shd w:val="clear" w:color="auto" w:fill="BFBFBF" w:themeFill="background1" w:themeFillShade="BF"/>
            <w:vAlign w:val="center"/>
            <w:hideMark/>
          </w:tcPr>
          <w:p w14:paraId="6E60EDB1" w14:textId="77777777" w:rsidR="008E56DB" w:rsidRPr="00FF5135" w:rsidRDefault="008E56DB" w:rsidP="00AE1DED">
            <w:pPr>
              <w:jc w:val="center"/>
              <w:rPr>
                <w:b/>
                <w:bCs/>
                <w:color w:val="000000" w:themeColor="text1"/>
                <w:sz w:val="20"/>
                <w:szCs w:val="20"/>
              </w:rPr>
            </w:pPr>
            <w:r w:rsidRPr="00FF5135">
              <w:rPr>
                <w:b/>
                <w:bCs/>
                <w:color w:val="000000" w:themeColor="text1"/>
                <w:sz w:val="20"/>
                <w:szCs w:val="20"/>
              </w:rPr>
              <w:t>Category</w:t>
            </w:r>
          </w:p>
        </w:tc>
        <w:tc>
          <w:tcPr>
            <w:tcW w:w="2704" w:type="dxa"/>
            <w:tcBorders>
              <w:top w:val="single" w:sz="8" w:space="0" w:color="BFBFBF"/>
              <w:left w:val="nil"/>
              <w:bottom w:val="nil"/>
              <w:right w:val="single" w:sz="4" w:space="0" w:color="BFBFBF"/>
            </w:tcBorders>
            <w:shd w:val="clear" w:color="auto" w:fill="BFBFBF" w:themeFill="background1" w:themeFillShade="BF"/>
            <w:vAlign w:val="center"/>
            <w:hideMark/>
          </w:tcPr>
          <w:p w14:paraId="178B9C49" w14:textId="77777777" w:rsidR="008E56DB" w:rsidRPr="00FF5135" w:rsidRDefault="008E56DB" w:rsidP="00AE1DED">
            <w:pPr>
              <w:jc w:val="center"/>
              <w:rPr>
                <w:b/>
                <w:bCs/>
                <w:color w:val="000000" w:themeColor="text1"/>
                <w:sz w:val="20"/>
                <w:szCs w:val="20"/>
              </w:rPr>
            </w:pPr>
            <w:r w:rsidRPr="00FF5135">
              <w:rPr>
                <w:b/>
                <w:bCs/>
                <w:color w:val="000000" w:themeColor="text1"/>
                <w:sz w:val="20"/>
                <w:szCs w:val="20"/>
              </w:rPr>
              <w:t>Requirement</w:t>
            </w:r>
          </w:p>
        </w:tc>
        <w:tc>
          <w:tcPr>
            <w:tcW w:w="2520" w:type="dxa"/>
            <w:gridSpan w:val="2"/>
            <w:tcBorders>
              <w:top w:val="single" w:sz="8" w:space="0" w:color="BFBFBF"/>
              <w:left w:val="nil"/>
              <w:bottom w:val="nil"/>
              <w:right w:val="single" w:sz="4" w:space="0" w:color="BFBFBF"/>
            </w:tcBorders>
            <w:shd w:val="clear" w:color="auto" w:fill="BFBFBF" w:themeFill="background1" w:themeFillShade="BF"/>
            <w:vAlign w:val="center"/>
            <w:hideMark/>
          </w:tcPr>
          <w:p w14:paraId="61F74F18" w14:textId="77777777" w:rsidR="008E56DB" w:rsidRPr="00FF5135" w:rsidRDefault="008E56DB" w:rsidP="00AE1DED">
            <w:pPr>
              <w:jc w:val="center"/>
              <w:rPr>
                <w:b/>
                <w:bCs/>
                <w:color w:val="000000" w:themeColor="text1"/>
                <w:sz w:val="20"/>
                <w:szCs w:val="20"/>
              </w:rPr>
            </w:pPr>
            <w:r w:rsidRPr="00FF5135">
              <w:rPr>
                <w:b/>
                <w:bCs/>
                <w:color w:val="000000" w:themeColor="text1"/>
                <w:sz w:val="20"/>
                <w:szCs w:val="20"/>
              </w:rPr>
              <w:t>Verification Method</w:t>
            </w:r>
          </w:p>
        </w:tc>
        <w:tc>
          <w:tcPr>
            <w:tcW w:w="2135" w:type="dxa"/>
            <w:gridSpan w:val="3"/>
            <w:tcBorders>
              <w:top w:val="single" w:sz="8" w:space="0" w:color="BFBFBF"/>
              <w:left w:val="nil"/>
              <w:bottom w:val="nil"/>
              <w:right w:val="single" w:sz="8" w:space="0" w:color="BFBFBF"/>
            </w:tcBorders>
            <w:shd w:val="clear" w:color="auto" w:fill="BFBFBF" w:themeFill="background1" w:themeFillShade="BF"/>
            <w:vAlign w:val="center"/>
            <w:hideMark/>
          </w:tcPr>
          <w:p w14:paraId="67A23CDC" w14:textId="77777777" w:rsidR="008E56DB" w:rsidRPr="00FF5135" w:rsidRDefault="008E56DB" w:rsidP="00AE1DED">
            <w:pPr>
              <w:jc w:val="center"/>
              <w:rPr>
                <w:b/>
                <w:bCs/>
                <w:color w:val="000000" w:themeColor="text1"/>
                <w:sz w:val="20"/>
                <w:szCs w:val="20"/>
              </w:rPr>
            </w:pPr>
            <w:r w:rsidRPr="00FF5135">
              <w:rPr>
                <w:b/>
                <w:bCs/>
                <w:color w:val="000000" w:themeColor="text1"/>
                <w:sz w:val="20"/>
                <w:szCs w:val="20"/>
              </w:rPr>
              <w:t>If Not Met</w:t>
            </w:r>
          </w:p>
        </w:tc>
      </w:tr>
      <w:tr w:rsidR="00FF5135" w:rsidRPr="00FF5135" w14:paraId="34421E74" w14:textId="77777777" w:rsidTr="00B14022">
        <w:trPr>
          <w:gridAfter w:val="1"/>
          <w:wAfter w:w="12" w:type="dxa"/>
          <w:trHeight w:val="340"/>
        </w:trPr>
        <w:tc>
          <w:tcPr>
            <w:tcW w:w="9403" w:type="dxa"/>
            <w:gridSpan w:val="6"/>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321A4126" w14:textId="77777777" w:rsidR="008E56DB" w:rsidRPr="00FF5135" w:rsidRDefault="008E56DB" w:rsidP="00AE1DED">
            <w:pPr>
              <w:jc w:val="center"/>
              <w:rPr>
                <w:b/>
                <w:bCs/>
                <w:color w:val="000000" w:themeColor="text1"/>
                <w:sz w:val="20"/>
                <w:szCs w:val="20"/>
              </w:rPr>
            </w:pPr>
            <w:r w:rsidRPr="00FF5135">
              <w:rPr>
                <w:b/>
                <w:bCs/>
                <w:color w:val="000000" w:themeColor="text1"/>
                <w:sz w:val="20"/>
                <w:szCs w:val="20"/>
              </w:rPr>
              <w:t>CAPITAL</w:t>
            </w:r>
          </w:p>
        </w:tc>
      </w:tr>
      <w:tr w:rsidR="00FF5135" w:rsidRPr="00FF5135" w14:paraId="6347367B" w14:textId="77777777" w:rsidTr="00B14022">
        <w:trPr>
          <w:trHeight w:val="241"/>
        </w:trPr>
        <w:tc>
          <w:tcPr>
            <w:tcW w:w="2056" w:type="dxa"/>
            <w:tcBorders>
              <w:top w:val="nil"/>
              <w:left w:val="single" w:sz="8" w:space="0" w:color="BFBFBF"/>
              <w:bottom w:val="single" w:sz="4" w:space="0" w:color="BFBFBF"/>
              <w:right w:val="single" w:sz="4" w:space="0" w:color="BFBFBF"/>
            </w:tcBorders>
            <w:vAlign w:val="center"/>
            <w:hideMark/>
          </w:tcPr>
          <w:p w14:paraId="67972533" w14:textId="77777777" w:rsidR="008E56DB" w:rsidRPr="00FF5135" w:rsidRDefault="008E56DB" w:rsidP="00AE1DED">
            <w:pPr>
              <w:rPr>
                <w:color w:val="000000" w:themeColor="text1"/>
                <w:sz w:val="20"/>
                <w:szCs w:val="20"/>
              </w:rPr>
            </w:pPr>
            <w:r w:rsidRPr="00FF5135">
              <w:rPr>
                <w:color w:val="000000" w:themeColor="text1"/>
                <w:sz w:val="20"/>
                <w:szCs w:val="20"/>
              </w:rPr>
              <w:t>Risk capital designation</w:t>
            </w:r>
          </w:p>
        </w:tc>
        <w:tc>
          <w:tcPr>
            <w:tcW w:w="2704" w:type="dxa"/>
            <w:tcBorders>
              <w:top w:val="nil"/>
              <w:left w:val="nil"/>
              <w:bottom w:val="single" w:sz="4" w:space="0" w:color="BFBFBF"/>
              <w:right w:val="single" w:sz="4" w:space="0" w:color="BFBFBF"/>
            </w:tcBorders>
            <w:vAlign w:val="center"/>
            <w:hideMark/>
          </w:tcPr>
          <w:p w14:paraId="2C7B064C" w14:textId="77777777" w:rsidR="008E56DB" w:rsidRPr="00FF5135" w:rsidRDefault="008E56DB" w:rsidP="00AE1DED">
            <w:pPr>
              <w:rPr>
                <w:color w:val="000000" w:themeColor="text1"/>
                <w:sz w:val="20"/>
                <w:szCs w:val="20"/>
              </w:rPr>
            </w:pPr>
            <w:r w:rsidRPr="00FF5135">
              <w:rPr>
                <w:color w:val="000000" w:themeColor="text1"/>
                <w:sz w:val="20"/>
                <w:szCs w:val="20"/>
              </w:rPr>
              <w:t>Amount is &lt;20% of total portfolio</w:t>
            </w:r>
          </w:p>
        </w:tc>
        <w:tc>
          <w:tcPr>
            <w:tcW w:w="2520" w:type="dxa"/>
            <w:gridSpan w:val="2"/>
            <w:tcBorders>
              <w:top w:val="nil"/>
              <w:left w:val="nil"/>
              <w:bottom w:val="single" w:sz="4" w:space="0" w:color="BFBFBF"/>
              <w:right w:val="single" w:sz="4" w:space="0" w:color="BFBFBF"/>
            </w:tcBorders>
            <w:vAlign w:val="center"/>
            <w:hideMark/>
          </w:tcPr>
          <w:p w14:paraId="06AD5340" w14:textId="77777777" w:rsidR="008E56DB" w:rsidRPr="00FF5135" w:rsidRDefault="008E56DB" w:rsidP="00AE1DED">
            <w:pPr>
              <w:rPr>
                <w:color w:val="000000" w:themeColor="text1"/>
                <w:sz w:val="20"/>
                <w:szCs w:val="20"/>
              </w:rPr>
            </w:pPr>
            <w:r w:rsidRPr="00FF5135">
              <w:rPr>
                <w:color w:val="000000" w:themeColor="text1"/>
                <w:sz w:val="20"/>
                <w:szCs w:val="20"/>
              </w:rPr>
              <w:t>DeFi allocation appropriate to overall wealth?</w:t>
            </w:r>
          </w:p>
        </w:tc>
        <w:tc>
          <w:tcPr>
            <w:tcW w:w="2135" w:type="dxa"/>
            <w:gridSpan w:val="3"/>
            <w:tcBorders>
              <w:top w:val="nil"/>
              <w:left w:val="nil"/>
              <w:bottom w:val="single" w:sz="4" w:space="0" w:color="BFBFBF"/>
              <w:right w:val="single" w:sz="8" w:space="0" w:color="BFBFBF"/>
            </w:tcBorders>
            <w:vAlign w:val="center"/>
            <w:hideMark/>
          </w:tcPr>
          <w:p w14:paraId="425F7639" w14:textId="77777777" w:rsidR="008E56DB" w:rsidRPr="00FF5135" w:rsidRDefault="008E56DB" w:rsidP="00AE1DED">
            <w:pPr>
              <w:rPr>
                <w:color w:val="000000" w:themeColor="text1"/>
                <w:sz w:val="20"/>
                <w:szCs w:val="20"/>
              </w:rPr>
            </w:pPr>
            <w:r w:rsidRPr="00FF5135">
              <w:rPr>
                <w:color w:val="000000" w:themeColor="text1"/>
                <w:sz w:val="20"/>
                <w:szCs w:val="20"/>
              </w:rPr>
              <w:t>Overallocated to high-risk category</w:t>
            </w:r>
          </w:p>
        </w:tc>
      </w:tr>
      <w:tr w:rsidR="00FF5135" w:rsidRPr="00FF5135" w14:paraId="5A0E2C8C" w14:textId="77777777" w:rsidTr="00B14022">
        <w:trPr>
          <w:trHeight w:val="81"/>
        </w:trPr>
        <w:tc>
          <w:tcPr>
            <w:tcW w:w="2056" w:type="dxa"/>
            <w:tcBorders>
              <w:top w:val="nil"/>
              <w:left w:val="single" w:sz="8" w:space="0" w:color="BFBFBF"/>
              <w:bottom w:val="single" w:sz="4" w:space="0" w:color="BFBFBF"/>
              <w:right w:val="single" w:sz="4" w:space="0" w:color="BFBFBF"/>
            </w:tcBorders>
            <w:vAlign w:val="center"/>
            <w:hideMark/>
          </w:tcPr>
          <w:p w14:paraId="3E01FB5A" w14:textId="77777777" w:rsidR="008E56DB" w:rsidRPr="00FF5135" w:rsidRDefault="008E56DB" w:rsidP="00AE1DED">
            <w:pPr>
              <w:rPr>
                <w:color w:val="000000" w:themeColor="text1"/>
                <w:sz w:val="20"/>
                <w:szCs w:val="20"/>
              </w:rPr>
            </w:pPr>
            <w:r w:rsidRPr="00FF5135">
              <w:rPr>
                <w:color w:val="000000" w:themeColor="text1"/>
                <w:sz w:val="20"/>
                <w:szCs w:val="20"/>
              </w:rPr>
              <w:t>Professional infrastructure</w:t>
            </w:r>
          </w:p>
        </w:tc>
        <w:tc>
          <w:tcPr>
            <w:tcW w:w="2704" w:type="dxa"/>
            <w:tcBorders>
              <w:top w:val="nil"/>
              <w:left w:val="nil"/>
              <w:bottom w:val="single" w:sz="4" w:space="0" w:color="BFBFBF"/>
              <w:right w:val="single" w:sz="4" w:space="0" w:color="BFBFBF"/>
            </w:tcBorders>
            <w:vAlign w:val="center"/>
            <w:hideMark/>
          </w:tcPr>
          <w:p w14:paraId="6D149066" w14:textId="77777777" w:rsidR="008E56DB" w:rsidRPr="00FF5135" w:rsidRDefault="008E56DB" w:rsidP="00AE1DED">
            <w:pPr>
              <w:rPr>
                <w:color w:val="000000" w:themeColor="text1"/>
                <w:sz w:val="20"/>
                <w:szCs w:val="20"/>
              </w:rPr>
            </w:pPr>
            <w:r w:rsidRPr="00FF5135">
              <w:rPr>
                <w:color w:val="000000" w:themeColor="text1"/>
                <w:sz w:val="20"/>
                <w:szCs w:val="20"/>
              </w:rPr>
              <w:t>Budget $500-2,000/month for tools</w:t>
            </w:r>
          </w:p>
        </w:tc>
        <w:tc>
          <w:tcPr>
            <w:tcW w:w="2520" w:type="dxa"/>
            <w:gridSpan w:val="2"/>
            <w:tcBorders>
              <w:top w:val="nil"/>
              <w:left w:val="nil"/>
              <w:bottom w:val="single" w:sz="4" w:space="0" w:color="BFBFBF"/>
              <w:right w:val="single" w:sz="4" w:space="0" w:color="BFBFBF"/>
            </w:tcBorders>
            <w:vAlign w:val="center"/>
            <w:hideMark/>
          </w:tcPr>
          <w:p w14:paraId="48F477B0" w14:textId="77777777" w:rsidR="008E56DB" w:rsidRPr="00FF5135" w:rsidRDefault="008E56DB" w:rsidP="00AE1DED">
            <w:pPr>
              <w:rPr>
                <w:color w:val="000000" w:themeColor="text1"/>
                <w:sz w:val="20"/>
                <w:szCs w:val="20"/>
              </w:rPr>
            </w:pPr>
            <w:r w:rsidRPr="00FF5135">
              <w:rPr>
                <w:color w:val="000000" w:themeColor="text1"/>
                <w:sz w:val="20"/>
                <w:szCs w:val="20"/>
              </w:rPr>
              <w:t>Committed to professional-grade infrastructure?</w:t>
            </w:r>
          </w:p>
        </w:tc>
        <w:tc>
          <w:tcPr>
            <w:tcW w:w="2135" w:type="dxa"/>
            <w:gridSpan w:val="3"/>
            <w:tcBorders>
              <w:top w:val="nil"/>
              <w:left w:val="nil"/>
              <w:bottom w:val="single" w:sz="4" w:space="0" w:color="BFBFBF"/>
              <w:right w:val="single" w:sz="8" w:space="0" w:color="BFBFBF"/>
            </w:tcBorders>
            <w:vAlign w:val="center"/>
            <w:hideMark/>
          </w:tcPr>
          <w:p w14:paraId="65A084A9" w14:textId="77777777" w:rsidR="008E56DB" w:rsidRPr="00FF5135" w:rsidRDefault="008E56DB" w:rsidP="00AE1DED">
            <w:pPr>
              <w:rPr>
                <w:color w:val="000000" w:themeColor="text1"/>
                <w:sz w:val="20"/>
                <w:szCs w:val="20"/>
              </w:rPr>
            </w:pPr>
            <w:r w:rsidRPr="00FF5135">
              <w:rPr>
                <w:color w:val="000000" w:themeColor="text1"/>
                <w:sz w:val="20"/>
                <w:szCs w:val="20"/>
              </w:rPr>
              <w:t>Will underperform vs. competitors</w:t>
            </w:r>
          </w:p>
        </w:tc>
      </w:tr>
      <w:tr w:rsidR="00FF5135" w:rsidRPr="00FF5135" w14:paraId="23F5204C" w14:textId="77777777" w:rsidTr="00B14022">
        <w:trPr>
          <w:trHeight w:val="278"/>
        </w:trPr>
        <w:tc>
          <w:tcPr>
            <w:tcW w:w="2056" w:type="dxa"/>
            <w:tcBorders>
              <w:top w:val="nil"/>
              <w:left w:val="single" w:sz="8" w:space="0" w:color="BFBFBF"/>
              <w:bottom w:val="nil"/>
              <w:right w:val="single" w:sz="4" w:space="0" w:color="BFBFBF"/>
            </w:tcBorders>
            <w:vAlign w:val="center"/>
            <w:hideMark/>
          </w:tcPr>
          <w:p w14:paraId="6CCFD8F0" w14:textId="77777777" w:rsidR="008E56DB" w:rsidRPr="00FF5135" w:rsidRDefault="008E56DB" w:rsidP="00AE1DED">
            <w:pPr>
              <w:rPr>
                <w:color w:val="000000" w:themeColor="text1"/>
                <w:sz w:val="20"/>
                <w:szCs w:val="20"/>
              </w:rPr>
            </w:pPr>
            <w:r w:rsidRPr="00FF5135">
              <w:rPr>
                <w:color w:val="000000" w:themeColor="text1"/>
                <w:sz w:val="20"/>
                <w:szCs w:val="20"/>
              </w:rPr>
              <w:t>Incident reserves</w:t>
            </w:r>
          </w:p>
        </w:tc>
        <w:tc>
          <w:tcPr>
            <w:tcW w:w="2704" w:type="dxa"/>
            <w:tcBorders>
              <w:top w:val="nil"/>
              <w:left w:val="nil"/>
              <w:bottom w:val="nil"/>
              <w:right w:val="single" w:sz="4" w:space="0" w:color="BFBFBF"/>
            </w:tcBorders>
            <w:vAlign w:val="center"/>
            <w:hideMark/>
          </w:tcPr>
          <w:p w14:paraId="7CC26678" w14:textId="77777777" w:rsidR="008E56DB" w:rsidRPr="00FF5135" w:rsidRDefault="008E56DB" w:rsidP="00AE1DED">
            <w:pPr>
              <w:rPr>
                <w:color w:val="000000" w:themeColor="text1"/>
                <w:sz w:val="20"/>
                <w:szCs w:val="20"/>
              </w:rPr>
            </w:pPr>
            <w:r w:rsidRPr="00FF5135">
              <w:rPr>
                <w:color w:val="000000" w:themeColor="text1"/>
                <w:sz w:val="20"/>
                <w:szCs w:val="20"/>
              </w:rPr>
              <w:t>30% held for opportunities/incidents</w:t>
            </w:r>
          </w:p>
        </w:tc>
        <w:tc>
          <w:tcPr>
            <w:tcW w:w="2520" w:type="dxa"/>
            <w:gridSpan w:val="2"/>
            <w:tcBorders>
              <w:top w:val="nil"/>
              <w:left w:val="nil"/>
              <w:bottom w:val="nil"/>
              <w:right w:val="single" w:sz="4" w:space="0" w:color="BFBFBF"/>
            </w:tcBorders>
            <w:vAlign w:val="center"/>
            <w:hideMark/>
          </w:tcPr>
          <w:p w14:paraId="48E21064" w14:textId="77777777" w:rsidR="008E56DB" w:rsidRPr="00FF5135" w:rsidRDefault="008E56DB" w:rsidP="00AE1DED">
            <w:pPr>
              <w:rPr>
                <w:color w:val="000000" w:themeColor="text1"/>
                <w:sz w:val="20"/>
                <w:szCs w:val="20"/>
              </w:rPr>
            </w:pPr>
            <w:r w:rsidRPr="00FF5135">
              <w:rPr>
                <w:color w:val="000000" w:themeColor="text1"/>
                <w:sz w:val="20"/>
                <w:szCs w:val="20"/>
              </w:rPr>
              <w:t>Not deploying 100% to yield positions?</w:t>
            </w:r>
          </w:p>
        </w:tc>
        <w:tc>
          <w:tcPr>
            <w:tcW w:w="2135" w:type="dxa"/>
            <w:gridSpan w:val="3"/>
            <w:tcBorders>
              <w:top w:val="nil"/>
              <w:left w:val="nil"/>
              <w:bottom w:val="nil"/>
              <w:right w:val="single" w:sz="8" w:space="0" w:color="BFBFBF"/>
            </w:tcBorders>
            <w:vAlign w:val="center"/>
            <w:hideMark/>
          </w:tcPr>
          <w:p w14:paraId="239B9D7A" w14:textId="77777777" w:rsidR="008E56DB" w:rsidRPr="00FF5135" w:rsidRDefault="008E56DB" w:rsidP="00AE1DED">
            <w:pPr>
              <w:rPr>
                <w:color w:val="000000" w:themeColor="text1"/>
                <w:sz w:val="20"/>
                <w:szCs w:val="20"/>
              </w:rPr>
            </w:pPr>
            <w:r w:rsidRPr="00FF5135">
              <w:rPr>
                <w:color w:val="000000" w:themeColor="text1"/>
                <w:sz w:val="20"/>
                <w:szCs w:val="20"/>
              </w:rPr>
              <w:t>Lack dry powder for opportunities</w:t>
            </w:r>
          </w:p>
        </w:tc>
      </w:tr>
      <w:tr w:rsidR="00FF5135" w:rsidRPr="00FF5135" w14:paraId="1CE5BAEC" w14:textId="77777777" w:rsidTr="00B14022">
        <w:trPr>
          <w:gridAfter w:val="1"/>
          <w:wAfter w:w="12" w:type="dxa"/>
          <w:trHeight w:val="340"/>
        </w:trPr>
        <w:tc>
          <w:tcPr>
            <w:tcW w:w="9403" w:type="dxa"/>
            <w:gridSpan w:val="6"/>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0DE4C852" w14:textId="77777777" w:rsidR="008E56DB" w:rsidRPr="00FF5135" w:rsidRDefault="008E56DB" w:rsidP="00AE1DED">
            <w:pPr>
              <w:jc w:val="center"/>
              <w:rPr>
                <w:b/>
                <w:bCs/>
                <w:color w:val="000000" w:themeColor="text1"/>
                <w:sz w:val="20"/>
                <w:szCs w:val="20"/>
              </w:rPr>
            </w:pPr>
            <w:r w:rsidRPr="00FF5135">
              <w:rPr>
                <w:b/>
                <w:bCs/>
                <w:color w:val="000000" w:themeColor="text1"/>
                <w:sz w:val="20"/>
                <w:szCs w:val="20"/>
              </w:rPr>
              <w:t>NETWORK</w:t>
            </w:r>
          </w:p>
        </w:tc>
      </w:tr>
      <w:tr w:rsidR="00FF5135" w:rsidRPr="00FF5135" w14:paraId="16FD6CEC" w14:textId="77777777" w:rsidTr="00D358A2">
        <w:trPr>
          <w:trHeight w:val="286"/>
        </w:trPr>
        <w:tc>
          <w:tcPr>
            <w:tcW w:w="2056" w:type="dxa"/>
            <w:tcBorders>
              <w:top w:val="nil"/>
              <w:left w:val="single" w:sz="8" w:space="0" w:color="BFBFBF"/>
              <w:bottom w:val="single" w:sz="4" w:space="0" w:color="BFBFBF"/>
              <w:right w:val="single" w:sz="4" w:space="0" w:color="BFBFBF"/>
            </w:tcBorders>
            <w:vAlign w:val="center"/>
            <w:hideMark/>
          </w:tcPr>
          <w:p w14:paraId="3440AE00" w14:textId="77777777" w:rsidR="008E56DB" w:rsidRPr="00FF5135" w:rsidRDefault="008E56DB" w:rsidP="00AE1DED">
            <w:pPr>
              <w:rPr>
                <w:color w:val="000000" w:themeColor="text1"/>
                <w:sz w:val="20"/>
                <w:szCs w:val="20"/>
              </w:rPr>
            </w:pPr>
            <w:r w:rsidRPr="00FF5135">
              <w:rPr>
                <w:color w:val="000000" w:themeColor="text1"/>
                <w:sz w:val="20"/>
                <w:szCs w:val="20"/>
              </w:rPr>
              <w:t>All networks accessible</w:t>
            </w:r>
          </w:p>
        </w:tc>
        <w:tc>
          <w:tcPr>
            <w:tcW w:w="2704" w:type="dxa"/>
            <w:tcBorders>
              <w:top w:val="nil"/>
              <w:left w:val="nil"/>
              <w:bottom w:val="single" w:sz="4" w:space="0" w:color="BFBFBF"/>
              <w:right w:val="single" w:sz="4" w:space="0" w:color="BFBFBF"/>
            </w:tcBorders>
            <w:vAlign w:val="center"/>
            <w:hideMark/>
          </w:tcPr>
          <w:p w14:paraId="30600DAB" w14:textId="77777777" w:rsidR="008E56DB" w:rsidRPr="00FF5135" w:rsidRDefault="008E56DB" w:rsidP="00AE1DED">
            <w:pPr>
              <w:rPr>
                <w:color w:val="000000" w:themeColor="text1"/>
                <w:sz w:val="20"/>
                <w:szCs w:val="20"/>
              </w:rPr>
            </w:pPr>
            <w:proofErr w:type="spellStart"/>
            <w:r w:rsidRPr="00FF5135">
              <w:rPr>
                <w:color w:val="000000" w:themeColor="text1"/>
                <w:sz w:val="20"/>
                <w:szCs w:val="20"/>
              </w:rPr>
              <w:t>Mainnet</w:t>
            </w:r>
            <w:proofErr w:type="spellEnd"/>
            <w:r w:rsidRPr="00FF5135">
              <w:rPr>
                <w:color w:val="000000" w:themeColor="text1"/>
                <w:sz w:val="20"/>
                <w:szCs w:val="20"/>
              </w:rPr>
              <w:t>, L2s, alt-L1s all configured</w:t>
            </w:r>
          </w:p>
        </w:tc>
        <w:tc>
          <w:tcPr>
            <w:tcW w:w="2520" w:type="dxa"/>
            <w:gridSpan w:val="2"/>
            <w:tcBorders>
              <w:top w:val="nil"/>
              <w:left w:val="nil"/>
              <w:bottom w:val="single" w:sz="4" w:space="0" w:color="BFBFBF"/>
              <w:right w:val="single" w:sz="4" w:space="0" w:color="BFBFBF"/>
            </w:tcBorders>
            <w:vAlign w:val="center"/>
            <w:hideMark/>
          </w:tcPr>
          <w:p w14:paraId="6FF92086" w14:textId="77777777" w:rsidR="008E56DB" w:rsidRPr="00FF5135" w:rsidRDefault="008E56DB" w:rsidP="00AE1DED">
            <w:pPr>
              <w:rPr>
                <w:color w:val="000000" w:themeColor="text1"/>
                <w:sz w:val="20"/>
                <w:szCs w:val="20"/>
              </w:rPr>
            </w:pPr>
            <w:r w:rsidRPr="00FF5135">
              <w:rPr>
                <w:color w:val="000000" w:themeColor="text1"/>
                <w:sz w:val="20"/>
                <w:szCs w:val="20"/>
              </w:rPr>
              <w:t>Can deploy to any network within 1 hour?</w:t>
            </w:r>
          </w:p>
        </w:tc>
        <w:tc>
          <w:tcPr>
            <w:tcW w:w="2135" w:type="dxa"/>
            <w:gridSpan w:val="3"/>
            <w:tcBorders>
              <w:top w:val="nil"/>
              <w:left w:val="nil"/>
              <w:bottom w:val="single" w:sz="4" w:space="0" w:color="BFBFBF"/>
              <w:right w:val="single" w:sz="8" w:space="0" w:color="BFBFBF"/>
            </w:tcBorders>
            <w:vAlign w:val="center"/>
            <w:hideMark/>
          </w:tcPr>
          <w:p w14:paraId="4361B8DA" w14:textId="77777777" w:rsidR="008E56DB" w:rsidRPr="00FF5135" w:rsidRDefault="008E56DB" w:rsidP="00AE1DED">
            <w:pPr>
              <w:rPr>
                <w:color w:val="000000" w:themeColor="text1"/>
                <w:sz w:val="20"/>
                <w:szCs w:val="20"/>
              </w:rPr>
            </w:pPr>
            <w:r w:rsidRPr="00FF5135">
              <w:rPr>
                <w:color w:val="000000" w:themeColor="text1"/>
                <w:sz w:val="20"/>
                <w:szCs w:val="20"/>
              </w:rPr>
              <w:t>Missing opportunistic deployments</w:t>
            </w:r>
          </w:p>
        </w:tc>
      </w:tr>
      <w:tr w:rsidR="00FF5135" w:rsidRPr="00FF5135" w14:paraId="300B1A81" w14:textId="77777777" w:rsidTr="00771AC0">
        <w:trPr>
          <w:trHeight w:val="81"/>
        </w:trPr>
        <w:tc>
          <w:tcPr>
            <w:tcW w:w="2056" w:type="dxa"/>
            <w:tcBorders>
              <w:top w:val="nil"/>
              <w:left w:val="single" w:sz="8" w:space="0" w:color="BFBFBF"/>
              <w:bottom w:val="single" w:sz="4" w:space="0" w:color="BFBFBF"/>
              <w:right w:val="single" w:sz="4" w:space="0" w:color="BFBFBF"/>
            </w:tcBorders>
            <w:vAlign w:val="center"/>
            <w:hideMark/>
          </w:tcPr>
          <w:p w14:paraId="13485887" w14:textId="77777777" w:rsidR="008E56DB" w:rsidRPr="00FF5135" w:rsidRDefault="008E56DB" w:rsidP="00AE1DED">
            <w:pPr>
              <w:rPr>
                <w:color w:val="000000" w:themeColor="text1"/>
                <w:sz w:val="20"/>
                <w:szCs w:val="20"/>
              </w:rPr>
            </w:pPr>
            <w:r w:rsidRPr="00FF5135">
              <w:rPr>
                <w:color w:val="000000" w:themeColor="text1"/>
                <w:sz w:val="20"/>
                <w:szCs w:val="20"/>
              </w:rPr>
              <w:t>Advanced gas optimization</w:t>
            </w:r>
          </w:p>
        </w:tc>
        <w:tc>
          <w:tcPr>
            <w:tcW w:w="2704" w:type="dxa"/>
            <w:tcBorders>
              <w:top w:val="nil"/>
              <w:left w:val="nil"/>
              <w:bottom w:val="single" w:sz="4" w:space="0" w:color="BFBFBF"/>
              <w:right w:val="single" w:sz="4" w:space="0" w:color="BFBFBF"/>
            </w:tcBorders>
            <w:vAlign w:val="center"/>
            <w:hideMark/>
          </w:tcPr>
          <w:p w14:paraId="5978EEC2" w14:textId="77777777" w:rsidR="008E56DB" w:rsidRPr="00FF5135" w:rsidRDefault="008E56DB" w:rsidP="00AE1DED">
            <w:pPr>
              <w:rPr>
                <w:color w:val="000000" w:themeColor="text1"/>
                <w:sz w:val="20"/>
                <w:szCs w:val="20"/>
              </w:rPr>
            </w:pPr>
            <w:r w:rsidRPr="00FF5135">
              <w:rPr>
                <w:color w:val="000000" w:themeColor="text1"/>
                <w:sz w:val="20"/>
                <w:szCs w:val="20"/>
              </w:rPr>
              <w:t>Using gas optimization services</w:t>
            </w:r>
          </w:p>
        </w:tc>
        <w:tc>
          <w:tcPr>
            <w:tcW w:w="2520" w:type="dxa"/>
            <w:gridSpan w:val="2"/>
            <w:tcBorders>
              <w:top w:val="nil"/>
              <w:left w:val="nil"/>
              <w:bottom w:val="single" w:sz="4" w:space="0" w:color="BFBFBF"/>
              <w:right w:val="single" w:sz="4" w:space="0" w:color="BFBFBF"/>
            </w:tcBorders>
            <w:vAlign w:val="center"/>
            <w:hideMark/>
          </w:tcPr>
          <w:p w14:paraId="0F6C7FC4" w14:textId="77777777" w:rsidR="008E56DB" w:rsidRPr="00FF5135" w:rsidRDefault="008E56DB" w:rsidP="00AE1DED">
            <w:pPr>
              <w:rPr>
                <w:color w:val="000000" w:themeColor="text1"/>
                <w:sz w:val="20"/>
                <w:szCs w:val="20"/>
              </w:rPr>
            </w:pPr>
            <w:r w:rsidRPr="00FF5135">
              <w:rPr>
                <w:color w:val="000000" w:themeColor="text1"/>
                <w:sz w:val="20"/>
                <w:szCs w:val="20"/>
              </w:rPr>
              <w:t>Implemented automated gas optimization?</w:t>
            </w:r>
          </w:p>
        </w:tc>
        <w:tc>
          <w:tcPr>
            <w:tcW w:w="2135" w:type="dxa"/>
            <w:gridSpan w:val="3"/>
            <w:tcBorders>
              <w:top w:val="nil"/>
              <w:left w:val="nil"/>
              <w:bottom w:val="single" w:sz="4" w:space="0" w:color="BFBFBF"/>
              <w:right w:val="single" w:sz="8" w:space="0" w:color="BFBFBF"/>
            </w:tcBorders>
            <w:vAlign w:val="center"/>
            <w:hideMark/>
          </w:tcPr>
          <w:p w14:paraId="506E3C46" w14:textId="77777777" w:rsidR="008E56DB" w:rsidRPr="00FF5135" w:rsidRDefault="008E56DB" w:rsidP="00AE1DED">
            <w:pPr>
              <w:rPr>
                <w:color w:val="000000" w:themeColor="text1"/>
                <w:sz w:val="20"/>
                <w:szCs w:val="20"/>
              </w:rPr>
            </w:pPr>
            <w:r w:rsidRPr="00FF5135">
              <w:rPr>
                <w:color w:val="000000" w:themeColor="text1"/>
                <w:sz w:val="20"/>
                <w:szCs w:val="20"/>
              </w:rPr>
              <w:t>Overpaying 20-30% on transaction costs</w:t>
            </w:r>
          </w:p>
        </w:tc>
      </w:tr>
      <w:tr w:rsidR="00FF5135" w:rsidRPr="00FF5135" w14:paraId="6CBBB3D4" w14:textId="77777777" w:rsidTr="00771AC0">
        <w:trPr>
          <w:trHeight w:val="81"/>
        </w:trPr>
        <w:tc>
          <w:tcPr>
            <w:tcW w:w="2056" w:type="dxa"/>
            <w:tcBorders>
              <w:top w:val="nil"/>
              <w:left w:val="single" w:sz="8" w:space="0" w:color="BFBFBF"/>
              <w:bottom w:val="nil"/>
              <w:right w:val="single" w:sz="4" w:space="0" w:color="BFBFBF"/>
            </w:tcBorders>
            <w:vAlign w:val="center"/>
            <w:hideMark/>
          </w:tcPr>
          <w:p w14:paraId="35048EDF" w14:textId="77777777" w:rsidR="008E56DB" w:rsidRPr="00FF5135" w:rsidRDefault="008E56DB" w:rsidP="00AE1DED">
            <w:pPr>
              <w:rPr>
                <w:color w:val="000000" w:themeColor="text1"/>
                <w:sz w:val="20"/>
                <w:szCs w:val="20"/>
              </w:rPr>
            </w:pPr>
            <w:r w:rsidRPr="00FF5135">
              <w:rPr>
                <w:color w:val="000000" w:themeColor="text1"/>
                <w:sz w:val="20"/>
                <w:szCs w:val="20"/>
              </w:rPr>
              <w:t>Private RPC nodes</w:t>
            </w:r>
          </w:p>
        </w:tc>
        <w:tc>
          <w:tcPr>
            <w:tcW w:w="2704" w:type="dxa"/>
            <w:tcBorders>
              <w:top w:val="nil"/>
              <w:left w:val="nil"/>
              <w:bottom w:val="nil"/>
              <w:right w:val="single" w:sz="4" w:space="0" w:color="BFBFBF"/>
            </w:tcBorders>
            <w:vAlign w:val="center"/>
            <w:hideMark/>
          </w:tcPr>
          <w:p w14:paraId="0AE9C9D8" w14:textId="77777777" w:rsidR="008E56DB" w:rsidRPr="00FF5135" w:rsidRDefault="008E56DB" w:rsidP="00AE1DED">
            <w:pPr>
              <w:rPr>
                <w:color w:val="000000" w:themeColor="text1"/>
                <w:sz w:val="20"/>
                <w:szCs w:val="20"/>
              </w:rPr>
            </w:pPr>
            <w:r w:rsidRPr="00FF5135">
              <w:rPr>
                <w:color w:val="000000" w:themeColor="text1"/>
                <w:sz w:val="20"/>
                <w:szCs w:val="20"/>
              </w:rPr>
              <w:t>Not using public nodes</w:t>
            </w:r>
          </w:p>
        </w:tc>
        <w:tc>
          <w:tcPr>
            <w:tcW w:w="2520" w:type="dxa"/>
            <w:gridSpan w:val="2"/>
            <w:tcBorders>
              <w:top w:val="nil"/>
              <w:left w:val="nil"/>
              <w:bottom w:val="nil"/>
              <w:right w:val="single" w:sz="4" w:space="0" w:color="BFBFBF"/>
            </w:tcBorders>
            <w:vAlign w:val="center"/>
            <w:hideMark/>
          </w:tcPr>
          <w:p w14:paraId="45F12C39" w14:textId="77777777" w:rsidR="008E56DB" w:rsidRPr="00FF5135" w:rsidRDefault="008E56DB" w:rsidP="00AE1DED">
            <w:pPr>
              <w:rPr>
                <w:color w:val="000000" w:themeColor="text1"/>
                <w:sz w:val="20"/>
                <w:szCs w:val="20"/>
              </w:rPr>
            </w:pPr>
            <w:r w:rsidRPr="00FF5135">
              <w:rPr>
                <w:color w:val="000000" w:themeColor="text1"/>
                <w:sz w:val="20"/>
                <w:szCs w:val="20"/>
              </w:rPr>
              <w:t>Have private RPC access configured?</w:t>
            </w:r>
          </w:p>
        </w:tc>
        <w:tc>
          <w:tcPr>
            <w:tcW w:w="2135" w:type="dxa"/>
            <w:gridSpan w:val="3"/>
            <w:tcBorders>
              <w:top w:val="nil"/>
              <w:left w:val="nil"/>
              <w:bottom w:val="nil"/>
              <w:right w:val="single" w:sz="8" w:space="0" w:color="BFBFBF"/>
            </w:tcBorders>
            <w:vAlign w:val="center"/>
            <w:hideMark/>
          </w:tcPr>
          <w:p w14:paraId="503A6EDB" w14:textId="77777777" w:rsidR="008E56DB" w:rsidRPr="00FF5135" w:rsidRDefault="008E56DB" w:rsidP="00AE1DED">
            <w:pPr>
              <w:rPr>
                <w:color w:val="000000" w:themeColor="text1"/>
                <w:sz w:val="20"/>
                <w:szCs w:val="20"/>
              </w:rPr>
            </w:pPr>
            <w:r w:rsidRPr="00FF5135">
              <w:rPr>
                <w:color w:val="000000" w:themeColor="text1"/>
                <w:sz w:val="20"/>
                <w:szCs w:val="20"/>
              </w:rPr>
              <w:t>Information disadvantage</w:t>
            </w:r>
          </w:p>
        </w:tc>
      </w:tr>
      <w:tr w:rsidR="00FF5135" w:rsidRPr="00FF5135" w14:paraId="1C125511" w14:textId="77777777" w:rsidTr="00B14022">
        <w:trPr>
          <w:gridAfter w:val="1"/>
          <w:wAfter w:w="12" w:type="dxa"/>
          <w:trHeight w:val="340"/>
        </w:trPr>
        <w:tc>
          <w:tcPr>
            <w:tcW w:w="9403" w:type="dxa"/>
            <w:gridSpan w:val="6"/>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77EEB7E9" w14:textId="77777777" w:rsidR="008E56DB" w:rsidRPr="00FF5135" w:rsidRDefault="008E56DB" w:rsidP="00AE1DED">
            <w:pPr>
              <w:jc w:val="center"/>
              <w:rPr>
                <w:b/>
                <w:bCs/>
                <w:color w:val="000000" w:themeColor="text1"/>
                <w:sz w:val="20"/>
                <w:szCs w:val="20"/>
              </w:rPr>
            </w:pPr>
            <w:r w:rsidRPr="00FF5135">
              <w:rPr>
                <w:b/>
                <w:bCs/>
                <w:color w:val="000000" w:themeColor="text1"/>
                <w:sz w:val="20"/>
                <w:szCs w:val="20"/>
              </w:rPr>
              <w:t>STRATEGY</w:t>
            </w:r>
          </w:p>
        </w:tc>
      </w:tr>
      <w:tr w:rsidR="00FF5135" w:rsidRPr="00FF5135" w14:paraId="5CD3E739" w14:textId="77777777" w:rsidTr="002E2F35">
        <w:trPr>
          <w:trHeight w:val="64"/>
        </w:trPr>
        <w:tc>
          <w:tcPr>
            <w:tcW w:w="2056" w:type="dxa"/>
            <w:tcBorders>
              <w:top w:val="nil"/>
              <w:left w:val="single" w:sz="8" w:space="0" w:color="BFBFBF"/>
              <w:bottom w:val="single" w:sz="4" w:space="0" w:color="BFBFBF"/>
              <w:right w:val="single" w:sz="4" w:space="0" w:color="BFBFBF"/>
            </w:tcBorders>
            <w:vAlign w:val="center"/>
            <w:hideMark/>
          </w:tcPr>
          <w:p w14:paraId="0656248D" w14:textId="77777777" w:rsidR="008E56DB" w:rsidRPr="00FF5135" w:rsidRDefault="008E56DB" w:rsidP="00AE1DED">
            <w:pPr>
              <w:rPr>
                <w:color w:val="000000" w:themeColor="text1"/>
                <w:sz w:val="20"/>
                <w:szCs w:val="20"/>
              </w:rPr>
            </w:pPr>
            <w:r w:rsidRPr="00FF5135">
              <w:rPr>
                <w:color w:val="000000" w:themeColor="text1"/>
                <w:sz w:val="20"/>
                <w:szCs w:val="20"/>
              </w:rPr>
              <w:t>Automation implemented</w:t>
            </w:r>
          </w:p>
        </w:tc>
        <w:tc>
          <w:tcPr>
            <w:tcW w:w="2704" w:type="dxa"/>
            <w:tcBorders>
              <w:top w:val="nil"/>
              <w:left w:val="nil"/>
              <w:bottom w:val="single" w:sz="4" w:space="0" w:color="BFBFBF"/>
              <w:right w:val="single" w:sz="4" w:space="0" w:color="BFBFBF"/>
            </w:tcBorders>
            <w:vAlign w:val="center"/>
            <w:hideMark/>
          </w:tcPr>
          <w:p w14:paraId="31C4F19E" w14:textId="77777777" w:rsidR="008E56DB" w:rsidRPr="00FF5135" w:rsidRDefault="008E56DB" w:rsidP="00AE1DED">
            <w:pPr>
              <w:rPr>
                <w:color w:val="000000" w:themeColor="text1"/>
                <w:sz w:val="20"/>
                <w:szCs w:val="20"/>
              </w:rPr>
            </w:pPr>
            <w:r w:rsidRPr="00FF5135">
              <w:rPr>
                <w:color w:val="000000" w:themeColor="text1"/>
                <w:sz w:val="20"/>
                <w:szCs w:val="20"/>
              </w:rPr>
              <w:t>Custom scripts or professional tools</w:t>
            </w:r>
          </w:p>
        </w:tc>
        <w:tc>
          <w:tcPr>
            <w:tcW w:w="2520" w:type="dxa"/>
            <w:gridSpan w:val="2"/>
            <w:tcBorders>
              <w:top w:val="nil"/>
              <w:left w:val="nil"/>
              <w:bottom w:val="single" w:sz="4" w:space="0" w:color="BFBFBF"/>
              <w:right w:val="single" w:sz="4" w:space="0" w:color="BFBFBF"/>
            </w:tcBorders>
            <w:vAlign w:val="center"/>
            <w:hideMark/>
          </w:tcPr>
          <w:p w14:paraId="6B75FD4F" w14:textId="77777777" w:rsidR="008E56DB" w:rsidRPr="00FF5135" w:rsidRDefault="008E56DB" w:rsidP="00AE1DED">
            <w:pPr>
              <w:rPr>
                <w:color w:val="000000" w:themeColor="text1"/>
                <w:sz w:val="20"/>
                <w:szCs w:val="20"/>
              </w:rPr>
            </w:pPr>
            <w:r w:rsidRPr="00FF5135">
              <w:rPr>
                <w:color w:val="000000" w:themeColor="text1"/>
                <w:sz w:val="20"/>
                <w:szCs w:val="20"/>
              </w:rPr>
              <w:t>Automated monitoring/rebalancing live?</w:t>
            </w:r>
          </w:p>
        </w:tc>
        <w:tc>
          <w:tcPr>
            <w:tcW w:w="2135" w:type="dxa"/>
            <w:gridSpan w:val="3"/>
            <w:tcBorders>
              <w:top w:val="nil"/>
              <w:left w:val="nil"/>
              <w:bottom w:val="single" w:sz="4" w:space="0" w:color="BFBFBF"/>
              <w:right w:val="single" w:sz="8" w:space="0" w:color="BFBFBF"/>
            </w:tcBorders>
            <w:vAlign w:val="center"/>
            <w:hideMark/>
          </w:tcPr>
          <w:p w14:paraId="2883A168" w14:textId="77777777" w:rsidR="008E56DB" w:rsidRPr="00FF5135" w:rsidRDefault="008E56DB" w:rsidP="00AE1DED">
            <w:pPr>
              <w:rPr>
                <w:color w:val="000000" w:themeColor="text1"/>
                <w:sz w:val="20"/>
                <w:szCs w:val="20"/>
              </w:rPr>
            </w:pPr>
            <w:r w:rsidRPr="00FF5135">
              <w:rPr>
                <w:color w:val="000000" w:themeColor="text1"/>
                <w:sz w:val="20"/>
                <w:szCs w:val="20"/>
              </w:rPr>
              <w:t>Cannot compete with automation</w:t>
            </w:r>
          </w:p>
        </w:tc>
      </w:tr>
      <w:tr w:rsidR="00FF5135" w:rsidRPr="00FF5135" w14:paraId="45A1F6F1" w14:textId="77777777" w:rsidTr="00771AC0">
        <w:trPr>
          <w:trHeight w:val="350"/>
        </w:trPr>
        <w:tc>
          <w:tcPr>
            <w:tcW w:w="2056" w:type="dxa"/>
            <w:tcBorders>
              <w:top w:val="nil"/>
              <w:left w:val="single" w:sz="8" w:space="0" w:color="BFBFBF"/>
              <w:bottom w:val="single" w:sz="4" w:space="0" w:color="BFBFBF"/>
              <w:right w:val="single" w:sz="4" w:space="0" w:color="BFBFBF"/>
            </w:tcBorders>
            <w:vAlign w:val="center"/>
            <w:hideMark/>
          </w:tcPr>
          <w:p w14:paraId="485A6ABF" w14:textId="77777777" w:rsidR="008E56DB" w:rsidRPr="00FF5135" w:rsidRDefault="008E56DB" w:rsidP="00AE1DED">
            <w:pPr>
              <w:rPr>
                <w:color w:val="000000" w:themeColor="text1"/>
                <w:sz w:val="20"/>
                <w:szCs w:val="20"/>
              </w:rPr>
            </w:pPr>
            <w:r w:rsidRPr="00FF5135">
              <w:rPr>
                <w:color w:val="000000" w:themeColor="text1"/>
                <w:sz w:val="20"/>
                <w:szCs w:val="20"/>
              </w:rPr>
              <w:t>Concentrated liquidity</w:t>
            </w:r>
          </w:p>
        </w:tc>
        <w:tc>
          <w:tcPr>
            <w:tcW w:w="2704" w:type="dxa"/>
            <w:tcBorders>
              <w:top w:val="nil"/>
              <w:left w:val="nil"/>
              <w:bottom w:val="single" w:sz="4" w:space="0" w:color="BFBFBF"/>
              <w:right w:val="single" w:sz="4" w:space="0" w:color="BFBFBF"/>
            </w:tcBorders>
            <w:vAlign w:val="center"/>
            <w:hideMark/>
          </w:tcPr>
          <w:p w14:paraId="4FBDF096" w14:textId="77777777" w:rsidR="008E56DB" w:rsidRPr="00FF5135" w:rsidRDefault="008E56DB" w:rsidP="00AE1DED">
            <w:pPr>
              <w:rPr>
                <w:color w:val="000000" w:themeColor="text1"/>
                <w:sz w:val="20"/>
                <w:szCs w:val="20"/>
              </w:rPr>
            </w:pPr>
            <w:r w:rsidRPr="00FF5135">
              <w:rPr>
                <w:color w:val="000000" w:themeColor="text1"/>
                <w:sz w:val="20"/>
                <w:szCs w:val="20"/>
              </w:rPr>
              <w:t>Managing tight ranges profitably</w:t>
            </w:r>
          </w:p>
        </w:tc>
        <w:tc>
          <w:tcPr>
            <w:tcW w:w="2520" w:type="dxa"/>
            <w:gridSpan w:val="2"/>
            <w:tcBorders>
              <w:top w:val="nil"/>
              <w:left w:val="nil"/>
              <w:bottom w:val="single" w:sz="4" w:space="0" w:color="BFBFBF"/>
              <w:right w:val="single" w:sz="4" w:space="0" w:color="BFBFBF"/>
            </w:tcBorders>
            <w:vAlign w:val="center"/>
            <w:hideMark/>
          </w:tcPr>
          <w:p w14:paraId="44C3841B" w14:textId="77777777" w:rsidR="008E56DB" w:rsidRPr="00FF5135" w:rsidRDefault="008E56DB" w:rsidP="00AE1DED">
            <w:pPr>
              <w:rPr>
                <w:color w:val="000000" w:themeColor="text1"/>
                <w:sz w:val="20"/>
                <w:szCs w:val="20"/>
              </w:rPr>
            </w:pPr>
            <w:r w:rsidRPr="00FF5135">
              <w:rPr>
                <w:color w:val="000000" w:themeColor="text1"/>
                <w:sz w:val="20"/>
                <w:szCs w:val="20"/>
              </w:rPr>
              <w:t>Achieved positive returns on concentrated LP?</w:t>
            </w:r>
          </w:p>
        </w:tc>
        <w:tc>
          <w:tcPr>
            <w:tcW w:w="2135" w:type="dxa"/>
            <w:gridSpan w:val="3"/>
            <w:tcBorders>
              <w:top w:val="nil"/>
              <w:left w:val="nil"/>
              <w:bottom w:val="single" w:sz="4" w:space="0" w:color="BFBFBF"/>
              <w:right w:val="single" w:sz="8" w:space="0" w:color="BFBFBF"/>
            </w:tcBorders>
            <w:vAlign w:val="center"/>
            <w:hideMark/>
          </w:tcPr>
          <w:p w14:paraId="1BAFE2F1" w14:textId="77777777" w:rsidR="008E56DB" w:rsidRPr="00FF5135" w:rsidRDefault="008E56DB" w:rsidP="00AE1DED">
            <w:pPr>
              <w:rPr>
                <w:color w:val="000000" w:themeColor="text1"/>
                <w:sz w:val="20"/>
                <w:szCs w:val="20"/>
              </w:rPr>
            </w:pPr>
            <w:r w:rsidRPr="00FF5135">
              <w:rPr>
                <w:color w:val="000000" w:themeColor="text1"/>
                <w:sz w:val="20"/>
                <w:szCs w:val="20"/>
              </w:rPr>
              <w:t xml:space="preserve">Should stick to </w:t>
            </w:r>
            <w:proofErr w:type="gramStart"/>
            <w:r w:rsidRPr="00FF5135">
              <w:rPr>
                <w:color w:val="000000" w:themeColor="text1"/>
                <w:sz w:val="20"/>
                <w:szCs w:val="20"/>
              </w:rPr>
              <w:t>wide-range</w:t>
            </w:r>
            <w:proofErr w:type="gramEnd"/>
          </w:p>
        </w:tc>
      </w:tr>
      <w:tr w:rsidR="00FF5135" w:rsidRPr="00FF5135" w14:paraId="3A213C9C" w14:textId="77777777" w:rsidTr="00771AC0">
        <w:trPr>
          <w:trHeight w:val="215"/>
        </w:trPr>
        <w:tc>
          <w:tcPr>
            <w:tcW w:w="2056" w:type="dxa"/>
            <w:tcBorders>
              <w:top w:val="nil"/>
              <w:left w:val="single" w:sz="8" w:space="0" w:color="BFBFBF"/>
              <w:bottom w:val="nil"/>
              <w:right w:val="single" w:sz="4" w:space="0" w:color="BFBFBF"/>
            </w:tcBorders>
            <w:vAlign w:val="center"/>
            <w:hideMark/>
          </w:tcPr>
          <w:p w14:paraId="718B48A6" w14:textId="77777777" w:rsidR="008E56DB" w:rsidRPr="00FF5135" w:rsidRDefault="008E56DB" w:rsidP="00AE1DED">
            <w:pPr>
              <w:rPr>
                <w:color w:val="000000" w:themeColor="text1"/>
                <w:sz w:val="20"/>
                <w:szCs w:val="20"/>
              </w:rPr>
            </w:pPr>
            <w:r w:rsidRPr="00FF5135">
              <w:rPr>
                <w:color w:val="000000" w:themeColor="text1"/>
                <w:sz w:val="20"/>
                <w:szCs w:val="20"/>
              </w:rPr>
              <w:t>Multi-strategy portfolio</w:t>
            </w:r>
          </w:p>
        </w:tc>
        <w:tc>
          <w:tcPr>
            <w:tcW w:w="2704" w:type="dxa"/>
            <w:tcBorders>
              <w:top w:val="nil"/>
              <w:left w:val="nil"/>
              <w:bottom w:val="nil"/>
              <w:right w:val="single" w:sz="4" w:space="0" w:color="BFBFBF"/>
            </w:tcBorders>
            <w:vAlign w:val="center"/>
            <w:hideMark/>
          </w:tcPr>
          <w:p w14:paraId="076F04FD" w14:textId="77777777" w:rsidR="008E56DB" w:rsidRPr="00FF5135" w:rsidRDefault="008E56DB" w:rsidP="00AE1DED">
            <w:pPr>
              <w:rPr>
                <w:color w:val="000000" w:themeColor="text1"/>
                <w:sz w:val="20"/>
                <w:szCs w:val="20"/>
              </w:rPr>
            </w:pPr>
            <w:r w:rsidRPr="00FF5135">
              <w:rPr>
                <w:color w:val="000000" w:themeColor="text1"/>
                <w:sz w:val="20"/>
                <w:szCs w:val="20"/>
              </w:rPr>
              <w:t>3-5 different strategies active</w:t>
            </w:r>
          </w:p>
        </w:tc>
        <w:tc>
          <w:tcPr>
            <w:tcW w:w="2520" w:type="dxa"/>
            <w:gridSpan w:val="2"/>
            <w:tcBorders>
              <w:top w:val="nil"/>
              <w:left w:val="nil"/>
              <w:bottom w:val="nil"/>
              <w:right w:val="single" w:sz="4" w:space="0" w:color="BFBFBF"/>
            </w:tcBorders>
            <w:vAlign w:val="center"/>
            <w:hideMark/>
          </w:tcPr>
          <w:p w14:paraId="491F1AFA" w14:textId="77777777" w:rsidR="008E56DB" w:rsidRPr="00FF5135" w:rsidRDefault="008E56DB" w:rsidP="00AE1DED">
            <w:pPr>
              <w:rPr>
                <w:color w:val="000000" w:themeColor="text1"/>
                <w:sz w:val="20"/>
                <w:szCs w:val="20"/>
              </w:rPr>
            </w:pPr>
            <w:r w:rsidRPr="00FF5135">
              <w:rPr>
                <w:color w:val="000000" w:themeColor="text1"/>
                <w:sz w:val="20"/>
                <w:szCs w:val="20"/>
              </w:rPr>
              <w:t>Each strategy showing positive returns?</w:t>
            </w:r>
          </w:p>
        </w:tc>
        <w:tc>
          <w:tcPr>
            <w:tcW w:w="2135" w:type="dxa"/>
            <w:gridSpan w:val="3"/>
            <w:tcBorders>
              <w:top w:val="nil"/>
              <w:left w:val="nil"/>
              <w:bottom w:val="nil"/>
              <w:right w:val="single" w:sz="8" w:space="0" w:color="BFBFBF"/>
            </w:tcBorders>
            <w:vAlign w:val="center"/>
            <w:hideMark/>
          </w:tcPr>
          <w:p w14:paraId="495AC415" w14:textId="77777777" w:rsidR="008E56DB" w:rsidRPr="00FF5135" w:rsidRDefault="008E56DB" w:rsidP="00AE1DED">
            <w:pPr>
              <w:rPr>
                <w:color w:val="000000" w:themeColor="text1"/>
                <w:sz w:val="20"/>
                <w:szCs w:val="20"/>
              </w:rPr>
            </w:pPr>
            <w:r w:rsidRPr="00FF5135">
              <w:rPr>
                <w:color w:val="000000" w:themeColor="text1"/>
                <w:sz w:val="20"/>
                <w:szCs w:val="20"/>
              </w:rPr>
              <w:t>Over-diversifying dilutes focus</w:t>
            </w:r>
          </w:p>
        </w:tc>
      </w:tr>
      <w:tr w:rsidR="00FF5135" w:rsidRPr="00FF5135" w14:paraId="48FC04C1" w14:textId="77777777" w:rsidTr="00B14022">
        <w:trPr>
          <w:gridAfter w:val="1"/>
          <w:wAfter w:w="12" w:type="dxa"/>
          <w:trHeight w:val="340"/>
        </w:trPr>
        <w:tc>
          <w:tcPr>
            <w:tcW w:w="9403" w:type="dxa"/>
            <w:gridSpan w:val="6"/>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281F047D" w14:textId="77777777" w:rsidR="008E56DB" w:rsidRPr="00FF5135" w:rsidRDefault="008E56DB" w:rsidP="00AE1DED">
            <w:pPr>
              <w:jc w:val="center"/>
              <w:rPr>
                <w:b/>
                <w:bCs/>
                <w:color w:val="000000" w:themeColor="text1"/>
                <w:sz w:val="20"/>
                <w:szCs w:val="20"/>
              </w:rPr>
            </w:pPr>
            <w:r w:rsidRPr="00FF5135">
              <w:rPr>
                <w:b/>
                <w:bCs/>
                <w:color w:val="000000" w:themeColor="text1"/>
                <w:sz w:val="20"/>
                <w:szCs w:val="20"/>
              </w:rPr>
              <w:t>COMPETENCE</w:t>
            </w:r>
          </w:p>
        </w:tc>
      </w:tr>
      <w:tr w:rsidR="00FF5135" w:rsidRPr="00FF5135" w14:paraId="1703D6DF" w14:textId="77777777" w:rsidTr="002E2F35">
        <w:trPr>
          <w:trHeight w:val="64"/>
        </w:trPr>
        <w:tc>
          <w:tcPr>
            <w:tcW w:w="2056" w:type="dxa"/>
            <w:tcBorders>
              <w:top w:val="nil"/>
              <w:left w:val="single" w:sz="8" w:space="0" w:color="BFBFBF"/>
              <w:bottom w:val="single" w:sz="4" w:space="0" w:color="BFBFBF"/>
              <w:right w:val="single" w:sz="4" w:space="0" w:color="BFBFBF"/>
            </w:tcBorders>
            <w:vAlign w:val="center"/>
            <w:hideMark/>
          </w:tcPr>
          <w:p w14:paraId="074F35AF" w14:textId="77777777" w:rsidR="008E56DB" w:rsidRPr="00FF5135" w:rsidRDefault="008E56DB" w:rsidP="00AE1DED">
            <w:pPr>
              <w:rPr>
                <w:color w:val="000000" w:themeColor="text1"/>
                <w:sz w:val="20"/>
                <w:szCs w:val="20"/>
              </w:rPr>
            </w:pPr>
            <w:r w:rsidRPr="00FF5135">
              <w:rPr>
                <w:color w:val="000000" w:themeColor="text1"/>
                <w:sz w:val="20"/>
                <w:szCs w:val="20"/>
              </w:rPr>
              <w:t>Programming ability</w:t>
            </w:r>
          </w:p>
        </w:tc>
        <w:tc>
          <w:tcPr>
            <w:tcW w:w="2704" w:type="dxa"/>
            <w:tcBorders>
              <w:top w:val="nil"/>
              <w:left w:val="nil"/>
              <w:bottom w:val="single" w:sz="4" w:space="0" w:color="BFBFBF"/>
              <w:right w:val="single" w:sz="4" w:space="0" w:color="BFBFBF"/>
            </w:tcBorders>
            <w:vAlign w:val="center"/>
            <w:hideMark/>
          </w:tcPr>
          <w:p w14:paraId="04CB3EB0" w14:textId="77777777" w:rsidR="008E56DB" w:rsidRPr="00FF5135" w:rsidRDefault="008E56DB" w:rsidP="00AE1DED">
            <w:pPr>
              <w:rPr>
                <w:color w:val="000000" w:themeColor="text1"/>
                <w:sz w:val="20"/>
                <w:szCs w:val="20"/>
              </w:rPr>
            </w:pPr>
            <w:r w:rsidRPr="00FF5135">
              <w:rPr>
                <w:color w:val="000000" w:themeColor="text1"/>
                <w:sz w:val="20"/>
                <w:szCs w:val="20"/>
              </w:rPr>
              <w:t>Can write/modify scripts</w:t>
            </w:r>
          </w:p>
        </w:tc>
        <w:tc>
          <w:tcPr>
            <w:tcW w:w="2520" w:type="dxa"/>
            <w:gridSpan w:val="2"/>
            <w:tcBorders>
              <w:top w:val="nil"/>
              <w:left w:val="nil"/>
              <w:bottom w:val="single" w:sz="4" w:space="0" w:color="BFBFBF"/>
              <w:right w:val="single" w:sz="4" w:space="0" w:color="BFBFBF"/>
            </w:tcBorders>
            <w:vAlign w:val="center"/>
            <w:hideMark/>
          </w:tcPr>
          <w:p w14:paraId="04309DB0" w14:textId="77777777" w:rsidR="008E56DB" w:rsidRPr="00FF5135" w:rsidRDefault="008E56DB" w:rsidP="00AE1DED">
            <w:pPr>
              <w:rPr>
                <w:color w:val="000000" w:themeColor="text1"/>
                <w:sz w:val="20"/>
                <w:szCs w:val="20"/>
              </w:rPr>
            </w:pPr>
            <w:r w:rsidRPr="00FF5135">
              <w:rPr>
                <w:color w:val="000000" w:themeColor="text1"/>
                <w:sz w:val="20"/>
                <w:szCs w:val="20"/>
              </w:rPr>
              <w:t>Created custom automation tools?</w:t>
            </w:r>
          </w:p>
        </w:tc>
        <w:tc>
          <w:tcPr>
            <w:tcW w:w="2135" w:type="dxa"/>
            <w:gridSpan w:val="3"/>
            <w:tcBorders>
              <w:top w:val="nil"/>
              <w:left w:val="nil"/>
              <w:bottom w:val="single" w:sz="4" w:space="0" w:color="BFBFBF"/>
              <w:right w:val="single" w:sz="8" w:space="0" w:color="BFBFBF"/>
            </w:tcBorders>
            <w:vAlign w:val="center"/>
            <w:hideMark/>
          </w:tcPr>
          <w:p w14:paraId="581E21CF" w14:textId="77777777" w:rsidR="008E56DB" w:rsidRPr="00FF5135" w:rsidRDefault="008E56DB" w:rsidP="00AE1DED">
            <w:pPr>
              <w:rPr>
                <w:color w:val="000000" w:themeColor="text1"/>
                <w:sz w:val="20"/>
                <w:szCs w:val="20"/>
              </w:rPr>
            </w:pPr>
            <w:r w:rsidRPr="00FF5135">
              <w:rPr>
                <w:color w:val="000000" w:themeColor="text1"/>
                <w:sz w:val="20"/>
                <w:szCs w:val="20"/>
              </w:rPr>
              <w:t>Consider hiring developer</w:t>
            </w:r>
          </w:p>
        </w:tc>
      </w:tr>
      <w:tr w:rsidR="00FF5135" w:rsidRPr="00FF5135" w14:paraId="16C1F9B9" w14:textId="77777777" w:rsidTr="002E2F35">
        <w:trPr>
          <w:trHeight w:val="74"/>
        </w:trPr>
        <w:tc>
          <w:tcPr>
            <w:tcW w:w="2056" w:type="dxa"/>
            <w:tcBorders>
              <w:top w:val="nil"/>
              <w:left w:val="single" w:sz="8" w:space="0" w:color="BFBFBF"/>
              <w:bottom w:val="single" w:sz="4" w:space="0" w:color="BFBFBF"/>
              <w:right w:val="single" w:sz="4" w:space="0" w:color="BFBFBF"/>
            </w:tcBorders>
            <w:vAlign w:val="center"/>
            <w:hideMark/>
          </w:tcPr>
          <w:p w14:paraId="0956E63B" w14:textId="77777777" w:rsidR="008E56DB" w:rsidRPr="00FF5135" w:rsidRDefault="008E56DB" w:rsidP="00AE1DED">
            <w:pPr>
              <w:rPr>
                <w:color w:val="000000" w:themeColor="text1"/>
                <w:sz w:val="20"/>
                <w:szCs w:val="20"/>
              </w:rPr>
            </w:pPr>
            <w:r w:rsidRPr="00FF5135">
              <w:rPr>
                <w:color w:val="000000" w:themeColor="text1"/>
                <w:sz w:val="20"/>
                <w:szCs w:val="20"/>
              </w:rPr>
              <w:t>Smart contract expertise</w:t>
            </w:r>
          </w:p>
        </w:tc>
        <w:tc>
          <w:tcPr>
            <w:tcW w:w="2704" w:type="dxa"/>
            <w:tcBorders>
              <w:top w:val="nil"/>
              <w:left w:val="nil"/>
              <w:bottom w:val="single" w:sz="4" w:space="0" w:color="BFBFBF"/>
              <w:right w:val="single" w:sz="4" w:space="0" w:color="BFBFBF"/>
            </w:tcBorders>
            <w:vAlign w:val="center"/>
            <w:hideMark/>
          </w:tcPr>
          <w:p w14:paraId="65CB2845" w14:textId="77777777" w:rsidR="008E56DB" w:rsidRPr="00FF5135" w:rsidRDefault="008E56DB" w:rsidP="00AE1DED">
            <w:pPr>
              <w:rPr>
                <w:color w:val="000000" w:themeColor="text1"/>
                <w:sz w:val="20"/>
                <w:szCs w:val="20"/>
              </w:rPr>
            </w:pPr>
            <w:r w:rsidRPr="00FF5135">
              <w:rPr>
                <w:color w:val="000000" w:themeColor="text1"/>
                <w:sz w:val="20"/>
                <w:szCs w:val="20"/>
              </w:rPr>
              <w:t>Can audit contracts for basic issues</w:t>
            </w:r>
          </w:p>
        </w:tc>
        <w:tc>
          <w:tcPr>
            <w:tcW w:w="2520" w:type="dxa"/>
            <w:gridSpan w:val="2"/>
            <w:tcBorders>
              <w:top w:val="nil"/>
              <w:left w:val="nil"/>
              <w:bottom w:val="single" w:sz="4" w:space="0" w:color="BFBFBF"/>
              <w:right w:val="single" w:sz="4" w:space="0" w:color="BFBFBF"/>
            </w:tcBorders>
            <w:vAlign w:val="center"/>
            <w:hideMark/>
          </w:tcPr>
          <w:p w14:paraId="3DD4B9CE" w14:textId="77777777" w:rsidR="008E56DB" w:rsidRPr="00FF5135" w:rsidRDefault="008E56DB" w:rsidP="00AE1DED">
            <w:pPr>
              <w:rPr>
                <w:color w:val="000000" w:themeColor="text1"/>
                <w:sz w:val="20"/>
                <w:szCs w:val="20"/>
              </w:rPr>
            </w:pPr>
            <w:r w:rsidRPr="00FF5135">
              <w:rPr>
                <w:color w:val="000000" w:themeColor="text1"/>
                <w:sz w:val="20"/>
                <w:szCs w:val="20"/>
              </w:rPr>
              <w:t>Reviewed contracts for all protocols used?</w:t>
            </w:r>
          </w:p>
        </w:tc>
        <w:tc>
          <w:tcPr>
            <w:tcW w:w="2135" w:type="dxa"/>
            <w:gridSpan w:val="3"/>
            <w:tcBorders>
              <w:top w:val="nil"/>
              <w:left w:val="nil"/>
              <w:bottom w:val="single" w:sz="4" w:space="0" w:color="BFBFBF"/>
              <w:right w:val="single" w:sz="8" w:space="0" w:color="BFBFBF"/>
            </w:tcBorders>
            <w:vAlign w:val="center"/>
            <w:hideMark/>
          </w:tcPr>
          <w:p w14:paraId="24E8EC67" w14:textId="77777777" w:rsidR="008E56DB" w:rsidRPr="00FF5135" w:rsidRDefault="008E56DB" w:rsidP="00AE1DED">
            <w:pPr>
              <w:rPr>
                <w:color w:val="000000" w:themeColor="text1"/>
                <w:sz w:val="20"/>
                <w:szCs w:val="20"/>
              </w:rPr>
            </w:pPr>
            <w:r w:rsidRPr="00FF5135">
              <w:rPr>
                <w:color w:val="000000" w:themeColor="text1"/>
                <w:sz w:val="20"/>
                <w:szCs w:val="20"/>
              </w:rPr>
              <w:t>Dependent on others' analysis</w:t>
            </w:r>
          </w:p>
        </w:tc>
      </w:tr>
      <w:tr w:rsidR="00FF5135" w:rsidRPr="00FF5135" w14:paraId="322F0B84" w14:textId="77777777" w:rsidTr="00771AC0">
        <w:trPr>
          <w:trHeight w:val="107"/>
        </w:trPr>
        <w:tc>
          <w:tcPr>
            <w:tcW w:w="2056" w:type="dxa"/>
            <w:tcBorders>
              <w:top w:val="nil"/>
              <w:left w:val="single" w:sz="8" w:space="0" w:color="BFBFBF"/>
              <w:bottom w:val="nil"/>
              <w:right w:val="single" w:sz="4" w:space="0" w:color="BFBFBF"/>
            </w:tcBorders>
            <w:vAlign w:val="center"/>
            <w:hideMark/>
          </w:tcPr>
          <w:p w14:paraId="2A95DA91" w14:textId="77777777" w:rsidR="008E56DB" w:rsidRPr="00FF5135" w:rsidRDefault="008E56DB" w:rsidP="00AE1DED">
            <w:pPr>
              <w:rPr>
                <w:color w:val="000000" w:themeColor="text1"/>
                <w:sz w:val="20"/>
                <w:szCs w:val="20"/>
              </w:rPr>
            </w:pPr>
            <w:r w:rsidRPr="00FF5135">
              <w:rPr>
                <w:color w:val="000000" w:themeColor="text1"/>
                <w:sz w:val="20"/>
                <w:szCs w:val="20"/>
              </w:rPr>
              <w:lastRenderedPageBreak/>
              <w:t>Institutional knowledge</w:t>
            </w:r>
          </w:p>
        </w:tc>
        <w:tc>
          <w:tcPr>
            <w:tcW w:w="2704" w:type="dxa"/>
            <w:tcBorders>
              <w:top w:val="nil"/>
              <w:left w:val="nil"/>
              <w:bottom w:val="nil"/>
              <w:right w:val="single" w:sz="4" w:space="0" w:color="BFBFBF"/>
            </w:tcBorders>
            <w:vAlign w:val="center"/>
            <w:hideMark/>
          </w:tcPr>
          <w:p w14:paraId="51EEB488" w14:textId="77777777" w:rsidR="008E56DB" w:rsidRPr="00FF5135" w:rsidRDefault="008E56DB" w:rsidP="00AE1DED">
            <w:pPr>
              <w:rPr>
                <w:color w:val="000000" w:themeColor="text1"/>
                <w:sz w:val="20"/>
                <w:szCs w:val="20"/>
              </w:rPr>
            </w:pPr>
            <w:r w:rsidRPr="00FF5135">
              <w:rPr>
                <w:color w:val="000000" w:themeColor="text1"/>
                <w:sz w:val="20"/>
                <w:szCs w:val="20"/>
              </w:rPr>
              <w:t>Understand institutional strategies</w:t>
            </w:r>
          </w:p>
        </w:tc>
        <w:tc>
          <w:tcPr>
            <w:tcW w:w="2520" w:type="dxa"/>
            <w:gridSpan w:val="2"/>
            <w:tcBorders>
              <w:top w:val="nil"/>
              <w:left w:val="nil"/>
              <w:bottom w:val="nil"/>
              <w:right w:val="single" w:sz="4" w:space="0" w:color="BFBFBF"/>
            </w:tcBorders>
            <w:vAlign w:val="center"/>
            <w:hideMark/>
          </w:tcPr>
          <w:p w14:paraId="4D90A6AA" w14:textId="77777777" w:rsidR="008E56DB" w:rsidRPr="00FF5135" w:rsidRDefault="008E56DB" w:rsidP="00AE1DED">
            <w:pPr>
              <w:rPr>
                <w:color w:val="000000" w:themeColor="text1"/>
                <w:sz w:val="20"/>
                <w:szCs w:val="20"/>
              </w:rPr>
            </w:pPr>
            <w:r w:rsidRPr="00FF5135">
              <w:rPr>
                <w:color w:val="000000" w:themeColor="text1"/>
                <w:sz w:val="20"/>
                <w:szCs w:val="20"/>
              </w:rPr>
              <w:t>Know what strategies large players use?</w:t>
            </w:r>
          </w:p>
        </w:tc>
        <w:tc>
          <w:tcPr>
            <w:tcW w:w="2135" w:type="dxa"/>
            <w:gridSpan w:val="3"/>
            <w:tcBorders>
              <w:top w:val="nil"/>
              <w:left w:val="nil"/>
              <w:bottom w:val="nil"/>
              <w:right w:val="single" w:sz="8" w:space="0" w:color="BFBFBF"/>
            </w:tcBorders>
            <w:vAlign w:val="center"/>
            <w:hideMark/>
          </w:tcPr>
          <w:p w14:paraId="415698C1" w14:textId="77777777" w:rsidR="008E56DB" w:rsidRPr="00FF5135" w:rsidRDefault="008E56DB" w:rsidP="00AE1DED">
            <w:pPr>
              <w:rPr>
                <w:color w:val="000000" w:themeColor="text1"/>
                <w:sz w:val="20"/>
                <w:szCs w:val="20"/>
              </w:rPr>
            </w:pPr>
            <w:r w:rsidRPr="00FF5135">
              <w:rPr>
                <w:color w:val="000000" w:themeColor="text1"/>
                <w:sz w:val="20"/>
                <w:szCs w:val="20"/>
              </w:rPr>
              <w:t>Information disadvantage</w:t>
            </w:r>
          </w:p>
        </w:tc>
      </w:tr>
      <w:tr w:rsidR="00FF5135" w:rsidRPr="00FF5135" w14:paraId="230BF3AA" w14:textId="77777777" w:rsidTr="00B14022">
        <w:trPr>
          <w:gridAfter w:val="1"/>
          <w:wAfter w:w="12" w:type="dxa"/>
          <w:trHeight w:val="340"/>
        </w:trPr>
        <w:tc>
          <w:tcPr>
            <w:tcW w:w="9403" w:type="dxa"/>
            <w:gridSpan w:val="6"/>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51D993E7" w14:textId="77777777" w:rsidR="008E56DB" w:rsidRPr="00FF5135" w:rsidRDefault="008E56DB" w:rsidP="00AE1DED">
            <w:pPr>
              <w:jc w:val="center"/>
              <w:rPr>
                <w:b/>
                <w:bCs/>
                <w:color w:val="000000" w:themeColor="text1"/>
                <w:sz w:val="20"/>
                <w:szCs w:val="20"/>
              </w:rPr>
            </w:pPr>
            <w:r w:rsidRPr="00FF5135">
              <w:rPr>
                <w:b/>
                <w:bCs/>
                <w:color w:val="000000" w:themeColor="text1"/>
                <w:sz w:val="20"/>
                <w:szCs w:val="20"/>
              </w:rPr>
              <w:t>TIME</w:t>
            </w:r>
          </w:p>
        </w:tc>
      </w:tr>
      <w:tr w:rsidR="00FF5135" w:rsidRPr="00FF5135" w14:paraId="183E9182" w14:textId="77777777" w:rsidTr="00771AC0">
        <w:trPr>
          <w:trHeight w:val="79"/>
        </w:trPr>
        <w:tc>
          <w:tcPr>
            <w:tcW w:w="2056" w:type="dxa"/>
            <w:tcBorders>
              <w:top w:val="nil"/>
              <w:left w:val="single" w:sz="8" w:space="0" w:color="BFBFBF"/>
              <w:bottom w:val="single" w:sz="4" w:space="0" w:color="BFBFBF"/>
              <w:right w:val="single" w:sz="4" w:space="0" w:color="BFBFBF"/>
            </w:tcBorders>
            <w:vAlign w:val="center"/>
            <w:hideMark/>
          </w:tcPr>
          <w:p w14:paraId="1C8F8612" w14:textId="77777777" w:rsidR="008E56DB" w:rsidRPr="00FF5135" w:rsidRDefault="008E56DB" w:rsidP="00AE1DED">
            <w:pPr>
              <w:rPr>
                <w:color w:val="000000" w:themeColor="text1"/>
                <w:sz w:val="20"/>
                <w:szCs w:val="20"/>
              </w:rPr>
            </w:pPr>
            <w:r w:rsidRPr="00FF5135">
              <w:rPr>
                <w:color w:val="000000" w:themeColor="text1"/>
                <w:sz w:val="20"/>
                <w:szCs w:val="20"/>
              </w:rPr>
              <w:t>Post-automation time</w:t>
            </w:r>
          </w:p>
        </w:tc>
        <w:tc>
          <w:tcPr>
            <w:tcW w:w="2704" w:type="dxa"/>
            <w:tcBorders>
              <w:top w:val="nil"/>
              <w:left w:val="nil"/>
              <w:bottom w:val="single" w:sz="4" w:space="0" w:color="BFBFBF"/>
              <w:right w:val="single" w:sz="4" w:space="0" w:color="BFBFBF"/>
            </w:tcBorders>
            <w:vAlign w:val="center"/>
            <w:hideMark/>
          </w:tcPr>
          <w:p w14:paraId="491714B0" w14:textId="77777777" w:rsidR="008E56DB" w:rsidRPr="00FF5135" w:rsidRDefault="008E56DB" w:rsidP="00AE1DED">
            <w:pPr>
              <w:rPr>
                <w:color w:val="000000" w:themeColor="text1"/>
                <w:sz w:val="20"/>
                <w:szCs w:val="20"/>
              </w:rPr>
            </w:pPr>
            <w:r w:rsidRPr="00FF5135">
              <w:rPr>
                <w:color w:val="000000" w:themeColor="text1"/>
                <w:sz w:val="20"/>
                <w:szCs w:val="20"/>
              </w:rPr>
              <w:t>5-10 hours weekly after setup</w:t>
            </w:r>
          </w:p>
        </w:tc>
        <w:tc>
          <w:tcPr>
            <w:tcW w:w="2520" w:type="dxa"/>
            <w:gridSpan w:val="2"/>
            <w:tcBorders>
              <w:top w:val="nil"/>
              <w:left w:val="nil"/>
              <w:bottom w:val="single" w:sz="4" w:space="0" w:color="BFBFBF"/>
              <w:right w:val="single" w:sz="4" w:space="0" w:color="BFBFBF"/>
            </w:tcBorders>
            <w:vAlign w:val="center"/>
            <w:hideMark/>
          </w:tcPr>
          <w:p w14:paraId="15818DF7" w14:textId="77777777" w:rsidR="008E56DB" w:rsidRPr="00FF5135" w:rsidRDefault="008E56DB" w:rsidP="00AE1DED">
            <w:pPr>
              <w:rPr>
                <w:color w:val="000000" w:themeColor="text1"/>
                <w:sz w:val="20"/>
                <w:szCs w:val="20"/>
              </w:rPr>
            </w:pPr>
            <w:r w:rsidRPr="00FF5135">
              <w:rPr>
                <w:color w:val="000000" w:themeColor="text1"/>
                <w:sz w:val="20"/>
                <w:szCs w:val="20"/>
              </w:rPr>
              <w:t>Automation functioning reliably?</w:t>
            </w:r>
          </w:p>
        </w:tc>
        <w:tc>
          <w:tcPr>
            <w:tcW w:w="2135" w:type="dxa"/>
            <w:gridSpan w:val="3"/>
            <w:tcBorders>
              <w:top w:val="nil"/>
              <w:left w:val="nil"/>
              <w:bottom w:val="single" w:sz="4" w:space="0" w:color="BFBFBF"/>
              <w:right w:val="single" w:sz="8" w:space="0" w:color="BFBFBF"/>
            </w:tcBorders>
            <w:vAlign w:val="center"/>
            <w:hideMark/>
          </w:tcPr>
          <w:p w14:paraId="262FF108" w14:textId="77777777" w:rsidR="008E56DB" w:rsidRPr="00FF5135" w:rsidRDefault="008E56DB" w:rsidP="00AE1DED">
            <w:pPr>
              <w:rPr>
                <w:color w:val="000000" w:themeColor="text1"/>
                <w:sz w:val="20"/>
                <w:szCs w:val="20"/>
              </w:rPr>
            </w:pPr>
            <w:r w:rsidRPr="00FF5135">
              <w:rPr>
                <w:color w:val="000000" w:themeColor="text1"/>
                <w:sz w:val="20"/>
                <w:szCs w:val="20"/>
              </w:rPr>
              <w:t>May need to reduce complexity</w:t>
            </w:r>
          </w:p>
        </w:tc>
      </w:tr>
      <w:tr w:rsidR="00FF5135" w:rsidRPr="00FF5135" w14:paraId="2B19CF32" w14:textId="77777777" w:rsidTr="00771AC0">
        <w:trPr>
          <w:trHeight w:val="251"/>
        </w:trPr>
        <w:tc>
          <w:tcPr>
            <w:tcW w:w="2056" w:type="dxa"/>
            <w:tcBorders>
              <w:top w:val="nil"/>
              <w:left w:val="single" w:sz="8" w:space="0" w:color="BFBFBF"/>
              <w:bottom w:val="single" w:sz="4" w:space="0" w:color="BFBFBF"/>
              <w:right w:val="single" w:sz="4" w:space="0" w:color="BFBFBF"/>
            </w:tcBorders>
            <w:vAlign w:val="center"/>
            <w:hideMark/>
          </w:tcPr>
          <w:p w14:paraId="3360D449" w14:textId="77777777" w:rsidR="008E56DB" w:rsidRPr="00FF5135" w:rsidRDefault="008E56DB" w:rsidP="00AE1DED">
            <w:pPr>
              <w:rPr>
                <w:color w:val="000000" w:themeColor="text1"/>
                <w:sz w:val="20"/>
                <w:szCs w:val="20"/>
              </w:rPr>
            </w:pPr>
            <w:r w:rsidRPr="00FF5135">
              <w:rPr>
                <w:color w:val="000000" w:themeColor="text1"/>
                <w:sz w:val="20"/>
                <w:szCs w:val="20"/>
              </w:rPr>
              <w:t>Setup time invested</w:t>
            </w:r>
          </w:p>
        </w:tc>
        <w:tc>
          <w:tcPr>
            <w:tcW w:w="2704" w:type="dxa"/>
            <w:tcBorders>
              <w:top w:val="nil"/>
              <w:left w:val="nil"/>
              <w:bottom w:val="single" w:sz="4" w:space="0" w:color="BFBFBF"/>
              <w:right w:val="single" w:sz="4" w:space="0" w:color="BFBFBF"/>
            </w:tcBorders>
            <w:vAlign w:val="center"/>
            <w:hideMark/>
          </w:tcPr>
          <w:p w14:paraId="24BCC6DE" w14:textId="77777777" w:rsidR="008E56DB" w:rsidRPr="00FF5135" w:rsidRDefault="008E56DB" w:rsidP="00AE1DED">
            <w:pPr>
              <w:rPr>
                <w:color w:val="000000" w:themeColor="text1"/>
                <w:sz w:val="20"/>
                <w:szCs w:val="20"/>
              </w:rPr>
            </w:pPr>
            <w:r w:rsidRPr="00FF5135">
              <w:rPr>
                <w:color w:val="000000" w:themeColor="text1"/>
                <w:sz w:val="20"/>
                <w:szCs w:val="20"/>
              </w:rPr>
              <w:t>60+ hours on infrastructure</w:t>
            </w:r>
          </w:p>
        </w:tc>
        <w:tc>
          <w:tcPr>
            <w:tcW w:w="2520" w:type="dxa"/>
            <w:gridSpan w:val="2"/>
            <w:tcBorders>
              <w:top w:val="nil"/>
              <w:left w:val="nil"/>
              <w:bottom w:val="single" w:sz="4" w:space="0" w:color="BFBFBF"/>
              <w:right w:val="single" w:sz="4" w:space="0" w:color="BFBFBF"/>
            </w:tcBorders>
            <w:vAlign w:val="center"/>
            <w:hideMark/>
          </w:tcPr>
          <w:p w14:paraId="7925FE06" w14:textId="77777777" w:rsidR="008E56DB" w:rsidRPr="00FF5135" w:rsidRDefault="008E56DB" w:rsidP="00AE1DED">
            <w:pPr>
              <w:rPr>
                <w:color w:val="000000" w:themeColor="text1"/>
                <w:sz w:val="20"/>
                <w:szCs w:val="20"/>
              </w:rPr>
            </w:pPr>
            <w:r w:rsidRPr="00FF5135">
              <w:rPr>
                <w:color w:val="000000" w:themeColor="text1"/>
                <w:sz w:val="20"/>
                <w:szCs w:val="20"/>
              </w:rPr>
              <w:t>Invested in proper setup before deployment?</w:t>
            </w:r>
          </w:p>
        </w:tc>
        <w:tc>
          <w:tcPr>
            <w:tcW w:w="2135" w:type="dxa"/>
            <w:gridSpan w:val="3"/>
            <w:tcBorders>
              <w:top w:val="nil"/>
              <w:left w:val="nil"/>
              <w:bottom w:val="single" w:sz="4" w:space="0" w:color="BFBFBF"/>
              <w:right w:val="single" w:sz="8" w:space="0" w:color="BFBFBF"/>
            </w:tcBorders>
            <w:vAlign w:val="center"/>
            <w:hideMark/>
          </w:tcPr>
          <w:p w14:paraId="418F220B" w14:textId="77777777" w:rsidR="008E56DB" w:rsidRPr="00FF5135" w:rsidRDefault="008E56DB" w:rsidP="00AE1DED">
            <w:pPr>
              <w:rPr>
                <w:color w:val="000000" w:themeColor="text1"/>
                <w:sz w:val="20"/>
                <w:szCs w:val="20"/>
              </w:rPr>
            </w:pPr>
            <w:r w:rsidRPr="00FF5135">
              <w:rPr>
                <w:color w:val="000000" w:themeColor="text1"/>
                <w:sz w:val="20"/>
                <w:szCs w:val="20"/>
              </w:rPr>
              <w:t>Underprepared</w:t>
            </w:r>
          </w:p>
        </w:tc>
      </w:tr>
      <w:tr w:rsidR="00FF5135" w:rsidRPr="00FF5135" w14:paraId="7CFEAB67" w14:textId="77777777" w:rsidTr="002E2F35">
        <w:trPr>
          <w:trHeight w:val="74"/>
        </w:trPr>
        <w:tc>
          <w:tcPr>
            <w:tcW w:w="2056" w:type="dxa"/>
            <w:tcBorders>
              <w:top w:val="nil"/>
              <w:left w:val="single" w:sz="8" w:space="0" w:color="BFBFBF"/>
              <w:bottom w:val="nil"/>
              <w:right w:val="single" w:sz="4" w:space="0" w:color="BFBFBF"/>
            </w:tcBorders>
            <w:vAlign w:val="center"/>
            <w:hideMark/>
          </w:tcPr>
          <w:p w14:paraId="182E8AC8" w14:textId="77777777" w:rsidR="008E56DB" w:rsidRPr="00FF5135" w:rsidRDefault="008E56DB" w:rsidP="00AE1DED">
            <w:pPr>
              <w:rPr>
                <w:color w:val="000000" w:themeColor="text1"/>
                <w:sz w:val="20"/>
                <w:szCs w:val="20"/>
              </w:rPr>
            </w:pPr>
            <w:r w:rsidRPr="00FF5135">
              <w:rPr>
                <w:color w:val="000000" w:themeColor="text1"/>
                <w:sz w:val="20"/>
                <w:szCs w:val="20"/>
              </w:rPr>
              <w:t>Continuous optimization</w:t>
            </w:r>
          </w:p>
        </w:tc>
        <w:tc>
          <w:tcPr>
            <w:tcW w:w="2704" w:type="dxa"/>
            <w:tcBorders>
              <w:top w:val="nil"/>
              <w:left w:val="nil"/>
              <w:bottom w:val="nil"/>
              <w:right w:val="single" w:sz="4" w:space="0" w:color="BFBFBF"/>
            </w:tcBorders>
            <w:vAlign w:val="center"/>
            <w:hideMark/>
          </w:tcPr>
          <w:p w14:paraId="4C8ED76C" w14:textId="77777777" w:rsidR="008E56DB" w:rsidRPr="00FF5135" w:rsidRDefault="008E56DB" w:rsidP="00AE1DED">
            <w:pPr>
              <w:rPr>
                <w:color w:val="000000" w:themeColor="text1"/>
                <w:sz w:val="20"/>
                <w:szCs w:val="20"/>
              </w:rPr>
            </w:pPr>
            <w:r w:rsidRPr="00FF5135">
              <w:rPr>
                <w:color w:val="000000" w:themeColor="text1"/>
                <w:sz w:val="20"/>
                <w:szCs w:val="20"/>
              </w:rPr>
              <w:t>3-5 hours weekly improving systems</w:t>
            </w:r>
          </w:p>
        </w:tc>
        <w:tc>
          <w:tcPr>
            <w:tcW w:w="2520" w:type="dxa"/>
            <w:gridSpan w:val="2"/>
            <w:tcBorders>
              <w:top w:val="nil"/>
              <w:left w:val="nil"/>
              <w:bottom w:val="nil"/>
              <w:right w:val="single" w:sz="4" w:space="0" w:color="BFBFBF"/>
            </w:tcBorders>
            <w:vAlign w:val="center"/>
            <w:hideMark/>
          </w:tcPr>
          <w:p w14:paraId="1EEB2FFD" w14:textId="77777777" w:rsidR="008E56DB" w:rsidRPr="00FF5135" w:rsidRDefault="008E56DB" w:rsidP="00AE1DED">
            <w:pPr>
              <w:rPr>
                <w:color w:val="000000" w:themeColor="text1"/>
                <w:sz w:val="20"/>
                <w:szCs w:val="20"/>
              </w:rPr>
            </w:pPr>
            <w:r w:rsidRPr="00FF5135">
              <w:rPr>
                <w:color w:val="000000" w:themeColor="text1"/>
                <w:sz w:val="20"/>
                <w:szCs w:val="20"/>
              </w:rPr>
              <w:t>Dedicated time for system improvements?</w:t>
            </w:r>
          </w:p>
        </w:tc>
        <w:tc>
          <w:tcPr>
            <w:tcW w:w="2135" w:type="dxa"/>
            <w:gridSpan w:val="3"/>
            <w:tcBorders>
              <w:top w:val="nil"/>
              <w:left w:val="nil"/>
              <w:bottom w:val="nil"/>
              <w:right w:val="single" w:sz="8" w:space="0" w:color="BFBFBF"/>
            </w:tcBorders>
            <w:vAlign w:val="center"/>
            <w:hideMark/>
          </w:tcPr>
          <w:p w14:paraId="3F9CCA03" w14:textId="77777777" w:rsidR="008E56DB" w:rsidRPr="00FF5135" w:rsidRDefault="008E56DB" w:rsidP="00AE1DED">
            <w:pPr>
              <w:rPr>
                <w:color w:val="000000" w:themeColor="text1"/>
                <w:sz w:val="20"/>
                <w:szCs w:val="20"/>
              </w:rPr>
            </w:pPr>
            <w:r w:rsidRPr="00FF5135">
              <w:rPr>
                <w:color w:val="000000" w:themeColor="text1"/>
                <w:sz w:val="20"/>
                <w:szCs w:val="20"/>
              </w:rPr>
              <w:t>Will fall behind competition</w:t>
            </w:r>
          </w:p>
        </w:tc>
      </w:tr>
      <w:tr w:rsidR="00FF5135" w:rsidRPr="00FF5135" w14:paraId="6B962AF4" w14:textId="77777777" w:rsidTr="00771AC0">
        <w:trPr>
          <w:gridAfter w:val="1"/>
          <w:wAfter w:w="12" w:type="dxa"/>
          <w:trHeight w:val="340"/>
        </w:trPr>
        <w:tc>
          <w:tcPr>
            <w:tcW w:w="9403" w:type="dxa"/>
            <w:gridSpan w:val="6"/>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51029836" w14:textId="77777777" w:rsidR="008E56DB" w:rsidRPr="00FF5135" w:rsidRDefault="008E56DB" w:rsidP="00AE1DED">
            <w:pPr>
              <w:jc w:val="center"/>
              <w:rPr>
                <w:b/>
                <w:bCs/>
                <w:color w:val="000000" w:themeColor="text1"/>
                <w:sz w:val="20"/>
                <w:szCs w:val="20"/>
              </w:rPr>
            </w:pPr>
            <w:r w:rsidRPr="00FF5135">
              <w:rPr>
                <w:b/>
                <w:bCs/>
                <w:color w:val="000000" w:themeColor="text1"/>
                <w:sz w:val="20"/>
                <w:szCs w:val="20"/>
              </w:rPr>
              <w:t>REALISTIC EXPECTATIONS</w:t>
            </w:r>
          </w:p>
        </w:tc>
      </w:tr>
      <w:tr w:rsidR="00FF5135" w:rsidRPr="00FF5135" w14:paraId="369BF4BA" w14:textId="77777777" w:rsidTr="00771AC0">
        <w:trPr>
          <w:gridAfter w:val="2"/>
          <w:wAfter w:w="65" w:type="dxa"/>
          <w:trHeight w:val="304"/>
        </w:trPr>
        <w:tc>
          <w:tcPr>
            <w:tcW w:w="2056" w:type="dxa"/>
            <w:tcBorders>
              <w:top w:val="nil"/>
              <w:left w:val="single" w:sz="8" w:space="0" w:color="BFBFBF"/>
              <w:bottom w:val="single" w:sz="4" w:space="0" w:color="BFBFBF"/>
              <w:right w:val="single" w:sz="4" w:space="0" w:color="BFBFBF"/>
            </w:tcBorders>
            <w:vAlign w:val="center"/>
            <w:hideMark/>
          </w:tcPr>
          <w:p w14:paraId="7AFABC96" w14:textId="77777777" w:rsidR="008E56DB" w:rsidRPr="00FF5135" w:rsidRDefault="008E56DB" w:rsidP="00AE1DED">
            <w:pPr>
              <w:rPr>
                <w:color w:val="000000" w:themeColor="text1"/>
                <w:sz w:val="20"/>
                <w:szCs w:val="20"/>
              </w:rPr>
            </w:pPr>
            <w:r w:rsidRPr="00FF5135">
              <w:rPr>
                <w:color w:val="000000" w:themeColor="text1"/>
                <w:sz w:val="20"/>
                <w:szCs w:val="20"/>
              </w:rPr>
              <w:t>Return expectations</w:t>
            </w:r>
          </w:p>
        </w:tc>
        <w:tc>
          <w:tcPr>
            <w:tcW w:w="2704" w:type="dxa"/>
            <w:tcBorders>
              <w:top w:val="nil"/>
              <w:left w:val="nil"/>
              <w:bottom w:val="single" w:sz="4" w:space="0" w:color="BFBFBF"/>
              <w:right w:val="single" w:sz="4" w:space="0" w:color="BFBFBF"/>
            </w:tcBorders>
            <w:vAlign w:val="center"/>
            <w:hideMark/>
          </w:tcPr>
          <w:p w14:paraId="0021C08E" w14:textId="77777777" w:rsidR="008E56DB" w:rsidRPr="00FF5135" w:rsidRDefault="008E56DB" w:rsidP="00AE1DED">
            <w:pPr>
              <w:rPr>
                <w:color w:val="000000" w:themeColor="text1"/>
                <w:sz w:val="20"/>
                <w:szCs w:val="20"/>
              </w:rPr>
            </w:pPr>
            <w:r w:rsidRPr="00FF5135">
              <w:rPr>
                <w:color w:val="000000" w:themeColor="text1"/>
                <w:sz w:val="20"/>
                <w:szCs w:val="20"/>
              </w:rPr>
              <w:t>15-25% for sophisticated operators</w:t>
            </w:r>
          </w:p>
        </w:tc>
        <w:tc>
          <w:tcPr>
            <w:tcW w:w="2430" w:type="dxa"/>
            <w:tcBorders>
              <w:top w:val="nil"/>
              <w:left w:val="nil"/>
              <w:bottom w:val="single" w:sz="4" w:space="0" w:color="BFBFBF"/>
              <w:right w:val="single" w:sz="4" w:space="0" w:color="BFBFBF"/>
            </w:tcBorders>
            <w:vAlign w:val="center"/>
            <w:hideMark/>
          </w:tcPr>
          <w:p w14:paraId="29E4B704" w14:textId="77777777" w:rsidR="008E56DB" w:rsidRPr="00FF5135" w:rsidRDefault="008E56DB" w:rsidP="00AE1DED">
            <w:pPr>
              <w:rPr>
                <w:color w:val="000000" w:themeColor="text1"/>
                <w:sz w:val="20"/>
                <w:szCs w:val="20"/>
              </w:rPr>
            </w:pPr>
            <w:r w:rsidRPr="00FF5135">
              <w:rPr>
                <w:color w:val="000000" w:themeColor="text1"/>
                <w:sz w:val="20"/>
                <w:szCs w:val="20"/>
              </w:rPr>
              <w:t>Understand this requires high sophistication?</w:t>
            </w:r>
          </w:p>
        </w:tc>
        <w:tc>
          <w:tcPr>
            <w:tcW w:w="2160" w:type="dxa"/>
            <w:gridSpan w:val="2"/>
            <w:tcBorders>
              <w:top w:val="nil"/>
              <w:left w:val="nil"/>
              <w:bottom w:val="single" w:sz="4" w:space="0" w:color="BFBFBF"/>
              <w:right w:val="single" w:sz="8" w:space="0" w:color="BFBFBF"/>
            </w:tcBorders>
            <w:vAlign w:val="center"/>
            <w:hideMark/>
          </w:tcPr>
          <w:p w14:paraId="464DED78" w14:textId="77777777" w:rsidR="008E56DB" w:rsidRPr="00FF5135" w:rsidRDefault="008E56DB" w:rsidP="00AE1DED">
            <w:pPr>
              <w:rPr>
                <w:color w:val="000000" w:themeColor="text1"/>
                <w:sz w:val="20"/>
                <w:szCs w:val="20"/>
              </w:rPr>
            </w:pPr>
            <w:r w:rsidRPr="00FF5135">
              <w:rPr>
                <w:color w:val="000000" w:themeColor="text1"/>
                <w:sz w:val="20"/>
                <w:szCs w:val="20"/>
              </w:rPr>
              <w:t>May not achieve these returns</w:t>
            </w:r>
          </w:p>
        </w:tc>
      </w:tr>
      <w:tr w:rsidR="00FF5135" w:rsidRPr="00FF5135" w14:paraId="6ED129E8" w14:textId="77777777" w:rsidTr="00771AC0">
        <w:trPr>
          <w:gridAfter w:val="2"/>
          <w:wAfter w:w="65" w:type="dxa"/>
          <w:trHeight w:val="278"/>
        </w:trPr>
        <w:tc>
          <w:tcPr>
            <w:tcW w:w="2056" w:type="dxa"/>
            <w:tcBorders>
              <w:top w:val="nil"/>
              <w:left w:val="single" w:sz="8" w:space="0" w:color="BFBFBF"/>
              <w:bottom w:val="single" w:sz="4" w:space="0" w:color="BFBFBF"/>
              <w:right w:val="single" w:sz="4" w:space="0" w:color="BFBFBF"/>
            </w:tcBorders>
            <w:vAlign w:val="center"/>
            <w:hideMark/>
          </w:tcPr>
          <w:p w14:paraId="18085F23" w14:textId="77777777" w:rsidR="008E56DB" w:rsidRPr="00FF5135" w:rsidRDefault="008E56DB" w:rsidP="00AE1DED">
            <w:pPr>
              <w:rPr>
                <w:color w:val="000000" w:themeColor="text1"/>
                <w:sz w:val="20"/>
                <w:szCs w:val="20"/>
              </w:rPr>
            </w:pPr>
            <w:r w:rsidRPr="00FF5135">
              <w:rPr>
                <w:color w:val="000000" w:themeColor="text1"/>
                <w:sz w:val="20"/>
                <w:szCs w:val="20"/>
              </w:rPr>
              <w:t>Institutional competition</w:t>
            </w:r>
          </w:p>
        </w:tc>
        <w:tc>
          <w:tcPr>
            <w:tcW w:w="2704" w:type="dxa"/>
            <w:tcBorders>
              <w:top w:val="nil"/>
              <w:left w:val="nil"/>
              <w:bottom w:val="single" w:sz="4" w:space="0" w:color="BFBFBF"/>
              <w:right w:val="single" w:sz="4" w:space="0" w:color="BFBFBF"/>
            </w:tcBorders>
            <w:vAlign w:val="center"/>
            <w:hideMark/>
          </w:tcPr>
          <w:p w14:paraId="143673D8" w14:textId="77777777" w:rsidR="008E56DB" w:rsidRPr="00FF5135" w:rsidRDefault="008E56DB" w:rsidP="00AE1DED">
            <w:pPr>
              <w:rPr>
                <w:color w:val="000000" w:themeColor="text1"/>
                <w:sz w:val="20"/>
                <w:szCs w:val="20"/>
              </w:rPr>
            </w:pPr>
            <w:r w:rsidRPr="00FF5135">
              <w:rPr>
                <w:color w:val="000000" w:themeColor="text1"/>
                <w:sz w:val="20"/>
                <w:szCs w:val="20"/>
              </w:rPr>
              <w:t>Competing with $10M+ players</w:t>
            </w:r>
          </w:p>
        </w:tc>
        <w:tc>
          <w:tcPr>
            <w:tcW w:w="2430" w:type="dxa"/>
            <w:tcBorders>
              <w:top w:val="nil"/>
              <w:left w:val="nil"/>
              <w:bottom w:val="single" w:sz="4" w:space="0" w:color="BFBFBF"/>
              <w:right w:val="single" w:sz="4" w:space="0" w:color="BFBFBF"/>
            </w:tcBorders>
            <w:vAlign w:val="center"/>
            <w:hideMark/>
          </w:tcPr>
          <w:p w14:paraId="0806ECCE" w14:textId="77777777" w:rsidR="008E56DB" w:rsidRPr="00FF5135" w:rsidRDefault="008E56DB" w:rsidP="00AE1DED">
            <w:pPr>
              <w:rPr>
                <w:color w:val="000000" w:themeColor="text1"/>
                <w:sz w:val="20"/>
                <w:szCs w:val="20"/>
              </w:rPr>
            </w:pPr>
            <w:r w:rsidRPr="00FF5135">
              <w:rPr>
                <w:color w:val="000000" w:themeColor="text1"/>
                <w:sz w:val="20"/>
                <w:szCs w:val="20"/>
              </w:rPr>
              <w:t>Comfortable competing with well-resourced institutions?</w:t>
            </w:r>
          </w:p>
        </w:tc>
        <w:tc>
          <w:tcPr>
            <w:tcW w:w="2160" w:type="dxa"/>
            <w:gridSpan w:val="2"/>
            <w:tcBorders>
              <w:top w:val="nil"/>
              <w:left w:val="nil"/>
              <w:bottom w:val="single" w:sz="4" w:space="0" w:color="BFBFBF"/>
              <w:right w:val="single" w:sz="8" w:space="0" w:color="BFBFBF"/>
            </w:tcBorders>
            <w:vAlign w:val="center"/>
            <w:hideMark/>
          </w:tcPr>
          <w:p w14:paraId="0CB74B51" w14:textId="77777777" w:rsidR="008E56DB" w:rsidRPr="00FF5135" w:rsidRDefault="008E56DB" w:rsidP="00AE1DED">
            <w:pPr>
              <w:rPr>
                <w:color w:val="000000" w:themeColor="text1"/>
                <w:sz w:val="20"/>
                <w:szCs w:val="20"/>
              </w:rPr>
            </w:pPr>
            <w:r w:rsidRPr="00FF5135">
              <w:rPr>
                <w:color w:val="000000" w:themeColor="text1"/>
                <w:sz w:val="20"/>
                <w:szCs w:val="20"/>
              </w:rPr>
              <w:t>May be outcompeted</w:t>
            </w:r>
          </w:p>
        </w:tc>
      </w:tr>
      <w:tr w:rsidR="00FF5135" w:rsidRPr="00FF5135" w14:paraId="10F8F816" w14:textId="77777777" w:rsidTr="00771AC0">
        <w:trPr>
          <w:gridAfter w:val="2"/>
          <w:wAfter w:w="65" w:type="dxa"/>
          <w:trHeight w:val="323"/>
        </w:trPr>
        <w:tc>
          <w:tcPr>
            <w:tcW w:w="2056" w:type="dxa"/>
            <w:tcBorders>
              <w:top w:val="nil"/>
              <w:left w:val="single" w:sz="8" w:space="0" w:color="BFBFBF"/>
              <w:bottom w:val="single" w:sz="4" w:space="0" w:color="BFBFBF"/>
              <w:right w:val="single" w:sz="4" w:space="0" w:color="BFBFBF"/>
            </w:tcBorders>
            <w:vAlign w:val="center"/>
            <w:hideMark/>
          </w:tcPr>
          <w:p w14:paraId="69418E0F" w14:textId="77777777" w:rsidR="008E56DB" w:rsidRPr="00FF5135" w:rsidRDefault="008E56DB" w:rsidP="00AE1DED">
            <w:pPr>
              <w:rPr>
                <w:color w:val="000000" w:themeColor="text1"/>
                <w:sz w:val="20"/>
                <w:szCs w:val="20"/>
              </w:rPr>
            </w:pPr>
            <w:r w:rsidRPr="00FF5135">
              <w:rPr>
                <w:color w:val="000000" w:themeColor="text1"/>
                <w:sz w:val="20"/>
                <w:szCs w:val="20"/>
              </w:rPr>
              <w:t>Professionalization</w:t>
            </w:r>
          </w:p>
        </w:tc>
        <w:tc>
          <w:tcPr>
            <w:tcW w:w="2704" w:type="dxa"/>
            <w:tcBorders>
              <w:top w:val="nil"/>
              <w:left w:val="nil"/>
              <w:bottom w:val="single" w:sz="4" w:space="0" w:color="BFBFBF"/>
              <w:right w:val="single" w:sz="4" w:space="0" w:color="BFBFBF"/>
            </w:tcBorders>
            <w:vAlign w:val="center"/>
            <w:hideMark/>
          </w:tcPr>
          <w:p w14:paraId="12F3BB21" w14:textId="77777777" w:rsidR="008E56DB" w:rsidRPr="00FF5135" w:rsidRDefault="008E56DB" w:rsidP="00AE1DED">
            <w:pPr>
              <w:rPr>
                <w:color w:val="000000" w:themeColor="text1"/>
                <w:sz w:val="20"/>
                <w:szCs w:val="20"/>
              </w:rPr>
            </w:pPr>
            <w:r w:rsidRPr="00FF5135">
              <w:rPr>
                <w:color w:val="000000" w:themeColor="text1"/>
                <w:sz w:val="20"/>
                <w:szCs w:val="20"/>
              </w:rPr>
              <w:t>This is professional activity</w:t>
            </w:r>
          </w:p>
        </w:tc>
        <w:tc>
          <w:tcPr>
            <w:tcW w:w="2430" w:type="dxa"/>
            <w:tcBorders>
              <w:top w:val="nil"/>
              <w:left w:val="nil"/>
              <w:bottom w:val="single" w:sz="4" w:space="0" w:color="BFBFBF"/>
              <w:right w:val="single" w:sz="4" w:space="0" w:color="BFBFBF"/>
            </w:tcBorders>
            <w:vAlign w:val="center"/>
            <w:hideMark/>
          </w:tcPr>
          <w:p w14:paraId="2B5EA71F" w14:textId="77777777" w:rsidR="008E56DB" w:rsidRPr="00FF5135" w:rsidRDefault="008E56DB" w:rsidP="00AE1DED">
            <w:pPr>
              <w:rPr>
                <w:color w:val="000000" w:themeColor="text1"/>
                <w:sz w:val="20"/>
                <w:szCs w:val="20"/>
              </w:rPr>
            </w:pPr>
            <w:r w:rsidRPr="00FF5135">
              <w:rPr>
                <w:color w:val="000000" w:themeColor="text1"/>
                <w:sz w:val="20"/>
                <w:szCs w:val="20"/>
              </w:rPr>
              <w:t>Treating as business, not experiment?</w:t>
            </w:r>
          </w:p>
        </w:tc>
        <w:tc>
          <w:tcPr>
            <w:tcW w:w="2160" w:type="dxa"/>
            <w:gridSpan w:val="2"/>
            <w:tcBorders>
              <w:top w:val="nil"/>
              <w:left w:val="nil"/>
              <w:bottom w:val="single" w:sz="4" w:space="0" w:color="BFBFBF"/>
              <w:right w:val="single" w:sz="8" w:space="0" w:color="BFBFBF"/>
            </w:tcBorders>
            <w:vAlign w:val="center"/>
            <w:hideMark/>
          </w:tcPr>
          <w:p w14:paraId="693E2AB3" w14:textId="77777777" w:rsidR="008E56DB" w:rsidRPr="00FF5135" w:rsidRDefault="008E56DB" w:rsidP="00AE1DED">
            <w:pPr>
              <w:rPr>
                <w:color w:val="000000" w:themeColor="text1"/>
                <w:sz w:val="20"/>
                <w:szCs w:val="20"/>
              </w:rPr>
            </w:pPr>
            <w:r w:rsidRPr="00FF5135">
              <w:rPr>
                <w:color w:val="000000" w:themeColor="text1"/>
                <w:sz w:val="20"/>
                <w:szCs w:val="20"/>
              </w:rPr>
              <w:t>Amateur approach will fail</w:t>
            </w:r>
          </w:p>
        </w:tc>
      </w:tr>
      <w:tr w:rsidR="00FF5135" w:rsidRPr="00FF5135" w14:paraId="654525E4" w14:textId="77777777" w:rsidTr="002E2F35">
        <w:trPr>
          <w:gridAfter w:val="2"/>
          <w:wAfter w:w="65" w:type="dxa"/>
          <w:trHeight w:val="74"/>
        </w:trPr>
        <w:tc>
          <w:tcPr>
            <w:tcW w:w="2056" w:type="dxa"/>
            <w:tcBorders>
              <w:top w:val="nil"/>
              <w:left w:val="single" w:sz="8" w:space="0" w:color="BFBFBF"/>
              <w:bottom w:val="single" w:sz="8" w:space="0" w:color="BFBFBF"/>
              <w:right w:val="single" w:sz="4" w:space="0" w:color="BFBFBF"/>
            </w:tcBorders>
            <w:vAlign w:val="center"/>
            <w:hideMark/>
          </w:tcPr>
          <w:p w14:paraId="3A521C6A" w14:textId="77777777" w:rsidR="008E56DB" w:rsidRPr="00FF5135" w:rsidRDefault="008E56DB" w:rsidP="00AE1DED">
            <w:pPr>
              <w:rPr>
                <w:b/>
                <w:bCs/>
                <w:color w:val="000000" w:themeColor="text1"/>
                <w:sz w:val="20"/>
                <w:szCs w:val="20"/>
              </w:rPr>
            </w:pPr>
            <w:r w:rsidRPr="00FF5135">
              <w:rPr>
                <w:b/>
                <w:bCs/>
                <w:color w:val="000000" w:themeColor="text1"/>
                <w:sz w:val="20"/>
                <w:szCs w:val="20"/>
              </w:rPr>
              <w:t>READY TO PROCEED?</w:t>
            </w:r>
          </w:p>
        </w:tc>
        <w:tc>
          <w:tcPr>
            <w:tcW w:w="2704" w:type="dxa"/>
            <w:tcBorders>
              <w:top w:val="nil"/>
              <w:left w:val="nil"/>
              <w:bottom w:val="single" w:sz="8" w:space="0" w:color="BFBFBF"/>
              <w:right w:val="single" w:sz="4" w:space="0" w:color="BFBFBF"/>
            </w:tcBorders>
            <w:vAlign w:val="center"/>
            <w:hideMark/>
          </w:tcPr>
          <w:p w14:paraId="7B18DFBA" w14:textId="77777777" w:rsidR="008E56DB" w:rsidRPr="00FF5135" w:rsidRDefault="008E56DB" w:rsidP="00AE1DED">
            <w:pPr>
              <w:rPr>
                <w:color w:val="000000" w:themeColor="text1"/>
                <w:sz w:val="20"/>
                <w:szCs w:val="20"/>
              </w:rPr>
            </w:pPr>
            <w:r w:rsidRPr="00FF5135">
              <w:rPr>
                <w:color w:val="000000" w:themeColor="text1"/>
                <w:sz w:val="20"/>
                <w:szCs w:val="20"/>
              </w:rPr>
              <w:t>All items checked</w:t>
            </w:r>
          </w:p>
        </w:tc>
        <w:tc>
          <w:tcPr>
            <w:tcW w:w="2430" w:type="dxa"/>
            <w:tcBorders>
              <w:top w:val="nil"/>
              <w:left w:val="nil"/>
              <w:bottom w:val="single" w:sz="8" w:space="0" w:color="BFBFBF"/>
              <w:right w:val="single" w:sz="4" w:space="0" w:color="BFBFBF"/>
            </w:tcBorders>
            <w:vAlign w:val="center"/>
            <w:hideMark/>
          </w:tcPr>
          <w:p w14:paraId="044BDEE1" w14:textId="77777777" w:rsidR="008E56DB" w:rsidRPr="00FF5135" w:rsidRDefault="008E56DB" w:rsidP="00AE1DED">
            <w:pPr>
              <w:rPr>
                <w:color w:val="000000" w:themeColor="text1"/>
                <w:sz w:val="20"/>
                <w:szCs w:val="20"/>
              </w:rPr>
            </w:pPr>
            <w:r w:rsidRPr="00FF5135">
              <w:rPr>
                <w:color w:val="000000" w:themeColor="text1"/>
                <w:sz w:val="20"/>
                <w:szCs w:val="20"/>
              </w:rPr>
              <w:t>Professional consultant review recommended</w:t>
            </w:r>
          </w:p>
        </w:tc>
        <w:tc>
          <w:tcPr>
            <w:tcW w:w="2160" w:type="dxa"/>
            <w:gridSpan w:val="2"/>
            <w:tcBorders>
              <w:top w:val="nil"/>
              <w:left w:val="nil"/>
              <w:bottom w:val="single" w:sz="8" w:space="0" w:color="BFBFBF"/>
              <w:right w:val="single" w:sz="8" w:space="0" w:color="BFBFBF"/>
            </w:tcBorders>
            <w:vAlign w:val="center"/>
            <w:hideMark/>
          </w:tcPr>
          <w:p w14:paraId="6DB21E66" w14:textId="77777777" w:rsidR="008E56DB" w:rsidRPr="00FF5135" w:rsidRDefault="008E56DB" w:rsidP="00AE1DED">
            <w:pPr>
              <w:rPr>
                <w:color w:val="000000" w:themeColor="text1"/>
                <w:sz w:val="20"/>
                <w:szCs w:val="20"/>
              </w:rPr>
            </w:pPr>
            <w:r w:rsidRPr="00FF5135">
              <w:rPr>
                <w:color w:val="000000" w:themeColor="text1"/>
                <w:sz w:val="20"/>
                <w:szCs w:val="20"/>
              </w:rPr>
              <w:t>Consider hiring DeFi specialist</w:t>
            </w:r>
          </w:p>
        </w:tc>
      </w:tr>
    </w:tbl>
    <w:p w14:paraId="01E51F02" w14:textId="77777777" w:rsidR="000C73D5" w:rsidRPr="00750A6E" w:rsidRDefault="000C73D5" w:rsidP="00AE1DED">
      <w:pPr>
        <w:rPr>
          <w:rFonts w:eastAsiaTheme="majorEastAsia"/>
          <w:color w:val="0070C0"/>
        </w:rPr>
      </w:pPr>
    </w:p>
    <w:p w14:paraId="38FF3C2C" w14:textId="77777777" w:rsidR="000C73D5" w:rsidRPr="00750A6E" w:rsidRDefault="000C73D5" w:rsidP="00AE1DED">
      <w:pPr>
        <w:rPr>
          <w:rFonts w:eastAsiaTheme="majorEastAsia"/>
          <w:color w:val="0070C0"/>
        </w:rPr>
      </w:pPr>
    </w:p>
    <w:p w14:paraId="210DE265" w14:textId="30453258" w:rsidR="0076579E" w:rsidRPr="003C66A0" w:rsidRDefault="008D6F57" w:rsidP="00AE1DED">
      <w:pPr>
        <w:pStyle w:val="Heading2"/>
        <w:jc w:val="both"/>
        <w:rPr>
          <w:rFonts w:eastAsiaTheme="majorEastAsia"/>
        </w:rPr>
      </w:pPr>
      <w:bookmarkStart w:id="229" w:name="_Toc214722035"/>
      <w:r w:rsidRPr="003C66A0">
        <w:rPr>
          <w:rFonts w:eastAsiaTheme="majorEastAsia"/>
        </w:rPr>
        <w:t>10</w:t>
      </w:r>
      <w:r w:rsidR="0076579E" w:rsidRPr="003C66A0">
        <w:rPr>
          <w:rFonts w:eastAsiaTheme="majorEastAsia"/>
        </w:rPr>
        <w:t>.10 Synthesis: The Optimization Sweet Spot</w:t>
      </w:r>
      <w:bookmarkEnd w:id="229"/>
    </w:p>
    <w:p w14:paraId="054AB5B8" w14:textId="2EA30DED" w:rsidR="00C0163B" w:rsidRPr="00C0163B" w:rsidRDefault="00C0163B" w:rsidP="00AE1DED">
      <w:pPr>
        <w:jc w:val="both"/>
        <w:rPr>
          <w:rFonts w:eastAsiaTheme="majorEastAsia"/>
          <w:bCs/>
          <w:color w:val="000000" w:themeColor="text1"/>
        </w:rPr>
      </w:pPr>
      <w:r w:rsidRPr="00C0163B">
        <w:rPr>
          <w:rFonts w:eastAsiaTheme="majorEastAsia"/>
          <w:bCs/>
          <w:color w:val="000000" w:themeColor="text1"/>
        </w:rPr>
        <w:t xml:space="preserve">According to Laffer (1974), the link between optimization and returns looks like an upside-down U. Not optimizing means losing money, but too much optimization makes things too </w:t>
      </w:r>
      <w:r w:rsidR="003264F5" w:rsidRPr="00C0163B">
        <w:rPr>
          <w:rFonts w:eastAsiaTheme="majorEastAsia"/>
          <w:bCs/>
          <w:color w:val="000000" w:themeColor="text1"/>
        </w:rPr>
        <w:t>complicated,</w:t>
      </w:r>
      <w:r w:rsidRPr="00C0163B">
        <w:rPr>
          <w:rFonts w:eastAsiaTheme="majorEastAsia"/>
          <w:bCs/>
          <w:color w:val="000000" w:themeColor="text1"/>
        </w:rPr>
        <w:t xml:space="preserve"> and hurts returns. The sweet spot is in the middle, but as was said before, it will take technical knowledge, time, and talent.</w:t>
      </w:r>
    </w:p>
    <w:p w14:paraId="1E2A0D04" w14:textId="77777777" w:rsidR="00C0163B" w:rsidRPr="00C0163B" w:rsidRDefault="00C0163B" w:rsidP="00AE1DED">
      <w:pPr>
        <w:jc w:val="both"/>
        <w:rPr>
          <w:rFonts w:eastAsiaTheme="majorEastAsia"/>
          <w:bCs/>
          <w:color w:val="000000" w:themeColor="text1"/>
        </w:rPr>
      </w:pPr>
    </w:p>
    <w:p w14:paraId="4E421CA2" w14:textId="77777777" w:rsidR="00C0163B" w:rsidRPr="00C0163B" w:rsidRDefault="00C0163B" w:rsidP="00AE1DED">
      <w:pPr>
        <w:jc w:val="both"/>
        <w:rPr>
          <w:rFonts w:eastAsiaTheme="majorEastAsia"/>
          <w:bCs/>
          <w:color w:val="000000" w:themeColor="text1"/>
        </w:rPr>
      </w:pPr>
      <w:r w:rsidRPr="00C0163B">
        <w:rPr>
          <w:rFonts w:eastAsiaTheme="majorEastAsia"/>
          <w:bCs/>
          <w:color w:val="000000" w:themeColor="text1"/>
        </w:rPr>
        <w:t>The implementation study shows that doing less is typically more successful than doing more, which goes against what both marketing and common sense say about money. </w:t>
      </w:r>
    </w:p>
    <w:p w14:paraId="595145F2" w14:textId="77777777" w:rsidR="00C0163B" w:rsidRPr="00C0163B" w:rsidRDefault="00C0163B" w:rsidP="00AE1DED">
      <w:pPr>
        <w:jc w:val="both"/>
        <w:rPr>
          <w:rFonts w:eastAsiaTheme="majorEastAsia"/>
          <w:bCs/>
          <w:color w:val="000000" w:themeColor="text1"/>
        </w:rPr>
      </w:pPr>
    </w:p>
    <w:p w14:paraId="1DF53F9D" w14:textId="77777777" w:rsidR="00C0163B" w:rsidRPr="00C0163B" w:rsidRDefault="00C0163B" w:rsidP="00AE1DED">
      <w:pPr>
        <w:jc w:val="both"/>
        <w:rPr>
          <w:rFonts w:eastAsiaTheme="majorEastAsia"/>
          <w:bCs/>
          <w:color w:val="000000" w:themeColor="text1"/>
        </w:rPr>
      </w:pPr>
      <w:r w:rsidRPr="00C0163B">
        <w:rPr>
          <w:rFonts w:eastAsiaTheme="majorEastAsia"/>
          <w:bCs/>
          <w:color w:val="000000" w:themeColor="text1"/>
        </w:rPr>
        <w:t xml:space="preserve">The main point is to start with simple things and only add more difficult things when you know the basics. A vital part is putting more emphasis on huge wins than little ones and making sure that strategy complexity matches actual capabilities. </w:t>
      </w:r>
      <w:proofErr w:type="gramStart"/>
      <w:r w:rsidRPr="00C0163B">
        <w:rPr>
          <w:rFonts w:eastAsiaTheme="majorEastAsia"/>
          <w:bCs/>
          <w:color w:val="000000" w:themeColor="text1"/>
        </w:rPr>
        <w:t>Last but not least</w:t>
      </w:r>
      <w:proofErr w:type="gramEnd"/>
      <w:r w:rsidRPr="00C0163B">
        <w:rPr>
          <w:rFonts w:eastAsiaTheme="majorEastAsia"/>
          <w:bCs/>
          <w:color w:val="000000" w:themeColor="text1"/>
        </w:rPr>
        <w:t xml:space="preserve">, you need to keep an eye on whether optimizations </w:t>
      </w:r>
      <w:proofErr w:type="gramStart"/>
      <w:r w:rsidRPr="00C0163B">
        <w:rPr>
          <w:rFonts w:eastAsiaTheme="majorEastAsia"/>
          <w:bCs/>
          <w:color w:val="000000" w:themeColor="text1"/>
        </w:rPr>
        <w:t>actually boost</w:t>
      </w:r>
      <w:proofErr w:type="gramEnd"/>
      <w:r w:rsidRPr="00C0163B">
        <w:rPr>
          <w:rFonts w:eastAsiaTheme="majorEastAsia"/>
          <w:bCs/>
          <w:color w:val="000000" w:themeColor="text1"/>
        </w:rPr>
        <w:t xml:space="preserve"> returns or merely make more work for you.</w:t>
      </w:r>
    </w:p>
    <w:p w14:paraId="1695BAAA" w14:textId="77777777" w:rsidR="00C0163B" w:rsidRPr="003C66A0" w:rsidRDefault="00C0163B" w:rsidP="00AE1DED">
      <w:pPr>
        <w:jc w:val="both"/>
        <w:rPr>
          <w:rFonts w:eastAsiaTheme="majorEastAsia"/>
          <w:bCs/>
          <w:color w:val="EE0000"/>
        </w:rPr>
      </w:pPr>
    </w:p>
    <w:p w14:paraId="66B43DF8" w14:textId="77777777" w:rsidR="00C144BA" w:rsidRDefault="0055692B" w:rsidP="00AE1DED">
      <w:pPr>
        <w:pStyle w:val="Heading3"/>
        <w:rPr>
          <w:color w:val="000000" w:themeColor="text1"/>
        </w:rPr>
      </w:pPr>
      <w:bookmarkStart w:id="230" w:name="_Toc214722036"/>
      <w:r w:rsidRPr="00FF5135">
        <w:rPr>
          <w:color w:val="000000" w:themeColor="text1"/>
        </w:rPr>
        <w:t>10.10.1 Troubleshooting Guide: Common Failure Modes</w:t>
      </w:r>
      <w:bookmarkEnd w:id="230"/>
    </w:p>
    <w:p w14:paraId="70985AC5" w14:textId="71F88932" w:rsidR="0055692B" w:rsidRPr="00C144BA" w:rsidRDefault="0055692B" w:rsidP="00AE1DED">
      <w:pPr>
        <w:jc w:val="both"/>
        <w:rPr>
          <w:sz w:val="27"/>
          <w:szCs w:val="27"/>
        </w:rPr>
      </w:pPr>
      <w:r w:rsidRPr="00C144BA">
        <w:t xml:space="preserve">Based on interview data (n=27) and position tracking (n=156), specific failure patterns recur across </w:t>
      </w:r>
      <w:r w:rsidR="00903AB5" w:rsidRPr="00C144BA">
        <w:t xml:space="preserve">the </w:t>
      </w:r>
      <w:r w:rsidRPr="00C144BA">
        <w:t xml:space="preserve">different participant types and capital levels. This troubleshooting guide maps </w:t>
      </w:r>
      <w:r w:rsidR="00903AB5" w:rsidRPr="00C144BA">
        <w:t xml:space="preserve">identified </w:t>
      </w:r>
      <w:r w:rsidRPr="00C144BA">
        <w:t>symptoms to root causes and corrective actions</w:t>
      </w:r>
      <w:r w:rsidR="00903AB5" w:rsidRPr="00C144BA">
        <w:t>. It is</w:t>
      </w:r>
      <w:r w:rsidRPr="00C144BA">
        <w:t xml:space="preserve"> organized by the frequency with which each failure mode </w:t>
      </w:r>
      <w:proofErr w:type="gramStart"/>
      <w:r w:rsidRPr="00C144BA">
        <w:t>appeared</w:t>
      </w:r>
      <w:proofErr w:type="gramEnd"/>
      <w:r w:rsidRPr="00C144BA">
        <w:t xml:space="preserve"> in the empirical sample.</w:t>
      </w:r>
    </w:p>
    <w:p w14:paraId="2470EF6C" w14:textId="77777777" w:rsidR="00C144BA" w:rsidRDefault="00C144BA" w:rsidP="00AE1DED">
      <w:pPr>
        <w:jc w:val="both"/>
        <w:rPr>
          <w:rStyle w:val="Strong"/>
          <w:b w:val="0"/>
          <w:bCs w:val="0"/>
          <w:color w:val="000000" w:themeColor="text1"/>
        </w:rPr>
      </w:pPr>
    </w:p>
    <w:p w14:paraId="1FDF21E4" w14:textId="2BBA4835" w:rsidR="0055692B" w:rsidRPr="00FF5135" w:rsidRDefault="0055692B" w:rsidP="00AE1DED">
      <w:pPr>
        <w:pStyle w:val="Heading3"/>
        <w:rPr>
          <w:rStyle w:val="Strong"/>
          <w:b/>
          <w:bCs w:val="0"/>
          <w:color w:val="000000" w:themeColor="text1"/>
        </w:rPr>
      </w:pPr>
      <w:bookmarkStart w:id="231" w:name="_Toc214722037"/>
      <w:r w:rsidRPr="00FF5135">
        <w:rPr>
          <w:rStyle w:val="Strong"/>
          <w:b/>
          <w:bCs w:val="0"/>
          <w:color w:val="000000" w:themeColor="text1"/>
        </w:rPr>
        <w:t>Table 10.</w:t>
      </w:r>
      <w:r w:rsidR="009122A9">
        <w:rPr>
          <w:rStyle w:val="Strong"/>
          <w:b/>
          <w:bCs w:val="0"/>
          <w:color w:val="000000" w:themeColor="text1"/>
        </w:rPr>
        <w:t>G</w:t>
      </w:r>
      <w:r w:rsidRPr="00FF5135">
        <w:rPr>
          <w:rStyle w:val="Strong"/>
          <w:b/>
          <w:bCs w:val="0"/>
          <w:color w:val="000000" w:themeColor="text1"/>
        </w:rPr>
        <w:t>: Implementation Failure Diagnosis and Correction</w:t>
      </w:r>
      <w:bookmarkEnd w:id="231"/>
    </w:p>
    <w:p w14:paraId="1F7A37FF" w14:textId="77777777" w:rsidR="008026AF" w:rsidRPr="00AB0638" w:rsidRDefault="008026AF" w:rsidP="00AE1DED">
      <w:pPr>
        <w:rPr>
          <w:color w:val="0070C0"/>
        </w:rPr>
      </w:pPr>
    </w:p>
    <w:tbl>
      <w:tblPr>
        <w:tblW w:w="9650" w:type="dxa"/>
        <w:tblLayout w:type="fixed"/>
        <w:tblLook w:val="04A0" w:firstRow="1" w:lastRow="0" w:firstColumn="1" w:lastColumn="0" w:noHBand="0" w:noVBand="1"/>
      </w:tblPr>
      <w:tblGrid>
        <w:gridCol w:w="1430"/>
        <w:gridCol w:w="1350"/>
        <w:gridCol w:w="2250"/>
        <w:gridCol w:w="2160"/>
        <w:gridCol w:w="2430"/>
        <w:gridCol w:w="30"/>
      </w:tblGrid>
      <w:tr w:rsidR="004D4290" w:rsidRPr="004D4290" w14:paraId="182EB851" w14:textId="77777777" w:rsidTr="00B8554B">
        <w:trPr>
          <w:trHeight w:val="360"/>
        </w:trPr>
        <w:tc>
          <w:tcPr>
            <w:tcW w:w="1430" w:type="dxa"/>
            <w:tcBorders>
              <w:top w:val="single" w:sz="8" w:space="0" w:color="BFBFBF"/>
              <w:left w:val="single" w:sz="8" w:space="0" w:color="BFBFBF"/>
              <w:bottom w:val="nil"/>
              <w:right w:val="single" w:sz="4" w:space="0" w:color="BFBFBF"/>
            </w:tcBorders>
            <w:shd w:val="clear" w:color="auto" w:fill="BFBFBF" w:themeFill="background1" w:themeFillShade="BF"/>
            <w:vAlign w:val="center"/>
            <w:hideMark/>
          </w:tcPr>
          <w:p w14:paraId="03EB0A5E" w14:textId="77777777" w:rsidR="00324654" w:rsidRPr="004D4290" w:rsidRDefault="00324654" w:rsidP="00AE1DED">
            <w:pPr>
              <w:jc w:val="center"/>
              <w:rPr>
                <w:b/>
                <w:bCs/>
                <w:color w:val="000000" w:themeColor="text1"/>
                <w:sz w:val="20"/>
                <w:szCs w:val="20"/>
              </w:rPr>
            </w:pPr>
            <w:r w:rsidRPr="004D4290">
              <w:rPr>
                <w:b/>
                <w:bCs/>
                <w:color w:val="000000" w:themeColor="text1"/>
                <w:sz w:val="20"/>
                <w:szCs w:val="20"/>
              </w:rPr>
              <w:t>Symptom</w:t>
            </w:r>
          </w:p>
        </w:tc>
        <w:tc>
          <w:tcPr>
            <w:tcW w:w="1350" w:type="dxa"/>
            <w:tcBorders>
              <w:top w:val="single" w:sz="8" w:space="0" w:color="BFBFBF"/>
              <w:left w:val="nil"/>
              <w:bottom w:val="nil"/>
              <w:right w:val="single" w:sz="4" w:space="0" w:color="BFBFBF"/>
            </w:tcBorders>
            <w:shd w:val="clear" w:color="auto" w:fill="BFBFBF" w:themeFill="background1" w:themeFillShade="BF"/>
            <w:vAlign w:val="center"/>
            <w:hideMark/>
          </w:tcPr>
          <w:p w14:paraId="6AF97D3B" w14:textId="77777777" w:rsidR="00324654" w:rsidRPr="004D4290" w:rsidRDefault="00324654" w:rsidP="00AE1DED">
            <w:pPr>
              <w:jc w:val="center"/>
              <w:rPr>
                <w:b/>
                <w:bCs/>
                <w:color w:val="000000" w:themeColor="text1"/>
                <w:sz w:val="20"/>
                <w:szCs w:val="20"/>
              </w:rPr>
            </w:pPr>
            <w:r w:rsidRPr="004D4290">
              <w:rPr>
                <w:b/>
                <w:bCs/>
                <w:color w:val="000000" w:themeColor="text1"/>
                <w:sz w:val="20"/>
                <w:szCs w:val="20"/>
              </w:rPr>
              <w:t>Likely Root Cause</w:t>
            </w:r>
          </w:p>
        </w:tc>
        <w:tc>
          <w:tcPr>
            <w:tcW w:w="2250" w:type="dxa"/>
            <w:tcBorders>
              <w:top w:val="single" w:sz="8" w:space="0" w:color="BFBFBF"/>
              <w:left w:val="nil"/>
              <w:bottom w:val="nil"/>
              <w:right w:val="single" w:sz="4" w:space="0" w:color="BFBFBF"/>
            </w:tcBorders>
            <w:shd w:val="clear" w:color="auto" w:fill="BFBFBF" w:themeFill="background1" w:themeFillShade="BF"/>
            <w:vAlign w:val="center"/>
            <w:hideMark/>
          </w:tcPr>
          <w:p w14:paraId="00462C69" w14:textId="77777777" w:rsidR="00324654" w:rsidRPr="004D4290" w:rsidRDefault="00324654" w:rsidP="00AE1DED">
            <w:pPr>
              <w:jc w:val="center"/>
              <w:rPr>
                <w:b/>
                <w:bCs/>
                <w:color w:val="000000" w:themeColor="text1"/>
                <w:sz w:val="20"/>
                <w:szCs w:val="20"/>
              </w:rPr>
            </w:pPr>
            <w:r w:rsidRPr="004D4290">
              <w:rPr>
                <w:b/>
                <w:bCs/>
                <w:color w:val="000000" w:themeColor="text1"/>
                <w:sz w:val="20"/>
                <w:szCs w:val="20"/>
              </w:rPr>
              <w:t>Diagnostic Questions</w:t>
            </w:r>
          </w:p>
        </w:tc>
        <w:tc>
          <w:tcPr>
            <w:tcW w:w="2160" w:type="dxa"/>
            <w:tcBorders>
              <w:top w:val="single" w:sz="8" w:space="0" w:color="BFBFBF"/>
              <w:left w:val="nil"/>
              <w:bottom w:val="nil"/>
              <w:right w:val="single" w:sz="4" w:space="0" w:color="BFBFBF"/>
            </w:tcBorders>
            <w:shd w:val="clear" w:color="auto" w:fill="BFBFBF" w:themeFill="background1" w:themeFillShade="BF"/>
            <w:vAlign w:val="center"/>
            <w:hideMark/>
          </w:tcPr>
          <w:p w14:paraId="1F2261E2" w14:textId="77777777" w:rsidR="00324654" w:rsidRPr="004D4290" w:rsidRDefault="00324654" w:rsidP="00AE1DED">
            <w:pPr>
              <w:jc w:val="center"/>
              <w:rPr>
                <w:b/>
                <w:bCs/>
                <w:color w:val="000000" w:themeColor="text1"/>
                <w:sz w:val="20"/>
                <w:szCs w:val="20"/>
              </w:rPr>
            </w:pPr>
            <w:r w:rsidRPr="004D4290">
              <w:rPr>
                <w:b/>
                <w:bCs/>
                <w:color w:val="000000" w:themeColor="text1"/>
                <w:sz w:val="20"/>
                <w:szCs w:val="20"/>
              </w:rPr>
              <w:t>Corrective Action</w:t>
            </w:r>
          </w:p>
        </w:tc>
        <w:tc>
          <w:tcPr>
            <w:tcW w:w="2460" w:type="dxa"/>
            <w:gridSpan w:val="2"/>
            <w:tcBorders>
              <w:top w:val="single" w:sz="8" w:space="0" w:color="BFBFBF"/>
              <w:left w:val="nil"/>
              <w:bottom w:val="nil"/>
              <w:right w:val="single" w:sz="8" w:space="0" w:color="BFBFBF"/>
            </w:tcBorders>
            <w:shd w:val="clear" w:color="auto" w:fill="BFBFBF" w:themeFill="background1" w:themeFillShade="BF"/>
            <w:vAlign w:val="center"/>
            <w:hideMark/>
          </w:tcPr>
          <w:p w14:paraId="0511D540" w14:textId="77777777" w:rsidR="00324654" w:rsidRPr="004D4290" w:rsidRDefault="00324654" w:rsidP="00AE1DED">
            <w:pPr>
              <w:jc w:val="center"/>
              <w:rPr>
                <w:b/>
                <w:bCs/>
                <w:color w:val="000000" w:themeColor="text1"/>
                <w:sz w:val="20"/>
                <w:szCs w:val="20"/>
              </w:rPr>
            </w:pPr>
            <w:r w:rsidRPr="004D4290">
              <w:rPr>
                <w:b/>
                <w:bCs/>
                <w:color w:val="000000" w:themeColor="text1"/>
                <w:sz w:val="20"/>
                <w:szCs w:val="20"/>
              </w:rPr>
              <w:t>Prevention</w:t>
            </w:r>
          </w:p>
        </w:tc>
      </w:tr>
      <w:tr w:rsidR="004D4290" w:rsidRPr="004D4290" w14:paraId="673D318B" w14:textId="77777777" w:rsidTr="00B8554B">
        <w:trPr>
          <w:gridAfter w:val="1"/>
          <w:wAfter w:w="30" w:type="dxa"/>
          <w:trHeight w:val="340"/>
        </w:trPr>
        <w:tc>
          <w:tcPr>
            <w:tcW w:w="9620" w:type="dxa"/>
            <w:gridSpan w:val="5"/>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5361BA84" w14:textId="77777777" w:rsidR="00324654" w:rsidRPr="004D4290" w:rsidRDefault="00324654" w:rsidP="00AE1DED">
            <w:pPr>
              <w:jc w:val="center"/>
              <w:rPr>
                <w:b/>
                <w:bCs/>
                <w:color w:val="000000" w:themeColor="text1"/>
                <w:sz w:val="20"/>
                <w:szCs w:val="20"/>
              </w:rPr>
            </w:pPr>
            <w:r w:rsidRPr="004D4290">
              <w:rPr>
                <w:b/>
                <w:bCs/>
                <w:color w:val="000000" w:themeColor="text1"/>
                <w:sz w:val="20"/>
                <w:szCs w:val="20"/>
              </w:rPr>
              <w:t>Position loses money every month despite positive APY advertised</w:t>
            </w:r>
          </w:p>
        </w:tc>
      </w:tr>
      <w:tr w:rsidR="004D4290" w:rsidRPr="004D4290" w14:paraId="3AED624F" w14:textId="77777777" w:rsidTr="009D7403">
        <w:trPr>
          <w:trHeight w:val="1360"/>
        </w:trPr>
        <w:tc>
          <w:tcPr>
            <w:tcW w:w="1430" w:type="dxa"/>
            <w:tcBorders>
              <w:top w:val="nil"/>
              <w:left w:val="single" w:sz="8" w:space="0" w:color="BFBFBF"/>
              <w:bottom w:val="single" w:sz="4" w:space="0" w:color="BFBFBF"/>
              <w:right w:val="single" w:sz="4" w:space="0" w:color="BFBFBF"/>
            </w:tcBorders>
            <w:shd w:val="clear" w:color="auto" w:fill="F2F2F2" w:themeFill="background1" w:themeFillShade="F2"/>
            <w:vAlign w:val="center"/>
            <w:hideMark/>
          </w:tcPr>
          <w:p w14:paraId="31A2884D" w14:textId="77777777" w:rsidR="00324654" w:rsidRPr="004D4290" w:rsidRDefault="00324654" w:rsidP="00AE1DED">
            <w:pPr>
              <w:rPr>
                <w:color w:val="000000" w:themeColor="text1"/>
                <w:sz w:val="20"/>
                <w:szCs w:val="20"/>
              </w:rPr>
            </w:pPr>
            <w:r w:rsidRPr="004D4290">
              <w:rPr>
                <w:color w:val="000000" w:themeColor="text1"/>
                <w:sz w:val="20"/>
                <w:szCs w:val="20"/>
              </w:rPr>
              <w:lastRenderedPageBreak/>
              <w:t>Cause 1 (58% of cases)</w:t>
            </w:r>
          </w:p>
        </w:tc>
        <w:tc>
          <w:tcPr>
            <w:tcW w:w="1350" w:type="dxa"/>
            <w:tcBorders>
              <w:top w:val="nil"/>
              <w:left w:val="nil"/>
              <w:bottom w:val="single" w:sz="4" w:space="0" w:color="BFBFBF"/>
              <w:right w:val="single" w:sz="4" w:space="0" w:color="BFBFBF"/>
            </w:tcBorders>
            <w:vAlign w:val="center"/>
            <w:hideMark/>
          </w:tcPr>
          <w:p w14:paraId="4353AD8A" w14:textId="77777777" w:rsidR="00324654" w:rsidRPr="004D4290" w:rsidRDefault="00324654" w:rsidP="00AE1DED">
            <w:pPr>
              <w:rPr>
                <w:color w:val="000000" w:themeColor="text1"/>
                <w:sz w:val="20"/>
                <w:szCs w:val="20"/>
              </w:rPr>
            </w:pPr>
            <w:r w:rsidRPr="004D4290">
              <w:rPr>
                <w:color w:val="000000" w:themeColor="text1"/>
                <w:sz w:val="20"/>
                <w:szCs w:val="20"/>
              </w:rPr>
              <w:t>Gas costs exceed fee income</w:t>
            </w:r>
          </w:p>
        </w:tc>
        <w:tc>
          <w:tcPr>
            <w:tcW w:w="2250" w:type="dxa"/>
            <w:tcBorders>
              <w:top w:val="nil"/>
              <w:left w:val="nil"/>
              <w:bottom w:val="single" w:sz="4" w:space="0" w:color="BFBFBF"/>
              <w:right w:val="single" w:sz="4" w:space="0" w:color="BFBFBF"/>
            </w:tcBorders>
            <w:vAlign w:val="center"/>
            <w:hideMark/>
          </w:tcPr>
          <w:p w14:paraId="7C35707B" w14:textId="77777777" w:rsidR="00324654" w:rsidRPr="004D4290" w:rsidRDefault="00324654" w:rsidP="00AE1DED">
            <w:pPr>
              <w:rPr>
                <w:color w:val="000000" w:themeColor="text1"/>
                <w:sz w:val="20"/>
                <w:szCs w:val="20"/>
              </w:rPr>
            </w:pPr>
            <w:r w:rsidRPr="004D4290">
              <w:rPr>
                <w:color w:val="000000" w:themeColor="text1"/>
                <w:sz w:val="20"/>
                <w:szCs w:val="20"/>
              </w:rPr>
              <w:t>Calculate total gas spent vs fees earned</w:t>
            </w:r>
            <w:r w:rsidRPr="004D4290">
              <w:rPr>
                <w:color w:val="000000" w:themeColor="text1"/>
                <w:sz w:val="20"/>
                <w:szCs w:val="20"/>
              </w:rPr>
              <w:br/>
              <w:t>• Are you on appropriate network for capital level?</w:t>
            </w:r>
          </w:p>
        </w:tc>
        <w:tc>
          <w:tcPr>
            <w:tcW w:w="2160" w:type="dxa"/>
            <w:tcBorders>
              <w:top w:val="nil"/>
              <w:left w:val="nil"/>
              <w:bottom w:val="single" w:sz="4" w:space="0" w:color="BFBFBF"/>
              <w:right w:val="single" w:sz="4" w:space="0" w:color="BFBFBF"/>
            </w:tcBorders>
            <w:vAlign w:val="center"/>
            <w:hideMark/>
          </w:tcPr>
          <w:p w14:paraId="2929075C" w14:textId="77777777" w:rsidR="00324654" w:rsidRPr="004D4290" w:rsidRDefault="00324654" w:rsidP="00AE1DED">
            <w:pPr>
              <w:rPr>
                <w:color w:val="000000" w:themeColor="text1"/>
                <w:sz w:val="20"/>
                <w:szCs w:val="20"/>
              </w:rPr>
            </w:pPr>
            <w:r w:rsidRPr="004D4290">
              <w:rPr>
                <w:color w:val="000000" w:themeColor="text1"/>
                <w:sz w:val="20"/>
                <w:szCs w:val="20"/>
              </w:rPr>
              <w:t>Migrate to lower-cost network OR</w:t>
            </w:r>
            <w:r w:rsidRPr="004D4290">
              <w:rPr>
                <w:color w:val="000000" w:themeColor="text1"/>
                <w:sz w:val="20"/>
                <w:szCs w:val="20"/>
              </w:rPr>
              <w:br/>
              <w:t>Increase position size to viability threshold</w:t>
            </w:r>
          </w:p>
        </w:tc>
        <w:tc>
          <w:tcPr>
            <w:tcW w:w="2460" w:type="dxa"/>
            <w:gridSpan w:val="2"/>
            <w:tcBorders>
              <w:top w:val="nil"/>
              <w:left w:val="nil"/>
              <w:bottom w:val="single" w:sz="4" w:space="0" w:color="BFBFBF"/>
              <w:right w:val="single" w:sz="8" w:space="0" w:color="BFBFBF"/>
            </w:tcBorders>
            <w:vAlign w:val="center"/>
            <w:hideMark/>
          </w:tcPr>
          <w:p w14:paraId="260C24D2" w14:textId="77777777" w:rsidR="00324654" w:rsidRPr="004D4290" w:rsidRDefault="00324654" w:rsidP="00AE1DED">
            <w:pPr>
              <w:rPr>
                <w:color w:val="000000" w:themeColor="text1"/>
                <w:sz w:val="20"/>
                <w:szCs w:val="20"/>
              </w:rPr>
            </w:pPr>
            <w:r w:rsidRPr="004D4290">
              <w:rPr>
                <w:color w:val="000000" w:themeColor="text1"/>
                <w:sz w:val="20"/>
                <w:szCs w:val="20"/>
              </w:rPr>
              <w:t>Use Table 1.1A network viability thresholds before deployment</w:t>
            </w:r>
          </w:p>
        </w:tc>
      </w:tr>
      <w:tr w:rsidR="004D4290" w:rsidRPr="004D4290" w14:paraId="25FF8998" w14:textId="77777777" w:rsidTr="009D7403">
        <w:trPr>
          <w:trHeight w:val="251"/>
        </w:trPr>
        <w:tc>
          <w:tcPr>
            <w:tcW w:w="1430" w:type="dxa"/>
            <w:tcBorders>
              <w:top w:val="nil"/>
              <w:left w:val="single" w:sz="8" w:space="0" w:color="BFBFBF"/>
              <w:bottom w:val="single" w:sz="4" w:space="0" w:color="BFBFBF"/>
              <w:right w:val="single" w:sz="4" w:space="0" w:color="BFBFBF"/>
            </w:tcBorders>
            <w:shd w:val="clear" w:color="auto" w:fill="F2F2F2" w:themeFill="background1" w:themeFillShade="F2"/>
            <w:vAlign w:val="center"/>
            <w:hideMark/>
          </w:tcPr>
          <w:p w14:paraId="3FE13842" w14:textId="77777777" w:rsidR="00324654" w:rsidRPr="004D4290" w:rsidRDefault="00324654" w:rsidP="00AE1DED">
            <w:pPr>
              <w:rPr>
                <w:color w:val="000000" w:themeColor="text1"/>
                <w:sz w:val="20"/>
                <w:szCs w:val="20"/>
              </w:rPr>
            </w:pPr>
            <w:r w:rsidRPr="004D4290">
              <w:rPr>
                <w:color w:val="000000" w:themeColor="text1"/>
                <w:sz w:val="20"/>
                <w:szCs w:val="20"/>
              </w:rPr>
              <w:t>Cause 2 (31% of cases)</w:t>
            </w:r>
          </w:p>
        </w:tc>
        <w:tc>
          <w:tcPr>
            <w:tcW w:w="1350" w:type="dxa"/>
            <w:tcBorders>
              <w:top w:val="nil"/>
              <w:left w:val="nil"/>
              <w:bottom w:val="single" w:sz="4" w:space="0" w:color="BFBFBF"/>
              <w:right w:val="single" w:sz="4" w:space="0" w:color="BFBFBF"/>
            </w:tcBorders>
            <w:vAlign w:val="center"/>
            <w:hideMark/>
          </w:tcPr>
          <w:p w14:paraId="3E38015C" w14:textId="77777777" w:rsidR="00324654" w:rsidRPr="004D4290" w:rsidRDefault="00324654" w:rsidP="00AE1DED">
            <w:pPr>
              <w:rPr>
                <w:color w:val="000000" w:themeColor="text1"/>
                <w:sz w:val="20"/>
                <w:szCs w:val="20"/>
              </w:rPr>
            </w:pPr>
            <w:r w:rsidRPr="004D4290">
              <w:rPr>
                <w:color w:val="000000" w:themeColor="text1"/>
                <w:sz w:val="20"/>
                <w:szCs w:val="20"/>
              </w:rPr>
              <w:t>Impermanent loss exceeding fees</w:t>
            </w:r>
          </w:p>
        </w:tc>
        <w:tc>
          <w:tcPr>
            <w:tcW w:w="2250" w:type="dxa"/>
            <w:tcBorders>
              <w:top w:val="nil"/>
              <w:left w:val="nil"/>
              <w:bottom w:val="single" w:sz="4" w:space="0" w:color="BFBFBF"/>
              <w:right w:val="single" w:sz="4" w:space="0" w:color="BFBFBF"/>
            </w:tcBorders>
            <w:vAlign w:val="center"/>
            <w:hideMark/>
          </w:tcPr>
          <w:p w14:paraId="059907E8" w14:textId="77777777" w:rsidR="00324654" w:rsidRPr="004D4290" w:rsidRDefault="00324654" w:rsidP="00AE1DED">
            <w:pPr>
              <w:rPr>
                <w:color w:val="000000" w:themeColor="text1"/>
                <w:sz w:val="20"/>
                <w:szCs w:val="20"/>
              </w:rPr>
            </w:pPr>
            <w:r w:rsidRPr="004D4290">
              <w:rPr>
                <w:color w:val="000000" w:themeColor="text1"/>
                <w:sz w:val="20"/>
                <w:szCs w:val="20"/>
              </w:rPr>
              <w:t>Calculate actual IL vs fee income</w:t>
            </w:r>
            <w:r w:rsidRPr="004D4290">
              <w:rPr>
                <w:color w:val="000000" w:themeColor="text1"/>
                <w:sz w:val="20"/>
                <w:szCs w:val="20"/>
              </w:rPr>
              <w:br/>
              <w:t>• Are you using volatile pairs?</w:t>
            </w:r>
          </w:p>
        </w:tc>
        <w:tc>
          <w:tcPr>
            <w:tcW w:w="2160" w:type="dxa"/>
            <w:tcBorders>
              <w:top w:val="nil"/>
              <w:left w:val="nil"/>
              <w:bottom w:val="single" w:sz="4" w:space="0" w:color="BFBFBF"/>
              <w:right w:val="single" w:sz="4" w:space="0" w:color="BFBFBF"/>
            </w:tcBorders>
            <w:vAlign w:val="center"/>
            <w:hideMark/>
          </w:tcPr>
          <w:p w14:paraId="5AD10ED2" w14:textId="77777777" w:rsidR="00324654" w:rsidRPr="004D4290" w:rsidRDefault="00324654" w:rsidP="00AE1DED">
            <w:pPr>
              <w:rPr>
                <w:color w:val="000000" w:themeColor="text1"/>
                <w:sz w:val="20"/>
                <w:szCs w:val="20"/>
              </w:rPr>
            </w:pPr>
            <w:r w:rsidRPr="004D4290">
              <w:rPr>
                <w:color w:val="000000" w:themeColor="text1"/>
                <w:sz w:val="20"/>
                <w:szCs w:val="20"/>
              </w:rPr>
              <w:t>Switch to stablecoin or correlated pairs OR</w:t>
            </w:r>
            <w:r w:rsidRPr="004D4290">
              <w:rPr>
                <w:color w:val="000000" w:themeColor="text1"/>
                <w:sz w:val="20"/>
                <w:szCs w:val="20"/>
              </w:rPr>
              <w:br/>
              <w:t>Accept IL is part of strategy</w:t>
            </w:r>
          </w:p>
        </w:tc>
        <w:tc>
          <w:tcPr>
            <w:tcW w:w="2460" w:type="dxa"/>
            <w:gridSpan w:val="2"/>
            <w:tcBorders>
              <w:top w:val="nil"/>
              <w:left w:val="nil"/>
              <w:bottom w:val="single" w:sz="4" w:space="0" w:color="BFBFBF"/>
              <w:right w:val="single" w:sz="8" w:space="0" w:color="BFBFBF"/>
            </w:tcBorders>
            <w:vAlign w:val="center"/>
            <w:hideMark/>
          </w:tcPr>
          <w:p w14:paraId="21326954" w14:textId="77777777" w:rsidR="00324654" w:rsidRPr="004D4290" w:rsidRDefault="00324654" w:rsidP="00AE1DED">
            <w:pPr>
              <w:rPr>
                <w:color w:val="000000" w:themeColor="text1"/>
                <w:sz w:val="20"/>
                <w:szCs w:val="20"/>
              </w:rPr>
            </w:pPr>
            <w:r w:rsidRPr="004D4290">
              <w:rPr>
                <w:color w:val="000000" w:themeColor="text1"/>
                <w:sz w:val="20"/>
                <w:szCs w:val="20"/>
              </w:rPr>
              <w:t>Only use volatile pairs with IL &lt;2% monthly</w:t>
            </w:r>
          </w:p>
        </w:tc>
      </w:tr>
      <w:tr w:rsidR="004D4290" w:rsidRPr="004D4290" w14:paraId="19F61FC7" w14:textId="77777777" w:rsidTr="009D7403">
        <w:trPr>
          <w:trHeight w:val="1380"/>
        </w:trPr>
        <w:tc>
          <w:tcPr>
            <w:tcW w:w="1430" w:type="dxa"/>
            <w:tcBorders>
              <w:top w:val="nil"/>
              <w:left w:val="single" w:sz="8" w:space="0" w:color="BFBFBF"/>
              <w:bottom w:val="nil"/>
              <w:right w:val="single" w:sz="4" w:space="0" w:color="BFBFBF"/>
            </w:tcBorders>
            <w:shd w:val="clear" w:color="auto" w:fill="F2F2F2" w:themeFill="background1" w:themeFillShade="F2"/>
            <w:vAlign w:val="center"/>
            <w:hideMark/>
          </w:tcPr>
          <w:p w14:paraId="574E4A09" w14:textId="77777777" w:rsidR="00324654" w:rsidRPr="004D4290" w:rsidRDefault="00324654" w:rsidP="00AE1DED">
            <w:pPr>
              <w:rPr>
                <w:color w:val="000000" w:themeColor="text1"/>
                <w:sz w:val="20"/>
                <w:szCs w:val="20"/>
              </w:rPr>
            </w:pPr>
            <w:r w:rsidRPr="004D4290">
              <w:rPr>
                <w:color w:val="000000" w:themeColor="text1"/>
                <w:sz w:val="20"/>
                <w:szCs w:val="20"/>
              </w:rPr>
              <w:t>Cause 3 (11% of cases)</w:t>
            </w:r>
          </w:p>
        </w:tc>
        <w:tc>
          <w:tcPr>
            <w:tcW w:w="1350" w:type="dxa"/>
            <w:tcBorders>
              <w:top w:val="nil"/>
              <w:left w:val="nil"/>
              <w:bottom w:val="nil"/>
              <w:right w:val="single" w:sz="4" w:space="0" w:color="BFBFBF"/>
            </w:tcBorders>
            <w:vAlign w:val="center"/>
            <w:hideMark/>
          </w:tcPr>
          <w:p w14:paraId="717B0F7C" w14:textId="77777777" w:rsidR="00324654" w:rsidRPr="004D4290" w:rsidRDefault="00324654" w:rsidP="00AE1DED">
            <w:pPr>
              <w:rPr>
                <w:color w:val="000000" w:themeColor="text1"/>
                <w:sz w:val="20"/>
                <w:szCs w:val="20"/>
              </w:rPr>
            </w:pPr>
            <w:r w:rsidRPr="004D4290">
              <w:rPr>
                <w:color w:val="000000" w:themeColor="text1"/>
                <w:sz w:val="20"/>
                <w:szCs w:val="20"/>
              </w:rPr>
              <w:t>Hidden costs not accounted</w:t>
            </w:r>
          </w:p>
        </w:tc>
        <w:tc>
          <w:tcPr>
            <w:tcW w:w="2250" w:type="dxa"/>
            <w:tcBorders>
              <w:top w:val="nil"/>
              <w:left w:val="nil"/>
              <w:bottom w:val="nil"/>
              <w:right w:val="single" w:sz="4" w:space="0" w:color="BFBFBF"/>
            </w:tcBorders>
            <w:vAlign w:val="center"/>
            <w:hideMark/>
          </w:tcPr>
          <w:p w14:paraId="190E0E8C" w14:textId="77777777" w:rsidR="00324654" w:rsidRPr="004D4290" w:rsidRDefault="00324654" w:rsidP="00AE1DED">
            <w:pPr>
              <w:rPr>
                <w:color w:val="000000" w:themeColor="text1"/>
                <w:sz w:val="20"/>
                <w:szCs w:val="20"/>
              </w:rPr>
            </w:pPr>
            <w:r w:rsidRPr="004D4290">
              <w:rPr>
                <w:color w:val="000000" w:themeColor="text1"/>
                <w:sz w:val="20"/>
                <w:szCs w:val="20"/>
              </w:rPr>
              <w:t>Track failed transactions, slippage</w:t>
            </w:r>
            <w:r w:rsidRPr="004D4290">
              <w:rPr>
                <w:color w:val="000000" w:themeColor="text1"/>
                <w:sz w:val="20"/>
                <w:szCs w:val="20"/>
              </w:rPr>
              <w:br/>
              <w:t>• Are you rebalancing too frequently?</w:t>
            </w:r>
          </w:p>
        </w:tc>
        <w:tc>
          <w:tcPr>
            <w:tcW w:w="2160" w:type="dxa"/>
            <w:tcBorders>
              <w:top w:val="nil"/>
              <w:left w:val="nil"/>
              <w:bottom w:val="nil"/>
              <w:right w:val="single" w:sz="4" w:space="0" w:color="BFBFBF"/>
            </w:tcBorders>
            <w:vAlign w:val="center"/>
            <w:hideMark/>
          </w:tcPr>
          <w:p w14:paraId="4B50C622" w14:textId="77777777" w:rsidR="00324654" w:rsidRPr="004D4290" w:rsidRDefault="00324654" w:rsidP="00AE1DED">
            <w:pPr>
              <w:rPr>
                <w:color w:val="000000" w:themeColor="text1"/>
                <w:sz w:val="20"/>
                <w:szCs w:val="20"/>
              </w:rPr>
            </w:pPr>
            <w:r w:rsidRPr="004D4290">
              <w:rPr>
                <w:color w:val="000000" w:themeColor="text1"/>
                <w:sz w:val="20"/>
                <w:szCs w:val="20"/>
              </w:rPr>
              <w:t xml:space="preserve">Reduce rebalancing frequency OR  </w:t>
            </w:r>
            <w:r w:rsidRPr="004D4290">
              <w:rPr>
                <w:color w:val="000000" w:themeColor="text1"/>
                <w:sz w:val="20"/>
                <w:szCs w:val="20"/>
              </w:rPr>
              <w:br/>
              <w:t>Use more accurate cost accounting</w:t>
            </w:r>
          </w:p>
        </w:tc>
        <w:tc>
          <w:tcPr>
            <w:tcW w:w="2460" w:type="dxa"/>
            <w:gridSpan w:val="2"/>
            <w:tcBorders>
              <w:top w:val="nil"/>
              <w:left w:val="nil"/>
              <w:bottom w:val="nil"/>
              <w:right w:val="single" w:sz="8" w:space="0" w:color="BFBFBF"/>
            </w:tcBorders>
            <w:vAlign w:val="center"/>
            <w:hideMark/>
          </w:tcPr>
          <w:p w14:paraId="74CDE5CF" w14:textId="77777777" w:rsidR="00324654" w:rsidRPr="004D4290" w:rsidRDefault="00324654" w:rsidP="00AE1DED">
            <w:pPr>
              <w:rPr>
                <w:color w:val="000000" w:themeColor="text1"/>
                <w:sz w:val="20"/>
                <w:szCs w:val="20"/>
              </w:rPr>
            </w:pPr>
            <w:r w:rsidRPr="004D4290">
              <w:rPr>
                <w:color w:val="000000" w:themeColor="text1"/>
                <w:sz w:val="20"/>
                <w:szCs w:val="20"/>
              </w:rPr>
              <w:t>Track ALL costs including failures</w:t>
            </w:r>
          </w:p>
        </w:tc>
      </w:tr>
      <w:tr w:rsidR="004D4290" w:rsidRPr="004D4290" w14:paraId="011A43A4" w14:textId="77777777" w:rsidTr="00B8554B">
        <w:trPr>
          <w:gridAfter w:val="1"/>
          <w:wAfter w:w="30" w:type="dxa"/>
          <w:trHeight w:val="340"/>
        </w:trPr>
        <w:tc>
          <w:tcPr>
            <w:tcW w:w="9620" w:type="dxa"/>
            <w:gridSpan w:val="5"/>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122DC639" w14:textId="77777777" w:rsidR="00324654" w:rsidRPr="004D4290" w:rsidRDefault="00324654" w:rsidP="00AE1DED">
            <w:pPr>
              <w:jc w:val="center"/>
              <w:rPr>
                <w:b/>
                <w:bCs/>
                <w:color w:val="000000" w:themeColor="text1"/>
                <w:sz w:val="20"/>
                <w:szCs w:val="20"/>
              </w:rPr>
            </w:pPr>
            <w:r w:rsidRPr="004D4290">
              <w:rPr>
                <w:b/>
                <w:bCs/>
                <w:color w:val="000000" w:themeColor="text1"/>
                <w:sz w:val="20"/>
                <w:szCs w:val="20"/>
              </w:rPr>
              <w:t>Position showing paper profits but actual returns negative</w:t>
            </w:r>
          </w:p>
        </w:tc>
      </w:tr>
      <w:tr w:rsidR="004D4290" w:rsidRPr="004D4290" w14:paraId="68B04812" w14:textId="77777777" w:rsidTr="009D7403">
        <w:trPr>
          <w:trHeight w:val="556"/>
        </w:trPr>
        <w:tc>
          <w:tcPr>
            <w:tcW w:w="1430" w:type="dxa"/>
            <w:tcBorders>
              <w:top w:val="nil"/>
              <w:left w:val="single" w:sz="8" w:space="0" w:color="BFBFBF"/>
              <w:bottom w:val="single" w:sz="4" w:space="0" w:color="BFBFBF"/>
              <w:right w:val="single" w:sz="4" w:space="0" w:color="BFBFBF"/>
            </w:tcBorders>
            <w:shd w:val="clear" w:color="auto" w:fill="F2F2F2" w:themeFill="background1" w:themeFillShade="F2"/>
            <w:vAlign w:val="center"/>
            <w:hideMark/>
          </w:tcPr>
          <w:p w14:paraId="67A19044" w14:textId="77777777" w:rsidR="00324654" w:rsidRPr="004D4290" w:rsidRDefault="00324654" w:rsidP="00AE1DED">
            <w:pPr>
              <w:rPr>
                <w:color w:val="000000" w:themeColor="text1"/>
                <w:sz w:val="20"/>
                <w:szCs w:val="20"/>
              </w:rPr>
            </w:pPr>
            <w:r w:rsidRPr="004D4290">
              <w:rPr>
                <w:color w:val="000000" w:themeColor="text1"/>
                <w:sz w:val="20"/>
                <w:szCs w:val="20"/>
              </w:rPr>
              <w:t>Cause (78% of cases)</w:t>
            </w:r>
          </w:p>
        </w:tc>
        <w:tc>
          <w:tcPr>
            <w:tcW w:w="1350" w:type="dxa"/>
            <w:tcBorders>
              <w:top w:val="nil"/>
              <w:left w:val="nil"/>
              <w:bottom w:val="single" w:sz="4" w:space="0" w:color="BFBFBF"/>
              <w:right w:val="single" w:sz="4" w:space="0" w:color="BFBFBF"/>
            </w:tcBorders>
            <w:vAlign w:val="center"/>
            <w:hideMark/>
          </w:tcPr>
          <w:p w14:paraId="3C28688E" w14:textId="77777777" w:rsidR="00324654" w:rsidRPr="004D4290" w:rsidRDefault="00324654" w:rsidP="00AE1DED">
            <w:pPr>
              <w:rPr>
                <w:color w:val="000000" w:themeColor="text1"/>
                <w:sz w:val="20"/>
                <w:szCs w:val="20"/>
              </w:rPr>
            </w:pPr>
            <w:r w:rsidRPr="004D4290">
              <w:rPr>
                <w:color w:val="000000" w:themeColor="text1"/>
                <w:sz w:val="20"/>
                <w:szCs w:val="20"/>
              </w:rPr>
              <w:t>Not accounting for time investment</w:t>
            </w:r>
          </w:p>
        </w:tc>
        <w:tc>
          <w:tcPr>
            <w:tcW w:w="2250" w:type="dxa"/>
            <w:tcBorders>
              <w:top w:val="nil"/>
              <w:left w:val="nil"/>
              <w:bottom w:val="single" w:sz="4" w:space="0" w:color="BFBFBF"/>
              <w:right w:val="single" w:sz="4" w:space="0" w:color="BFBFBF"/>
            </w:tcBorders>
            <w:vAlign w:val="center"/>
            <w:hideMark/>
          </w:tcPr>
          <w:p w14:paraId="753FEB72" w14:textId="77777777" w:rsidR="00324654" w:rsidRPr="004D4290" w:rsidRDefault="00324654" w:rsidP="00AE1DED">
            <w:pPr>
              <w:rPr>
                <w:color w:val="000000" w:themeColor="text1"/>
                <w:sz w:val="20"/>
                <w:szCs w:val="20"/>
              </w:rPr>
            </w:pPr>
            <w:r w:rsidRPr="004D4290">
              <w:rPr>
                <w:color w:val="000000" w:themeColor="text1"/>
                <w:sz w:val="20"/>
                <w:szCs w:val="20"/>
              </w:rPr>
              <w:t>• Calculate hours spent × realistic hourly rate</w:t>
            </w:r>
            <w:r w:rsidRPr="004D4290">
              <w:rPr>
                <w:color w:val="000000" w:themeColor="text1"/>
                <w:sz w:val="20"/>
                <w:szCs w:val="20"/>
              </w:rPr>
              <w:br/>
              <w:t xml:space="preserve">• </w:t>
            </w:r>
            <w:proofErr w:type="gramStart"/>
            <w:r w:rsidRPr="004D4290">
              <w:rPr>
                <w:color w:val="000000" w:themeColor="text1"/>
                <w:sz w:val="20"/>
                <w:szCs w:val="20"/>
              </w:rPr>
              <w:t>Compare</w:t>
            </w:r>
            <w:proofErr w:type="gramEnd"/>
            <w:r w:rsidRPr="004D4290">
              <w:rPr>
                <w:color w:val="000000" w:themeColor="text1"/>
                <w:sz w:val="20"/>
                <w:szCs w:val="20"/>
              </w:rPr>
              <w:t xml:space="preserve"> to actual returns earned</w:t>
            </w:r>
          </w:p>
        </w:tc>
        <w:tc>
          <w:tcPr>
            <w:tcW w:w="2160" w:type="dxa"/>
            <w:tcBorders>
              <w:top w:val="nil"/>
              <w:left w:val="nil"/>
              <w:bottom w:val="single" w:sz="4" w:space="0" w:color="BFBFBF"/>
              <w:right w:val="single" w:sz="4" w:space="0" w:color="BFBFBF"/>
            </w:tcBorders>
            <w:vAlign w:val="center"/>
            <w:hideMark/>
          </w:tcPr>
          <w:p w14:paraId="303868C7" w14:textId="77777777" w:rsidR="00324654" w:rsidRPr="004D4290" w:rsidRDefault="00324654" w:rsidP="00AE1DED">
            <w:pPr>
              <w:rPr>
                <w:color w:val="000000" w:themeColor="text1"/>
                <w:sz w:val="20"/>
                <w:szCs w:val="20"/>
              </w:rPr>
            </w:pPr>
            <w:r w:rsidRPr="004D4290">
              <w:rPr>
                <w:color w:val="000000" w:themeColor="text1"/>
                <w:sz w:val="20"/>
                <w:szCs w:val="20"/>
              </w:rPr>
              <w:t>Accept returns are lower than they appear OR</w:t>
            </w:r>
            <w:r w:rsidRPr="004D4290">
              <w:rPr>
                <w:color w:val="000000" w:themeColor="text1"/>
                <w:sz w:val="20"/>
                <w:szCs w:val="20"/>
              </w:rPr>
              <w:br/>
              <w:t>Reduce time investment</w:t>
            </w:r>
          </w:p>
        </w:tc>
        <w:tc>
          <w:tcPr>
            <w:tcW w:w="2460" w:type="dxa"/>
            <w:gridSpan w:val="2"/>
            <w:tcBorders>
              <w:top w:val="nil"/>
              <w:left w:val="nil"/>
              <w:bottom w:val="single" w:sz="4" w:space="0" w:color="BFBFBF"/>
              <w:right w:val="single" w:sz="8" w:space="0" w:color="BFBFBF"/>
            </w:tcBorders>
            <w:vAlign w:val="center"/>
            <w:hideMark/>
          </w:tcPr>
          <w:p w14:paraId="7F187793" w14:textId="77777777" w:rsidR="00324654" w:rsidRPr="004D4290" w:rsidRDefault="00324654" w:rsidP="00AE1DED">
            <w:pPr>
              <w:rPr>
                <w:color w:val="000000" w:themeColor="text1"/>
                <w:sz w:val="20"/>
                <w:szCs w:val="20"/>
              </w:rPr>
            </w:pPr>
            <w:r w:rsidRPr="004D4290">
              <w:rPr>
                <w:color w:val="000000" w:themeColor="text1"/>
                <w:sz w:val="20"/>
                <w:szCs w:val="20"/>
              </w:rPr>
              <w:t>Decide upfront: passive strategy or active management</w:t>
            </w:r>
          </w:p>
        </w:tc>
      </w:tr>
      <w:tr w:rsidR="004D4290" w:rsidRPr="004D4290" w14:paraId="529944A8" w14:textId="77777777" w:rsidTr="009D7403">
        <w:trPr>
          <w:trHeight w:val="1040"/>
        </w:trPr>
        <w:tc>
          <w:tcPr>
            <w:tcW w:w="1430" w:type="dxa"/>
            <w:tcBorders>
              <w:top w:val="nil"/>
              <w:left w:val="single" w:sz="8" w:space="0" w:color="BFBFBF"/>
              <w:bottom w:val="nil"/>
              <w:right w:val="single" w:sz="4" w:space="0" w:color="BFBFBF"/>
            </w:tcBorders>
            <w:shd w:val="clear" w:color="auto" w:fill="F2F2F2" w:themeFill="background1" w:themeFillShade="F2"/>
            <w:vAlign w:val="center"/>
            <w:hideMark/>
          </w:tcPr>
          <w:p w14:paraId="4DC9DC8A" w14:textId="77777777" w:rsidR="00324654" w:rsidRPr="004D4290" w:rsidRDefault="00324654" w:rsidP="00AE1DED">
            <w:pPr>
              <w:rPr>
                <w:color w:val="000000" w:themeColor="text1"/>
                <w:sz w:val="20"/>
                <w:szCs w:val="20"/>
              </w:rPr>
            </w:pPr>
            <w:r w:rsidRPr="004D4290">
              <w:rPr>
                <w:color w:val="000000" w:themeColor="text1"/>
                <w:sz w:val="20"/>
                <w:szCs w:val="20"/>
              </w:rPr>
              <w:t>Cause (22% of cases)</w:t>
            </w:r>
          </w:p>
        </w:tc>
        <w:tc>
          <w:tcPr>
            <w:tcW w:w="1350" w:type="dxa"/>
            <w:tcBorders>
              <w:top w:val="nil"/>
              <w:left w:val="nil"/>
              <w:bottom w:val="nil"/>
              <w:right w:val="single" w:sz="4" w:space="0" w:color="BFBFBF"/>
            </w:tcBorders>
            <w:vAlign w:val="center"/>
            <w:hideMark/>
          </w:tcPr>
          <w:p w14:paraId="541E7997" w14:textId="77777777" w:rsidR="00324654" w:rsidRPr="004D4290" w:rsidRDefault="00324654" w:rsidP="00AE1DED">
            <w:pPr>
              <w:rPr>
                <w:color w:val="000000" w:themeColor="text1"/>
                <w:sz w:val="20"/>
                <w:szCs w:val="20"/>
              </w:rPr>
            </w:pPr>
            <w:r w:rsidRPr="004D4290">
              <w:rPr>
                <w:color w:val="000000" w:themeColor="text1"/>
                <w:sz w:val="20"/>
                <w:szCs w:val="20"/>
              </w:rPr>
              <w:t>Tax implications ignored</w:t>
            </w:r>
          </w:p>
        </w:tc>
        <w:tc>
          <w:tcPr>
            <w:tcW w:w="2250" w:type="dxa"/>
            <w:tcBorders>
              <w:top w:val="nil"/>
              <w:left w:val="nil"/>
              <w:bottom w:val="nil"/>
              <w:right w:val="single" w:sz="4" w:space="0" w:color="BFBFBF"/>
            </w:tcBorders>
            <w:vAlign w:val="center"/>
            <w:hideMark/>
          </w:tcPr>
          <w:p w14:paraId="302B7F6E" w14:textId="77777777" w:rsidR="00324654" w:rsidRPr="004D4290" w:rsidRDefault="00324654" w:rsidP="00AE1DED">
            <w:pPr>
              <w:rPr>
                <w:color w:val="000000" w:themeColor="text1"/>
                <w:sz w:val="20"/>
                <w:szCs w:val="20"/>
              </w:rPr>
            </w:pPr>
            <w:r w:rsidRPr="004D4290">
              <w:rPr>
                <w:color w:val="000000" w:themeColor="text1"/>
                <w:sz w:val="20"/>
                <w:szCs w:val="20"/>
              </w:rPr>
              <w:t>• Calculate short-term capital gains rate</w:t>
            </w:r>
            <w:r w:rsidRPr="004D4290">
              <w:rPr>
                <w:color w:val="000000" w:themeColor="text1"/>
                <w:sz w:val="20"/>
                <w:szCs w:val="20"/>
              </w:rPr>
              <w:br/>
              <w:t>• Multiply by realized gains</w:t>
            </w:r>
          </w:p>
        </w:tc>
        <w:tc>
          <w:tcPr>
            <w:tcW w:w="2160" w:type="dxa"/>
            <w:tcBorders>
              <w:top w:val="nil"/>
              <w:left w:val="nil"/>
              <w:bottom w:val="nil"/>
              <w:right w:val="single" w:sz="4" w:space="0" w:color="BFBFBF"/>
            </w:tcBorders>
            <w:vAlign w:val="center"/>
            <w:hideMark/>
          </w:tcPr>
          <w:p w14:paraId="0FC4762E" w14:textId="77777777" w:rsidR="00324654" w:rsidRPr="004D4290" w:rsidRDefault="00324654" w:rsidP="00AE1DED">
            <w:pPr>
              <w:rPr>
                <w:color w:val="000000" w:themeColor="text1"/>
                <w:sz w:val="20"/>
                <w:szCs w:val="20"/>
              </w:rPr>
            </w:pPr>
            <w:r w:rsidRPr="004D4290">
              <w:rPr>
                <w:color w:val="000000" w:themeColor="text1"/>
                <w:sz w:val="20"/>
                <w:szCs w:val="20"/>
              </w:rPr>
              <w:t>Plan for tax bill OR</w:t>
            </w:r>
            <w:r w:rsidRPr="004D4290">
              <w:rPr>
                <w:color w:val="000000" w:themeColor="text1"/>
                <w:sz w:val="20"/>
                <w:szCs w:val="20"/>
              </w:rPr>
              <w:br/>
              <w:t>Hold positions &gt;1 year</w:t>
            </w:r>
          </w:p>
        </w:tc>
        <w:tc>
          <w:tcPr>
            <w:tcW w:w="2460" w:type="dxa"/>
            <w:gridSpan w:val="2"/>
            <w:tcBorders>
              <w:top w:val="nil"/>
              <w:left w:val="nil"/>
              <w:bottom w:val="nil"/>
              <w:right w:val="single" w:sz="8" w:space="0" w:color="BFBFBF"/>
            </w:tcBorders>
            <w:vAlign w:val="center"/>
            <w:hideMark/>
          </w:tcPr>
          <w:p w14:paraId="7EF686AB" w14:textId="77777777" w:rsidR="00324654" w:rsidRPr="004D4290" w:rsidRDefault="00324654" w:rsidP="00AE1DED">
            <w:pPr>
              <w:rPr>
                <w:color w:val="000000" w:themeColor="text1"/>
                <w:sz w:val="20"/>
                <w:szCs w:val="20"/>
              </w:rPr>
            </w:pPr>
            <w:r w:rsidRPr="004D4290">
              <w:rPr>
                <w:color w:val="000000" w:themeColor="text1"/>
                <w:sz w:val="20"/>
                <w:szCs w:val="20"/>
              </w:rPr>
              <w:t>Track tax obligations in real-time</w:t>
            </w:r>
          </w:p>
        </w:tc>
      </w:tr>
      <w:tr w:rsidR="004D4290" w:rsidRPr="004D4290" w14:paraId="5C77F725" w14:textId="77777777" w:rsidTr="00B8554B">
        <w:trPr>
          <w:gridAfter w:val="1"/>
          <w:wAfter w:w="30" w:type="dxa"/>
          <w:trHeight w:val="340"/>
        </w:trPr>
        <w:tc>
          <w:tcPr>
            <w:tcW w:w="9620" w:type="dxa"/>
            <w:gridSpan w:val="5"/>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5CEBC881" w14:textId="77777777" w:rsidR="00324654" w:rsidRPr="004D4290" w:rsidRDefault="00324654" w:rsidP="00AE1DED">
            <w:pPr>
              <w:jc w:val="center"/>
              <w:rPr>
                <w:b/>
                <w:bCs/>
                <w:color w:val="000000" w:themeColor="text1"/>
                <w:sz w:val="20"/>
                <w:szCs w:val="20"/>
              </w:rPr>
            </w:pPr>
            <w:r w:rsidRPr="004D4290">
              <w:rPr>
                <w:b/>
                <w:bCs/>
                <w:color w:val="000000" w:themeColor="text1"/>
                <w:sz w:val="20"/>
                <w:szCs w:val="20"/>
              </w:rPr>
              <w:t>Position goes out of range frequently, stops earning fees</w:t>
            </w:r>
          </w:p>
        </w:tc>
      </w:tr>
      <w:tr w:rsidR="004D4290" w:rsidRPr="004D4290" w14:paraId="5AD030DB" w14:textId="77777777" w:rsidTr="009D7403">
        <w:trPr>
          <w:trHeight w:val="448"/>
        </w:trPr>
        <w:tc>
          <w:tcPr>
            <w:tcW w:w="1430" w:type="dxa"/>
            <w:tcBorders>
              <w:top w:val="nil"/>
              <w:left w:val="single" w:sz="8" w:space="0" w:color="BFBFBF"/>
              <w:bottom w:val="single" w:sz="4" w:space="0" w:color="BFBFBF"/>
              <w:right w:val="single" w:sz="4" w:space="0" w:color="BFBFBF"/>
            </w:tcBorders>
            <w:shd w:val="clear" w:color="auto" w:fill="F2F2F2" w:themeFill="background1" w:themeFillShade="F2"/>
            <w:vAlign w:val="center"/>
            <w:hideMark/>
          </w:tcPr>
          <w:p w14:paraId="01513112" w14:textId="77777777" w:rsidR="00324654" w:rsidRPr="004D4290" w:rsidRDefault="00324654" w:rsidP="00AE1DED">
            <w:pPr>
              <w:rPr>
                <w:color w:val="000000" w:themeColor="text1"/>
                <w:sz w:val="20"/>
                <w:szCs w:val="20"/>
              </w:rPr>
            </w:pPr>
            <w:r w:rsidRPr="004D4290">
              <w:rPr>
                <w:color w:val="000000" w:themeColor="text1"/>
                <w:sz w:val="20"/>
                <w:szCs w:val="20"/>
              </w:rPr>
              <w:t>Cause 1 (64% of cases)</w:t>
            </w:r>
          </w:p>
        </w:tc>
        <w:tc>
          <w:tcPr>
            <w:tcW w:w="1350" w:type="dxa"/>
            <w:tcBorders>
              <w:top w:val="nil"/>
              <w:left w:val="nil"/>
              <w:bottom w:val="single" w:sz="4" w:space="0" w:color="BFBFBF"/>
              <w:right w:val="single" w:sz="4" w:space="0" w:color="BFBFBF"/>
            </w:tcBorders>
            <w:vAlign w:val="center"/>
            <w:hideMark/>
          </w:tcPr>
          <w:p w14:paraId="22D41EDC" w14:textId="77777777" w:rsidR="00324654" w:rsidRPr="004D4290" w:rsidRDefault="00324654" w:rsidP="00AE1DED">
            <w:pPr>
              <w:rPr>
                <w:color w:val="000000" w:themeColor="text1"/>
                <w:sz w:val="20"/>
                <w:szCs w:val="20"/>
              </w:rPr>
            </w:pPr>
            <w:r w:rsidRPr="004D4290">
              <w:rPr>
                <w:color w:val="000000" w:themeColor="text1"/>
                <w:sz w:val="20"/>
                <w:szCs w:val="20"/>
              </w:rPr>
              <w:t>Range too narrow for capital level</w:t>
            </w:r>
          </w:p>
        </w:tc>
        <w:tc>
          <w:tcPr>
            <w:tcW w:w="2250" w:type="dxa"/>
            <w:tcBorders>
              <w:top w:val="nil"/>
              <w:left w:val="nil"/>
              <w:bottom w:val="single" w:sz="4" w:space="0" w:color="BFBFBF"/>
              <w:right w:val="single" w:sz="4" w:space="0" w:color="BFBFBF"/>
            </w:tcBorders>
            <w:vAlign w:val="center"/>
            <w:hideMark/>
          </w:tcPr>
          <w:p w14:paraId="3EB0B4EA" w14:textId="77777777" w:rsidR="00324654" w:rsidRPr="004D4290" w:rsidRDefault="00324654" w:rsidP="00AE1DED">
            <w:pPr>
              <w:rPr>
                <w:color w:val="000000" w:themeColor="text1"/>
                <w:sz w:val="20"/>
                <w:szCs w:val="20"/>
              </w:rPr>
            </w:pPr>
            <w:r w:rsidRPr="004D4290">
              <w:rPr>
                <w:color w:val="000000" w:themeColor="text1"/>
                <w:sz w:val="20"/>
                <w:szCs w:val="20"/>
              </w:rPr>
              <w:t>• What % of time in range?</w:t>
            </w:r>
            <w:r w:rsidRPr="004D4290">
              <w:rPr>
                <w:color w:val="000000" w:themeColor="text1"/>
                <w:sz w:val="20"/>
                <w:szCs w:val="20"/>
              </w:rPr>
              <w:br/>
              <w:t>• If &lt;60%, range too narrow</w:t>
            </w:r>
          </w:p>
        </w:tc>
        <w:tc>
          <w:tcPr>
            <w:tcW w:w="2160" w:type="dxa"/>
            <w:tcBorders>
              <w:top w:val="nil"/>
              <w:left w:val="nil"/>
              <w:bottom w:val="single" w:sz="4" w:space="0" w:color="BFBFBF"/>
              <w:right w:val="single" w:sz="4" w:space="0" w:color="BFBFBF"/>
            </w:tcBorders>
            <w:vAlign w:val="center"/>
            <w:hideMark/>
          </w:tcPr>
          <w:p w14:paraId="1C1955EE" w14:textId="77777777" w:rsidR="00324654" w:rsidRPr="004D4290" w:rsidRDefault="00324654" w:rsidP="00AE1DED">
            <w:pPr>
              <w:rPr>
                <w:color w:val="000000" w:themeColor="text1"/>
                <w:sz w:val="20"/>
                <w:szCs w:val="20"/>
              </w:rPr>
            </w:pPr>
            <w:r w:rsidRPr="004D4290">
              <w:rPr>
                <w:color w:val="000000" w:themeColor="text1"/>
                <w:sz w:val="20"/>
                <w:szCs w:val="20"/>
              </w:rPr>
              <w:t>Widen range to ±2% minimum OR</w:t>
            </w:r>
            <w:r w:rsidRPr="004D4290">
              <w:rPr>
                <w:color w:val="000000" w:themeColor="text1"/>
                <w:sz w:val="20"/>
                <w:szCs w:val="20"/>
              </w:rPr>
              <w:br/>
              <w:t>Accept concentrated LP not viable at your capital</w:t>
            </w:r>
          </w:p>
        </w:tc>
        <w:tc>
          <w:tcPr>
            <w:tcW w:w="2460" w:type="dxa"/>
            <w:gridSpan w:val="2"/>
            <w:tcBorders>
              <w:top w:val="nil"/>
              <w:left w:val="nil"/>
              <w:bottom w:val="single" w:sz="4" w:space="0" w:color="BFBFBF"/>
              <w:right w:val="single" w:sz="8" w:space="0" w:color="BFBFBF"/>
            </w:tcBorders>
            <w:vAlign w:val="center"/>
            <w:hideMark/>
          </w:tcPr>
          <w:p w14:paraId="13025053" w14:textId="77777777" w:rsidR="00324654" w:rsidRPr="004D4290" w:rsidRDefault="00324654" w:rsidP="00AE1DED">
            <w:pPr>
              <w:rPr>
                <w:color w:val="000000" w:themeColor="text1"/>
                <w:sz w:val="20"/>
                <w:szCs w:val="20"/>
              </w:rPr>
            </w:pPr>
            <w:r w:rsidRPr="004D4290">
              <w:rPr>
                <w:color w:val="000000" w:themeColor="text1"/>
                <w:sz w:val="20"/>
                <w:szCs w:val="20"/>
              </w:rPr>
              <w:t>Below $75,000, use wide ranges only</w:t>
            </w:r>
          </w:p>
        </w:tc>
      </w:tr>
      <w:tr w:rsidR="004D4290" w:rsidRPr="004D4290" w14:paraId="08C01D55" w14:textId="77777777" w:rsidTr="009D7403">
        <w:trPr>
          <w:trHeight w:val="71"/>
        </w:trPr>
        <w:tc>
          <w:tcPr>
            <w:tcW w:w="1430" w:type="dxa"/>
            <w:tcBorders>
              <w:top w:val="nil"/>
              <w:left w:val="single" w:sz="8" w:space="0" w:color="BFBFBF"/>
              <w:bottom w:val="single" w:sz="4" w:space="0" w:color="BFBFBF"/>
              <w:right w:val="single" w:sz="4" w:space="0" w:color="BFBFBF"/>
            </w:tcBorders>
            <w:shd w:val="clear" w:color="auto" w:fill="F2F2F2" w:themeFill="background1" w:themeFillShade="F2"/>
            <w:vAlign w:val="center"/>
            <w:hideMark/>
          </w:tcPr>
          <w:p w14:paraId="7FEF1DF1" w14:textId="77777777" w:rsidR="00324654" w:rsidRPr="004D4290" w:rsidRDefault="00324654" w:rsidP="00AE1DED">
            <w:pPr>
              <w:rPr>
                <w:color w:val="000000" w:themeColor="text1"/>
                <w:sz w:val="20"/>
                <w:szCs w:val="20"/>
              </w:rPr>
            </w:pPr>
            <w:r w:rsidRPr="004D4290">
              <w:rPr>
                <w:color w:val="000000" w:themeColor="text1"/>
                <w:sz w:val="20"/>
                <w:szCs w:val="20"/>
              </w:rPr>
              <w:t>Cause 2 (26% of cases)</w:t>
            </w:r>
          </w:p>
        </w:tc>
        <w:tc>
          <w:tcPr>
            <w:tcW w:w="1350" w:type="dxa"/>
            <w:tcBorders>
              <w:top w:val="nil"/>
              <w:left w:val="nil"/>
              <w:bottom w:val="single" w:sz="4" w:space="0" w:color="BFBFBF"/>
              <w:right w:val="single" w:sz="4" w:space="0" w:color="BFBFBF"/>
            </w:tcBorders>
            <w:vAlign w:val="center"/>
            <w:hideMark/>
          </w:tcPr>
          <w:p w14:paraId="135CA555" w14:textId="77777777" w:rsidR="00324654" w:rsidRPr="004D4290" w:rsidRDefault="00324654" w:rsidP="00AE1DED">
            <w:pPr>
              <w:rPr>
                <w:color w:val="000000" w:themeColor="text1"/>
                <w:sz w:val="20"/>
                <w:szCs w:val="20"/>
              </w:rPr>
            </w:pPr>
            <w:r w:rsidRPr="004D4290">
              <w:rPr>
                <w:color w:val="000000" w:themeColor="text1"/>
                <w:sz w:val="20"/>
                <w:szCs w:val="20"/>
              </w:rPr>
              <w:t>Insufficient monitoring</w:t>
            </w:r>
          </w:p>
        </w:tc>
        <w:tc>
          <w:tcPr>
            <w:tcW w:w="2250" w:type="dxa"/>
            <w:tcBorders>
              <w:top w:val="nil"/>
              <w:left w:val="nil"/>
              <w:bottom w:val="single" w:sz="4" w:space="0" w:color="BFBFBF"/>
              <w:right w:val="single" w:sz="4" w:space="0" w:color="BFBFBF"/>
            </w:tcBorders>
            <w:vAlign w:val="center"/>
            <w:hideMark/>
          </w:tcPr>
          <w:p w14:paraId="643F6E3E" w14:textId="77777777" w:rsidR="00324654" w:rsidRPr="004D4290" w:rsidRDefault="00324654" w:rsidP="00AE1DED">
            <w:pPr>
              <w:rPr>
                <w:color w:val="000000" w:themeColor="text1"/>
                <w:sz w:val="20"/>
                <w:szCs w:val="20"/>
              </w:rPr>
            </w:pPr>
            <w:r w:rsidRPr="004D4290">
              <w:rPr>
                <w:color w:val="000000" w:themeColor="text1"/>
                <w:sz w:val="20"/>
                <w:szCs w:val="20"/>
              </w:rPr>
              <w:t>• Are you checking &lt;2x daily?</w:t>
            </w:r>
            <w:r w:rsidRPr="004D4290">
              <w:rPr>
                <w:color w:val="000000" w:themeColor="text1"/>
                <w:sz w:val="20"/>
                <w:szCs w:val="20"/>
              </w:rPr>
              <w:br/>
              <w:t>• Missing price movements?</w:t>
            </w:r>
          </w:p>
        </w:tc>
        <w:tc>
          <w:tcPr>
            <w:tcW w:w="2160" w:type="dxa"/>
            <w:tcBorders>
              <w:top w:val="nil"/>
              <w:left w:val="nil"/>
              <w:bottom w:val="single" w:sz="4" w:space="0" w:color="BFBFBF"/>
              <w:right w:val="single" w:sz="4" w:space="0" w:color="BFBFBF"/>
            </w:tcBorders>
            <w:vAlign w:val="center"/>
            <w:hideMark/>
          </w:tcPr>
          <w:p w14:paraId="70751B7C" w14:textId="77777777" w:rsidR="00324654" w:rsidRPr="004D4290" w:rsidRDefault="00324654" w:rsidP="00AE1DED">
            <w:pPr>
              <w:rPr>
                <w:color w:val="000000" w:themeColor="text1"/>
                <w:sz w:val="20"/>
                <w:szCs w:val="20"/>
              </w:rPr>
            </w:pPr>
            <w:r w:rsidRPr="004D4290">
              <w:rPr>
                <w:color w:val="000000" w:themeColor="text1"/>
                <w:sz w:val="20"/>
                <w:szCs w:val="20"/>
              </w:rPr>
              <w:t>Increase monitoring frequency OR</w:t>
            </w:r>
            <w:r w:rsidRPr="004D4290">
              <w:rPr>
                <w:color w:val="000000" w:themeColor="text1"/>
                <w:sz w:val="20"/>
                <w:szCs w:val="20"/>
              </w:rPr>
              <w:br/>
              <w:t>Use wider ranges</w:t>
            </w:r>
          </w:p>
        </w:tc>
        <w:tc>
          <w:tcPr>
            <w:tcW w:w="2460" w:type="dxa"/>
            <w:gridSpan w:val="2"/>
            <w:tcBorders>
              <w:top w:val="nil"/>
              <w:left w:val="nil"/>
              <w:bottom w:val="single" w:sz="4" w:space="0" w:color="BFBFBF"/>
              <w:right w:val="single" w:sz="8" w:space="0" w:color="BFBFBF"/>
            </w:tcBorders>
            <w:vAlign w:val="center"/>
            <w:hideMark/>
          </w:tcPr>
          <w:p w14:paraId="57AC5184" w14:textId="77777777" w:rsidR="00324654" w:rsidRPr="004D4290" w:rsidRDefault="00324654" w:rsidP="00AE1DED">
            <w:pPr>
              <w:rPr>
                <w:color w:val="000000" w:themeColor="text1"/>
                <w:sz w:val="20"/>
                <w:szCs w:val="20"/>
              </w:rPr>
            </w:pPr>
            <w:r w:rsidRPr="004D4290">
              <w:rPr>
                <w:color w:val="000000" w:themeColor="text1"/>
                <w:sz w:val="20"/>
                <w:szCs w:val="20"/>
              </w:rPr>
              <w:t>Concentrated LP requires 2x daily checks minimum</w:t>
            </w:r>
          </w:p>
        </w:tc>
      </w:tr>
      <w:tr w:rsidR="004D4290" w:rsidRPr="004D4290" w14:paraId="4BCA0809" w14:textId="77777777" w:rsidTr="009D7403">
        <w:trPr>
          <w:trHeight w:val="1040"/>
        </w:trPr>
        <w:tc>
          <w:tcPr>
            <w:tcW w:w="1430" w:type="dxa"/>
            <w:tcBorders>
              <w:top w:val="nil"/>
              <w:left w:val="single" w:sz="8" w:space="0" w:color="BFBFBF"/>
              <w:bottom w:val="nil"/>
              <w:right w:val="single" w:sz="4" w:space="0" w:color="BFBFBF"/>
            </w:tcBorders>
            <w:shd w:val="clear" w:color="auto" w:fill="F2F2F2" w:themeFill="background1" w:themeFillShade="F2"/>
            <w:vAlign w:val="center"/>
            <w:hideMark/>
          </w:tcPr>
          <w:p w14:paraId="4D31FA54" w14:textId="77777777" w:rsidR="00324654" w:rsidRPr="004D4290" w:rsidRDefault="00324654" w:rsidP="00AE1DED">
            <w:pPr>
              <w:rPr>
                <w:color w:val="000000" w:themeColor="text1"/>
                <w:sz w:val="20"/>
                <w:szCs w:val="20"/>
              </w:rPr>
            </w:pPr>
            <w:r w:rsidRPr="004D4290">
              <w:rPr>
                <w:color w:val="000000" w:themeColor="text1"/>
                <w:sz w:val="20"/>
                <w:szCs w:val="20"/>
              </w:rPr>
              <w:t>Cause 3 (10% of cases)</w:t>
            </w:r>
          </w:p>
        </w:tc>
        <w:tc>
          <w:tcPr>
            <w:tcW w:w="1350" w:type="dxa"/>
            <w:tcBorders>
              <w:top w:val="nil"/>
              <w:left w:val="nil"/>
              <w:bottom w:val="nil"/>
              <w:right w:val="single" w:sz="4" w:space="0" w:color="BFBFBF"/>
            </w:tcBorders>
            <w:vAlign w:val="center"/>
            <w:hideMark/>
          </w:tcPr>
          <w:p w14:paraId="115D480D" w14:textId="77777777" w:rsidR="00324654" w:rsidRPr="004D4290" w:rsidRDefault="00324654" w:rsidP="00AE1DED">
            <w:pPr>
              <w:rPr>
                <w:color w:val="000000" w:themeColor="text1"/>
                <w:sz w:val="20"/>
                <w:szCs w:val="20"/>
              </w:rPr>
            </w:pPr>
            <w:r w:rsidRPr="004D4290">
              <w:rPr>
                <w:color w:val="000000" w:themeColor="text1"/>
                <w:sz w:val="20"/>
                <w:szCs w:val="20"/>
              </w:rPr>
              <w:t>Volatile market conditions</w:t>
            </w:r>
          </w:p>
        </w:tc>
        <w:tc>
          <w:tcPr>
            <w:tcW w:w="2250" w:type="dxa"/>
            <w:tcBorders>
              <w:top w:val="nil"/>
              <w:left w:val="nil"/>
              <w:bottom w:val="nil"/>
              <w:right w:val="single" w:sz="4" w:space="0" w:color="BFBFBF"/>
            </w:tcBorders>
            <w:vAlign w:val="center"/>
            <w:hideMark/>
          </w:tcPr>
          <w:p w14:paraId="42A1E4E7" w14:textId="77777777" w:rsidR="00324654" w:rsidRPr="004D4290" w:rsidRDefault="00324654" w:rsidP="00AE1DED">
            <w:pPr>
              <w:rPr>
                <w:color w:val="000000" w:themeColor="text1"/>
                <w:sz w:val="20"/>
                <w:szCs w:val="20"/>
              </w:rPr>
            </w:pPr>
            <w:r w:rsidRPr="004D4290">
              <w:rPr>
                <w:color w:val="000000" w:themeColor="text1"/>
                <w:sz w:val="20"/>
                <w:szCs w:val="20"/>
              </w:rPr>
              <w:t>• Is market volatility &gt;2 SD?</w:t>
            </w:r>
            <w:r w:rsidRPr="004D4290">
              <w:rPr>
                <w:color w:val="000000" w:themeColor="text1"/>
                <w:sz w:val="20"/>
                <w:szCs w:val="20"/>
              </w:rPr>
              <w:br/>
              <w:t>• Unusual price swings?</w:t>
            </w:r>
          </w:p>
        </w:tc>
        <w:tc>
          <w:tcPr>
            <w:tcW w:w="2160" w:type="dxa"/>
            <w:tcBorders>
              <w:top w:val="nil"/>
              <w:left w:val="nil"/>
              <w:bottom w:val="nil"/>
              <w:right w:val="single" w:sz="4" w:space="0" w:color="BFBFBF"/>
            </w:tcBorders>
            <w:vAlign w:val="center"/>
            <w:hideMark/>
          </w:tcPr>
          <w:p w14:paraId="57D74503" w14:textId="77777777" w:rsidR="00324654" w:rsidRPr="004D4290" w:rsidRDefault="00324654" w:rsidP="00AE1DED">
            <w:pPr>
              <w:rPr>
                <w:color w:val="000000" w:themeColor="text1"/>
                <w:sz w:val="20"/>
                <w:szCs w:val="20"/>
              </w:rPr>
            </w:pPr>
            <w:r w:rsidRPr="004D4290">
              <w:rPr>
                <w:color w:val="000000" w:themeColor="text1"/>
                <w:sz w:val="20"/>
                <w:szCs w:val="20"/>
              </w:rPr>
              <w:t>Temporarily close position OR</w:t>
            </w:r>
            <w:r w:rsidRPr="004D4290">
              <w:rPr>
                <w:color w:val="000000" w:themeColor="text1"/>
                <w:sz w:val="20"/>
                <w:szCs w:val="20"/>
              </w:rPr>
              <w:br/>
              <w:t>Accept out-of-range periods</w:t>
            </w:r>
          </w:p>
        </w:tc>
        <w:tc>
          <w:tcPr>
            <w:tcW w:w="2460" w:type="dxa"/>
            <w:gridSpan w:val="2"/>
            <w:tcBorders>
              <w:top w:val="nil"/>
              <w:left w:val="nil"/>
              <w:bottom w:val="nil"/>
              <w:right w:val="single" w:sz="8" w:space="0" w:color="BFBFBF"/>
            </w:tcBorders>
            <w:vAlign w:val="center"/>
            <w:hideMark/>
          </w:tcPr>
          <w:p w14:paraId="787F6EC9" w14:textId="77777777" w:rsidR="00324654" w:rsidRPr="004D4290" w:rsidRDefault="00324654" w:rsidP="00AE1DED">
            <w:pPr>
              <w:rPr>
                <w:color w:val="000000" w:themeColor="text1"/>
                <w:sz w:val="20"/>
                <w:szCs w:val="20"/>
              </w:rPr>
            </w:pPr>
            <w:r w:rsidRPr="004D4290">
              <w:rPr>
                <w:color w:val="000000" w:themeColor="text1"/>
                <w:sz w:val="20"/>
                <w:szCs w:val="20"/>
              </w:rPr>
              <w:t>Exit concentrated positions during high volatility</w:t>
            </w:r>
          </w:p>
        </w:tc>
      </w:tr>
      <w:tr w:rsidR="004D4290" w:rsidRPr="004D4290" w14:paraId="2B4B5EBE" w14:textId="77777777" w:rsidTr="00B8554B">
        <w:trPr>
          <w:gridAfter w:val="1"/>
          <w:wAfter w:w="30" w:type="dxa"/>
          <w:trHeight w:val="340"/>
        </w:trPr>
        <w:tc>
          <w:tcPr>
            <w:tcW w:w="9620" w:type="dxa"/>
            <w:gridSpan w:val="5"/>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20A31438" w14:textId="77777777" w:rsidR="00324654" w:rsidRPr="004D4290" w:rsidRDefault="00324654" w:rsidP="00AE1DED">
            <w:pPr>
              <w:jc w:val="center"/>
              <w:rPr>
                <w:b/>
                <w:bCs/>
                <w:color w:val="000000" w:themeColor="text1"/>
                <w:sz w:val="20"/>
                <w:szCs w:val="20"/>
              </w:rPr>
            </w:pPr>
            <w:r w:rsidRPr="004D4290">
              <w:rPr>
                <w:b/>
                <w:bCs/>
                <w:color w:val="000000" w:themeColor="text1"/>
                <w:sz w:val="20"/>
                <w:szCs w:val="20"/>
              </w:rPr>
              <w:t>Spending too much time managing positions, returns don't justify effort</w:t>
            </w:r>
          </w:p>
        </w:tc>
      </w:tr>
      <w:tr w:rsidR="004D4290" w:rsidRPr="004D4290" w14:paraId="6D0CE5C6" w14:textId="77777777" w:rsidTr="009D7403">
        <w:trPr>
          <w:trHeight w:val="61"/>
        </w:trPr>
        <w:tc>
          <w:tcPr>
            <w:tcW w:w="1430" w:type="dxa"/>
            <w:tcBorders>
              <w:top w:val="nil"/>
              <w:left w:val="single" w:sz="8" w:space="0" w:color="BFBFBF"/>
              <w:bottom w:val="single" w:sz="4" w:space="0" w:color="BFBFBF"/>
              <w:right w:val="single" w:sz="4" w:space="0" w:color="BFBFBF"/>
            </w:tcBorders>
            <w:shd w:val="clear" w:color="auto" w:fill="F2F2F2" w:themeFill="background1" w:themeFillShade="F2"/>
            <w:vAlign w:val="center"/>
            <w:hideMark/>
          </w:tcPr>
          <w:p w14:paraId="057E73EC" w14:textId="77777777" w:rsidR="00324654" w:rsidRPr="004D4290" w:rsidRDefault="00324654" w:rsidP="00AE1DED">
            <w:pPr>
              <w:rPr>
                <w:color w:val="000000" w:themeColor="text1"/>
                <w:sz w:val="20"/>
                <w:szCs w:val="20"/>
              </w:rPr>
            </w:pPr>
            <w:r w:rsidRPr="004D4290">
              <w:rPr>
                <w:color w:val="000000" w:themeColor="text1"/>
                <w:sz w:val="20"/>
                <w:szCs w:val="20"/>
              </w:rPr>
              <w:t>Cause 1 (52% of cases)</w:t>
            </w:r>
          </w:p>
        </w:tc>
        <w:tc>
          <w:tcPr>
            <w:tcW w:w="1350" w:type="dxa"/>
            <w:tcBorders>
              <w:top w:val="nil"/>
              <w:left w:val="nil"/>
              <w:bottom w:val="single" w:sz="4" w:space="0" w:color="BFBFBF"/>
              <w:right w:val="single" w:sz="4" w:space="0" w:color="BFBFBF"/>
            </w:tcBorders>
            <w:vAlign w:val="center"/>
            <w:hideMark/>
          </w:tcPr>
          <w:p w14:paraId="5F31D07E" w14:textId="77777777" w:rsidR="00324654" w:rsidRPr="004D4290" w:rsidRDefault="00324654" w:rsidP="00AE1DED">
            <w:pPr>
              <w:rPr>
                <w:color w:val="000000" w:themeColor="text1"/>
                <w:sz w:val="20"/>
                <w:szCs w:val="20"/>
              </w:rPr>
            </w:pPr>
            <w:r w:rsidRPr="004D4290">
              <w:rPr>
                <w:color w:val="000000" w:themeColor="text1"/>
                <w:sz w:val="20"/>
                <w:szCs w:val="20"/>
              </w:rPr>
              <w:t>Attempting optimization beyond competence</w:t>
            </w:r>
          </w:p>
        </w:tc>
        <w:tc>
          <w:tcPr>
            <w:tcW w:w="2250" w:type="dxa"/>
            <w:tcBorders>
              <w:top w:val="nil"/>
              <w:left w:val="nil"/>
              <w:bottom w:val="single" w:sz="4" w:space="0" w:color="BFBFBF"/>
              <w:right w:val="single" w:sz="4" w:space="0" w:color="BFBFBF"/>
            </w:tcBorders>
            <w:vAlign w:val="center"/>
            <w:hideMark/>
          </w:tcPr>
          <w:p w14:paraId="15184E9D" w14:textId="77777777" w:rsidR="00324654" w:rsidRPr="004D4290" w:rsidRDefault="00324654" w:rsidP="00AE1DED">
            <w:pPr>
              <w:rPr>
                <w:color w:val="000000" w:themeColor="text1"/>
                <w:sz w:val="20"/>
                <w:szCs w:val="20"/>
              </w:rPr>
            </w:pPr>
            <w:r w:rsidRPr="004D4290">
              <w:rPr>
                <w:color w:val="000000" w:themeColor="text1"/>
                <w:sz w:val="20"/>
                <w:szCs w:val="20"/>
              </w:rPr>
              <w:t>• Are you trying to optimize everything?</w:t>
            </w:r>
            <w:r w:rsidRPr="004D4290">
              <w:rPr>
                <w:color w:val="000000" w:themeColor="text1"/>
                <w:sz w:val="20"/>
                <w:szCs w:val="20"/>
              </w:rPr>
              <w:br/>
              <w:t>• Spending &gt;5hrs/</w:t>
            </w:r>
            <w:proofErr w:type="spellStart"/>
            <w:r w:rsidRPr="004D4290">
              <w:rPr>
                <w:color w:val="000000" w:themeColor="text1"/>
                <w:sz w:val="20"/>
                <w:szCs w:val="20"/>
              </w:rPr>
              <w:t>wk</w:t>
            </w:r>
            <w:proofErr w:type="spellEnd"/>
            <w:r w:rsidRPr="004D4290">
              <w:rPr>
                <w:color w:val="000000" w:themeColor="text1"/>
                <w:sz w:val="20"/>
                <w:szCs w:val="20"/>
              </w:rPr>
              <w:t xml:space="preserve"> on optimization?</w:t>
            </w:r>
          </w:p>
        </w:tc>
        <w:tc>
          <w:tcPr>
            <w:tcW w:w="2160" w:type="dxa"/>
            <w:tcBorders>
              <w:top w:val="nil"/>
              <w:left w:val="nil"/>
              <w:bottom w:val="single" w:sz="4" w:space="0" w:color="BFBFBF"/>
              <w:right w:val="single" w:sz="4" w:space="0" w:color="BFBFBF"/>
            </w:tcBorders>
            <w:vAlign w:val="center"/>
            <w:hideMark/>
          </w:tcPr>
          <w:p w14:paraId="608C9288" w14:textId="77777777" w:rsidR="00324654" w:rsidRPr="004D4290" w:rsidRDefault="00324654" w:rsidP="00AE1DED">
            <w:pPr>
              <w:rPr>
                <w:color w:val="000000" w:themeColor="text1"/>
                <w:sz w:val="20"/>
                <w:szCs w:val="20"/>
              </w:rPr>
            </w:pPr>
            <w:r w:rsidRPr="004D4290">
              <w:rPr>
                <w:color w:val="000000" w:themeColor="text1"/>
                <w:sz w:val="20"/>
                <w:szCs w:val="20"/>
              </w:rPr>
              <w:t>Stop optimizing, use simple approach OR</w:t>
            </w:r>
            <w:r w:rsidRPr="004D4290">
              <w:rPr>
                <w:color w:val="000000" w:themeColor="text1"/>
                <w:sz w:val="20"/>
                <w:szCs w:val="20"/>
              </w:rPr>
              <w:br/>
              <w:t>Accept you're over-optimizing</w:t>
            </w:r>
          </w:p>
        </w:tc>
        <w:tc>
          <w:tcPr>
            <w:tcW w:w="2460" w:type="dxa"/>
            <w:gridSpan w:val="2"/>
            <w:tcBorders>
              <w:top w:val="nil"/>
              <w:left w:val="nil"/>
              <w:bottom w:val="single" w:sz="4" w:space="0" w:color="BFBFBF"/>
              <w:right w:val="single" w:sz="8" w:space="0" w:color="BFBFBF"/>
            </w:tcBorders>
            <w:vAlign w:val="center"/>
            <w:hideMark/>
          </w:tcPr>
          <w:p w14:paraId="0BDE5FC6" w14:textId="77777777" w:rsidR="00324654" w:rsidRPr="004D4290" w:rsidRDefault="00324654" w:rsidP="00AE1DED">
            <w:pPr>
              <w:rPr>
                <w:color w:val="000000" w:themeColor="text1"/>
                <w:sz w:val="20"/>
                <w:szCs w:val="20"/>
              </w:rPr>
            </w:pPr>
            <w:r w:rsidRPr="004D4290">
              <w:rPr>
                <w:color w:val="000000" w:themeColor="text1"/>
                <w:sz w:val="20"/>
                <w:szCs w:val="20"/>
              </w:rPr>
              <w:t>Focus on high-impact activities only (Section 10.2.1)</w:t>
            </w:r>
          </w:p>
        </w:tc>
      </w:tr>
      <w:tr w:rsidR="004D4290" w:rsidRPr="004D4290" w14:paraId="735842B8" w14:textId="77777777" w:rsidTr="009D7403">
        <w:trPr>
          <w:trHeight w:val="71"/>
        </w:trPr>
        <w:tc>
          <w:tcPr>
            <w:tcW w:w="1430" w:type="dxa"/>
            <w:tcBorders>
              <w:top w:val="nil"/>
              <w:left w:val="single" w:sz="8" w:space="0" w:color="BFBFBF"/>
              <w:bottom w:val="single" w:sz="4" w:space="0" w:color="BFBFBF"/>
              <w:right w:val="single" w:sz="4" w:space="0" w:color="BFBFBF"/>
            </w:tcBorders>
            <w:shd w:val="clear" w:color="auto" w:fill="F2F2F2" w:themeFill="background1" w:themeFillShade="F2"/>
            <w:vAlign w:val="center"/>
            <w:hideMark/>
          </w:tcPr>
          <w:p w14:paraId="22D7DBA3" w14:textId="77777777" w:rsidR="00324654" w:rsidRPr="004D4290" w:rsidRDefault="00324654" w:rsidP="00AE1DED">
            <w:pPr>
              <w:rPr>
                <w:color w:val="000000" w:themeColor="text1"/>
                <w:sz w:val="20"/>
                <w:szCs w:val="20"/>
              </w:rPr>
            </w:pPr>
            <w:r w:rsidRPr="004D4290">
              <w:rPr>
                <w:color w:val="000000" w:themeColor="text1"/>
                <w:sz w:val="20"/>
                <w:szCs w:val="20"/>
              </w:rPr>
              <w:t>Cause 2 (31% of cases)</w:t>
            </w:r>
          </w:p>
        </w:tc>
        <w:tc>
          <w:tcPr>
            <w:tcW w:w="1350" w:type="dxa"/>
            <w:tcBorders>
              <w:top w:val="nil"/>
              <w:left w:val="nil"/>
              <w:bottom w:val="single" w:sz="4" w:space="0" w:color="BFBFBF"/>
              <w:right w:val="single" w:sz="4" w:space="0" w:color="BFBFBF"/>
            </w:tcBorders>
            <w:vAlign w:val="center"/>
            <w:hideMark/>
          </w:tcPr>
          <w:p w14:paraId="4E11B5AF" w14:textId="77777777" w:rsidR="00324654" w:rsidRPr="004D4290" w:rsidRDefault="00324654" w:rsidP="00AE1DED">
            <w:pPr>
              <w:rPr>
                <w:color w:val="000000" w:themeColor="text1"/>
                <w:sz w:val="20"/>
                <w:szCs w:val="20"/>
              </w:rPr>
            </w:pPr>
            <w:r w:rsidRPr="004D4290">
              <w:rPr>
                <w:color w:val="000000" w:themeColor="text1"/>
                <w:sz w:val="20"/>
                <w:szCs w:val="20"/>
              </w:rPr>
              <w:t>Too many positions to manage</w:t>
            </w:r>
          </w:p>
        </w:tc>
        <w:tc>
          <w:tcPr>
            <w:tcW w:w="2250" w:type="dxa"/>
            <w:tcBorders>
              <w:top w:val="nil"/>
              <w:left w:val="nil"/>
              <w:bottom w:val="single" w:sz="4" w:space="0" w:color="BFBFBF"/>
              <w:right w:val="single" w:sz="4" w:space="0" w:color="BFBFBF"/>
            </w:tcBorders>
            <w:vAlign w:val="center"/>
            <w:hideMark/>
          </w:tcPr>
          <w:p w14:paraId="1873E0A1" w14:textId="77777777" w:rsidR="00324654" w:rsidRPr="004D4290" w:rsidRDefault="00324654" w:rsidP="00AE1DED">
            <w:pPr>
              <w:rPr>
                <w:color w:val="000000" w:themeColor="text1"/>
                <w:sz w:val="20"/>
                <w:szCs w:val="20"/>
              </w:rPr>
            </w:pPr>
            <w:r w:rsidRPr="004D4290">
              <w:rPr>
                <w:color w:val="000000" w:themeColor="text1"/>
                <w:sz w:val="20"/>
                <w:szCs w:val="20"/>
              </w:rPr>
              <w:t>• How many positions active?</w:t>
            </w:r>
            <w:r w:rsidRPr="004D4290">
              <w:rPr>
                <w:color w:val="000000" w:themeColor="text1"/>
                <w:sz w:val="20"/>
                <w:szCs w:val="20"/>
              </w:rPr>
              <w:br/>
              <w:t>• If &gt;3, probably too many</w:t>
            </w:r>
          </w:p>
        </w:tc>
        <w:tc>
          <w:tcPr>
            <w:tcW w:w="2160" w:type="dxa"/>
            <w:tcBorders>
              <w:top w:val="nil"/>
              <w:left w:val="nil"/>
              <w:bottom w:val="single" w:sz="4" w:space="0" w:color="BFBFBF"/>
              <w:right w:val="single" w:sz="4" w:space="0" w:color="BFBFBF"/>
            </w:tcBorders>
            <w:vAlign w:val="center"/>
            <w:hideMark/>
          </w:tcPr>
          <w:p w14:paraId="307D431A" w14:textId="77777777" w:rsidR="00324654" w:rsidRPr="004D4290" w:rsidRDefault="00324654" w:rsidP="00AE1DED">
            <w:pPr>
              <w:rPr>
                <w:color w:val="000000" w:themeColor="text1"/>
                <w:sz w:val="20"/>
                <w:szCs w:val="20"/>
              </w:rPr>
            </w:pPr>
            <w:r w:rsidRPr="004D4290">
              <w:rPr>
                <w:color w:val="000000" w:themeColor="text1"/>
                <w:sz w:val="20"/>
                <w:szCs w:val="20"/>
              </w:rPr>
              <w:t>Consolidate to 1-2 positions OR</w:t>
            </w:r>
            <w:r w:rsidRPr="004D4290">
              <w:rPr>
                <w:color w:val="000000" w:themeColor="text1"/>
                <w:sz w:val="20"/>
                <w:szCs w:val="20"/>
              </w:rPr>
              <w:br/>
              <w:t>Accept you're over-diversified</w:t>
            </w:r>
          </w:p>
        </w:tc>
        <w:tc>
          <w:tcPr>
            <w:tcW w:w="2460" w:type="dxa"/>
            <w:gridSpan w:val="2"/>
            <w:tcBorders>
              <w:top w:val="nil"/>
              <w:left w:val="nil"/>
              <w:bottom w:val="single" w:sz="4" w:space="0" w:color="BFBFBF"/>
              <w:right w:val="single" w:sz="8" w:space="0" w:color="BFBFBF"/>
            </w:tcBorders>
            <w:vAlign w:val="center"/>
            <w:hideMark/>
          </w:tcPr>
          <w:p w14:paraId="50840247" w14:textId="77777777" w:rsidR="00324654" w:rsidRPr="004D4290" w:rsidRDefault="00324654" w:rsidP="00AE1DED">
            <w:pPr>
              <w:rPr>
                <w:color w:val="000000" w:themeColor="text1"/>
                <w:sz w:val="20"/>
                <w:szCs w:val="20"/>
              </w:rPr>
            </w:pPr>
            <w:r w:rsidRPr="004D4290">
              <w:rPr>
                <w:color w:val="000000" w:themeColor="text1"/>
                <w:sz w:val="20"/>
                <w:szCs w:val="20"/>
              </w:rPr>
              <w:t>Start with single position, add only after mastery</w:t>
            </w:r>
          </w:p>
        </w:tc>
      </w:tr>
      <w:tr w:rsidR="004D4290" w:rsidRPr="004D4290" w14:paraId="43CD2DED" w14:textId="77777777" w:rsidTr="009D7403">
        <w:trPr>
          <w:trHeight w:val="71"/>
        </w:trPr>
        <w:tc>
          <w:tcPr>
            <w:tcW w:w="1430" w:type="dxa"/>
            <w:tcBorders>
              <w:top w:val="nil"/>
              <w:left w:val="single" w:sz="8" w:space="0" w:color="BFBFBF"/>
              <w:bottom w:val="nil"/>
              <w:right w:val="single" w:sz="4" w:space="0" w:color="BFBFBF"/>
            </w:tcBorders>
            <w:shd w:val="clear" w:color="auto" w:fill="F2F2F2" w:themeFill="background1" w:themeFillShade="F2"/>
            <w:vAlign w:val="center"/>
            <w:hideMark/>
          </w:tcPr>
          <w:p w14:paraId="1C048063" w14:textId="77777777" w:rsidR="00324654" w:rsidRPr="004D4290" w:rsidRDefault="00324654" w:rsidP="00AE1DED">
            <w:pPr>
              <w:rPr>
                <w:color w:val="000000" w:themeColor="text1"/>
                <w:sz w:val="20"/>
                <w:szCs w:val="20"/>
              </w:rPr>
            </w:pPr>
            <w:r w:rsidRPr="004D4290">
              <w:rPr>
                <w:color w:val="000000" w:themeColor="text1"/>
                <w:sz w:val="20"/>
                <w:szCs w:val="20"/>
              </w:rPr>
              <w:t>Cause 3 (17% of cases)</w:t>
            </w:r>
          </w:p>
        </w:tc>
        <w:tc>
          <w:tcPr>
            <w:tcW w:w="1350" w:type="dxa"/>
            <w:tcBorders>
              <w:top w:val="nil"/>
              <w:left w:val="nil"/>
              <w:bottom w:val="nil"/>
              <w:right w:val="single" w:sz="4" w:space="0" w:color="BFBFBF"/>
            </w:tcBorders>
            <w:vAlign w:val="center"/>
            <w:hideMark/>
          </w:tcPr>
          <w:p w14:paraId="73BE0CE2" w14:textId="77777777" w:rsidR="00324654" w:rsidRPr="004D4290" w:rsidRDefault="00324654" w:rsidP="00AE1DED">
            <w:pPr>
              <w:rPr>
                <w:color w:val="000000" w:themeColor="text1"/>
                <w:sz w:val="20"/>
                <w:szCs w:val="20"/>
              </w:rPr>
            </w:pPr>
            <w:r w:rsidRPr="004D4290">
              <w:rPr>
                <w:color w:val="000000" w:themeColor="text1"/>
                <w:sz w:val="20"/>
                <w:szCs w:val="20"/>
              </w:rPr>
              <w:t>Strategy-resource mismatch</w:t>
            </w:r>
          </w:p>
        </w:tc>
        <w:tc>
          <w:tcPr>
            <w:tcW w:w="2250" w:type="dxa"/>
            <w:tcBorders>
              <w:top w:val="nil"/>
              <w:left w:val="nil"/>
              <w:bottom w:val="nil"/>
              <w:right w:val="single" w:sz="4" w:space="0" w:color="BFBFBF"/>
            </w:tcBorders>
            <w:vAlign w:val="center"/>
            <w:hideMark/>
          </w:tcPr>
          <w:p w14:paraId="5D013FC6" w14:textId="77777777" w:rsidR="00324654" w:rsidRPr="004D4290" w:rsidRDefault="00324654" w:rsidP="00AE1DED">
            <w:pPr>
              <w:rPr>
                <w:color w:val="000000" w:themeColor="text1"/>
                <w:sz w:val="20"/>
                <w:szCs w:val="20"/>
              </w:rPr>
            </w:pPr>
            <w:r w:rsidRPr="004D4290">
              <w:rPr>
                <w:color w:val="000000" w:themeColor="text1"/>
                <w:sz w:val="20"/>
                <w:szCs w:val="20"/>
              </w:rPr>
              <w:t>• Does strategy match your capital?</w:t>
            </w:r>
            <w:r w:rsidRPr="004D4290">
              <w:rPr>
                <w:color w:val="000000" w:themeColor="text1"/>
                <w:sz w:val="20"/>
                <w:szCs w:val="20"/>
              </w:rPr>
              <w:br/>
              <w:t>• Does it match your skills?</w:t>
            </w:r>
          </w:p>
        </w:tc>
        <w:tc>
          <w:tcPr>
            <w:tcW w:w="2160" w:type="dxa"/>
            <w:tcBorders>
              <w:top w:val="nil"/>
              <w:left w:val="nil"/>
              <w:bottom w:val="nil"/>
              <w:right w:val="single" w:sz="4" w:space="0" w:color="BFBFBF"/>
            </w:tcBorders>
            <w:vAlign w:val="center"/>
            <w:hideMark/>
          </w:tcPr>
          <w:p w14:paraId="13F86A92" w14:textId="77777777" w:rsidR="00324654" w:rsidRPr="004D4290" w:rsidRDefault="00324654" w:rsidP="00AE1DED">
            <w:pPr>
              <w:rPr>
                <w:color w:val="000000" w:themeColor="text1"/>
                <w:sz w:val="20"/>
                <w:szCs w:val="20"/>
              </w:rPr>
            </w:pPr>
            <w:r w:rsidRPr="004D4290">
              <w:rPr>
                <w:color w:val="000000" w:themeColor="text1"/>
                <w:sz w:val="20"/>
                <w:szCs w:val="20"/>
              </w:rPr>
              <w:t>Switch to appropriate strategy OR</w:t>
            </w:r>
            <w:r w:rsidRPr="004D4290">
              <w:rPr>
                <w:color w:val="000000" w:themeColor="text1"/>
                <w:sz w:val="20"/>
                <w:szCs w:val="20"/>
              </w:rPr>
              <w:br/>
              <w:t>Build skills before complex strategies</w:t>
            </w:r>
          </w:p>
        </w:tc>
        <w:tc>
          <w:tcPr>
            <w:tcW w:w="2460" w:type="dxa"/>
            <w:gridSpan w:val="2"/>
            <w:tcBorders>
              <w:top w:val="nil"/>
              <w:left w:val="nil"/>
              <w:bottom w:val="nil"/>
              <w:right w:val="single" w:sz="8" w:space="0" w:color="BFBFBF"/>
            </w:tcBorders>
            <w:vAlign w:val="center"/>
            <w:hideMark/>
          </w:tcPr>
          <w:p w14:paraId="3C1D1C23" w14:textId="77777777" w:rsidR="00324654" w:rsidRPr="004D4290" w:rsidRDefault="00324654" w:rsidP="00AE1DED">
            <w:pPr>
              <w:rPr>
                <w:color w:val="000000" w:themeColor="text1"/>
                <w:sz w:val="20"/>
                <w:szCs w:val="20"/>
              </w:rPr>
            </w:pPr>
            <w:r w:rsidRPr="004D4290">
              <w:rPr>
                <w:color w:val="000000" w:themeColor="text1"/>
                <w:sz w:val="20"/>
                <w:szCs w:val="20"/>
              </w:rPr>
              <w:t>Use Figure 8.1 decision framework</w:t>
            </w:r>
          </w:p>
        </w:tc>
      </w:tr>
      <w:tr w:rsidR="004D4290" w:rsidRPr="004D4290" w14:paraId="727D4B62" w14:textId="77777777" w:rsidTr="00B8554B">
        <w:trPr>
          <w:gridAfter w:val="1"/>
          <w:wAfter w:w="30" w:type="dxa"/>
          <w:trHeight w:val="340"/>
        </w:trPr>
        <w:tc>
          <w:tcPr>
            <w:tcW w:w="9620" w:type="dxa"/>
            <w:gridSpan w:val="5"/>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3167B451" w14:textId="77777777" w:rsidR="00324654" w:rsidRPr="004D4290" w:rsidRDefault="00324654" w:rsidP="00AE1DED">
            <w:pPr>
              <w:jc w:val="center"/>
              <w:rPr>
                <w:b/>
                <w:bCs/>
                <w:color w:val="000000" w:themeColor="text1"/>
                <w:sz w:val="20"/>
                <w:szCs w:val="20"/>
              </w:rPr>
            </w:pPr>
            <w:r w:rsidRPr="004D4290">
              <w:rPr>
                <w:b/>
                <w:bCs/>
                <w:color w:val="000000" w:themeColor="text1"/>
                <w:sz w:val="20"/>
                <w:szCs w:val="20"/>
              </w:rPr>
              <w:t>Cannot understand why position lost money suddenly</w:t>
            </w:r>
          </w:p>
        </w:tc>
      </w:tr>
      <w:tr w:rsidR="004D4290" w:rsidRPr="004D4290" w14:paraId="0DC19ACA" w14:textId="77777777" w:rsidTr="009D7403">
        <w:trPr>
          <w:trHeight w:val="61"/>
        </w:trPr>
        <w:tc>
          <w:tcPr>
            <w:tcW w:w="1430" w:type="dxa"/>
            <w:tcBorders>
              <w:top w:val="nil"/>
              <w:left w:val="single" w:sz="8" w:space="0" w:color="BFBFBF"/>
              <w:bottom w:val="single" w:sz="4" w:space="0" w:color="BFBFBF"/>
              <w:right w:val="single" w:sz="4" w:space="0" w:color="BFBFBF"/>
            </w:tcBorders>
            <w:shd w:val="clear" w:color="auto" w:fill="F2F2F2" w:themeFill="background1" w:themeFillShade="F2"/>
            <w:vAlign w:val="center"/>
            <w:hideMark/>
          </w:tcPr>
          <w:p w14:paraId="4BC1E523" w14:textId="77777777" w:rsidR="00324654" w:rsidRPr="004D4290" w:rsidRDefault="00324654" w:rsidP="00AE1DED">
            <w:pPr>
              <w:rPr>
                <w:color w:val="000000" w:themeColor="text1"/>
                <w:sz w:val="20"/>
                <w:szCs w:val="20"/>
              </w:rPr>
            </w:pPr>
            <w:r w:rsidRPr="004D4290">
              <w:rPr>
                <w:color w:val="000000" w:themeColor="text1"/>
                <w:sz w:val="20"/>
                <w:szCs w:val="20"/>
              </w:rPr>
              <w:lastRenderedPageBreak/>
              <w:t>Cause 1 (47% of cases)</w:t>
            </w:r>
          </w:p>
        </w:tc>
        <w:tc>
          <w:tcPr>
            <w:tcW w:w="1350" w:type="dxa"/>
            <w:tcBorders>
              <w:top w:val="nil"/>
              <w:left w:val="nil"/>
              <w:bottom w:val="single" w:sz="4" w:space="0" w:color="BFBFBF"/>
              <w:right w:val="single" w:sz="4" w:space="0" w:color="BFBFBF"/>
            </w:tcBorders>
            <w:vAlign w:val="center"/>
            <w:hideMark/>
          </w:tcPr>
          <w:p w14:paraId="68805730" w14:textId="77777777" w:rsidR="00324654" w:rsidRPr="004D4290" w:rsidRDefault="00324654" w:rsidP="00AE1DED">
            <w:pPr>
              <w:rPr>
                <w:color w:val="000000" w:themeColor="text1"/>
                <w:sz w:val="20"/>
                <w:szCs w:val="20"/>
              </w:rPr>
            </w:pPr>
            <w:r w:rsidRPr="004D4290">
              <w:rPr>
                <w:color w:val="000000" w:themeColor="text1"/>
                <w:sz w:val="20"/>
                <w:szCs w:val="20"/>
              </w:rPr>
              <w:t>Protocol-level incident</w:t>
            </w:r>
          </w:p>
        </w:tc>
        <w:tc>
          <w:tcPr>
            <w:tcW w:w="2250" w:type="dxa"/>
            <w:tcBorders>
              <w:top w:val="nil"/>
              <w:left w:val="nil"/>
              <w:bottom w:val="single" w:sz="4" w:space="0" w:color="BFBFBF"/>
              <w:right w:val="single" w:sz="4" w:space="0" w:color="BFBFBF"/>
            </w:tcBorders>
            <w:vAlign w:val="center"/>
            <w:hideMark/>
          </w:tcPr>
          <w:p w14:paraId="1E9DC6B9" w14:textId="77777777" w:rsidR="00324654" w:rsidRPr="004D4290" w:rsidRDefault="00324654" w:rsidP="00AE1DED">
            <w:pPr>
              <w:rPr>
                <w:color w:val="000000" w:themeColor="text1"/>
                <w:sz w:val="20"/>
                <w:szCs w:val="20"/>
              </w:rPr>
            </w:pPr>
            <w:r w:rsidRPr="004D4290">
              <w:rPr>
                <w:color w:val="000000" w:themeColor="text1"/>
                <w:sz w:val="20"/>
                <w:szCs w:val="20"/>
              </w:rPr>
              <w:t>• Check protocol Twitter/Discord</w:t>
            </w:r>
            <w:r w:rsidRPr="004D4290">
              <w:rPr>
                <w:color w:val="000000" w:themeColor="text1"/>
                <w:sz w:val="20"/>
                <w:szCs w:val="20"/>
              </w:rPr>
              <w:br/>
              <w:t>• Was there an exploit or governance change?</w:t>
            </w:r>
          </w:p>
        </w:tc>
        <w:tc>
          <w:tcPr>
            <w:tcW w:w="2160" w:type="dxa"/>
            <w:tcBorders>
              <w:top w:val="nil"/>
              <w:left w:val="nil"/>
              <w:bottom w:val="single" w:sz="4" w:space="0" w:color="BFBFBF"/>
              <w:right w:val="single" w:sz="4" w:space="0" w:color="BFBFBF"/>
            </w:tcBorders>
            <w:vAlign w:val="center"/>
            <w:hideMark/>
          </w:tcPr>
          <w:p w14:paraId="25DD6B78" w14:textId="77777777" w:rsidR="00324654" w:rsidRPr="004D4290" w:rsidRDefault="00324654" w:rsidP="00AE1DED">
            <w:pPr>
              <w:rPr>
                <w:color w:val="000000" w:themeColor="text1"/>
                <w:sz w:val="20"/>
                <w:szCs w:val="20"/>
              </w:rPr>
            </w:pPr>
            <w:r w:rsidRPr="004D4290">
              <w:rPr>
                <w:color w:val="000000" w:themeColor="text1"/>
                <w:sz w:val="20"/>
                <w:szCs w:val="20"/>
              </w:rPr>
              <w:t>Accept loss as realized risk OR</w:t>
            </w:r>
            <w:r w:rsidRPr="004D4290">
              <w:rPr>
                <w:color w:val="000000" w:themeColor="text1"/>
                <w:sz w:val="20"/>
                <w:szCs w:val="20"/>
              </w:rPr>
              <w:br/>
              <w:t>File claim if recovery process exists</w:t>
            </w:r>
          </w:p>
        </w:tc>
        <w:tc>
          <w:tcPr>
            <w:tcW w:w="2460" w:type="dxa"/>
            <w:gridSpan w:val="2"/>
            <w:tcBorders>
              <w:top w:val="nil"/>
              <w:left w:val="nil"/>
              <w:bottom w:val="single" w:sz="4" w:space="0" w:color="BFBFBF"/>
              <w:right w:val="single" w:sz="8" w:space="0" w:color="BFBFBF"/>
            </w:tcBorders>
            <w:vAlign w:val="center"/>
            <w:hideMark/>
          </w:tcPr>
          <w:p w14:paraId="3A70A047" w14:textId="77777777" w:rsidR="00324654" w:rsidRPr="004D4290" w:rsidRDefault="00324654" w:rsidP="00AE1DED">
            <w:pPr>
              <w:rPr>
                <w:color w:val="000000" w:themeColor="text1"/>
                <w:sz w:val="20"/>
                <w:szCs w:val="20"/>
              </w:rPr>
            </w:pPr>
            <w:r w:rsidRPr="004D4290">
              <w:rPr>
                <w:color w:val="000000" w:themeColor="text1"/>
                <w:sz w:val="20"/>
                <w:szCs w:val="20"/>
              </w:rPr>
              <w:t>Diversify across protocols; size for total loss</w:t>
            </w:r>
          </w:p>
        </w:tc>
      </w:tr>
      <w:tr w:rsidR="004D4290" w:rsidRPr="004D4290" w14:paraId="0BE48733" w14:textId="77777777" w:rsidTr="009D7403">
        <w:trPr>
          <w:trHeight w:val="71"/>
        </w:trPr>
        <w:tc>
          <w:tcPr>
            <w:tcW w:w="1430" w:type="dxa"/>
            <w:tcBorders>
              <w:top w:val="nil"/>
              <w:left w:val="single" w:sz="8" w:space="0" w:color="BFBFBF"/>
              <w:bottom w:val="single" w:sz="4" w:space="0" w:color="BFBFBF"/>
              <w:right w:val="single" w:sz="4" w:space="0" w:color="BFBFBF"/>
            </w:tcBorders>
            <w:shd w:val="clear" w:color="auto" w:fill="F2F2F2" w:themeFill="background1" w:themeFillShade="F2"/>
            <w:vAlign w:val="center"/>
            <w:hideMark/>
          </w:tcPr>
          <w:p w14:paraId="575BE670" w14:textId="77777777" w:rsidR="00324654" w:rsidRPr="004D4290" w:rsidRDefault="00324654" w:rsidP="00AE1DED">
            <w:pPr>
              <w:rPr>
                <w:color w:val="000000" w:themeColor="text1"/>
                <w:sz w:val="20"/>
                <w:szCs w:val="20"/>
              </w:rPr>
            </w:pPr>
            <w:r w:rsidRPr="004D4290">
              <w:rPr>
                <w:color w:val="000000" w:themeColor="text1"/>
                <w:sz w:val="20"/>
                <w:szCs w:val="20"/>
              </w:rPr>
              <w:t>Cause 2 (34% of cases)</w:t>
            </w:r>
          </w:p>
        </w:tc>
        <w:tc>
          <w:tcPr>
            <w:tcW w:w="1350" w:type="dxa"/>
            <w:tcBorders>
              <w:top w:val="nil"/>
              <w:left w:val="nil"/>
              <w:bottom w:val="single" w:sz="4" w:space="0" w:color="BFBFBF"/>
              <w:right w:val="single" w:sz="4" w:space="0" w:color="BFBFBF"/>
            </w:tcBorders>
            <w:vAlign w:val="center"/>
            <w:hideMark/>
          </w:tcPr>
          <w:p w14:paraId="7BA43338" w14:textId="77777777" w:rsidR="00324654" w:rsidRPr="004D4290" w:rsidRDefault="00324654" w:rsidP="00AE1DED">
            <w:pPr>
              <w:rPr>
                <w:color w:val="000000" w:themeColor="text1"/>
                <w:sz w:val="20"/>
                <w:szCs w:val="20"/>
              </w:rPr>
            </w:pPr>
            <w:r w:rsidRPr="004D4290">
              <w:rPr>
                <w:color w:val="000000" w:themeColor="text1"/>
                <w:sz w:val="20"/>
                <w:szCs w:val="20"/>
              </w:rPr>
              <w:t>Impermanent loss from price divergence</w:t>
            </w:r>
          </w:p>
        </w:tc>
        <w:tc>
          <w:tcPr>
            <w:tcW w:w="2250" w:type="dxa"/>
            <w:tcBorders>
              <w:top w:val="nil"/>
              <w:left w:val="nil"/>
              <w:bottom w:val="single" w:sz="4" w:space="0" w:color="BFBFBF"/>
              <w:right w:val="single" w:sz="4" w:space="0" w:color="BFBFBF"/>
            </w:tcBorders>
            <w:vAlign w:val="center"/>
            <w:hideMark/>
          </w:tcPr>
          <w:p w14:paraId="654DF80F" w14:textId="77777777" w:rsidR="00324654" w:rsidRPr="004D4290" w:rsidRDefault="00324654" w:rsidP="00AE1DED">
            <w:pPr>
              <w:rPr>
                <w:color w:val="000000" w:themeColor="text1"/>
                <w:sz w:val="20"/>
                <w:szCs w:val="20"/>
              </w:rPr>
            </w:pPr>
            <w:r w:rsidRPr="004D4290">
              <w:rPr>
                <w:color w:val="000000" w:themeColor="text1"/>
                <w:sz w:val="20"/>
                <w:szCs w:val="20"/>
              </w:rPr>
              <w:t>• Calculate IL for actual price movement</w:t>
            </w:r>
            <w:r w:rsidRPr="004D4290">
              <w:rPr>
                <w:color w:val="000000" w:themeColor="text1"/>
                <w:sz w:val="20"/>
                <w:szCs w:val="20"/>
              </w:rPr>
              <w:br/>
              <w:t>• Did one token crash/pump?</w:t>
            </w:r>
          </w:p>
        </w:tc>
        <w:tc>
          <w:tcPr>
            <w:tcW w:w="2160" w:type="dxa"/>
            <w:tcBorders>
              <w:top w:val="nil"/>
              <w:left w:val="nil"/>
              <w:bottom w:val="single" w:sz="4" w:space="0" w:color="BFBFBF"/>
              <w:right w:val="single" w:sz="4" w:space="0" w:color="BFBFBF"/>
            </w:tcBorders>
            <w:vAlign w:val="center"/>
            <w:hideMark/>
          </w:tcPr>
          <w:p w14:paraId="7B3235EE" w14:textId="77777777" w:rsidR="00324654" w:rsidRPr="004D4290" w:rsidRDefault="00324654" w:rsidP="00AE1DED">
            <w:pPr>
              <w:rPr>
                <w:color w:val="000000" w:themeColor="text1"/>
                <w:sz w:val="20"/>
                <w:szCs w:val="20"/>
              </w:rPr>
            </w:pPr>
            <w:r w:rsidRPr="004D4290">
              <w:rPr>
                <w:color w:val="000000" w:themeColor="text1"/>
                <w:sz w:val="20"/>
                <w:szCs w:val="20"/>
              </w:rPr>
              <w:t>IL is inherent to AMM design; no fix OR</w:t>
            </w:r>
            <w:r w:rsidRPr="004D4290">
              <w:rPr>
                <w:color w:val="000000" w:themeColor="text1"/>
                <w:sz w:val="20"/>
                <w:szCs w:val="20"/>
              </w:rPr>
              <w:br/>
              <w:t>Avoid volatile pairs</w:t>
            </w:r>
          </w:p>
        </w:tc>
        <w:tc>
          <w:tcPr>
            <w:tcW w:w="2460" w:type="dxa"/>
            <w:gridSpan w:val="2"/>
            <w:tcBorders>
              <w:top w:val="nil"/>
              <w:left w:val="nil"/>
              <w:bottom w:val="single" w:sz="4" w:space="0" w:color="BFBFBF"/>
              <w:right w:val="single" w:sz="8" w:space="0" w:color="BFBFBF"/>
            </w:tcBorders>
            <w:vAlign w:val="center"/>
            <w:hideMark/>
          </w:tcPr>
          <w:p w14:paraId="504BED89" w14:textId="77777777" w:rsidR="00324654" w:rsidRPr="004D4290" w:rsidRDefault="00324654" w:rsidP="00AE1DED">
            <w:pPr>
              <w:rPr>
                <w:color w:val="000000" w:themeColor="text1"/>
                <w:sz w:val="20"/>
                <w:szCs w:val="20"/>
              </w:rPr>
            </w:pPr>
            <w:r w:rsidRPr="004D4290">
              <w:rPr>
                <w:color w:val="000000" w:themeColor="text1"/>
                <w:sz w:val="20"/>
                <w:szCs w:val="20"/>
              </w:rPr>
              <w:t>Understand IL before deploying capital</w:t>
            </w:r>
          </w:p>
        </w:tc>
      </w:tr>
      <w:tr w:rsidR="004D4290" w:rsidRPr="004D4290" w14:paraId="416BDB6E" w14:textId="77777777" w:rsidTr="009D7403">
        <w:trPr>
          <w:trHeight w:val="71"/>
        </w:trPr>
        <w:tc>
          <w:tcPr>
            <w:tcW w:w="1430" w:type="dxa"/>
            <w:tcBorders>
              <w:top w:val="nil"/>
              <w:left w:val="single" w:sz="8" w:space="0" w:color="BFBFBF"/>
              <w:bottom w:val="nil"/>
              <w:right w:val="single" w:sz="4" w:space="0" w:color="BFBFBF"/>
            </w:tcBorders>
            <w:shd w:val="clear" w:color="auto" w:fill="F2F2F2" w:themeFill="background1" w:themeFillShade="F2"/>
            <w:vAlign w:val="center"/>
            <w:hideMark/>
          </w:tcPr>
          <w:p w14:paraId="59236E9E" w14:textId="77777777" w:rsidR="00324654" w:rsidRPr="004D4290" w:rsidRDefault="00324654" w:rsidP="00AE1DED">
            <w:pPr>
              <w:rPr>
                <w:color w:val="000000" w:themeColor="text1"/>
                <w:sz w:val="20"/>
                <w:szCs w:val="20"/>
              </w:rPr>
            </w:pPr>
            <w:r w:rsidRPr="004D4290">
              <w:rPr>
                <w:color w:val="000000" w:themeColor="text1"/>
                <w:sz w:val="20"/>
                <w:szCs w:val="20"/>
              </w:rPr>
              <w:t>Cause 3 (19% of cases)</w:t>
            </w:r>
          </w:p>
        </w:tc>
        <w:tc>
          <w:tcPr>
            <w:tcW w:w="1350" w:type="dxa"/>
            <w:tcBorders>
              <w:top w:val="nil"/>
              <w:left w:val="nil"/>
              <w:bottom w:val="nil"/>
              <w:right w:val="single" w:sz="4" w:space="0" w:color="BFBFBF"/>
            </w:tcBorders>
            <w:vAlign w:val="center"/>
            <w:hideMark/>
          </w:tcPr>
          <w:p w14:paraId="3F577AFD" w14:textId="77777777" w:rsidR="00324654" w:rsidRPr="004D4290" w:rsidRDefault="00324654" w:rsidP="00AE1DED">
            <w:pPr>
              <w:rPr>
                <w:color w:val="000000" w:themeColor="text1"/>
                <w:sz w:val="20"/>
                <w:szCs w:val="20"/>
              </w:rPr>
            </w:pPr>
            <w:r w:rsidRPr="004D4290">
              <w:rPr>
                <w:color w:val="000000" w:themeColor="text1"/>
                <w:sz w:val="20"/>
                <w:szCs w:val="20"/>
              </w:rPr>
              <w:t>Liquidation or forced closure</w:t>
            </w:r>
          </w:p>
        </w:tc>
        <w:tc>
          <w:tcPr>
            <w:tcW w:w="2250" w:type="dxa"/>
            <w:tcBorders>
              <w:top w:val="nil"/>
              <w:left w:val="nil"/>
              <w:bottom w:val="nil"/>
              <w:right w:val="single" w:sz="4" w:space="0" w:color="BFBFBF"/>
            </w:tcBorders>
            <w:vAlign w:val="center"/>
            <w:hideMark/>
          </w:tcPr>
          <w:p w14:paraId="1A1622B7" w14:textId="77777777" w:rsidR="00324654" w:rsidRPr="004D4290" w:rsidRDefault="00324654" w:rsidP="00AE1DED">
            <w:pPr>
              <w:rPr>
                <w:color w:val="000000" w:themeColor="text1"/>
                <w:sz w:val="20"/>
                <w:szCs w:val="20"/>
              </w:rPr>
            </w:pPr>
            <w:r w:rsidRPr="004D4290">
              <w:rPr>
                <w:color w:val="000000" w:themeColor="text1"/>
                <w:sz w:val="20"/>
                <w:szCs w:val="20"/>
              </w:rPr>
              <w:t>• Did position get liquidated?</w:t>
            </w:r>
            <w:r w:rsidRPr="004D4290">
              <w:rPr>
                <w:color w:val="000000" w:themeColor="text1"/>
                <w:sz w:val="20"/>
                <w:szCs w:val="20"/>
              </w:rPr>
              <w:br/>
              <w:t>• Forced closure from protocol?</w:t>
            </w:r>
          </w:p>
        </w:tc>
        <w:tc>
          <w:tcPr>
            <w:tcW w:w="2160" w:type="dxa"/>
            <w:tcBorders>
              <w:top w:val="nil"/>
              <w:left w:val="nil"/>
              <w:bottom w:val="nil"/>
              <w:right w:val="single" w:sz="4" w:space="0" w:color="BFBFBF"/>
            </w:tcBorders>
            <w:vAlign w:val="center"/>
            <w:hideMark/>
          </w:tcPr>
          <w:p w14:paraId="5E3E820C" w14:textId="77777777" w:rsidR="00324654" w:rsidRPr="004D4290" w:rsidRDefault="00324654" w:rsidP="00AE1DED">
            <w:pPr>
              <w:rPr>
                <w:color w:val="000000" w:themeColor="text1"/>
                <w:sz w:val="20"/>
                <w:szCs w:val="20"/>
              </w:rPr>
            </w:pPr>
            <w:r w:rsidRPr="004D4290">
              <w:rPr>
                <w:color w:val="000000" w:themeColor="text1"/>
                <w:sz w:val="20"/>
                <w:szCs w:val="20"/>
              </w:rPr>
              <w:t>Understand liquidation mechanics OR</w:t>
            </w:r>
            <w:r w:rsidRPr="004D4290">
              <w:rPr>
                <w:color w:val="000000" w:themeColor="text1"/>
                <w:sz w:val="20"/>
                <w:szCs w:val="20"/>
              </w:rPr>
              <w:br/>
              <w:t>Avoid leveraged positions</w:t>
            </w:r>
          </w:p>
        </w:tc>
        <w:tc>
          <w:tcPr>
            <w:tcW w:w="2460" w:type="dxa"/>
            <w:gridSpan w:val="2"/>
            <w:tcBorders>
              <w:top w:val="nil"/>
              <w:left w:val="nil"/>
              <w:bottom w:val="nil"/>
              <w:right w:val="single" w:sz="8" w:space="0" w:color="BFBFBF"/>
            </w:tcBorders>
            <w:vAlign w:val="center"/>
            <w:hideMark/>
          </w:tcPr>
          <w:p w14:paraId="1F0FEFB6" w14:textId="77777777" w:rsidR="00324654" w:rsidRPr="004D4290" w:rsidRDefault="00324654" w:rsidP="00AE1DED">
            <w:pPr>
              <w:rPr>
                <w:color w:val="000000" w:themeColor="text1"/>
                <w:sz w:val="20"/>
                <w:szCs w:val="20"/>
              </w:rPr>
            </w:pPr>
            <w:r w:rsidRPr="004D4290">
              <w:rPr>
                <w:color w:val="000000" w:themeColor="text1"/>
                <w:sz w:val="20"/>
                <w:szCs w:val="20"/>
              </w:rPr>
              <w:t>Don't use leverage without full understanding</w:t>
            </w:r>
          </w:p>
        </w:tc>
      </w:tr>
      <w:tr w:rsidR="004D4290" w:rsidRPr="004D4290" w14:paraId="31624E92" w14:textId="77777777" w:rsidTr="00B8554B">
        <w:trPr>
          <w:gridAfter w:val="1"/>
          <w:wAfter w:w="30" w:type="dxa"/>
          <w:trHeight w:val="340"/>
        </w:trPr>
        <w:tc>
          <w:tcPr>
            <w:tcW w:w="9620" w:type="dxa"/>
            <w:gridSpan w:val="5"/>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61CDDB48" w14:textId="77777777" w:rsidR="00324654" w:rsidRPr="004D4290" w:rsidRDefault="00324654" w:rsidP="00AE1DED">
            <w:pPr>
              <w:jc w:val="center"/>
              <w:rPr>
                <w:b/>
                <w:bCs/>
                <w:color w:val="000000" w:themeColor="text1"/>
                <w:sz w:val="20"/>
                <w:szCs w:val="20"/>
              </w:rPr>
            </w:pPr>
            <w:r w:rsidRPr="004D4290">
              <w:rPr>
                <w:b/>
                <w:bCs/>
                <w:color w:val="000000" w:themeColor="text1"/>
                <w:sz w:val="20"/>
                <w:szCs w:val="20"/>
              </w:rPr>
              <w:t>Getting different returns than others report for same strategy</w:t>
            </w:r>
          </w:p>
        </w:tc>
      </w:tr>
      <w:tr w:rsidR="004D4290" w:rsidRPr="004D4290" w14:paraId="68286BFC" w14:textId="77777777" w:rsidTr="009D7403">
        <w:trPr>
          <w:trHeight w:val="61"/>
        </w:trPr>
        <w:tc>
          <w:tcPr>
            <w:tcW w:w="1430" w:type="dxa"/>
            <w:tcBorders>
              <w:top w:val="nil"/>
              <w:left w:val="single" w:sz="8" w:space="0" w:color="BFBFBF"/>
              <w:bottom w:val="single" w:sz="4" w:space="0" w:color="BFBFBF"/>
              <w:right w:val="single" w:sz="4" w:space="0" w:color="BFBFBF"/>
            </w:tcBorders>
            <w:shd w:val="clear" w:color="auto" w:fill="F2F2F2" w:themeFill="background1" w:themeFillShade="F2"/>
            <w:vAlign w:val="center"/>
            <w:hideMark/>
          </w:tcPr>
          <w:p w14:paraId="236D02B8" w14:textId="77777777" w:rsidR="00324654" w:rsidRPr="004D4290" w:rsidRDefault="00324654" w:rsidP="00AE1DED">
            <w:pPr>
              <w:rPr>
                <w:color w:val="000000" w:themeColor="text1"/>
                <w:sz w:val="20"/>
                <w:szCs w:val="20"/>
              </w:rPr>
            </w:pPr>
            <w:r w:rsidRPr="004D4290">
              <w:rPr>
                <w:color w:val="000000" w:themeColor="text1"/>
                <w:sz w:val="20"/>
                <w:szCs w:val="20"/>
              </w:rPr>
              <w:t>Cause 1 (61% of cases)</w:t>
            </w:r>
          </w:p>
        </w:tc>
        <w:tc>
          <w:tcPr>
            <w:tcW w:w="1350" w:type="dxa"/>
            <w:tcBorders>
              <w:top w:val="nil"/>
              <w:left w:val="nil"/>
              <w:bottom w:val="single" w:sz="4" w:space="0" w:color="BFBFBF"/>
              <w:right w:val="single" w:sz="4" w:space="0" w:color="BFBFBF"/>
            </w:tcBorders>
            <w:vAlign w:val="center"/>
            <w:hideMark/>
          </w:tcPr>
          <w:p w14:paraId="280E11DB" w14:textId="77777777" w:rsidR="00324654" w:rsidRPr="004D4290" w:rsidRDefault="00324654" w:rsidP="00AE1DED">
            <w:pPr>
              <w:rPr>
                <w:color w:val="000000" w:themeColor="text1"/>
                <w:sz w:val="20"/>
                <w:szCs w:val="20"/>
              </w:rPr>
            </w:pPr>
            <w:r w:rsidRPr="004D4290">
              <w:rPr>
                <w:color w:val="000000" w:themeColor="text1"/>
                <w:sz w:val="20"/>
                <w:szCs w:val="20"/>
              </w:rPr>
              <w:t>Entering/exiting at different times</w:t>
            </w:r>
          </w:p>
        </w:tc>
        <w:tc>
          <w:tcPr>
            <w:tcW w:w="2250" w:type="dxa"/>
            <w:tcBorders>
              <w:top w:val="nil"/>
              <w:left w:val="nil"/>
              <w:bottom w:val="single" w:sz="4" w:space="0" w:color="BFBFBF"/>
              <w:right w:val="single" w:sz="4" w:space="0" w:color="BFBFBF"/>
            </w:tcBorders>
            <w:vAlign w:val="center"/>
            <w:hideMark/>
          </w:tcPr>
          <w:p w14:paraId="3ECFBD33" w14:textId="77777777" w:rsidR="00324654" w:rsidRPr="004D4290" w:rsidRDefault="00324654" w:rsidP="00AE1DED">
            <w:pPr>
              <w:rPr>
                <w:color w:val="000000" w:themeColor="text1"/>
                <w:sz w:val="20"/>
                <w:szCs w:val="20"/>
              </w:rPr>
            </w:pPr>
            <w:r w:rsidRPr="004D4290">
              <w:rPr>
                <w:color w:val="000000" w:themeColor="text1"/>
                <w:sz w:val="20"/>
                <w:szCs w:val="20"/>
              </w:rPr>
              <w:t>• When did you enter vs others?</w:t>
            </w:r>
            <w:r w:rsidRPr="004D4290">
              <w:rPr>
                <w:color w:val="000000" w:themeColor="text1"/>
                <w:sz w:val="20"/>
                <w:szCs w:val="20"/>
              </w:rPr>
              <w:br/>
              <w:t>• Market timing differences</w:t>
            </w:r>
          </w:p>
        </w:tc>
        <w:tc>
          <w:tcPr>
            <w:tcW w:w="2160" w:type="dxa"/>
            <w:tcBorders>
              <w:top w:val="nil"/>
              <w:left w:val="nil"/>
              <w:bottom w:val="single" w:sz="4" w:space="0" w:color="BFBFBF"/>
              <w:right w:val="single" w:sz="4" w:space="0" w:color="BFBFBF"/>
            </w:tcBorders>
            <w:vAlign w:val="center"/>
            <w:hideMark/>
          </w:tcPr>
          <w:p w14:paraId="429A21AC" w14:textId="77777777" w:rsidR="00324654" w:rsidRPr="004D4290" w:rsidRDefault="00324654" w:rsidP="00AE1DED">
            <w:pPr>
              <w:rPr>
                <w:color w:val="000000" w:themeColor="text1"/>
                <w:sz w:val="20"/>
                <w:szCs w:val="20"/>
              </w:rPr>
            </w:pPr>
            <w:r w:rsidRPr="004D4290">
              <w:rPr>
                <w:color w:val="000000" w:themeColor="text1"/>
                <w:sz w:val="20"/>
                <w:szCs w:val="20"/>
              </w:rPr>
              <w:t>Timing luck matters; not replicable OR</w:t>
            </w:r>
            <w:r w:rsidRPr="004D4290">
              <w:rPr>
                <w:color w:val="000000" w:themeColor="text1"/>
                <w:sz w:val="20"/>
                <w:szCs w:val="20"/>
              </w:rPr>
              <w:br/>
              <w:t>Focus on averages not anecdotes</w:t>
            </w:r>
          </w:p>
        </w:tc>
        <w:tc>
          <w:tcPr>
            <w:tcW w:w="2460" w:type="dxa"/>
            <w:gridSpan w:val="2"/>
            <w:tcBorders>
              <w:top w:val="nil"/>
              <w:left w:val="nil"/>
              <w:bottom w:val="single" w:sz="4" w:space="0" w:color="BFBFBF"/>
              <w:right w:val="single" w:sz="8" w:space="0" w:color="BFBFBF"/>
            </w:tcBorders>
            <w:vAlign w:val="center"/>
            <w:hideMark/>
          </w:tcPr>
          <w:p w14:paraId="2E0A9CA7" w14:textId="77777777" w:rsidR="00324654" w:rsidRPr="004D4290" w:rsidRDefault="00324654" w:rsidP="00AE1DED">
            <w:pPr>
              <w:rPr>
                <w:color w:val="000000" w:themeColor="text1"/>
                <w:sz w:val="20"/>
                <w:szCs w:val="20"/>
              </w:rPr>
            </w:pPr>
            <w:r w:rsidRPr="004D4290">
              <w:rPr>
                <w:color w:val="000000" w:themeColor="text1"/>
                <w:sz w:val="20"/>
                <w:szCs w:val="20"/>
              </w:rPr>
              <w:t>Expect your results to differ from social media</w:t>
            </w:r>
          </w:p>
        </w:tc>
      </w:tr>
      <w:tr w:rsidR="004D4290" w:rsidRPr="004D4290" w14:paraId="29E15800" w14:textId="77777777" w:rsidTr="009D7403">
        <w:trPr>
          <w:trHeight w:val="71"/>
        </w:trPr>
        <w:tc>
          <w:tcPr>
            <w:tcW w:w="1430" w:type="dxa"/>
            <w:tcBorders>
              <w:top w:val="nil"/>
              <w:left w:val="single" w:sz="8" w:space="0" w:color="BFBFBF"/>
              <w:bottom w:val="single" w:sz="4" w:space="0" w:color="BFBFBF"/>
              <w:right w:val="single" w:sz="4" w:space="0" w:color="BFBFBF"/>
            </w:tcBorders>
            <w:shd w:val="clear" w:color="auto" w:fill="F2F2F2" w:themeFill="background1" w:themeFillShade="F2"/>
            <w:vAlign w:val="center"/>
            <w:hideMark/>
          </w:tcPr>
          <w:p w14:paraId="71C3A106" w14:textId="77777777" w:rsidR="00324654" w:rsidRPr="004D4290" w:rsidRDefault="00324654" w:rsidP="00AE1DED">
            <w:pPr>
              <w:rPr>
                <w:color w:val="000000" w:themeColor="text1"/>
                <w:sz w:val="20"/>
                <w:szCs w:val="20"/>
              </w:rPr>
            </w:pPr>
            <w:r w:rsidRPr="004D4290">
              <w:rPr>
                <w:color w:val="000000" w:themeColor="text1"/>
                <w:sz w:val="20"/>
                <w:szCs w:val="20"/>
              </w:rPr>
              <w:t>Cause 2 (24% of cases)</w:t>
            </w:r>
          </w:p>
        </w:tc>
        <w:tc>
          <w:tcPr>
            <w:tcW w:w="1350" w:type="dxa"/>
            <w:tcBorders>
              <w:top w:val="nil"/>
              <w:left w:val="nil"/>
              <w:bottom w:val="single" w:sz="4" w:space="0" w:color="BFBFBF"/>
              <w:right w:val="single" w:sz="4" w:space="0" w:color="BFBFBF"/>
            </w:tcBorders>
            <w:vAlign w:val="center"/>
            <w:hideMark/>
          </w:tcPr>
          <w:p w14:paraId="79055465" w14:textId="77777777" w:rsidR="00324654" w:rsidRPr="004D4290" w:rsidRDefault="00324654" w:rsidP="00AE1DED">
            <w:pPr>
              <w:rPr>
                <w:color w:val="000000" w:themeColor="text1"/>
                <w:sz w:val="20"/>
                <w:szCs w:val="20"/>
              </w:rPr>
            </w:pPr>
            <w:r w:rsidRPr="004D4290">
              <w:rPr>
                <w:color w:val="000000" w:themeColor="text1"/>
                <w:sz w:val="20"/>
                <w:szCs w:val="20"/>
              </w:rPr>
              <w:t>Different cost basis (gas, fees)</w:t>
            </w:r>
          </w:p>
        </w:tc>
        <w:tc>
          <w:tcPr>
            <w:tcW w:w="2250" w:type="dxa"/>
            <w:tcBorders>
              <w:top w:val="nil"/>
              <w:left w:val="nil"/>
              <w:bottom w:val="single" w:sz="4" w:space="0" w:color="BFBFBF"/>
              <w:right w:val="single" w:sz="4" w:space="0" w:color="BFBFBF"/>
            </w:tcBorders>
            <w:vAlign w:val="center"/>
            <w:hideMark/>
          </w:tcPr>
          <w:p w14:paraId="5C839236" w14:textId="77777777" w:rsidR="00324654" w:rsidRPr="004D4290" w:rsidRDefault="00324654" w:rsidP="00AE1DED">
            <w:pPr>
              <w:rPr>
                <w:color w:val="000000" w:themeColor="text1"/>
                <w:sz w:val="20"/>
                <w:szCs w:val="20"/>
              </w:rPr>
            </w:pPr>
            <w:r w:rsidRPr="004D4290">
              <w:rPr>
                <w:color w:val="000000" w:themeColor="text1"/>
                <w:sz w:val="20"/>
                <w:szCs w:val="20"/>
              </w:rPr>
              <w:t>• Are you on same network?</w:t>
            </w:r>
            <w:r w:rsidRPr="004D4290">
              <w:rPr>
                <w:color w:val="000000" w:themeColor="text1"/>
                <w:sz w:val="20"/>
                <w:szCs w:val="20"/>
              </w:rPr>
              <w:br/>
              <w:t>• Same position size?</w:t>
            </w:r>
          </w:p>
        </w:tc>
        <w:tc>
          <w:tcPr>
            <w:tcW w:w="2160" w:type="dxa"/>
            <w:tcBorders>
              <w:top w:val="nil"/>
              <w:left w:val="nil"/>
              <w:bottom w:val="single" w:sz="4" w:space="0" w:color="BFBFBF"/>
              <w:right w:val="single" w:sz="4" w:space="0" w:color="BFBFBF"/>
            </w:tcBorders>
            <w:vAlign w:val="center"/>
            <w:hideMark/>
          </w:tcPr>
          <w:p w14:paraId="3E8D14A2" w14:textId="77777777" w:rsidR="00324654" w:rsidRPr="004D4290" w:rsidRDefault="00324654" w:rsidP="00AE1DED">
            <w:pPr>
              <w:rPr>
                <w:color w:val="000000" w:themeColor="text1"/>
                <w:sz w:val="20"/>
                <w:szCs w:val="20"/>
              </w:rPr>
            </w:pPr>
            <w:r w:rsidRPr="004D4290">
              <w:rPr>
                <w:color w:val="000000" w:themeColor="text1"/>
                <w:sz w:val="20"/>
                <w:szCs w:val="20"/>
              </w:rPr>
              <w:t>Costs scale differently by capital OR</w:t>
            </w:r>
            <w:r w:rsidRPr="004D4290">
              <w:rPr>
                <w:color w:val="000000" w:themeColor="text1"/>
                <w:sz w:val="20"/>
                <w:szCs w:val="20"/>
              </w:rPr>
              <w:br/>
              <w:t>Network choice matters greatly</w:t>
            </w:r>
          </w:p>
        </w:tc>
        <w:tc>
          <w:tcPr>
            <w:tcW w:w="2460" w:type="dxa"/>
            <w:gridSpan w:val="2"/>
            <w:tcBorders>
              <w:top w:val="nil"/>
              <w:left w:val="nil"/>
              <w:bottom w:val="single" w:sz="4" w:space="0" w:color="BFBFBF"/>
              <w:right w:val="single" w:sz="8" w:space="0" w:color="BFBFBF"/>
            </w:tcBorders>
            <w:vAlign w:val="center"/>
            <w:hideMark/>
          </w:tcPr>
          <w:p w14:paraId="455D5DB9" w14:textId="77777777" w:rsidR="00324654" w:rsidRPr="004D4290" w:rsidRDefault="00324654" w:rsidP="00AE1DED">
            <w:pPr>
              <w:rPr>
                <w:color w:val="000000" w:themeColor="text1"/>
                <w:sz w:val="20"/>
                <w:szCs w:val="20"/>
              </w:rPr>
            </w:pPr>
            <w:r w:rsidRPr="004D4290">
              <w:rPr>
                <w:color w:val="000000" w:themeColor="text1"/>
                <w:sz w:val="20"/>
                <w:szCs w:val="20"/>
              </w:rPr>
              <w:t>Compare costs explicitly</w:t>
            </w:r>
          </w:p>
        </w:tc>
      </w:tr>
      <w:tr w:rsidR="004D4290" w:rsidRPr="004D4290" w14:paraId="497D1CF2" w14:textId="77777777" w:rsidTr="009D7403">
        <w:trPr>
          <w:trHeight w:val="71"/>
        </w:trPr>
        <w:tc>
          <w:tcPr>
            <w:tcW w:w="1430" w:type="dxa"/>
            <w:tcBorders>
              <w:top w:val="nil"/>
              <w:left w:val="single" w:sz="8" w:space="0" w:color="BFBFBF"/>
              <w:bottom w:val="nil"/>
              <w:right w:val="single" w:sz="4" w:space="0" w:color="BFBFBF"/>
            </w:tcBorders>
            <w:shd w:val="clear" w:color="auto" w:fill="F2F2F2" w:themeFill="background1" w:themeFillShade="F2"/>
            <w:vAlign w:val="center"/>
            <w:hideMark/>
          </w:tcPr>
          <w:p w14:paraId="44F9D104" w14:textId="77777777" w:rsidR="00324654" w:rsidRPr="004D4290" w:rsidRDefault="00324654" w:rsidP="00AE1DED">
            <w:pPr>
              <w:rPr>
                <w:color w:val="000000" w:themeColor="text1"/>
                <w:sz w:val="20"/>
                <w:szCs w:val="20"/>
              </w:rPr>
            </w:pPr>
            <w:r w:rsidRPr="004D4290">
              <w:rPr>
                <w:color w:val="000000" w:themeColor="text1"/>
                <w:sz w:val="20"/>
                <w:szCs w:val="20"/>
              </w:rPr>
              <w:t>Cause 3 (15% of cases)</w:t>
            </w:r>
          </w:p>
        </w:tc>
        <w:tc>
          <w:tcPr>
            <w:tcW w:w="1350" w:type="dxa"/>
            <w:tcBorders>
              <w:top w:val="nil"/>
              <w:left w:val="nil"/>
              <w:bottom w:val="nil"/>
              <w:right w:val="single" w:sz="4" w:space="0" w:color="BFBFBF"/>
            </w:tcBorders>
            <w:vAlign w:val="center"/>
            <w:hideMark/>
          </w:tcPr>
          <w:p w14:paraId="3ED45833" w14:textId="77777777" w:rsidR="00324654" w:rsidRPr="004D4290" w:rsidRDefault="00324654" w:rsidP="00AE1DED">
            <w:pPr>
              <w:rPr>
                <w:color w:val="000000" w:themeColor="text1"/>
                <w:sz w:val="20"/>
                <w:szCs w:val="20"/>
              </w:rPr>
            </w:pPr>
            <w:r w:rsidRPr="004D4290">
              <w:rPr>
                <w:color w:val="000000" w:themeColor="text1"/>
                <w:sz w:val="20"/>
                <w:szCs w:val="20"/>
              </w:rPr>
              <w:t>Selection bias in reports</w:t>
            </w:r>
          </w:p>
        </w:tc>
        <w:tc>
          <w:tcPr>
            <w:tcW w:w="2250" w:type="dxa"/>
            <w:tcBorders>
              <w:top w:val="nil"/>
              <w:left w:val="nil"/>
              <w:bottom w:val="nil"/>
              <w:right w:val="single" w:sz="4" w:space="0" w:color="BFBFBF"/>
            </w:tcBorders>
            <w:vAlign w:val="center"/>
            <w:hideMark/>
          </w:tcPr>
          <w:p w14:paraId="55FEAF2B" w14:textId="77777777" w:rsidR="00584418" w:rsidRPr="004D4290" w:rsidRDefault="00324654" w:rsidP="00AE1DED">
            <w:pPr>
              <w:rPr>
                <w:color w:val="000000" w:themeColor="text1"/>
                <w:sz w:val="20"/>
                <w:szCs w:val="20"/>
              </w:rPr>
            </w:pPr>
            <w:r w:rsidRPr="004D4290">
              <w:rPr>
                <w:color w:val="000000" w:themeColor="text1"/>
                <w:sz w:val="20"/>
                <w:szCs w:val="20"/>
              </w:rPr>
              <w:t>• Are you hearing from winners only?</w:t>
            </w:r>
          </w:p>
          <w:p w14:paraId="73487CE2" w14:textId="00EE6E00" w:rsidR="00324654" w:rsidRPr="004D4290" w:rsidRDefault="00324654" w:rsidP="00AE1DED">
            <w:pPr>
              <w:rPr>
                <w:color w:val="000000" w:themeColor="text1"/>
                <w:sz w:val="20"/>
                <w:szCs w:val="20"/>
              </w:rPr>
            </w:pPr>
            <w:r w:rsidRPr="004D4290">
              <w:rPr>
                <w:color w:val="000000" w:themeColor="text1"/>
                <w:sz w:val="20"/>
                <w:szCs w:val="20"/>
              </w:rPr>
              <w:t>• Losers don't post</w:t>
            </w:r>
          </w:p>
        </w:tc>
        <w:tc>
          <w:tcPr>
            <w:tcW w:w="2160" w:type="dxa"/>
            <w:tcBorders>
              <w:top w:val="nil"/>
              <w:left w:val="nil"/>
              <w:bottom w:val="nil"/>
              <w:right w:val="single" w:sz="4" w:space="0" w:color="BFBFBF"/>
            </w:tcBorders>
            <w:vAlign w:val="center"/>
            <w:hideMark/>
          </w:tcPr>
          <w:p w14:paraId="3EEBDA92" w14:textId="77777777" w:rsidR="00324654" w:rsidRPr="004D4290" w:rsidRDefault="00324654" w:rsidP="00AE1DED">
            <w:pPr>
              <w:rPr>
                <w:color w:val="000000" w:themeColor="text1"/>
                <w:sz w:val="20"/>
                <w:szCs w:val="20"/>
              </w:rPr>
            </w:pPr>
            <w:r w:rsidRPr="004D4290">
              <w:rPr>
                <w:color w:val="000000" w:themeColor="text1"/>
                <w:sz w:val="20"/>
                <w:szCs w:val="20"/>
              </w:rPr>
              <w:t>Social media shows survivorship bias OR</w:t>
            </w:r>
            <w:r w:rsidRPr="004D4290">
              <w:rPr>
                <w:color w:val="000000" w:themeColor="text1"/>
                <w:sz w:val="20"/>
                <w:szCs w:val="20"/>
              </w:rPr>
              <w:br/>
              <w:t>73% fail; you might be typical</w:t>
            </w:r>
          </w:p>
        </w:tc>
        <w:tc>
          <w:tcPr>
            <w:tcW w:w="2460" w:type="dxa"/>
            <w:gridSpan w:val="2"/>
            <w:tcBorders>
              <w:top w:val="nil"/>
              <w:left w:val="nil"/>
              <w:bottom w:val="nil"/>
              <w:right w:val="single" w:sz="8" w:space="0" w:color="BFBFBF"/>
            </w:tcBorders>
            <w:vAlign w:val="center"/>
            <w:hideMark/>
          </w:tcPr>
          <w:p w14:paraId="792CDF3D" w14:textId="77777777" w:rsidR="00324654" w:rsidRPr="004D4290" w:rsidRDefault="00324654" w:rsidP="00AE1DED">
            <w:pPr>
              <w:rPr>
                <w:color w:val="000000" w:themeColor="text1"/>
                <w:sz w:val="20"/>
                <w:szCs w:val="20"/>
              </w:rPr>
            </w:pPr>
            <w:r w:rsidRPr="004D4290">
              <w:rPr>
                <w:color w:val="000000" w:themeColor="text1"/>
                <w:sz w:val="20"/>
                <w:szCs w:val="20"/>
              </w:rPr>
              <w:t>Set realistic expectations from empirical data</w:t>
            </w:r>
          </w:p>
        </w:tc>
      </w:tr>
      <w:tr w:rsidR="004D4290" w:rsidRPr="004D4290" w14:paraId="3E4F9F17" w14:textId="77777777" w:rsidTr="00B8554B">
        <w:trPr>
          <w:gridAfter w:val="1"/>
          <w:wAfter w:w="30" w:type="dxa"/>
          <w:trHeight w:val="340"/>
        </w:trPr>
        <w:tc>
          <w:tcPr>
            <w:tcW w:w="9620" w:type="dxa"/>
            <w:gridSpan w:val="5"/>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5FCC5E6F" w14:textId="77777777" w:rsidR="00324654" w:rsidRPr="004D4290" w:rsidRDefault="00324654" w:rsidP="00AE1DED">
            <w:pPr>
              <w:jc w:val="center"/>
              <w:rPr>
                <w:b/>
                <w:bCs/>
                <w:color w:val="000000" w:themeColor="text1"/>
                <w:sz w:val="20"/>
                <w:szCs w:val="20"/>
              </w:rPr>
            </w:pPr>
            <w:r w:rsidRPr="004D4290">
              <w:rPr>
                <w:b/>
                <w:bCs/>
                <w:color w:val="000000" w:themeColor="text1"/>
                <w:sz w:val="20"/>
                <w:szCs w:val="20"/>
              </w:rPr>
              <w:t>Feeling overwhelmed by complexity</w:t>
            </w:r>
          </w:p>
        </w:tc>
      </w:tr>
      <w:tr w:rsidR="004D4290" w:rsidRPr="004D4290" w14:paraId="76DB3803" w14:textId="77777777" w:rsidTr="009D7403">
        <w:trPr>
          <w:trHeight w:val="61"/>
        </w:trPr>
        <w:tc>
          <w:tcPr>
            <w:tcW w:w="1430" w:type="dxa"/>
            <w:tcBorders>
              <w:top w:val="nil"/>
              <w:left w:val="single" w:sz="8" w:space="0" w:color="BFBFBF"/>
              <w:bottom w:val="single" w:sz="4" w:space="0" w:color="BFBFBF"/>
              <w:right w:val="single" w:sz="4" w:space="0" w:color="BFBFBF"/>
            </w:tcBorders>
            <w:shd w:val="clear" w:color="auto" w:fill="F2F2F2" w:themeFill="background1" w:themeFillShade="F2"/>
            <w:vAlign w:val="center"/>
            <w:hideMark/>
          </w:tcPr>
          <w:p w14:paraId="0F971C3C" w14:textId="77777777" w:rsidR="00324654" w:rsidRPr="004D4290" w:rsidRDefault="00324654" w:rsidP="00AE1DED">
            <w:pPr>
              <w:rPr>
                <w:color w:val="000000" w:themeColor="text1"/>
                <w:sz w:val="20"/>
                <w:szCs w:val="20"/>
              </w:rPr>
            </w:pPr>
            <w:r w:rsidRPr="004D4290">
              <w:rPr>
                <w:color w:val="000000" w:themeColor="text1"/>
                <w:sz w:val="20"/>
                <w:szCs w:val="20"/>
              </w:rPr>
              <w:t>Root cause (89% of cases)</w:t>
            </w:r>
          </w:p>
        </w:tc>
        <w:tc>
          <w:tcPr>
            <w:tcW w:w="1350" w:type="dxa"/>
            <w:tcBorders>
              <w:top w:val="nil"/>
              <w:left w:val="nil"/>
              <w:bottom w:val="single" w:sz="4" w:space="0" w:color="BFBFBF"/>
              <w:right w:val="single" w:sz="4" w:space="0" w:color="BFBFBF"/>
            </w:tcBorders>
            <w:vAlign w:val="center"/>
            <w:hideMark/>
          </w:tcPr>
          <w:p w14:paraId="3322EC56" w14:textId="77777777" w:rsidR="00324654" w:rsidRPr="004D4290" w:rsidRDefault="00324654" w:rsidP="00AE1DED">
            <w:pPr>
              <w:rPr>
                <w:color w:val="000000" w:themeColor="text1"/>
                <w:sz w:val="20"/>
                <w:szCs w:val="20"/>
              </w:rPr>
            </w:pPr>
            <w:r w:rsidRPr="004D4290">
              <w:rPr>
                <w:color w:val="000000" w:themeColor="text1"/>
                <w:sz w:val="20"/>
                <w:szCs w:val="20"/>
              </w:rPr>
              <w:t>Strategy exceeds competence</w:t>
            </w:r>
          </w:p>
        </w:tc>
        <w:tc>
          <w:tcPr>
            <w:tcW w:w="2250" w:type="dxa"/>
            <w:tcBorders>
              <w:top w:val="nil"/>
              <w:left w:val="nil"/>
              <w:bottom w:val="single" w:sz="4" w:space="0" w:color="BFBFBF"/>
              <w:right w:val="single" w:sz="4" w:space="0" w:color="BFBFBF"/>
            </w:tcBorders>
            <w:vAlign w:val="center"/>
            <w:hideMark/>
          </w:tcPr>
          <w:p w14:paraId="5DD15E1B" w14:textId="77777777" w:rsidR="00324654" w:rsidRPr="004D4290" w:rsidRDefault="00324654" w:rsidP="00AE1DED">
            <w:pPr>
              <w:rPr>
                <w:color w:val="000000" w:themeColor="text1"/>
                <w:sz w:val="20"/>
                <w:szCs w:val="20"/>
              </w:rPr>
            </w:pPr>
            <w:r w:rsidRPr="004D4290">
              <w:rPr>
                <w:color w:val="000000" w:themeColor="text1"/>
                <w:sz w:val="20"/>
                <w:szCs w:val="20"/>
              </w:rPr>
              <w:t>• Honestly: do you understand everything?</w:t>
            </w:r>
            <w:r w:rsidRPr="004D4290">
              <w:rPr>
                <w:color w:val="000000" w:themeColor="text1"/>
                <w:sz w:val="20"/>
                <w:szCs w:val="20"/>
              </w:rPr>
              <w:br/>
              <w:t>• Could you explain it to someone else?</w:t>
            </w:r>
          </w:p>
        </w:tc>
        <w:tc>
          <w:tcPr>
            <w:tcW w:w="2160" w:type="dxa"/>
            <w:tcBorders>
              <w:top w:val="nil"/>
              <w:left w:val="nil"/>
              <w:bottom w:val="single" w:sz="4" w:space="0" w:color="BFBFBF"/>
              <w:right w:val="single" w:sz="4" w:space="0" w:color="BFBFBF"/>
            </w:tcBorders>
            <w:vAlign w:val="center"/>
            <w:hideMark/>
          </w:tcPr>
          <w:p w14:paraId="44141ADC" w14:textId="77777777" w:rsidR="00324654" w:rsidRPr="004D4290" w:rsidRDefault="00324654" w:rsidP="00AE1DED">
            <w:pPr>
              <w:rPr>
                <w:color w:val="000000" w:themeColor="text1"/>
                <w:sz w:val="20"/>
                <w:szCs w:val="20"/>
              </w:rPr>
            </w:pPr>
            <w:r w:rsidRPr="004D4290">
              <w:rPr>
                <w:color w:val="000000" w:themeColor="text1"/>
                <w:sz w:val="20"/>
                <w:szCs w:val="20"/>
              </w:rPr>
              <w:t>Simplify immediately OR</w:t>
            </w:r>
            <w:r w:rsidRPr="004D4290">
              <w:rPr>
                <w:color w:val="000000" w:themeColor="text1"/>
                <w:sz w:val="20"/>
                <w:szCs w:val="20"/>
              </w:rPr>
              <w:br/>
              <w:t>Pause and learn fundamentals</w:t>
            </w:r>
          </w:p>
        </w:tc>
        <w:tc>
          <w:tcPr>
            <w:tcW w:w="2460" w:type="dxa"/>
            <w:gridSpan w:val="2"/>
            <w:tcBorders>
              <w:top w:val="nil"/>
              <w:left w:val="nil"/>
              <w:bottom w:val="single" w:sz="4" w:space="0" w:color="BFBFBF"/>
              <w:right w:val="single" w:sz="8" w:space="0" w:color="BFBFBF"/>
            </w:tcBorders>
            <w:vAlign w:val="center"/>
            <w:hideMark/>
          </w:tcPr>
          <w:p w14:paraId="525736B9" w14:textId="77777777" w:rsidR="00324654" w:rsidRPr="004D4290" w:rsidRDefault="00324654" w:rsidP="00AE1DED">
            <w:pPr>
              <w:rPr>
                <w:color w:val="000000" w:themeColor="text1"/>
                <w:sz w:val="20"/>
                <w:szCs w:val="20"/>
              </w:rPr>
            </w:pPr>
            <w:r w:rsidRPr="004D4290">
              <w:rPr>
                <w:color w:val="000000" w:themeColor="text1"/>
                <w:sz w:val="20"/>
                <w:szCs w:val="20"/>
              </w:rPr>
              <w:t>Start simpler than you think necessary</w:t>
            </w:r>
          </w:p>
        </w:tc>
      </w:tr>
      <w:tr w:rsidR="004D4290" w:rsidRPr="004D4290" w14:paraId="277B3827" w14:textId="77777777" w:rsidTr="009D7403">
        <w:trPr>
          <w:trHeight w:val="458"/>
        </w:trPr>
        <w:tc>
          <w:tcPr>
            <w:tcW w:w="1430" w:type="dxa"/>
            <w:tcBorders>
              <w:top w:val="nil"/>
              <w:left w:val="single" w:sz="8" w:space="0" w:color="BFBFBF"/>
              <w:bottom w:val="nil"/>
              <w:right w:val="single" w:sz="4" w:space="0" w:color="BFBFBF"/>
            </w:tcBorders>
            <w:shd w:val="clear" w:color="auto" w:fill="F2F2F2" w:themeFill="background1" w:themeFillShade="F2"/>
            <w:vAlign w:val="center"/>
            <w:hideMark/>
          </w:tcPr>
          <w:p w14:paraId="5300BF01" w14:textId="77777777" w:rsidR="00324654" w:rsidRPr="004D4290" w:rsidRDefault="00324654" w:rsidP="00AE1DED">
            <w:pPr>
              <w:rPr>
                <w:color w:val="000000" w:themeColor="text1"/>
                <w:sz w:val="20"/>
                <w:szCs w:val="20"/>
              </w:rPr>
            </w:pPr>
            <w:r w:rsidRPr="004D4290">
              <w:rPr>
                <w:color w:val="000000" w:themeColor="text1"/>
                <w:sz w:val="20"/>
                <w:szCs w:val="20"/>
              </w:rPr>
              <w:t>Corrective actions</w:t>
            </w:r>
          </w:p>
        </w:tc>
        <w:tc>
          <w:tcPr>
            <w:tcW w:w="1350" w:type="dxa"/>
            <w:tcBorders>
              <w:top w:val="nil"/>
              <w:left w:val="nil"/>
              <w:bottom w:val="nil"/>
              <w:right w:val="single" w:sz="4" w:space="0" w:color="BFBFBF"/>
            </w:tcBorders>
            <w:vAlign w:val="center"/>
            <w:hideMark/>
          </w:tcPr>
          <w:p w14:paraId="5EAC6333" w14:textId="77777777" w:rsidR="00324654" w:rsidRPr="004D4290" w:rsidRDefault="00324654" w:rsidP="00AE1DED">
            <w:pPr>
              <w:rPr>
                <w:color w:val="000000" w:themeColor="text1"/>
                <w:sz w:val="20"/>
                <w:szCs w:val="20"/>
              </w:rPr>
            </w:pPr>
            <w:r w:rsidRPr="004D4290">
              <w:rPr>
                <w:color w:val="000000" w:themeColor="text1"/>
                <w:sz w:val="20"/>
                <w:szCs w:val="20"/>
              </w:rPr>
              <w:t>• Reduce to single stablecoin position</w:t>
            </w:r>
            <w:r w:rsidRPr="004D4290">
              <w:rPr>
                <w:color w:val="000000" w:themeColor="text1"/>
                <w:sz w:val="20"/>
                <w:szCs w:val="20"/>
              </w:rPr>
              <w:br/>
              <w:t>• Focus on understanding, not optimizing</w:t>
            </w:r>
            <w:r w:rsidRPr="004D4290">
              <w:rPr>
                <w:color w:val="000000" w:themeColor="text1"/>
                <w:sz w:val="20"/>
                <w:szCs w:val="20"/>
              </w:rPr>
              <w:br/>
              <w:t>• Accept lower returns for lower complexity</w:t>
            </w:r>
          </w:p>
        </w:tc>
        <w:tc>
          <w:tcPr>
            <w:tcW w:w="2250" w:type="dxa"/>
            <w:tcBorders>
              <w:top w:val="nil"/>
              <w:left w:val="nil"/>
              <w:bottom w:val="nil"/>
              <w:right w:val="single" w:sz="4" w:space="0" w:color="BFBFBF"/>
            </w:tcBorders>
            <w:vAlign w:val="center"/>
            <w:hideMark/>
          </w:tcPr>
          <w:p w14:paraId="16669391" w14:textId="77777777" w:rsidR="00324654" w:rsidRPr="004D4290" w:rsidRDefault="00324654" w:rsidP="00AE1DED">
            <w:pPr>
              <w:rPr>
                <w:color w:val="000000" w:themeColor="text1"/>
                <w:sz w:val="20"/>
                <w:szCs w:val="20"/>
              </w:rPr>
            </w:pPr>
            <w:r w:rsidRPr="004D4290">
              <w:rPr>
                <w:color w:val="000000" w:themeColor="text1"/>
                <w:sz w:val="20"/>
                <w:szCs w:val="20"/>
              </w:rPr>
              <w:t> </w:t>
            </w:r>
          </w:p>
        </w:tc>
        <w:tc>
          <w:tcPr>
            <w:tcW w:w="2160" w:type="dxa"/>
            <w:tcBorders>
              <w:top w:val="nil"/>
              <w:left w:val="nil"/>
              <w:bottom w:val="nil"/>
              <w:right w:val="single" w:sz="4" w:space="0" w:color="BFBFBF"/>
            </w:tcBorders>
            <w:vAlign w:val="center"/>
            <w:hideMark/>
          </w:tcPr>
          <w:p w14:paraId="7837D4B3" w14:textId="77777777" w:rsidR="00324654" w:rsidRPr="004D4290" w:rsidRDefault="00324654" w:rsidP="00AE1DED">
            <w:pPr>
              <w:rPr>
                <w:color w:val="000000" w:themeColor="text1"/>
                <w:sz w:val="20"/>
                <w:szCs w:val="20"/>
              </w:rPr>
            </w:pPr>
            <w:r w:rsidRPr="004D4290">
              <w:rPr>
                <w:color w:val="000000" w:themeColor="text1"/>
                <w:sz w:val="20"/>
                <w:szCs w:val="20"/>
              </w:rPr>
              <w:t>Learn thoroughly before adding complexity</w:t>
            </w:r>
          </w:p>
        </w:tc>
        <w:tc>
          <w:tcPr>
            <w:tcW w:w="2460" w:type="dxa"/>
            <w:gridSpan w:val="2"/>
            <w:tcBorders>
              <w:top w:val="nil"/>
              <w:left w:val="nil"/>
              <w:bottom w:val="nil"/>
              <w:right w:val="single" w:sz="8" w:space="0" w:color="BFBFBF"/>
            </w:tcBorders>
            <w:vAlign w:val="center"/>
            <w:hideMark/>
          </w:tcPr>
          <w:p w14:paraId="10E7CB9E" w14:textId="77777777" w:rsidR="00324654" w:rsidRPr="004D4290" w:rsidRDefault="00324654" w:rsidP="00AE1DED">
            <w:pPr>
              <w:rPr>
                <w:color w:val="000000" w:themeColor="text1"/>
                <w:sz w:val="20"/>
                <w:szCs w:val="20"/>
              </w:rPr>
            </w:pPr>
            <w:r w:rsidRPr="004D4290">
              <w:rPr>
                <w:color w:val="000000" w:themeColor="text1"/>
                <w:sz w:val="20"/>
                <w:szCs w:val="20"/>
              </w:rPr>
              <w:t> </w:t>
            </w:r>
          </w:p>
        </w:tc>
      </w:tr>
      <w:tr w:rsidR="004D4290" w:rsidRPr="004D4290" w14:paraId="7546F852" w14:textId="77777777" w:rsidTr="00B8554B">
        <w:trPr>
          <w:gridAfter w:val="1"/>
          <w:wAfter w:w="30" w:type="dxa"/>
          <w:trHeight w:val="340"/>
        </w:trPr>
        <w:tc>
          <w:tcPr>
            <w:tcW w:w="9620" w:type="dxa"/>
            <w:gridSpan w:val="5"/>
            <w:tcBorders>
              <w:top w:val="single" w:sz="8" w:space="0" w:color="BFBFBF"/>
              <w:left w:val="single" w:sz="8" w:space="0" w:color="BFBFBF"/>
              <w:bottom w:val="single" w:sz="8" w:space="0" w:color="BFBFBF"/>
              <w:right w:val="single" w:sz="8" w:space="0" w:color="BFBFBF"/>
            </w:tcBorders>
            <w:shd w:val="clear" w:color="auto" w:fill="D9D9D9" w:themeFill="background1" w:themeFillShade="D9"/>
            <w:vAlign w:val="center"/>
            <w:hideMark/>
          </w:tcPr>
          <w:p w14:paraId="3D25FC25" w14:textId="77777777" w:rsidR="00324654" w:rsidRPr="004D4290" w:rsidRDefault="00324654" w:rsidP="00AE1DED">
            <w:pPr>
              <w:jc w:val="center"/>
              <w:rPr>
                <w:b/>
                <w:bCs/>
                <w:color w:val="000000" w:themeColor="text1"/>
                <w:sz w:val="20"/>
                <w:szCs w:val="20"/>
              </w:rPr>
            </w:pPr>
            <w:r w:rsidRPr="004D4290">
              <w:rPr>
                <w:b/>
                <w:bCs/>
                <w:color w:val="000000" w:themeColor="text1"/>
                <w:sz w:val="20"/>
                <w:szCs w:val="20"/>
              </w:rPr>
              <w:t>Considering quitting DeFi entirely</w:t>
            </w:r>
          </w:p>
        </w:tc>
      </w:tr>
      <w:tr w:rsidR="004D4290" w:rsidRPr="004D4290" w14:paraId="2FD1B243" w14:textId="77777777" w:rsidTr="009D7403">
        <w:trPr>
          <w:trHeight w:val="64"/>
        </w:trPr>
        <w:tc>
          <w:tcPr>
            <w:tcW w:w="1430" w:type="dxa"/>
            <w:tcBorders>
              <w:top w:val="nil"/>
              <w:left w:val="single" w:sz="8" w:space="0" w:color="BFBFBF"/>
              <w:bottom w:val="single" w:sz="4" w:space="0" w:color="BFBFBF"/>
              <w:right w:val="single" w:sz="4" w:space="0" w:color="BFBFBF"/>
            </w:tcBorders>
            <w:shd w:val="clear" w:color="auto" w:fill="F2F2F2" w:themeFill="background1" w:themeFillShade="F2"/>
            <w:vAlign w:val="center"/>
            <w:hideMark/>
          </w:tcPr>
          <w:p w14:paraId="3EB15CAC" w14:textId="77777777" w:rsidR="00324654" w:rsidRPr="004D4290" w:rsidRDefault="00324654" w:rsidP="00AE1DED">
            <w:pPr>
              <w:rPr>
                <w:color w:val="000000" w:themeColor="text1"/>
                <w:sz w:val="20"/>
                <w:szCs w:val="20"/>
              </w:rPr>
            </w:pPr>
            <w:r w:rsidRPr="004D4290">
              <w:rPr>
                <w:color w:val="000000" w:themeColor="text1"/>
                <w:sz w:val="20"/>
                <w:szCs w:val="20"/>
              </w:rPr>
              <w:t>Before quitting</w:t>
            </w:r>
          </w:p>
        </w:tc>
        <w:tc>
          <w:tcPr>
            <w:tcW w:w="1350" w:type="dxa"/>
            <w:tcBorders>
              <w:top w:val="nil"/>
              <w:left w:val="nil"/>
              <w:bottom w:val="single" w:sz="4" w:space="0" w:color="BFBFBF"/>
              <w:right w:val="single" w:sz="4" w:space="0" w:color="BFBFBF"/>
            </w:tcBorders>
            <w:vAlign w:val="center"/>
            <w:hideMark/>
          </w:tcPr>
          <w:p w14:paraId="353D0821" w14:textId="77777777" w:rsidR="00324654" w:rsidRPr="004D4290" w:rsidRDefault="00324654" w:rsidP="00AE1DED">
            <w:pPr>
              <w:rPr>
                <w:color w:val="000000" w:themeColor="text1"/>
                <w:sz w:val="20"/>
                <w:szCs w:val="20"/>
              </w:rPr>
            </w:pPr>
            <w:r w:rsidRPr="004D4290">
              <w:rPr>
                <w:color w:val="000000" w:themeColor="text1"/>
                <w:sz w:val="20"/>
                <w:szCs w:val="20"/>
              </w:rPr>
              <w:t>• Have you tried simplest possible strategy?</w:t>
            </w:r>
            <w:r w:rsidRPr="004D4290">
              <w:rPr>
                <w:color w:val="000000" w:themeColor="text1"/>
                <w:sz w:val="20"/>
                <w:szCs w:val="20"/>
              </w:rPr>
              <w:br/>
              <w:t>• Are losses catastrophic or just underperforming?</w:t>
            </w:r>
            <w:r w:rsidRPr="004D4290">
              <w:rPr>
                <w:color w:val="000000" w:themeColor="text1"/>
                <w:sz w:val="20"/>
                <w:szCs w:val="20"/>
              </w:rPr>
              <w:br/>
              <w:t>• Is problem technical or emotional?</w:t>
            </w:r>
          </w:p>
        </w:tc>
        <w:tc>
          <w:tcPr>
            <w:tcW w:w="2250" w:type="dxa"/>
            <w:tcBorders>
              <w:top w:val="nil"/>
              <w:left w:val="nil"/>
              <w:bottom w:val="single" w:sz="4" w:space="0" w:color="BFBFBF"/>
              <w:right w:val="single" w:sz="4" w:space="0" w:color="BFBFBF"/>
            </w:tcBorders>
            <w:vAlign w:val="center"/>
            <w:hideMark/>
          </w:tcPr>
          <w:p w14:paraId="016DA512" w14:textId="77777777" w:rsidR="00324654" w:rsidRPr="004D4290" w:rsidRDefault="00324654" w:rsidP="00AE1DED">
            <w:pPr>
              <w:rPr>
                <w:color w:val="000000" w:themeColor="text1"/>
                <w:sz w:val="20"/>
                <w:szCs w:val="20"/>
              </w:rPr>
            </w:pPr>
            <w:r w:rsidRPr="004D4290">
              <w:rPr>
                <w:color w:val="000000" w:themeColor="text1"/>
                <w:sz w:val="20"/>
                <w:szCs w:val="20"/>
              </w:rPr>
              <w:t>If losses &lt;20%, simplify and continue OR</w:t>
            </w:r>
            <w:r w:rsidRPr="004D4290">
              <w:rPr>
                <w:color w:val="000000" w:themeColor="text1"/>
                <w:sz w:val="20"/>
                <w:szCs w:val="20"/>
              </w:rPr>
              <w:br/>
              <w:t>If losses &gt;50%, pause and reassess OR</w:t>
            </w:r>
            <w:r w:rsidRPr="004D4290">
              <w:rPr>
                <w:color w:val="000000" w:themeColor="text1"/>
                <w:sz w:val="20"/>
                <w:szCs w:val="20"/>
              </w:rPr>
              <w:br/>
              <w:t>If emotional, take break</w:t>
            </w:r>
          </w:p>
        </w:tc>
        <w:tc>
          <w:tcPr>
            <w:tcW w:w="2160" w:type="dxa"/>
            <w:tcBorders>
              <w:top w:val="nil"/>
              <w:left w:val="nil"/>
              <w:bottom w:val="single" w:sz="4" w:space="0" w:color="BFBFBF"/>
              <w:right w:val="single" w:sz="4" w:space="0" w:color="BFBFBF"/>
            </w:tcBorders>
            <w:vAlign w:val="center"/>
            <w:hideMark/>
          </w:tcPr>
          <w:p w14:paraId="6662572A" w14:textId="77777777" w:rsidR="00324654" w:rsidRPr="004D4290" w:rsidRDefault="00324654" w:rsidP="00AE1DED">
            <w:pPr>
              <w:rPr>
                <w:color w:val="000000" w:themeColor="text1"/>
                <w:sz w:val="20"/>
                <w:szCs w:val="20"/>
              </w:rPr>
            </w:pPr>
            <w:r w:rsidRPr="004D4290">
              <w:rPr>
                <w:color w:val="000000" w:themeColor="text1"/>
                <w:sz w:val="20"/>
                <w:szCs w:val="20"/>
              </w:rPr>
              <w:t>Distinguish between strategy failure and implementation failure</w:t>
            </w:r>
          </w:p>
        </w:tc>
        <w:tc>
          <w:tcPr>
            <w:tcW w:w="2460" w:type="dxa"/>
            <w:gridSpan w:val="2"/>
            <w:tcBorders>
              <w:top w:val="nil"/>
              <w:left w:val="nil"/>
              <w:bottom w:val="single" w:sz="4" w:space="0" w:color="BFBFBF"/>
              <w:right w:val="single" w:sz="8" w:space="0" w:color="BFBFBF"/>
            </w:tcBorders>
            <w:vAlign w:val="center"/>
            <w:hideMark/>
          </w:tcPr>
          <w:p w14:paraId="65B6C5DE" w14:textId="77777777" w:rsidR="00324654" w:rsidRPr="004D4290" w:rsidRDefault="00324654" w:rsidP="00AE1DED">
            <w:pPr>
              <w:rPr>
                <w:color w:val="000000" w:themeColor="text1"/>
                <w:sz w:val="20"/>
                <w:szCs w:val="20"/>
              </w:rPr>
            </w:pPr>
            <w:r w:rsidRPr="004D4290">
              <w:rPr>
                <w:color w:val="000000" w:themeColor="text1"/>
                <w:sz w:val="20"/>
                <w:szCs w:val="20"/>
              </w:rPr>
              <w:t> </w:t>
            </w:r>
          </w:p>
        </w:tc>
      </w:tr>
      <w:tr w:rsidR="004D4290" w:rsidRPr="004D4290" w14:paraId="3619EB0F" w14:textId="77777777" w:rsidTr="009D7403">
        <w:trPr>
          <w:trHeight w:val="1322"/>
        </w:trPr>
        <w:tc>
          <w:tcPr>
            <w:tcW w:w="1430" w:type="dxa"/>
            <w:tcBorders>
              <w:top w:val="nil"/>
              <w:left w:val="single" w:sz="8" w:space="0" w:color="BFBFBF"/>
              <w:bottom w:val="single" w:sz="4" w:space="0" w:color="BFBFBF"/>
              <w:right w:val="single" w:sz="4" w:space="0" w:color="BFBFBF"/>
            </w:tcBorders>
            <w:shd w:val="clear" w:color="auto" w:fill="F2F2F2" w:themeFill="background1" w:themeFillShade="F2"/>
            <w:vAlign w:val="center"/>
            <w:hideMark/>
          </w:tcPr>
          <w:p w14:paraId="1AB07B4D" w14:textId="77777777" w:rsidR="00324654" w:rsidRPr="004D4290" w:rsidRDefault="00324654" w:rsidP="00AE1DED">
            <w:pPr>
              <w:rPr>
                <w:color w:val="000000" w:themeColor="text1"/>
                <w:sz w:val="20"/>
                <w:szCs w:val="20"/>
              </w:rPr>
            </w:pPr>
            <w:r w:rsidRPr="004D4290">
              <w:rPr>
                <w:color w:val="000000" w:themeColor="text1"/>
                <w:sz w:val="20"/>
                <w:szCs w:val="20"/>
              </w:rPr>
              <w:lastRenderedPageBreak/>
              <w:t>Valid reasons to quit</w:t>
            </w:r>
          </w:p>
        </w:tc>
        <w:tc>
          <w:tcPr>
            <w:tcW w:w="1350" w:type="dxa"/>
            <w:tcBorders>
              <w:top w:val="nil"/>
              <w:left w:val="nil"/>
              <w:bottom w:val="single" w:sz="4" w:space="0" w:color="BFBFBF"/>
              <w:right w:val="single" w:sz="4" w:space="0" w:color="BFBFBF"/>
            </w:tcBorders>
            <w:vAlign w:val="center"/>
            <w:hideMark/>
          </w:tcPr>
          <w:p w14:paraId="7F76ECF8" w14:textId="77777777" w:rsidR="00324654" w:rsidRPr="004D4290" w:rsidRDefault="00324654" w:rsidP="00AE1DED">
            <w:pPr>
              <w:rPr>
                <w:color w:val="000000" w:themeColor="text1"/>
                <w:sz w:val="20"/>
                <w:szCs w:val="20"/>
              </w:rPr>
            </w:pPr>
            <w:r w:rsidRPr="004D4290">
              <w:rPr>
                <w:color w:val="000000" w:themeColor="text1"/>
                <w:sz w:val="20"/>
                <w:szCs w:val="20"/>
              </w:rPr>
              <w:t>• Time requirements incompatible with life</w:t>
            </w:r>
            <w:r w:rsidRPr="004D4290">
              <w:rPr>
                <w:color w:val="000000" w:themeColor="text1"/>
                <w:sz w:val="20"/>
                <w:szCs w:val="20"/>
              </w:rPr>
              <w:br/>
              <w:t>• Risk tolerance genuinely incompatible</w:t>
            </w:r>
            <w:r w:rsidRPr="004D4290">
              <w:rPr>
                <w:color w:val="000000" w:themeColor="text1"/>
                <w:sz w:val="20"/>
                <w:szCs w:val="20"/>
              </w:rPr>
              <w:br/>
              <w:t>• Capital below minimum viability</w:t>
            </w:r>
          </w:p>
        </w:tc>
        <w:tc>
          <w:tcPr>
            <w:tcW w:w="2250" w:type="dxa"/>
            <w:tcBorders>
              <w:top w:val="nil"/>
              <w:left w:val="nil"/>
              <w:bottom w:val="single" w:sz="4" w:space="0" w:color="BFBFBF"/>
              <w:right w:val="single" w:sz="4" w:space="0" w:color="BFBFBF"/>
            </w:tcBorders>
            <w:vAlign w:val="center"/>
            <w:hideMark/>
          </w:tcPr>
          <w:p w14:paraId="6ED42AD1" w14:textId="77777777" w:rsidR="00584418" w:rsidRPr="004D4290" w:rsidRDefault="00324654" w:rsidP="00AE1DED">
            <w:pPr>
              <w:rPr>
                <w:color w:val="000000" w:themeColor="text1"/>
                <w:sz w:val="20"/>
                <w:szCs w:val="20"/>
              </w:rPr>
            </w:pPr>
            <w:r w:rsidRPr="004D4290">
              <w:rPr>
                <w:color w:val="000000" w:themeColor="text1"/>
                <w:sz w:val="20"/>
                <w:szCs w:val="20"/>
              </w:rPr>
              <w:t>Exit is often the correct decision OR</w:t>
            </w:r>
          </w:p>
          <w:p w14:paraId="106DE88C" w14:textId="2692F52B" w:rsidR="00324654" w:rsidRPr="004D4290" w:rsidRDefault="00324654" w:rsidP="00AE1DED">
            <w:pPr>
              <w:rPr>
                <w:color w:val="000000" w:themeColor="text1"/>
                <w:sz w:val="20"/>
                <w:szCs w:val="20"/>
              </w:rPr>
            </w:pPr>
            <w:r w:rsidRPr="004D4290">
              <w:rPr>
                <w:color w:val="000000" w:themeColor="text1"/>
                <w:sz w:val="20"/>
                <w:szCs w:val="20"/>
              </w:rPr>
              <w:t>No shame in recognizing misalignment</w:t>
            </w:r>
          </w:p>
        </w:tc>
        <w:tc>
          <w:tcPr>
            <w:tcW w:w="2160" w:type="dxa"/>
            <w:tcBorders>
              <w:top w:val="nil"/>
              <w:left w:val="nil"/>
              <w:bottom w:val="single" w:sz="4" w:space="0" w:color="BFBFBF"/>
              <w:right w:val="single" w:sz="4" w:space="0" w:color="BFBFBF"/>
            </w:tcBorders>
            <w:vAlign w:val="center"/>
            <w:hideMark/>
          </w:tcPr>
          <w:p w14:paraId="637EFF79" w14:textId="77777777" w:rsidR="00324654" w:rsidRPr="004D4290" w:rsidRDefault="00324654" w:rsidP="00AE1DED">
            <w:pPr>
              <w:rPr>
                <w:color w:val="000000" w:themeColor="text1"/>
                <w:sz w:val="20"/>
                <w:szCs w:val="20"/>
              </w:rPr>
            </w:pPr>
            <w:r w:rsidRPr="004D4290">
              <w:rPr>
                <w:color w:val="000000" w:themeColor="text1"/>
                <w:sz w:val="20"/>
                <w:szCs w:val="20"/>
              </w:rPr>
              <w:t>Not everyone should participate</w:t>
            </w:r>
          </w:p>
        </w:tc>
        <w:tc>
          <w:tcPr>
            <w:tcW w:w="2460" w:type="dxa"/>
            <w:gridSpan w:val="2"/>
            <w:tcBorders>
              <w:top w:val="nil"/>
              <w:left w:val="nil"/>
              <w:bottom w:val="single" w:sz="4" w:space="0" w:color="BFBFBF"/>
              <w:right w:val="single" w:sz="8" w:space="0" w:color="BFBFBF"/>
            </w:tcBorders>
            <w:vAlign w:val="center"/>
            <w:hideMark/>
          </w:tcPr>
          <w:p w14:paraId="1A1BC324" w14:textId="77777777" w:rsidR="00324654" w:rsidRPr="004D4290" w:rsidRDefault="00324654" w:rsidP="00AE1DED">
            <w:pPr>
              <w:rPr>
                <w:color w:val="000000" w:themeColor="text1"/>
                <w:sz w:val="20"/>
                <w:szCs w:val="20"/>
              </w:rPr>
            </w:pPr>
            <w:r w:rsidRPr="004D4290">
              <w:rPr>
                <w:color w:val="000000" w:themeColor="text1"/>
                <w:sz w:val="20"/>
                <w:szCs w:val="20"/>
              </w:rPr>
              <w:t> </w:t>
            </w:r>
          </w:p>
        </w:tc>
      </w:tr>
      <w:tr w:rsidR="004D4290" w:rsidRPr="004D4290" w14:paraId="4AEAA3B7" w14:textId="77777777" w:rsidTr="009D7403">
        <w:trPr>
          <w:trHeight w:val="980"/>
        </w:trPr>
        <w:tc>
          <w:tcPr>
            <w:tcW w:w="1430" w:type="dxa"/>
            <w:tcBorders>
              <w:top w:val="nil"/>
              <w:left w:val="single" w:sz="8" w:space="0" w:color="BFBFBF"/>
              <w:bottom w:val="single" w:sz="8" w:space="0" w:color="BFBFBF"/>
              <w:right w:val="single" w:sz="4" w:space="0" w:color="BFBFBF"/>
            </w:tcBorders>
            <w:shd w:val="clear" w:color="auto" w:fill="F2F2F2" w:themeFill="background1" w:themeFillShade="F2"/>
            <w:vAlign w:val="center"/>
            <w:hideMark/>
          </w:tcPr>
          <w:p w14:paraId="1B5B7405" w14:textId="77777777" w:rsidR="00324654" w:rsidRPr="004D4290" w:rsidRDefault="00324654" w:rsidP="00AE1DED">
            <w:pPr>
              <w:rPr>
                <w:color w:val="000000" w:themeColor="text1"/>
                <w:sz w:val="20"/>
                <w:szCs w:val="20"/>
              </w:rPr>
            </w:pPr>
            <w:r w:rsidRPr="004D4290">
              <w:rPr>
                <w:color w:val="000000" w:themeColor="text1"/>
                <w:sz w:val="20"/>
                <w:szCs w:val="20"/>
              </w:rPr>
              <w:t>Invalid reasons to quit</w:t>
            </w:r>
          </w:p>
        </w:tc>
        <w:tc>
          <w:tcPr>
            <w:tcW w:w="1350" w:type="dxa"/>
            <w:tcBorders>
              <w:top w:val="nil"/>
              <w:left w:val="nil"/>
              <w:bottom w:val="single" w:sz="8" w:space="0" w:color="BFBFBF"/>
              <w:right w:val="single" w:sz="4" w:space="0" w:color="BFBFBF"/>
            </w:tcBorders>
            <w:vAlign w:val="center"/>
            <w:hideMark/>
          </w:tcPr>
          <w:p w14:paraId="1E7EA7EE" w14:textId="77777777" w:rsidR="00324654" w:rsidRPr="004D4290" w:rsidRDefault="00324654" w:rsidP="00AE1DED">
            <w:pPr>
              <w:rPr>
                <w:color w:val="000000" w:themeColor="text1"/>
                <w:sz w:val="20"/>
                <w:szCs w:val="20"/>
              </w:rPr>
            </w:pPr>
            <w:r w:rsidRPr="004D4290">
              <w:rPr>
                <w:color w:val="000000" w:themeColor="text1"/>
                <w:sz w:val="20"/>
                <w:szCs w:val="20"/>
              </w:rPr>
              <w:t>• One bad month after years of success</w:t>
            </w:r>
            <w:r w:rsidRPr="004D4290">
              <w:rPr>
                <w:color w:val="000000" w:themeColor="text1"/>
                <w:sz w:val="20"/>
                <w:szCs w:val="20"/>
              </w:rPr>
              <w:br/>
              <w:t>• Temporary market downturn</w:t>
            </w:r>
            <w:r w:rsidRPr="004D4290">
              <w:rPr>
                <w:color w:val="000000" w:themeColor="text1"/>
                <w:sz w:val="20"/>
                <w:szCs w:val="20"/>
              </w:rPr>
              <w:br/>
              <w:t>• Influenced by social media</w:t>
            </w:r>
          </w:p>
        </w:tc>
        <w:tc>
          <w:tcPr>
            <w:tcW w:w="2250" w:type="dxa"/>
            <w:tcBorders>
              <w:top w:val="nil"/>
              <w:left w:val="nil"/>
              <w:bottom w:val="single" w:sz="8" w:space="0" w:color="BFBFBF"/>
              <w:right w:val="single" w:sz="4" w:space="0" w:color="BFBFBF"/>
            </w:tcBorders>
            <w:vAlign w:val="center"/>
            <w:hideMark/>
          </w:tcPr>
          <w:p w14:paraId="0781FAB1" w14:textId="77777777" w:rsidR="00584418" w:rsidRPr="004D4290" w:rsidRDefault="00324654" w:rsidP="00AE1DED">
            <w:pPr>
              <w:rPr>
                <w:color w:val="000000" w:themeColor="text1"/>
                <w:sz w:val="20"/>
                <w:szCs w:val="20"/>
              </w:rPr>
            </w:pPr>
            <w:r w:rsidRPr="004D4290">
              <w:rPr>
                <w:color w:val="000000" w:themeColor="text1"/>
                <w:sz w:val="20"/>
                <w:szCs w:val="20"/>
              </w:rPr>
              <w:t>Temporary problems, not fundamental issues OR</w:t>
            </w:r>
          </w:p>
          <w:p w14:paraId="7BFD0D34" w14:textId="5C7B769B" w:rsidR="00324654" w:rsidRPr="004D4290" w:rsidRDefault="00324654" w:rsidP="00AE1DED">
            <w:pPr>
              <w:rPr>
                <w:color w:val="000000" w:themeColor="text1"/>
                <w:sz w:val="20"/>
                <w:szCs w:val="20"/>
              </w:rPr>
            </w:pPr>
            <w:r w:rsidRPr="004D4290">
              <w:rPr>
                <w:color w:val="000000" w:themeColor="text1"/>
                <w:sz w:val="20"/>
                <w:szCs w:val="20"/>
              </w:rPr>
              <w:t>Don't make permanent decisions on temporary emotions</w:t>
            </w:r>
          </w:p>
        </w:tc>
        <w:tc>
          <w:tcPr>
            <w:tcW w:w="2160" w:type="dxa"/>
            <w:tcBorders>
              <w:top w:val="nil"/>
              <w:left w:val="nil"/>
              <w:bottom w:val="single" w:sz="8" w:space="0" w:color="BFBFBF"/>
              <w:right w:val="single" w:sz="4" w:space="0" w:color="BFBFBF"/>
            </w:tcBorders>
            <w:vAlign w:val="center"/>
            <w:hideMark/>
          </w:tcPr>
          <w:p w14:paraId="35F0897D" w14:textId="77777777" w:rsidR="00324654" w:rsidRPr="004D4290" w:rsidRDefault="00324654" w:rsidP="00AE1DED">
            <w:pPr>
              <w:rPr>
                <w:color w:val="000000" w:themeColor="text1"/>
                <w:sz w:val="20"/>
                <w:szCs w:val="20"/>
              </w:rPr>
            </w:pPr>
            <w:r w:rsidRPr="004D4290">
              <w:rPr>
                <w:color w:val="000000" w:themeColor="text1"/>
                <w:sz w:val="20"/>
                <w:szCs w:val="20"/>
              </w:rPr>
              <w:t>Distinguish noise from signal</w:t>
            </w:r>
          </w:p>
        </w:tc>
        <w:tc>
          <w:tcPr>
            <w:tcW w:w="2460" w:type="dxa"/>
            <w:gridSpan w:val="2"/>
            <w:tcBorders>
              <w:top w:val="nil"/>
              <w:left w:val="nil"/>
              <w:bottom w:val="single" w:sz="8" w:space="0" w:color="BFBFBF"/>
              <w:right w:val="single" w:sz="8" w:space="0" w:color="BFBFBF"/>
            </w:tcBorders>
            <w:vAlign w:val="center"/>
            <w:hideMark/>
          </w:tcPr>
          <w:p w14:paraId="67D75527" w14:textId="77777777" w:rsidR="00324654" w:rsidRPr="004D4290" w:rsidRDefault="00324654" w:rsidP="00AE1DED">
            <w:pPr>
              <w:rPr>
                <w:color w:val="000000" w:themeColor="text1"/>
                <w:sz w:val="20"/>
                <w:szCs w:val="20"/>
              </w:rPr>
            </w:pPr>
            <w:r w:rsidRPr="004D4290">
              <w:rPr>
                <w:color w:val="000000" w:themeColor="text1"/>
                <w:sz w:val="20"/>
                <w:szCs w:val="20"/>
              </w:rPr>
              <w:t> </w:t>
            </w:r>
          </w:p>
        </w:tc>
      </w:tr>
    </w:tbl>
    <w:p w14:paraId="0B4E7AE1" w14:textId="533725CB" w:rsidR="0055692B" w:rsidRPr="008D2A10" w:rsidRDefault="0055692B" w:rsidP="00AE1DED">
      <w:pPr>
        <w:rPr>
          <w:i/>
          <w:iCs/>
          <w:color w:val="000000" w:themeColor="text1"/>
          <w:sz w:val="20"/>
          <w:szCs w:val="20"/>
        </w:rPr>
      </w:pPr>
      <w:r w:rsidRPr="008D2A10">
        <w:rPr>
          <w:i/>
          <w:iCs/>
          <w:color w:val="000000" w:themeColor="text1"/>
          <w:sz w:val="20"/>
          <w:szCs w:val="20"/>
        </w:rPr>
        <w:t>Notes:</w:t>
      </w:r>
    </w:p>
    <w:p w14:paraId="5CCCBDD0" w14:textId="77777777" w:rsidR="0055692B" w:rsidRPr="008D2A10" w:rsidRDefault="0055692B" w:rsidP="00AE1DED">
      <w:pPr>
        <w:numPr>
          <w:ilvl w:val="0"/>
          <w:numId w:val="158"/>
        </w:numPr>
        <w:rPr>
          <w:color w:val="000000" w:themeColor="text1"/>
          <w:sz w:val="20"/>
          <w:szCs w:val="20"/>
        </w:rPr>
      </w:pPr>
      <w:r w:rsidRPr="008D2A10">
        <w:rPr>
          <w:color w:val="000000" w:themeColor="text1"/>
          <w:sz w:val="20"/>
          <w:szCs w:val="20"/>
        </w:rPr>
        <w:t>Work through symptoms in order listed (most common to least common)</w:t>
      </w:r>
    </w:p>
    <w:p w14:paraId="359AB79E" w14:textId="77777777" w:rsidR="0055692B" w:rsidRPr="008D2A10" w:rsidRDefault="0055692B" w:rsidP="00AE1DED">
      <w:pPr>
        <w:numPr>
          <w:ilvl w:val="0"/>
          <w:numId w:val="158"/>
        </w:numPr>
        <w:rPr>
          <w:color w:val="000000" w:themeColor="text1"/>
          <w:sz w:val="20"/>
          <w:szCs w:val="20"/>
        </w:rPr>
      </w:pPr>
      <w:proofErr w:type="gramStart"/>
      <w:r w:rsidRPr="008D2A10">
        <w:rPr>
          <w:color w:val="000000" w:themeColor="text1"/>
          <w:sz w:val="20"/>
          <w:szCs w:val="20"/>
        </w:rPr>
        <w:t>Be</w:t>
      </w:r>
      <w:proofErr w:type="gramEnd"/>
      <w:r w:rsidRPr="008D2A10">
        <w:rPr>
          <w:color w:val="000000" w:themeColor="text1"/>
          <w:sz w:val="20"/>
          <w:szCs w:val="20"/>
        </w:rPr>
        <w:t xml:space="preserve"> honest in </w:t>
      </w:r>
      <w:proofErr w:type="gramStart"/>
      <w:r w:rsidRPr="008D2A10">
        <w:rPr>
          <w:color w:val="000000" w:themeColor="text1"/>
          <w:sz w:val="20"/>
          <w:szCs w:val="20"/>
        </w:rPr>
        <w:t>diagnostic questions—</w:t>
      </w:r>
      <w:proofErr w:type="gramEnd"/>
      <w:r w:rsidRPr="008D2A10">
        <w:rPr>
          <w:color w:val="000000" w:themeColor="text1"/>
          <w:sz w:val="20"/>
          <w:szCs w:val="20"/>
        </w:rPr>
        <w:t>self-deception causes repeated failures</w:t>
      </w:r>
    </w:p>
    <w:p w14:paraId="0B830730" w14:textId="77777777" w:rsidR="0055692B" w:rsidRPr="008D2A10" w:rsidRDefault="0055692B" w:rsidP="00AE1DED">
      <w:pPr>
        <w:numPr>
          <w:ilvl w:val="0"/>
          <w:numId w:val="158"/>
        </w:numPr>
        <w:rPr>
          <w:color w:val="000000" w:themeColor="text1"/>
          <w:sz w:val="20"/>
          <w:szCs w:val="20"/>
        </w:rPr>
      </w:pPr>
      <w:r w:rsidRPr="008D2A10">
        <w:rPr>
          <w:color w:val="000000" w:themeColor="text1"/>
          <w:sz w:val="20"/>
          <w:szCs w:val="20"/>
        </w:rPr>
        <w:t xml:space="preserve">Implement corrective actions fully, not </w:t>
      </w:r>
      <w:proofErr w:type="gramStart"/>
      <w:r w:rsidRPr="008D2A10">
        <w:rPr>
          <w:color w:val="000000" w:themeColor="text1"/>
          <w:sz w:val="20"/>
          <w:szCs w:val="20"/>
        </w:rPr>
        <w:t>halfway</w:t>
      </w:r>
      <w:proofErr w:type="gramEnd"/>
      <w:r w:rsidRPr="008D2A10">
        <w:rPr>
          <w:color w:val="000000" w:themeColor="text1"/>
          <w:sz w:val="20"/>
          <w:szCs w:val="20"/>
        </w:rPr>
        <w:t xml:space="preserve"> measures</w:t>
      </w:r>
    </w:p>
    <w:p w14:paraId="3CB7674C" w14:textId="77777777" w:rsidR="0055692B" w:rsidRPr="008D2A10" w:rsidRDefault="0055692B" w:rsidP="00AE1DED">
      <w:pPr>
        <w:numPr>
          <w:ilvl w:val="0"/>
          <w:numId w:val="158"/>
        </w:numPr>
        <w:rPr>
          <w:color w:val="000000" w:themeColor="text1"/>
          <w:sz w:val="20"/>
          <w:szCs w:val="20"/>
        </w:rPr>
      </w:pPr>
      <w:r w:rsidRPr="008D2A10">
        <w:rPr>
          <w:color w:val="000000" w:themeColor="text1"/>
          <w:sz w:val="20"/>
          <w:szCs w:val="20"/>
        </w:rPr>
        <w:t>If same symptom recurs after correction, root cause may be different</w:t>
      </w:r>
    </w:p>
    <w:p w14:paraId="0F09F55E" w14:textId="77777777" w:rsidR="00627B91" w:rsidRPr="00AB0638" w:rsidRDefault="00627B91" w:rsidP="00AE1DED">
      <w:pPr>
        <w:jc w:val="both"/>
        <w:rPr>
          <w:rFonts w:eastAsiaTheme="majorEastAsia"/>
          <w:bCs/>
          <w:color w:val="0070C0"/>
        </w:rPr>
      </w:pPr>
    </w:p>
    <w:p w14:paraId="4B3451BA" w14:textId="77777777" w:rsidR="000145D1" w:rsidRPr="003C66A0" w:rsidRDefault="000145D1" w:rsidP="00AE1DED">
      <w:pPr>
        <w:jc w:val="both"/>
        <w:rPr>
          <w:rFonts w:eastAsiaTheme="majorEastAsia"/>
          <w:b/>
          <w:bCs/>
          <w:color w:val="000000" w:themeColor="text1"/>
        </w:rPr>
      </w:pPr>
      <w:r w:rsidRPr="003C66A0">
        <w:rPr>
          <w:rFonts w:eastAsiaTheme="majorEastAsia"/>
          <w:b/>
          <w:bCs/>
          <w:color w:val="000000" w:themeColor="text1"/>
        </w:rPr>
        <w:br w:type="page"/>
      </w:r>
    </w:p>
    <w:p w14:paraId="452E86DE" w14:textId="379AB9CD" w:rsidR="007E63AF" w:rsidRPr="003C66A0" w:rsidRDefault="0076579E" w:rsidP="00AE1DED">
      <w:pPr>
        <w:pStyle w:val="Heading1"/>
        <w:jc w:val="center"/>
        <w:rPr>
          <w:rFonts w:eastAsiaTheme="majorEastAsia"/>
        </w:rPr>
      </w:pPr>
      <w:bookmarkStart w:id="232" w:name="_Toc214722038"/>
      <w:proofErr w:type="gramStart"/>
      <w:r w:rsidRPr="003C66A0">
        <w:rPr>
          <w:rFonts w:eastAsiaTheme="majorEastAsia"/>
        </w:rPr>
        <w:lastRenderedPageBreak/>
        <w:t>CHAPTER</w:t>
      </w:r>
      <w:proofErr w:type="gramEnd"/>
      <w:r w:rsidRPr="003C66A0">
        <w:rPr>
          <w:rFonts w:eastAsiaTheme="majorEastAsia"/>
        </w:rPr>
        <w:t xml:space="preserve"> 1</w:t>
      </w:r>
      <w:r w:rsidR="008D6F57" w:rsidRPr="003C66A0">
        <w:rPr>
          <w:rFonts w:eastAsiaTheme="majorEastAsia"/>
        </w:rPr>
        <w:t>1</w:t>
      </w:r>
      <w:r w:rsidRPr="003C66A0">
        <w:rPr>
          <w:rFonts w:eastAsiaTheme="majorEastAsia"/>
        </w:rPr>
        <w:t>: THEORETICAL CONTRIBUTIONS AND PRACTICAL CONCLUSIONS</w:t>
      </w:r>
      <w:bookmarkEnd w:id="232"/>
    </w:p>
    <w:p w14:paraId="26EA4461" w14:textId="77777777" w:rsidR="00D77017" w:rsidRDefault="00D77017" w:rsidP="00AE1DED">
      <w:pPr>
        <w:jc w:val="both"/>
        <w:rPr>
          <w:rFonts w:eastAsiaTheme="majorEastAsia"/>
          <w:b/>
          <w:bCs/>
          <w:color w:val="000000" w:themeColor="text1"/>
        </w:rPr>
      </w:pPr>
    </w:p>
    <w:p w14:paraId="594BDC96" w14:textId="77777777" w:rsidR="003264F5" w:rsidRDefault="003264F5" w:rsidP="00AE1DED">
      <w:pPr>
        <w:jc w:val="both"/>
        <w:rPr>
          <w:rFonts w:eastAsiaTheme="majorEastAsia"/>
          <w:b/>
          <w:bCs/>
          <w:color w:val="000000" w:themeColor="text1"/>
        </w:rPr>
      </w:pPr>
    </w:p>
    <w:p w14:paraId="5E824E6D" w14:textId="044E0C4B" w:rsidR="0010086C" w:rsidRPr="003C66A0" w:rsidRDefault="008D6F57" w:rsidP="00AE1DED">
      <w:pPr>
        <w:pStyle w:val="Heading2"/>
        <w:rPr>
          <w:rFonts w:eastAsiaTheme="majorEastAsia"/>
        </w:rPr>
      </w:pPr>
      <w:bookmarkStart w:id="233" w:name="_Toc214722039"/>
      <w:r w:rsidRPr="003C66A0">
        <w:rPr>
          <w:rFonts w:eastAsiaTheme="majorEastAsia"/>
        </w:rPr>
        <w:t>11</w:t>
      </w:r>
      <w:r w:rsidR="0076579E" w:rsidRPr="003C66A0">
        <w:rPr>
          <w:rFonts w:eastAsiaTheme="majorEastAsia"/>
        </w:rPr>
        <w:t>.1 Research Summary: Opportunities Within Constraints</w:t>
      </w:r>
      <w:bookmarkEnd w:id="233"/>
    </w:p>
    <w:p w14:paraId="27FBB157" w14:textId="57D9895A" w:rsidR="0031639B" w:rsidRPr="003C66A0" w:rsidRDefault="0031639B" w:rsidP="00AE1DED">
      <w:pPr>
        <w:jc w:val="both"/>
        <w:rPr>
          <w:rFonts w:eastAsiaTheme="majorEastAsia"/>
          <w:color w:val="000000" w:themeColor="text1"/>
        </w:rPr>
      </w:pPr>
      <w:r w:rsidRPr="003C66A0">
        <w:rPr>
          <w:rFonts w:eastAsiaTheme="majorEastAsia"/>
          <w:color w:val="000000" w:themeColor="text1"/>
        </w:rPr>
        <w:t>Th</w:t>
      </w:r>
      <w:r w:rsidR="00AA7C86">
        <w:rPr>
          <w:rFonts w:eastAsiaTheme="majorEastAsia"/>
          <w:color w:val="000000" w:themeColor="text1"/>
        </w:rPr>
        <w:t>e</w:t>
      </w:r>
      <w:r w:rsidRPr="003C66A0">
        <w:rPr>
          <w:rFonts w:eastAsiaTheme="majorEastAsia"/>
          <w:color w:val="000000" w:themeColor="text1"/>
        </w:rPr>
        <w:t xml:space="preserve"> research </w:t>
      </w:r>
      <w:r w:rsidR="00AA7C86">
        <w:rPr>
          <w:rFonts w:eastAsiaTheme="majorEastAsia"/>
          <w:color w:val="000000" w:themeColor="text1"/>
        </w:rPr>
        <w:t xml:space="preserve">here </w:t>
      </w:r>
      <w:r w:rsidRPr="003C66A0">
        <w:rPr>
          <w:rFonts w:eastAsiaTheme="majorEastAsia"/>
          <w:color w:val="000000" w:themeColor="text1"/>
        </w:rPr>
        <w:t xml:space="preserve">investigated various cryptocurrency passive income opportunities by using comprehensive empirical analysis during 2020-2024, tracking 156 positions, interviewing 27 practitioners, and analyzing 3.27 million transactions. The findings show that there are opportunities for limited-capital investors that can be </w:t>
      </w:r>
      <w:r w:rsidR="00913601" w:rsidRPr="003C66A0">
        <w:rPr>
          <w:rFonts w:eastAsiaTheme="majorEastAsia"/>
          <w:color w:val="000000" w:themeColor="text1"/>
        </w:rPr>
        <w:t>leveraged</w:t>
      </w:r>
      <w:r w:rsidRPr="003C66A0">
        <w:rPr>
          <w:rFonts w:eastAsiaTheme="majorEastAsia"/>
          <w:color w:val="000000" w:themeColor="text1"/>
        </w:rPr>
        <w:t xml:space="preserve">. But return and </w:t>
      </w:r>
      <w:r w:rsidR="00913601" w:rsidRPr="003C66A0">
        <w:rPr>
          <w:rFonts w:eastAsiaTheme="majorEastAsia"/>
          <w:color w:val="000000" w:themeColor="text1"/>
        </w:rPr>
        <w:t>viability</w:t>
      </w:r>
      <w:r w:rsidRPr="003C66A0">
        <w:rPr>
          <w:rFonts w:eastAsiaTheme="majorEastAsia"/>
          <w:color w:val="000000" w:themeColor="text1"/>
        </w:rPr>
        <w:t xml:space="preserve"> is a lot narrower and more demanding than advertised.</w:t>
      </w:r>
    </w:p>
    <w:p w14:paraId="7DCF1DDC" w14:textId="77777777" w:rsidR="0031639B" w:rsidRPr="003C66A0" w:rsidRDefault="0031639B" w:rsidP="00AE1DED">
      <w:pPr>
        <w:jc w:val="both"/>
        <w:rPr>
          <w:rFonts w:eastAsiaTheme="majorEastAsia"/>
          <w:color w:val="000000" w:themeColor="text1"/>
        </w:rPr>
      </w:pPr>
    </w:p>
    <w:p w14:paraId="64A0CF5B" w14:textId="7D9F332B" w:rsidR="0010086C" w:rsidRDefault="006547AE" w:rsidP="00AE1DED">
      <w:pPr>
        <w:jc w:val="both"/>
        <w:rPr>
          <w:rFonts w:eastAsiaTheme="majorEastAsia"/>
          <w:color w:val="EE0000"/>
        </w:rPr>
      </w:pPr>
      <w:r w:rsidRPr="003C66A0">
        <w:rPr>
          <w:rFonts w:eastAsiaTheme="majorEastAsia"/>
          <w:color w:val="000000" w:themeColor="text1"/>
        </w:rPr>
        <w:t xml:space="preserve">This investigation uncovered a complex landscape where technical accessibility masks economic barriers, creating situations where participation is possible but rarely profitable under the conditions most can </w:t>
      </w:r>
      <w:proofErr w:type="gramStart"/>
      <w:r w:rsidRPr="003C66A0">
        <w:rPr>
          <w:rFonts w:eastAsiaTheme="majorEastAsia"/>
          <w:color w:val="000000" w:themeColor="text1"/>
        </w:rPr>
        <w:t>actually meet</w:t>
      </w:r>
      <w:proofErr w:type="gramEnd"/>
      <w:r w:rsidRPr="003C66A0">
        <w:rPr>
          <w:rFonts w:eastAsiaTheme="majorEastAsia"/>
          <w:color w:val="EE0000"/>
        </w:rPr>
        <w:t>.</w:t>
      </w:r>
    </w:p>
    <w:p w14:paraId="0FE6B8BB" w14:textId="77777777" w:rsidR="002F1BF1" w:rsidRDefault="002F1BF1" w:rsidP="00AE1DED">
      <w:pPr>
        <w:jc w:val="both"/>
        <w:rPr>
          <w:rFonts w:eastAsiaTheme="majorEastAsia"/>
          <w:color w:val="EE0000"/>
        </w:rPr>
      </w:pPr>
    </w:p>
    <w:p w14:paraId="44E2D3D0" w14:textId="77777777" w:rsidR="002F1BF1" w:rsidRPr="002F1BF1" w:rsidRDefault="002F1BF1" w:rsidP="00AE1DED">
      <w:pPr>
        <w:pStyle w:val="Heading3"/>
      </w:pPr>
      <w:bookmarkStart w:id="234" w:name="_Toc214722040"/>
      <w:r w:rsidRPr="002F1BF1">
        <w:t>11.1.1 Overview of Theoretical Contributions</w:t>
      </w:r>
      <w:bookmarkEnd w:id="234"/>
    </w:p>
    <w:p w14:paraId="112A056C" w14:textId="3431692F" w:rsidR="008571C7" w:rsidRPr="00AA7C86" w:rsidRDefault="008571C7" w:rsidP="00AE1DED">
      <w:pPr>
        <w:jc w:val="both"/>
        <w:rPr>
          <w:color w:val="000000" w:themeColor="text1"/>
        </w:rPr>
      </w:pPr>
      <w:r w:rsidRPr="00AA7C86">
        <w:rPr>
          <w:color w:val="000000" w:themeColor="text1"/>
        </w:rPr>
        <w:t xml:space="preserve">This research presents five interrelated theoretical contributions that jointly elucidate the phenomena of conditional democratization in DeFi. These contributions contest </w:t>
      </w:r>
      <w:r w:rsidR="00AA7C86" w:rsidRPr="00AA7C86">
        <w:rPr>
          <w:color w:val="000000" w:themeColor="text1"/>
        </w:rPr>
        <w:t xml:space="preserve">the </w:t>
      </w:r>
      <w:r w:rsidRPr="00AA7C86">
        <w:rPr>
          <w:color w:val="000000" w:themeColor="text1"/>
        </w:rPr>
        <w:t xml:space="preserve">prevailing assumptions on financial </w:t>
      </w:r>
      <w:proofErr w:type="gramStart"/>
      <w:r w:rsidRPr="00AA7C86">
        <w:rPr>
          <w:color w:val="000000" w:themeColor="text1"/>
        </w:rPr>
        <w:t>disintermediation</w:t>
      </w:r>
      <w:proofErr w:type="gramEnd"/>
      <w:r w:rsidRPr="00AA7C86">
        <w:rPr>
          <w:color w:val="000000" w:themeColor="text1"/>
        </w:rPr>
        <w:t xml:space="preserve"> and technology democratization, while offering frameworks for comprehending breakthroughs across several areas. </w:t>
      </w:r>
    </w:p>
    <w:p w14:paraId="141EAADF" w14:textId="77777777" w:rsidR="008571C7" w:rsidRPr="00AA7C86" w:rsidRDefault="008571C7" w:rsidP="00AE1DED">
      <w:pPr>
        <w:jc w:val="both"/>
        <w:rPr>
          <w:color w:val="000000" w:themeColor="text1"/>
        </w:rPr>
      </w:pPr>
    </w:p>
    <w:p w14:paraId="778DEE0C" w14:textId="387E2527" w:rsidR="008571C7" w:rsidRPr="00AA7C86" w:rsidRDefault="008571C7" w:rsidP="00AE1DED">
      <w:pPr>
        <w:jc w:val="both"/>
        <w:rPr>
          <w:color w:val="000000" w:themeColor="text1"/>
        </w:rPr>
      </w:pPr>
      <w:r w:rsidRPr="00AA7C86">
        <w:rPr>
          <w:color w:val="000000" w:themeColor="text1"/>
        </w:rPr>
        <w:t xml:space="preserve">First, the reintermediation framework (Section 11.2.1) demonstrates that DeFi does not eliminate intermediation but rather disaggregates and reallocates intermediary functions across protocols, participants, and infrastructure. What appears as disintermediation </w:t>
      </w:r>
      <w:proofErr w:type="gramStart"/>
      <w:r w:rsidRPr="00AA7C86">
        <w:rPr>
          <w:color w:val="000000" w:themeColor="text1"/>
        </w:rPr>
        <w:t>actually represents</w:t>
      </w:r>
      <w:proofErr w:type="gramEnd"/>
      <w:r w:rsidRPr="00AA7C86">
        <w:rPr>
          <w:color w:val="000000" w:themeColor="text1"/>
        </w:rPr>
        <w:t xml:space="preserve"> functional unbundling, where traditional banking services</w:t>
      </w:r>
      <w:r w:rsidR="00AA7C86" w:rsidRPr="00AA7C86">
        <w:rPr>
          <w:color w:val="000000" w:themeColor="text1"/>
        </w:rPr>
        <w:t xml:space="preserve"> such as </w:t>
      </w:r>
      <w:r w:rsidRPr="00AA7C86">
        <w:rPr>
          <w:color w:val="000000" w:themeColor="text1"/>
        </w:rPr>
        <w:t xml:space="preserve">custody, execution, clearing, settlement, and risk </w:t>
      </w:r>
      <w:r w:rsidR="00AA7C86" w:rsidRPr="00AA7C86">
        <w:rPr>
          <w:color w:val="000000" w:themeColor="text1"/>
        </w:rPr>
        <w:t xml:space="preserve">management, </w:t>
      </w:r>
      <w:r w:rsidRPr="00AA7C86">
        <w:rPr>
          <w:color w:val="000000" w:themeColor="text1"/>
        </w:rPr>
        <w:t>become distributed responsibilities. This reconceptualization reframes liquidity provision from "passive income" to active market-making that requires specialized capabilities.</w:t>
      </w:r>
    </w:p>
    <w:p w14:paraId="1AF235AD" w14:textId="77777777" w:rsidR="008571C7" w:rsidRPr="00AA7C86" w:rsidRDefault="008571C7" w:rsidP="00AE1DED">
      <w:pPr>
        <w:jc w:val="both"/>
        <w:rPr>
          <w:color w:val="000000" w:themeColor="text1"/>
        </w:rPr>
      </w:pPr>
    </w:p>
    <w:p w14:paraId="5901F64D" w14:textId="062D4F2D" w:rsidR="008571C7" w:rsidRPr="00B51194" w:rsidRDefault="008571C7" w:rsidP="00AE1DED">
      <w:pPr>
        <w:jc w:val="both"/>
        <w:rPr>
          <w:color w:val="000000" w:themeColor="text1"/>
        </w:rPr>
      </w:pPr>
      <w:r w:rsidRPr="00AA7C86">
        <w:rPr>
          <w:color w:val="000000" w:themeColor="text1"/>
        </w:rPr>
        <w:t xml:space="preserve">Second, </w:t>
      </w:r>
      <w:r w:rsidRPr="00B51194">
        <w:rPr>
          <w:color w:val="000000" w:themeColor="text1"/>
        </w:rPr>
        <w:t xml:space="preserve">the capital formation dynamics framework (Section 11.2.2) delineates </w:t>
      </w:r>
      <w:r w:rsidR="00B51194" w:rsidRPr="00B51194">
        <w:rPr>
          <w:color w:val="000000" w:themeColor="text1"/>
        </w:rPr>
        <w:t xml:space="preserve">the </w:t>
      </w:r>
      <w:r w:rsidRPr="00B51194">
        <w:rPr>
          <w:color w:val="000000" w:themeColor="text1"/>
        </w:rPr>
        <w:t xml:space="preserve">step-function development patterns in algorithmic markets that are fundamentally distinct from conventional compound interest models. </w:t>
      </w:r>
      <w:proofErr w:type="gramStart"/>
      <w:r w:rsidR="00B51194" w:rsidRPr="00B51194">
        <w:rPr>
          <w:color w:val="000000" w:themeColor="text1"/>
        </w:rPr>
        <w:t xml:space="preserve">The </w:t>
      </w:r>
      <w:r w:rsidRPr="00B51194">
        <w:rPr>
          <w:color w:val="000000" w:themeColor="text1"/>
        </w:rPr>
        <w:t>DeFi</w:t>
      </w:r>
      <w:proofErr w:type="gramEnd"/>
      <w:r w:rsidRPr="00B51194">
        <w:rPr>
          <w:color w:val="000000" w:themeColor="text1"/>
        </w:rPr>
        <w:t xml:space="preserve"> capital development demonstrates punctuated equilibrium, marked by steady buildup interspersed with sudden surges or significant losses. This pattern requires distinct mental frameworks that prioritize survival via infrequent opportunities instead of the maximization of consistent rewards. </w:t>
      </w:r>
    </w:p>
    <w:p w14:paraId="3B52DA9D" w14:textId="77777777" w:rsidR="008571C7" w:rsidRPr="00B51194" w:rsidRDefault="008571C7" w:rsidP="00AE1DED">
      <w:pPr>
        <w:jc w:val="both"/>
        <w:rPr>
          <w:color w:val="000000" w:themeColor="text1"/>
        </w:rPr>
      </w:pPr>
    </w:p>
    <w:p w14:paraId="58A87769" w14:textId="03BF2A8F" w:rsidR="006547AE" w:rsidRPr="00C22BC9" w:rsidRDefault="008571C7" w:rsidP="00AE1DED">
      <w:pPr>
        <w:jc w:val="both"/>
        <w:rPr>
          <w:color w:val="000000" w:themeColor="text1"/>
        </w:rPr>
      </w:pPr>
      <w:r w:rsidRPr="00B51194">
        <w:rPr>
          <w:color w:val="000000" w:themeColor="text1"/>
        </w:rPr>
        <w:t>Third,</w:t>
      </w:r>
      <w:r w:rsidRPr="00C22BC9">
        <w:rPr>
          <w:color w:val="000000" w:themeColor="text1"/>
        </w:rPr>
        <w:t xml:space="preserve"> the anti-inductive market theory (Section 11.2.3) shows with real-world examples that patterns break down when they are found in DeFi markets. Strategies that have worked 70% of the time in the past drop to about 50% effectiveness when markets adjust to patterns. This conclusion contradicts optimization frameworks based on stable relationships, indicating that in anti-inductive markets, the sole enduring advantage is in the ongoing discovery of new advantages rather than the exploitation of recognized patterns.</w:t>
      </w:r>
    </w:p>
    <w:p w14:paraId="685137C7" w14:textId="77777777" w:rsidR="008571C7" w:rsidRPr="00C22BC9" w:rsidRDefault="008571C7" w:rsidP="00AE1DED">
      <w:pPr>
        <w:jc w:val="both"/>
        <w:rPr>
          <w:color w:val="000000" w:themeColor="text1"/>
        </w:rPr>
      </w:pPr>
    </w:p>
    <w:p w14:paraId="6A558715" w14:textId="6846644D" w:rsidR="003044D0" w:rsidRPr="003044D0" w:rsidRDefault="003044D0" w:rsidP="00AE1DED">
      <w:pPr>
        <w:jc w:val="both"/>
        <w:rPr>
          <w:rFonts w:eastAsiaTheme="majorEastAsia"/>
          <w:color w:val="0070C0"/>
        </w:rPr>
      </w:pPr>
      <w:r w:rsidRPr="0009158B">
        <w:rPr>
          <w:rFonts w:eastAsiaTheme="majorEastAsia"/>
          <w:color w:val="000000" w:themeColor="text1"/>
        </w:rPr>
        <w:t>Fourth, the accessibility gradient paradigm (Section 11.2.4) does away with the categories of accessible and inaccessible and instead offers a continuous range of participation options. Different amounts of capital can access opportunity structures that are fundamentally different</w:t>
      </w:r>
      <w:r w:rsidR="0009158B" w:rsidRPr="0009158B">
        <w:rPr>
          <w:rFonts w:eastAsiaTheme="majorEastAsia"/>
          <w:color w:val="000000" w:themeColor="text1"/>
        </w:rPr>
        <w:t xml:space="preserve"> and come </w:t>
      </w:r>
      <w:r w:rsidR="0009158B" w:rsidRPr="00511387">
        <w:rPr>
          <w:rFonts w:eastAsiaTheme="majorEastAsia"/>
          <w:color w:val="000000" w:themeColor="text1"/>
        </w:rPr>
        <w:t>with</w:t>
      </w:r>
      <w:r w:rsidRPr="00511387">
        <w:rPr>
          <w:rFonts w:eastAsiaTheme="majorEastAsia"/>
          <w:color w:val="000000" w:themeColor="text1"/>
        </w:rPr>
        <w:t xml:space="preserve"> different strategies, risk profiles, and return expectations. This approach combines ideas from </w:t>
      </w:r>
      <w:r w:rsidR="00511387" w:rsidRPr="00511387">
        <w:rPr>
          <w:rFonts w:eastAsiaTheme="majorEastAsia"/>
          <w:color w:val="000000" w:themeColor="text1"/>
        </w:rPr>
        <w:lastRenderedPageBreak/>
        <w:t xml:space="preserve">the </w:t>
      </w:r>
      <w:r w:rsidRPr="00511387">
        <w:rPr>
          <w:rFonts w:eastAsiaTheme="majorEastAsia"/>
          <w:color w:val="000000" w:themeColor="text1"/>
        </w:rPr>
        <w:t xml:space="preserve">capital stratification theory, transaction cost economics, and financial inclusion. It also shows how DeFi's fixed costs create step-function dynamics that make it impossible for </w:t>
      </w:r>
      <w:r w:rsidR="00511387" w:rsidRPr="00511387">
        <w:rPr>
          <w:rFonts w:eastAsiaTheme="majorEastAsia"/>
          <w:color w:val="000000" w:themeColor="text1"/>
        </w:rPr>
        <w:t>know-how</w:t>
      </w:r>
      <w:r w:rsidRPr="00511387">
        <w:rPr>
          <w:rFonts w:eastAsiaTheme="majorEastAsia"/>
          <w:color w:val="000000" w:themeColor="text1"/>
        </w:rPr>
        <w:t xml:space="preserve"> to make up for a lack of capital. </w:t>
      </w:r>
    </w:p>
    <w:p w14:paraId="30160FFA" w14:textId="77777777" w:rsidR="00426D2A" w:rsidRPr="000C0DDA" w:rsidRDefault="00426D2A" w:rsidP="00AE1DED">
      <w:pPr>
        <w:jc w:val="both"/>
        <w:rPr>
          <w:rFonts w:eastAsiaTheme="majorEastAsia"/>
          <w:color w:val="000000" w:themeColor="text1"/>
        </w:rPr>
      </w:pPr>
    </w:p>
    <w:p w14:paraId="2F4BF935" w14:textId="0BB75BE3" w:rsidR="003044D0" w:rsidRPr="000C0DDA" w:rsidRDefault="003044D0" w:rsidP="00AE1DED">
      <w:pPr>
        <w:jc w:val="both"/>
        <w:rPr>
          <w:rFonts w:eastAsiaTheme="majorEastAsia"/>
          <w:color w:val="000000" w:themeColor="text1"/>
        </w:rPr>
      </w:pPr>
      <w:r w:rsidRPr="000C0DDA">
        <w:rPr>
          <w:rFonts w:eastAsiaTheme="majorEastAsia"/>
          <w:color w:val="000000" w:themeColor="text1"/>
        </w:rPr>
        <w:t xml:space="preserve">Fifth, the conditional democratization theory (Section 11.2.5) brings these mechanisms together to explain how DeFi has made certain </w:t>
      </w:r>
      <w:r w:rsidR="00057B5C" w:rsidRPr="000C0DDA">
        <w:rPr>
          <w:rFonts w:eastAsiaTheme="majorEastAsia"/>
          <w:color w:val="000000" w:themeColor="text1"/>
        </w:rPr>
        <w:t>participants</w:t>
      </w:r>
      <w:r w:rsidRPr="000C0DDA">
        <w:rPr>
          <w:rFonts w:eastAsiaTheme="majorEastAsia"/>
          <w:color w:val="000000" w:themeColor="text1"/>
        </w:rPr>
        <w:t xml:space="preserve"> access better. Technical accessibility </w:t>
      </w:r>
      <w:proofErr w:type="gramStart"/>
      <w:r w:rsidRPr="000C0DDA">
        <w:rPr>
          <w:rFonts w:eastAsiaTheme="majorEastAsia"/>
          <w:color w:val="000000" w:themeColor="text1"/>
        </w:rPr>
        <w:t>opens up</w:t>
      </w:r>
      <w:proofErr w:type="gramEnd"/>
      <w:r w:rsidRPr="000C0DDA">
        <w:rPr>
          <w:rFonts w:eastAsiaTheme="majorEastAsia"/>
          <w:color w:val="000000" w:themeColor="text1"/>
        </w:rPr>
        <w:t xml:space="preserve"> opportunities throughout the capital spectrum, but economic viability requires meeting several conditions at the same time: having enough cash, being technically skilled, being willing to put in a lot of time, and being able to handle risk. This leads to stratified results, with 73% of participants failing even though everyone has access to the same technology. This shows that democratization is genuine but limited. </w:t>
      </w:r>
    </w:p>
    <w:p w14:paraId="10A44365" w14:textId="77777777" w:rsidR="003044D0" w:rsidRPr="003044D0" w:rsidRDefault="003044D0" w:rsidP="00AE1DED">
      <w:pPr>
        <w:jc w:val="both"/>
        <w:rPr>
          <w:rFonts w:eastAsiaTheme="majorEastAsia"/>
          <w:color w:val="0070C0"/>
        </w:rPr>
      </w:pPr>
    </w:p>
    <w:p w14:paraId="35D46D44" w14:textId="5A68A18D" w:rsidR="003044D0" w:rsidRPr="00717BC2" w:rsidRDefault="003044D0" w:rsidP="00AE1DED">
      <w:pPr>
        <w:jc w:val="both"/>
        <w:rPr>
          <w:rFonts w:eastAsiaTheme="majorEastAsia"/>
          <w:color w:val="000000" w:themeColor="text1"/>
        </w:rPr>
      </w:pPr>
      <w:r w:rsidRPr="00717BC2">
        <w:rPr>
          <w:rFonts w:eastAsiaTheme="majorEastAsia"/>
          <w:color w:val="000000" w:themeColor="text1"/>
        </w:rPr>
        <w:t>These five contributions create a unified theoretical framework that clarifies why the promise of DeFi's democratization is still conditional. The frameworks are connected in real life: reintermediation makes things more complicated</w:t>
      </w:r>
      <w:r w:rsidR="005B382D" w:rsidRPr="00717BC2">
        <w:rPr>
          <w:rFonts w:eastAsiaTheme="majorEastAsia"/>
          <w:color w:val="000000" w:themeColor="text1"/>
        </w:rPr>
        <w:t xml:space="preserve">, </w:t>
      </w:r>
      <w:r w:rsidRPr="00717BC2">
        <w:rPr>
          <w:rFonts w:eastAsiaTheme="majorEastAsia"/>
          <w:color w:val="000000" w:themeColor="text1"/>
        </w:rPr>
        <w:t>capital formation happens in unusual ways</w:t>
      </w:r>
      <w:r w:rsidR="005B382D" w:rsidRPr="00717BC2">
        <w:rPr>
          <w:rFonts w:eastAsiaTheme="majorEastAsia"/>
          <w:color w:val="000000" w:themeColor="text1"/>
        </w:rPr>
        <w:t xml:space="preserve">, </w:t>
      </w:r>
      <w:r w:rsidRPr="00717BC2">
        <w:rPr>
          <w:rFonts w:eastAsiaTheme="majorEastAsia"/>
          <w:color w:val="000000" w:themeColor="text1"/>
        </w:rPr>
        <w:t>opportunities are short-lived because of anti-inductivity</w:t>
      </w:r>
      <w:r w:rsidR="005B382D" w:rsidRPr="00717BC2">
        <w:rPr>
          <w:rFonts w:eastAsiaTheme="majorEastAsia"/>
          <w:color w:val="000000" w:themeColor="text1"/>
        </w:rPr>
        <w:t xml:space="preserve">, </w:t>
      </w:r>
      <w:r w:rsidRPr="00717BC2">
        <w:rPr>
          <w:rFonts w:eastAsiaTheme="majorEastAsia"/>
          <w:color w:val="000000" w:themeColor="text1"/>
        </w:rPr>
        <w:t xml:space="preserve">capital levels create different opportunity structures, and economic viability only happens when several conditions are met at the same </w:t>
      </w:r>
      <w:r w:rsidR="005B382D" w:rsidRPr="00717BC2">
        <w:rPr>
          <w:rFonts w:eastAsiaTheme="majorEastAsia"/>
          <w:color w:val="000000" w:themeColor="text1"/>
        </w:rPr>
        <w:t xml:space="preserve">time </w:t>
      </w:r>
      <w:r w:rsidRPr="00717BC2">
        <w:rPr>
          <w:rFonts w:eastAsiaTheme="majorEastAsia"/>
          <w:color w:val="000000" w:themeColor="text1"/>
        </w:rPr>
        <w:t>These factors account for the 73% failure rate noted in this study and the limited circumstances under which DeFi participation attains economic viability.</w:t>
      </w:r>
    </w:p>
    <w:p w14:paraId="3E105E2F" w14:textId="77777777" w:rsidR="003044D0" w:rsidRPr="003C66A0" w:rsidRDefault="003044D0" w:rsidP="00AE1DED">
      <w:pPr>
        <w:jc w:val="both"/>
        <w:rPr>
          <w:rFonts w:eastAsiaTheme="majorEastAsia"/>
          <w:color w:val="000000" w:themeColor="text1"/>
        </w:rPr>
      </w:pPr>
    </w:p>
    <w:p w14:paraId="6E7D5355" w14:textId="6FA307AF" w:rsidR="0076579E" w:rsidRPr="003C66A0" w:rsidRDefault="008D6F57" w:rsidP="00AE1DED">
      <w:pPr>
        <w:pStyle w:val="Heading2"/>
        <w:rPr>
          <w:rFonts w:eastAsiaTheme="majorEastAsia"/>
        </w:rPr>
      </w:pPr>
      <w:bookmarkStart w:id="235" w:name="_Toc214722041"/>
      <w:r w:rsidRPr="003C66A0">
        <w:rPr>
          <w:rFonts w:eastAsiaTheme="majorEastAsia"/>
        </w:rPr>
        <w:t>11</w:t>
      </w:r>
      <w:r w:rsidR="0076579E" w:rsidRPr="003C66A0">
        <w:rPr>
          <w:rFonts w:eastAsiaTheme="majorEastAsia"/>
        </w:rPr>
        <w:t>.2 Theoretical Contributions</w:t>
      </w:r>
      <w:bookmarkEnd w:id="235"/>
    </w:p>
    <w:p w14:paraId="58F2C85B" w14:textId="6B7671FB" w:rsidR="0076579E" w:rsidRPr="003C66A0" w:rsidRDefault="0076579E" w:rsidP="00AE1DED">
      <w:pPr>
        <w:jc w:val="both"/>
        <w:rPr>
          <w:rFonts w:eastAsiaTheme="majorEastAsia"/>
          <w:color w:val="000000" w:themeColor="text1"/>
        </w:rPr>
      </w:pPr>
      <w:r w:rsidRPr="003C66A0">
        <w:rPr>
          <w:rFonts w:eastAsiaTheme="majorEastAsia"/>
          <w:color w:val="000000" w:themeColor="text1"/>
        </w:rPr>
        <w:t>This research makes f</w:t>
      </w:r>
      <w:r w:rsidR="00BA5105" w:rsidRPr="003C66A0">
        <w:rPr>
          <w:rFonts w:eastAsiaTheme="majorEastAsia"/>
          <w:color w:val="000000" w:themeColor="text1"/>
        </w:rPr>
        <w:t xml:space="preserve">our key </w:t>
      </w:r>
      <w:r w:rsidRPr="003C66A0">
        <w:rPr>
          <w:rFonts w:eastAsiaTheme="majorEastAsia"/>
          <w:color w:val="000000" w:themeColor="text1"/>
        </w:rPr>
        <w:t>theoretical contributions to financial economics and innovation studies:</w:t>
      </w:r>
    </w:p>
    <w:p w14:paraId="5E5B4AE7" w14:textId="77777777" w:rsidR="0010086C" w:rsidRPr="003C66A0" w:rsidRDefault="0010086C" w:rsidP="00AE1DED">
      <w:pPr>
        <w:jc w:val="both"/>
        <w:rPr>
          <w:rFonts w:eastAsiaTheme="majorEastAsia"/>
          <w:color w:val="000000" w:themeColor="text1"/>
        </w:rPr>
      </w:pPr>
    </w:p>
    <w:p w14:paraId="74FD3B39" w14:textId="4D26AB17" w:rsidR="0076579E" w:rsidRPr="003C66A0" w:rsidRDefault="0076579E" w:rsidP="00AE1DED">
      <w:pPr>
        <w:pStyle w:val="Heading3"/>
        <w:rPr>
          <w:rFonts w:eastAsiaTheme="majorEastAsia"/>
        </w:rPr>
      </w:pPr>
      <w:bookmarkStart w:id="236" w:name="_Toc214722042"/>
      <w:r w:rsidRPr="003C66A0">
        <w:rPr>
          <w:rFonts w:eastAsiaTheme="majorEastAsia"/>
        </w:rPr>
        <w:t>1</w:t>
      </w:r>
      <w:r w:rsidR="008D6F57" w:rsidRPr="003C66A0">
        <w:rPr>
          <w:rFonts w:eastAsiaTheme="majorEastAsia"/>
        </w:rPr>
        <w:t>1</w:t>
      </w:r>
      <w:r w:rsidRPr="003C66A0">
        <w:rPr>
          <w:rFonts w:eastAsiaTheme="majorEastAsia"/>
        </w:rPr>
        <w:t xml:space="preserve">.2.1 </w:t>
      </w:r>
      <w:r w:rsidR="002B5640" w:rsidRPr="003C66A0">
        <w:rPr>
          <w:rFonts w:eastAsiaTheme="majorEastAsia"/>
        </w:rPr>
        <w:t>From Disintermediation to Reintermediation: A Theoretical Revision</w:t>
      </w:r>
      <w:bookmarkEnd w:id="236"/>
    </w:p>
    <w:p w14:paraId="64C8A478" w14:textId="77777777" w:rsidR="00CB1C39" w:rsidRPr="003C66A0" w:rsidRDefault="00CB1C39" w:rsidP="00AE1DED">
      <w:pPr>
        <w:jc w:val="both"/>
        <w:rPr>
          <w:rFonts w:eastAsiaTheme="majorEastAsia"/>
          <w:color w:val="000000" w:themeColor="text1"/>
        </w:rPr>
      </w:pPr>
      <w:r w:rsidRPr="003C66A0">
        <w:rPr>
          <w:rFonts w:eastAsiaTheme="majorEastAsia"/>
          <w:color w:val="000000" w:themeColor="text1"/>
        </w:rPr>
        <w:t xml:space="preserve">The main component behind DeFi is that it cuts away the middlemen so that people may trade directly with each other. This framing, while intriguing at first, does not accurately describe what really happens in decentralized finance and how that impacts the trading and outcomes. </w:t>
      </w:r>
    </w:p>
    <w:p w14:paraId="005A8802" w14:textId="77777777" w:rsidR="00CB1C39" w:rsidRPr="003C66A0" w:rsidRDefault="00CB1C39" w:rsidP="00AE1DED">
      <w:pPr>
        <w:jc w:val="both"/>
        <w:rPr>
          <w:rFonts w:eastAsiaTheme="majorEastAsia"/>
          <w:color w:val="000000" w:themeColor="text1"/>
        </w:rPr>
      </w:pPr>
    </w:p>
    <w:p w14:paraId="2C20643C" w14:textId="247215AA" w:rsidR="00CB1C39" w:rsidRPr="003C66A0" w:rsidRDefault="00CB1C39" w:rsidP="00AE1DED">
      <w:pPr>
        <w:jc w:val="both"/>
        <w:rPr>
          <w:rFonts w:eastAsiaTheme="majorEastAsia"/>
          <w:color w:val="000000" w:themeColor="text1"/>
        </w:rPr>
      </w:pPr>
      <w:r w:rsidRPr="003C66A0">
        <w:rPr>
          <w:rFonts w:eastAsiaTheme="majorEastAsia"/>
          <w:color w:val="000000" w:themeColor="text1"/>
        </w:rPr>
        <w:t xml:space="preserve">My study here indicates that DeFi does not fully eradicate intermediation, instead it disaggregates and reallocates it among protocols and participants. When looking at a seemingly simple Uniswap transaction where a </w:t>
      </w:r>
      <w:r w:rsidR="005C5F13" w:rsidRPr="003C66A0">
        <w:rPr>
          <w:rFonts w:eastAsiaTheme="majorEastAsia"/>
          <w:color w:val="000000" w:themeColor="text1"/>
        </w:rPr>
        <w:t>participant</w:t>
      </w:r>
      <w:r w:rsidRPr="003C66A0">
        <w:rPr>
          <w:rFonts w:eastAsiaTheme="majorEastAsia"/>
          <w:color w:val="000000" w:themeColor="text1"/>
        </w:rPr>
        <w:t xml:space="preserve"> trades ETH for USDC, the interaction is with a smart contract that pools liquidity from thousands of providers. The protocol itself determines prices through an algorithmic formula. Arbitrageurs maintain price efficiency by trading across markets. Ethereum validators process and confirm the transaction, while Oracle providers supply external price data for references. Each participant performs a specific intermediary function that would traditionally be bundled within a single "old school" institution like a bank.</w:t>
      </w:r>
    </w:p>
    <w:p w14:paraId="71B20B6A" w14:textId="77777777" w:rsidR="00CB1C39" w:rsidRPr="003C66A0" w:rsidRDefault="00CB1C39" w:rsidP="00AE1DED">
      <w:pPr>
        <w:jc w:val="both"/>
        <w:rPr>
          <w:rFonts w:eastAsiaTheme="majorEastAsia"/>
          <w:color w:val="000000" w:themeColor="text1"/>
        </w:rPr>
      </w:pPr>
    </w:p>
    <w:p w14:paraId="566CE3E2" w14:textId="77777777" w:rsidR="00CB1C39" w:rsidRPr="003C66A0" w:rsidRDefault="00CB1C39" w:rsidP="00AE1DED">
      <w:pPr>
        <w:jc w:val="both"/>
        <w:rPr>
          <w:rFonts w:eastAsiaTheme="majorEastAsia"/>
          <w:color w:val="000000" w:themeColor="text1"/>
        </w:rPr>
      </w:pPr>
      <w:r w:rsidRPr="003C66A0">
        <w:rPr>
          <w:rFonts w:eastAsiaTheme="majorEastAsia"/>
          <w:color w:val="000000" w:themeColor="text1"/>
        </w:rPr>
        <w:t xml:space="preserve">This is not the end of the intermediation; it is the breaking down and moving of it. According to Diamond and Dybvig (1983), traditional banks combine custody, execution, clearing, settlement, and risk management into one institution. DeFi breaks these </w:t>
      </w:r>
      <w:proofErr w:type="gramStart"/>
      <w:r w:rsidRPr="003C66A0">
        <w:rPr>
          <w:rFonts w:eastAsiaTheme="majorEastAsia"/>
          <w:color w:val="000000" w:themeColor="text1"/>
        </w:rPr>
        <w:t>functions up</w:t>
      </w:r>
      <w:proofErr w:type="gramEnd"/>
      <w:r w:rsidRPr="003C66A0">
        <w:rPr>
          <w:rFonts w:eastAsiaTheme="majorEastAsia"/>
          <w:color w:val="000000" w:themeColor="text1"/>
        </w:rPr>
        <w:t xml:space="preserve"> and gives them to diverse people. The person that provides liquidity takes on pricing risk. The protocol takes care of execution. The blockchain takes care of settlement. The oracle suppliers let people find out what things are worth. </w:t>
      </w:r>
    </w:p>
    <w:p w14:paraId="2A6F310A" w14:textId="77777777" w:rsidR="00CB1C39" w:rsidRPr="003C66A0" w:rsidRDefault="00CB1C39" w:rsidP="00AE1DED">
      <w:pPr>
        <w:jc w:val="both"/>
        <w:rPr>
          <w:rFonts w:eastAsiaTheme="majorEastAsia"/>
          <w:color w:val="000000" w:themeColor="text1"/>
        </w:rPr>
      </w:pPr>
    </w:p>
    <w:p w14:paraId="06B9219B" w14:textId="77777777" w:rsidR="00CB1C39" w:rsidRPr="003C66A0" w:rsidRDefault="00CB1C39" w:rsidP="00AE1DED">
      <w:pPr>
        <w:jc w:val="both"/>
        <w:rPr>
          <w:rFonts w:eastAsiaTheme="majorEastAsia"/>
          <w:color w:val="000000" w:themeColor="text1"/>
        </w:rPr>
      </w:pPr>
      <w:r w:rsidRPr="003C66A0">
        <w:rPr>
          <w:rFonts w:eastAsiaTheme="majorEastAsia"/>
          <w:color w:val="000000" w:themeColor="text1"/>
        </w:rPr>
        <w:t>This new way of thinking has big effects on how we understand DeFi opportunities. Being a liquidity provider does not give you "passive income" in any real way. They run a small market-</w:t>
      </w:r>
      <w:r w:rsidRPr="003C66A0">
        <w:rPr>
          <w:rFonts w:eastAsiaTheme="majorEastAsia"/>
          <w:color w:val="000000" w:themeColor="text1"/>
        </w:rPr>
        <w:lastRenderedPageBreak/>
        <w:t>making firm, taking on the risk of having inventory in exchange for fees. The technical problems aren't bugs that need to be fixed; they're just the way things are when things are too complicated.</w:t>
      </w:r>
    </w:p>
    <w:p w14:paraId="074AEA0A" w14:textId="77777777" w:rsidR="00CB1C39" w:rsidRPr="003C66A0" w:rsidRDefault="00CB1C39" w:rsidP="00AE1DED">
      <w:pPr>
        <w:jc w:val="both"/>
        <w:rPr>
          <w:rFonts w:eastAsiaTheme="majorEastAsia"/>
          <w:color w:val="000000" w:themeColor="text1"/>
        </w:rPr>
      </w:pPr>
    </w:p>
    <w:p w14:paraId="600133FC" w14:textId="308C5C83" w:rsidR="00CB1C39" w:rsidRPr="003C66A0" w:rsidRDefault="00CB1C39" w:rsidP="00AE1DED">
      <w:pPr>
        <w:jc w:val="both"/>
        <w:rPr>
          <w:rFonts w:eastAsiaTheme="majorEastAsia"/>
          <w:color w:val="000000" w:themeColor="text1"/>
        </w:rPr>
      </w:pPr>
      <w:r w:rsidRPr="003C66A0">
        <w:rPr>
          <w:rFonts w:eastAsiaTheme="majorEastAsia"/>
          <w:color w:val="000000" w:themeColor="text1"/>
        </w:rPr>
        <w:t xml:space="preserve">The question is not if DeFi gets rid of middlemen, since it doesn't; it's whether this unbundling is worth the effort and risk. For some participants it is. These are the ones that know a lot about a certain area, that allows them to make money from narrow functions without having full banking capabilities. A developer can set up automated rebalancing </w:t>
      </w:r>
      <w:r w:rsidR="003264F5" w:rsidRPr="003C66A0">
        <w:rPr>
          <w:rFonts w:eastAsiaTheme="majorEastAsia"/>
          <w:color w:val="000000" w:themeColor="text1"/>
        </w:rPr>
        <w:t>strategies,</w:t>
      </w:r>
      <w:r w:rsidRPr="003C66A0">
        <w:rPr>
          <w:rFonts w:eastAsiaTheme="majorEastAsia"/>
          <w:color w:val="000000" w:themeColor="text1"/>
        </w:rPr>
        <w:t xml:space="preserve"> and the trader can give liquidity at the right time. An analyst can run oracle services. The unbundling shows that it is possible to specialize in ways that weren't conceivable before. </w:t>
      </w:r>
    </w:p>
    <w:p w14:paraId="293426C9" w14:textId="77777777" w:rsidR="00CB1C39" w:rsidRPr="003C66A0" w:rsidRDefault="00CB1C39" w:rsidP="00AE1DED">
      <w:pPr>
        <w:jc w:val="both"/>
        <w:rPr>
          <w:rFonts w:eastAsiaTheme="majorEastAsia"/>
          <w:color w:val="000000" w:themeColor="text1"/>
        </w:rPr>
      </w:pPr>
    </w:p>
    <w:p w14:paraId="50C0B77F" w14:textId="27D0F537" w:rsidR="00CB1C39" w:rsidRPr="003C66A0" w:rsidRDefault="00CB1C39" w:rsidP="00AE1DED">
      <w:pPr>
        <w:jc w:val="both"/>
        <w:rPr>
          <w:rFonts w:eastAsiaTheme="majorEastAsia"/>
          <w:color w:val="000000" w:themeColor="text1"/>
        </w:rPr>
      </w:pPr>
      <w:r w:rsidRPr="003C66A0">
        <w:rPr>
          <w:rFonts w:eastAsiaTheme="majorEastAsia"/>
          <w:color w:val="000000" w:themeColor="text1"/>
        </w:rPr>
        <w:t xml:space="preserve">But for majority of the people in my study, the unbundling made things worse instead of better. They had to undertake all the middleman work themselves. This was very risky </w:t>
      </w:r>
      <w:r w:rsidR="006B47E5" w:rsidRPr="003C66A0">
        <w:rPr>
          <w:rFonts w:eastAsiaTheme="majorEastAsia"/>
          <w:color w:val="000000" w:themeColor="text1"/>
        </w:rPr>
        <w:t>and, in most cases,</w:t>
      </w:r>
      <w:r w:rsidRPr="003C66A0">
        <w:rPr>
          <w:rFonts w:eastAsiaTheme="majorEastAsia"/>
          <w:color w:val="000000" w:themeColor="text1"/>
        </w:rPr>
        <w:t xml:space="preserve"> detrimental to their profit as </w:t>
      </w:r>
      <w:r w:rsidR="006B47E5" w:rsidRPr="003C66A0">
        <w:rPr>
          <w:rFonts w:eastAsiaTheme="majorEastAsia"/>
          <w:color w:val="000000" w:themeColor="text1"/>
        </w:rPr>
        <w:t>they</w:t>
      </w:r>
      <w:r w:rsidRPr="003C66A0">
        <w:rPr>
          <w:rFonts w:eastAsiaTheme="majorEastAsia"/>
          <w:color w:val="000000" w:themeColor="text1"/>
        </w:rPr>
        <w:t xml:space="preserve"> did not even have the skills, infrastructure, or money to do it well. </w:t>
      </w:r>
      <w:r w:rsidR="006B47E5" w:rsidRPr="003C66A0">
        <w:rPr>
          <w:rFonts w:eastAsiaTheme="majorEastAsia"/>
          <w:color w:val="000000" w:themeColor="text1"/>
        </w:rPr>
        <w:t>The high failure rate documented earlier illustrates this mismatch</w:t>
      </w:r>
      <w:r w:rsidRPr="003C66A0">
        <w:rPr>
          <w:rFonts w:eastAsiaTheme="majorEastAsia"/>
          <w:color w:val="000000" w:themeColor="text1"/>
        </w:rPr>
        <w:t xml:space="preserve">. Participants simply assumed they were getting passive income, but they were </w:t>
      </w:r>
      <w:r w:rsidR="003264F5" w:rsidRPr="003C66A0">
        <w:rPr>
          <w:rFonts w:eastAsiaTheme="majorEastAsia"/>
          <w:color w:val="000000" w:themeColor="text1"/>
        </w:rPr>
        <w:t>running</w:t>
      </w:r>
      <w:r w:rsidRPr="003C66A0">
        <w:rPr>
          <w:rFonts w:eastAsiaTheme="majorEastAsia"/>
          <w:color w:val="000000" w:themeColor="text1"/>
        </w:rPr>
        <w:t xml:space="preserve"> complicated financial activities that they weren't ready to handle.</w:t>
      </w:r>
    </w:p>
    <w:p w14:paraId="3F803E18" w14:textId="77777777" w:rsidR="0010086C" w:rsidRPr="003C66A0" w:rsidRDefault="0010086C" w:rsidP="00AE1DED">
      <w:pPr>
        <w:jc w:val="both"/>
        <w:rPr>
          <w:rFonts w:eastAsiaTheme="majorEastAsia"/>
          <w:color w:val="000000" w:themeColor="text1"/>
        </w:rPr>
      </w:pPr>
    </w:p>
    <w:p w14:paraId="3A6EC497" w14:textId="119DDAEC" w:rsidR="0076579E" w:rsidRPr="003C66A0" w:rsidRDefault="008D6F57" w:rsidP="00AE1DED">
      <w:pPr>
        <w:pStyle w:val="Heading3"/>
        <w:rPr>
          <w:rFonts w:eastAsiaTheme="majorEastAsia"/>
        </w:rPr>
      </w:pPr>
      <w:bookmarkStart w:id="237" w:name="_Toc214722043"/>
      <w:r w:rsidRPr="003C66A0">
        <w:rPr>
          <w:rFonts w:eastAsiaTheme="majorEastAsia"/>
        </w:rPr>
        <w:t>11</w:t>
      </w:r>
      <w:r w:rsidR="0076579E" w:rsidRPr="003C66A0">
        <w:rPr>
          <w:rFonts w:eastAsiaTheme="majorEastAsia"/>
        </w:rPr>
        <w:t>.2.2 Capital Formation in Algorithmic Markets</w:t>
      </w:r>
      <w:bookmarkEnd w:id="237"/>
    </w:p>
    <w:p w14:paraId="6E7EF0EB" w14:textId="5C0FE97E" w:rsidR="004042DD" w:rsidRPr="003C66A0" w:rsidRDefault="004042DD" w:rsidP="00AE1DED">
      <w:pPr>
        <w:jc w:val="both"/>
        <w:rPr>
          <w:rFonts w:eastAsiaTheme="majorEastAsia"/>
          <w:color w:val="000000" w:themeColor="text1"/>
        </w:rPr>
      </w:pPr>
      <w:r w:rsidRPr="003C66A0">
        <w:rPr>
          <w:rFonts w:eastAsiaTheme="majorEastAsia"/>
          <w:color w:val="000000" w:themeColor="text1"/>
        </w:rPr>
        <w:t xml:space="preserve">This research outlines a novel capital formation pattern: step-function dynamics characterized by abrupt jumps instead of gradual accumulation. Traditional compound interest is based on the premise of continuous growth (Fisher, 1930) but DeFi demonstrates a pattern of gradual accumulation interrupted by abrupt increases or significant downturns (Gould &amp; Eldredge, 1977). </w:t>
      </w:r>
    </w:p>
    <w:p w14:paraId="16ED5718" w14:textId="77777777" w:rsidR="004042DD" w:rsidRPr="003C66A0" w:rsidRDefault="004042DD" w:rsidP="00AE1DED">
      <w:pPr>
        <w:jc w:val="both"/>
        <w:rPr>
          <w:rFonts w:eastAsiaTheme="majorEastAsia"/>
          <w:color w:val="000000" w:themeColor="text1"/>
        </w:rPr>
      </w:pPr>
    </w:p>
    <w:p w14:paraId="2A32E09A" w14:textId="77777777" w:rsidR="004042DD" w:rsidRPr="003C66A0" w:rsidRDefault="004042DD" w:rsidP="00AE1DED">
      <w:pPr>
        <w:jc w:val="both"/>
        <w:rPr>
          <w:rFonts w:eastAsiaTheme="majorEastAsia"/>
          <w:color w:val="000000" w:themeColor="text1"/>
        </w:rPr>
      </w:pPr>
      <w:r w:rsidRPr="003C66A0">
        <w:rPr>
          <w:rFonts w:eastAsiaTheme="majorEastAsia"/>
          <w:color w:val="000000" w:themeColor="text1"/>
        </w:rPr>
        <w:t>Based on this, the pattern requires various mental frameworks to understand that success is achieved by enduring long enough to seize rare opportunities. It also requires steering clear of significant losses, rather than focusing on steady returns (Taleb, 2007).</w:t>
      </w:r>
    </w:p>
    <w:p w14:paraId="55DCE2B0" w14:textId="77777777" w:rsidR="0010086C" w:rsidRPr="003C66A0" w:rsidRDefault="0010086C" w:rsidP="00AE1DED">
      <w:pPr>
        <w:jc w:val="both"/>
        <w:rPr>
          <w:rFonts w:eastAsiaTheme="majorEastAsia"/>
          <w:color w:val="000000" w:themeColor="text1"/>
        </w:rPr>
      </w:pPr>
    </w:p>
    <w:p w14:paraId="02846D6B" w14:textId="2582A2CE" w:rsidR="0076579E" w:rsidRPr="003C66A0" w:rsidRDefault="008D6F57" w:rsidP="00AE1DED">
      <w:pPr>
        <w:pStyle w:val="Heading3"/>
        <w:rPr>
          <w:rFonts w:eastAsiaTheme="majorEastAsia"/>
        </w:rPr>
      </w:pPr>
      <w:bookmarkStart w:id="238" w:name="_Toc214722044"/>
      <w:r w:rsidRPr="003C66A0">
        <w:rPr>
          <w:rFonts w:eastAsiaTheme="majorEastAsia"/>
        </w:rPr>
        <w:t>11</w:t>
      </w:r>
      <w:r w:rsidR="0076579E" w:rsidRPr="003C66A0">
        <w:rPr>
          <w:rFonts w:eastAsiaTheme="majorEastAsia"/>
        </w:rPr>
        <w:t>.2.3 Anti-Inductive Market Dynamics</w:t>
      </w:r>
      <w:bookmarkEnd w:id="238"/>
    </w:p>
    <w:p w14:paraId="42B55CD3" w14:textId="4997D772" w:rsidR="004042DD" w:rsidRPr="003C66A0" w:rsidRDefault="004042DD" w:rsidP="00AE1DED">
      <w:pPr>
        <w:jc w:val="both"/>
        <w:rPr>
          <w:rFonts w:eastAsiaTheme="majorEastAsia"/>
          <w:color w:val="000000" w:themeColor="text1"/>
        </w:rPr>
      </w:pPr>
      <w:r w:rsidRPr="003C66A0">
        <w:rPr>
          <w:rFonts w:eastAsiaTheme="majorEastAsia"/>
          <w:color w:val="000000" w:themeColor="text1"/>
        </w:rPr>
        <w:t xml:space="preserve">This study also presents empirical evidence for anti-inductivity in financial </w:t>
      </w:r>
      <w:proofErr w:type="gramStart"/>
      <w:r w:rsidRPr="003C66A0">
        <w:rPr>
          <w:rFonts w:eastAsiaTheme="majorEastAsia"/>
          <w:color w:val="000000" w:themeColor="text1"/>
        </w:rPr>
        <w:t>markets—</w:t>
      </w:r>
      <w:proofErr w:type="gramEnd"/>
      <w:r w:rsidRPr="003C66A0">
        <w:rPr>
          <w:rFonts w:eastAsiaTheme="majorEastAsia"/>
          <w:color w:val="000000" w:themeColor="text1"/>
        </w:rPr>
        <w:t xml:space="preserve">the inclination for patterns to unravel upon their discovery (Soros, 1987). Strategies that have achieved 70% historical success have seen a decline down to 50% as markets evolved according to my empirical sample. </w:t>
      </w:r>
    </w:p>
    <w:p w14:paraId="47D8446A" w14:textId="77777777" w:rsidR="004042DD" w:rsidRPr="003C66A0" w:rsidRDefault="004042DD" w:rsidP="00AE1DED">
      <w:pPr>
        <w:jc w:val="both"/>
        <w:rPr>
          <w:rFonts w:eastAsiaTheme="majorEastAsia"/>
          <w:color w:val="000000" w:themeColor="text1"/>
        </w:rPr>
      </w:pPr>
    </w:p>
    <w:p w14:paraId="42B6EC6F" w14:textId="53DFF3C1" w:rsidR="004042DD" w:rsidRPr="003C66A0" w:rsidRDefault="004042DD" w:rsidP="00AE1DED">
      <w:pPr>
        <w:jc w:val="both"/>
        <w:rPr>
          <w:rFonts w:eastAsiaTheme="majorEastAsia"/>
          <w:color w:val="000000" w:themeColor="text1"/>
        </w:rPr>
      </w:pPr>
      <w:r w:rsidRPr="003C66A0">
        <w:rPr>
          <w:rFonts w:eastAsiaTheme="majorEastAsia"/>
          <w:color w:val="000000" w:themeColor="text1"/>
        </w:rPr>
        <w:t>This discovery calls into question the optimization methods that rely on the assumption of stable relationships. In markets that are characterized by anti-induction, the sole enduring advantages within the ongoing pursuit of new advantages (Schumpeter, 1942).</w:t>
      </w:r>
    </w:p>
    <w:p w14:paraId="674FDDA4" w14:textId="77777777" w:rsidR="0010086C" w:rsidRPr="003C66A0" w:rsidRDefault="0010086C" w:rsidP="00AE1DED">
      <w:pPr>
        <w:jc w:val="both"/>
        <w:rPr>
          <w:rFonts w:eastAsiaTheme="majorEastAsia"/>
          <w:color w:val="000000" w:themeColor="text1"/>
        </w:rPr>
      </w:pPr>
    </w:p>
    <w:p w14:paraId="77B12B2C" w14:textId="77777777" w:rsidR="0061510C" w:rsidRDefault="00A47B30" w:rsidP="00AE1DED">
      <w:pPr>
        <w:pStyle w:val="Heading3"/>
      </w:pPr>
      <w:bookmarkStart w:id="239" w:name="_Toc214722045"/>
      <w:r w:rsidRPr="00A47B30">
        <w:t>11.2.4 The Accessibility Gradient: A New Framework</w:t>
      </w:r>
      <w:bookmarkEnd w:id="239"/>
    </w:p>
    <w:p w14:paraId="79A1D8A6" w14:textId="4FE3F815" w:rsidR="00E06C30" w:rsidRPr="0061510C" w:rsidRDefault="00E06C30" w:rsidP="00AE1DED">
      <w:pPr>
        <w:jc w:val="both"/>
        <w:rPr>
          <w:rFonts w:eastAsiaTheme="majorEastAsia"/>
        </w:rPr>
      </w:pPr>
      <w:r w:rsidRPr="0061510C">
        <w:rPr>
          <w:rFonts w:eastAsiaTheme="majorEastAsia"/>
        </w:rPr>
        <w:t xml:space="preserve">This study presents the notion of an "accessibility gradient" to show how DeFi establishes several, layered entrance points instead of a simplistic accessible/inaccessible dichotomy. In traditional financial markets, there are threshold effects, which mean that participants are either qualified (they fulfill the minimum capital, accreditation, or institutional requirements) or they are not allowed to participate at all (Lusardi &amp; Mitchell, 2014). The spectrum of accessibility challenges this either-or approach by demonstrating ongoing diversity in the </w:t>
      </w:r>
      <w:r w:rsidR="00C96219" w:rsidRPr="0061510C">
        <w:rPr>
          <w:rFonts w:eastAsiaTheme="majorEastAsia"/>
        </w:rPr>
        <w:t>different</w:t>
      </w:r>
      <w:r w:rsidRPr="0061510C">
        <w:rPr>
          <w:rFonts w:eastAsiaTheme="majorEastAsia"/>
        </w:rPr>
        <w:t xml:space="preserve"> and viable participation levels among different investment categories. </w:t>
      </w:r>
      <w:r w:rsidR="00C96219" w:rsidRPr="0061510C">
        <w:rPr>
          <w:rFonts w:eastAsiaTheme="majorEastAsia"/>
        </w:rPr>
        <w:t>This</w:t>
      </w:r>
      <w:r w:rsidRPr="0061510C">
        <w:rPr>
          <w:rFonts w:eastAsiaTheme="majorEastAsia"/>
        </w:rPr>
        <w:t xml:space="preserve"> also shows where each level features distinct opportunity structures, risk evaluations, and expected returns.</w:t>
      </w:r>
    </w:p>
    <w:p w14:paraId="33125B6A" w14:textId="77777777" w:rsidR="0061510C" w:rsidRPr="0061510C" w:rsidRDefault="0061510C" w:rsidP="00AE1DED">
      <w:pPr>
        <w:jc w:val="both"/>
        <w:rPr>
          <w:rFonts w:eastAsiaTheme="majorEastAsia"/>
        </w:rPr>
      </w:pPr>
    </w:p>
    <w:p w14:paraId="5DB4E5E8" w14:textId="638950B0" w:rsidR="007E3AAB" w:rsidRPr="00871CD7" w:rsidRDefault="007E3AAB" w:rsidP="00AE1DED">
      <w:pPr>
        <w:pStyle w:val="Heading4"/>
        <w:jc w:val="both"/>
        <w:rPr>
          <w:color w:val="000000" w:themeColor="text1"/>
        </w:rPr>
      </w:pPr>
      <w:r w:rsidRPr="00871CD7">
        <w:rPr>
          <w:color w:val="000000" w:themeColor="text1"/>
        </w:rPr>
        <w:t xml:space="preserve">11.2.4.1 </w:t>
      </w:r>
      <w:r w:rsidR="00A47B30" w:rsidRPr="00871CD7">
        <w:rPr>
          <w:color w:val="000000" w:themeColor="text1"/>
        </w:rPr>
        <w:t>Theoretical Foundations</w:t>
      </w:r>
    </w:p>
    <w:p w14:paraId="255A0161" w14:textId="77777777" w:rsidR="00C96219" w:rsidRPr="00871CD7" w:rsidRDefault="00C96219" w:rsidP="00AE1DED">
      <w:pPr>
        <w:jc w:val="both"/>
        <w:rPr>
          <w:rFonts w:eastAsiaTheme="majorEastAsia"/>
          <w:color w:val="000000" w:themeColor="text1"/>
        </w:rPr>
      </w:pPr>
      <w:r w:rsidRPr="00871CD7">
        <w:rPr>
          <w:rFonts w:eastAsiaTheme="majorEastAsia"/>
          <w:color w:val="000000" w:themeColor="text1"/>
        </w:rPr>
        <w:lastRenderedPageBreak/>
        <w:t xml:space="preserve">The accessibility gradient is based on three different theories, but it also breaks away from each in </w:t>
      </w:r>
      <w:proofErr w:type="gramStart"/>
      <w:r w:rsidRPr="00871CD7">
        <w:rPr>
          <w:rFonts w:eastAsiaTheme="majorEastAsia"/>
          <w:color w:val="000000" w:themeColor="text1"/>
        </w:rPr>
        <w:t>key ways</w:t>
      </w:r>
      <w:proofErr w:type="gramEnd"/>
      <w:r w:rsidRPr="00871CD7">
        <w:rPr>
          <w:rFonts w:eastAsiaTheme="majorEastAsia"/>
          <w:color w:val="000000" w:themeColor="text1"/>
        </w:rPr>
        <w:t xml:space="preserve">. First, it expands Piketty's (2014) examination of capital stratification beyond wealth inequality to investigate opportunity </w:t>
      </w:r>
      <w:proofErr w:type="gramStart"/>
      <w:r w:rsidRPr="00871CD7">
        <w:rPr>
          <w:rFonts w:eastAsiaTheme="majorEastAsia"/>
          <w:color w:val="000000" w:themeColor="text1"/>
        </w:rPr>
        <w:t>stratification—</w:t>
      </w:r>
      <w:proofErr w:type="gramEnd"/>
      <w:r w:rsidRPr="00871CD7">
        <w:rPr>
          <w:rFonts w:eastAsiaTheme="majorEastAsia"/>
          <w:color w:val="000000" w:themeColor="text1"/>
        </w:rPr>
        <w:t xml:space="preserve">how varying capital levels access qualitatively distinct economic chances rather than merely differing quantities of identical opportunities. Piketty shows that r &gt; g (return on capital surpasses growth), where the accessibility gradient demonstrates r(c), indicating that return is dependent on capital level. This also shows nonlinearities and discontinuities that are not seen in conventional capital theory. </w:t>
      </w:r>
    </w:p>
    <w:p w14:paraId="08F3B3F1" w14:textId="77777777" w:rsidR="00C96219" w:rsidRPr="00871CD7" w:rsidRDefault="00C96219" w:rsidP="00AE1DED">
      <w:pPr>
        <w:jc w:val="both"/>
        <w:rPr>
          <w:rFonts w:eastAsiaTheme="majorEastAsia"/>
          <w:color w:val="000000" w:themeColor="text1"/>
        </w:rPr>
      </w:pPr>
      <w:r w:rsidRPr="00871CD7">
        <w:rPr>
          <w:rFonts w:eastAsiaTheme="majorEastAsia"/>
          <w:color w:val="000000" w:themeColor="text1"/>
        </w:rPr>
        <w:t> </w:t>
      </w:r>
    </w:p>
    <w:p w14:paraId="084AE5E4" w14:textId="77777777" w:rsidR="00C96219" w:rsidRPr="00871CD7" w:rsidRDefault="00C96219" w:rsidP="00AE1DED">
      <w:pPr>
        <w:jc w:val="both"/>
        <w:rPr>
          <w:rFonts w:eastAsiaTheme="majorEastAsia"/>
          <w:color w:val="000000" w:themeColor="text1"/>
        </w:rPr>
      </w:pPr>
      <w:r w:rsidRPr="00871CD7">
        <w:rPr>
          <w:rFonts w:eastAsiaTheme="majorEastAsia"/>
          <w:color w:val="000000" w:themeColor="text1"/>
        </w:rPr>
        <w:t xml:space="preserve">Second, the framework uses transaction cost economics (Williamson, 1985) but </w:t>
      </w:r>
      <w:proofErr w:type="gramStart"/>
      <w:r w:rsidRPr="00871CD7">
        <w:rPr>
          <w:rFonts w:eastAsiaTheme="majorEastAsia"/>
          <w:color w:val="000000" w:themeColor="text1"/>
        </w:rPr>
        <w:t>it is clear that DeFi's</w:t>
      </w:r>
      <w:proofErr w:type="gramEnd"/>
      <w:r w:rsidRPr="00871CD7">
        <w:rPr>
          <w:rFonts w:eastAsiaTheme="majorEastAsia"/>
          <w:color w:val="000000" w:themeColor="text1"/>
        </w:rPr>
        <w:t xml:space="preserve"> costs work completely differently than regular transaction costs. In the classical transaction cost theory, costs increase in a </w:t>
      </w:r>
      <w:proofErr w:type="gramStart"/>
      <w:r w:rsidRPr="00871CD7">
        <w:rPr>
          <w:rFonts w:eastAsiaTheme="majorEastAsia"/>
          <w:color w:val="000000" w:themeColor="text1"/>
        </w:rPr>
        <w:t>fairly linear</w:t>
      </w:r>
      <w:proofErr w:type="gramEnd"/>
      <w:r w:rsidRPr="00871CD7">
        <w:rPr>
          <w:rFonts w:eastAsiaTheme="majorEastAsia"/>
          <w:color w:val="000000" w:themeColor="text1"/>
        </w:rPr>
        <w:t xml:space="preserve"> way as the size of the transaction increases. This is called economies of scale. But DeFi's fixed gas costs create step functions, which means that costs stay the same no matter how big the transaction is. The gas costs </w:t>
      </w:r>
      <w:proofErr w:type="gramStart"/>
      <w:r w:rsidRPr="00871CD7">
        <w:rPr>
          <w:rFonts w:eastAsiaTheme="majorEastAsia"/>
          <w:color w:val="000000" w:themeColor="text1"/>
        </w:rPr>
        <w:t>is</w:t>
      </w:r>
      <w:proofErr w:type="gramEnd"/>
      <w:r w:rsidRPr="00871CD7">
        <w:rPr>
          <w:rFonts w:eastAsiaTheme="majorEastAsia"/>
          <w:color w:val="000000" w:themeColor="text1"/>
        </w:rPr>
        <w:t xml:space="preserve"> impacted when the network gets too busy, at which point they jump suddenly and vice versa. This creates risks that make it hard to participate, no matter how skilled the participant is or what strategy is being used. This approach is very different from traditional finance, where competence may sometimes make up for lack of </w:t>
      </w:r>
      <w:proofErr w:type="gramStart"/>
      <w:r w:rsidRPr="00871CD7">
        <w:rPr>
          <w:rFonts w:eastAsiaTheme="majorEastAsia"/>
          <w:color w:val="000000" w:themeColor="text1"/>
        </w:rPr>
        <w:t>capita</w:t>
      </w:r>
      <w:proofErr w:type="gramEnd"/>
    </w:p>
    <w:p w14:paraId="7CA83BDC" w14:textId="77777777" w:rsidR="00C96219" w:rsidRPr="00871CD7" w:rsidRDefault="00C96219" w:rsidP="00AE1DED">
      <w:pPr>
        <w:jc w:val="both"/>
        <w:rPr>
          <w:rFonts w:eastAsiaTheme="majorEastAsia"/>
          <w:color w:val="000000" w:themeColor="text1"/>
        </w:rPr>
      </w:pPr>
    </w:p>
    <w:p w14:paraId="11692C8B" w14:textId="6FA3DED3" w:rsidR="00C96219" w:rsidRPr="00871CD7" w:rsidRDefault="00C96219" w:rsidP="00AE1DED">
      <w:pPr>
        <w:jc w:val="both"/>
        <w:rPr>
          <w:rFonts w:eastAsiaTheme="majorEastAsia"/>
          <w:color w:val="000000" w:themeColor="text1"/>
        </w:rPr>
      </w:pPr>
      <w:r w:rsidRPr="00871CD7">
        <w:rPr>
          <w:rFonts w:eastAsiaTheme="majorEastAsia"/>
          <w:color w:val="000000" w:themeColor="text1"/>
        </w:rPr>
        <w:t>Third, the accessibility gradient interacts with financial inclusion literature (</w:t>
      </w:r>
      <w:proofErr w:type="spellStart"/>
      <w:r w:rsidRPr="00871CD7">
        <w:rPr>
          <w:rFonts w:eastAsiaTheme="majorEastAsia"/>
          <w:color w:val="000000" w:themeColor="text1"/>
        </w:rPr>
        <w:t>Demirgüç</w:t>
      </w:r>
      <w:proofErr w:type="spellEnd"/>
      <w:r w:rsidRPr="00871CD7">
        <w:rPr>
          <w:rFonts w:eastAsiaTheme="majorEastAsia"/>
          <w:color w:val="000000" w:themeColor="text1"/>
        </w:rPr>
        <w:t>-Kunt et al., 2018) while illustrating a paradox: technical accessibility devoid of economic feasibility. The literature on mobile banking demonstrates how technology can enhance financial accessibility for previously marginalized groups. DeFi is very easy to use from a technical standpoint; anyone with an internet connection and $100 may join. However, my research shows that 81% of positions below $3,500 failed economically. Technical hurdles were reduced, only to be supplanted by economic barriers of similar discriminatory impact.</w:t>
      </w:r>
    </w:p>
    <w:p w14:paraId="14FE1EB1" w14:textId="77777777" w:rsidR="00C96219" w:rsidRPr="00871CD7" w:rsidRDefault="00C96219" w:rsidP="00AE1DED">
      <w:pPr>
        <w:jc w:val="both"/>
        <w:rPr>
          <w:rFonts w:eastAsiaTheme="majorEastAsia"/>
          <w:color w:val="000000" w:themeColor="text1"/>
        </w:rPr>
      </w:pPr>
    </w:p>
    <w:p w14:paraId="6597E76E" w14:textId="26306C18" w:rsidR="0038318C" w:rsidRPr="00871CD7" w:rsidRDefault="007E3AAB" w:rsidP="00AE1DED">
      <w:pPr>
        <w:pStyle w:val="Heading4"/>
        <w:jc w:val="both"/>
        <w:rPr>
          <w:color w:val="000000" w:themeColor="text1"/>
        </w:rPr>
      </w:pPr>
      <w:r w:rsidRPr="00871CD7">
        <w:rPr>
          <w:color w:val="000000" w:themeColor="text1"/>
        </w:rPr>
        <w:t xml:space="preserve">11.2.4.2 </w:t>
      </w:r>
      <w:r w:rsidR="0038318C" w:rsidRPr="00871CD7">
        <w:rPr>
          <w:color w:val="000000" w:themeColor="text1"/>
        </w:rPr>
        <w:t>Mathematical Representation of the Gradient</w:t>
      </w:r>
    </w:p>
    <w:p w14:paraId="096E45EE" w14:textId="77777777" w:rsidR="0038318C" w:rsidRPr="00871CD7" w:rsidRDefault="0038318C" w:rsidP="00AE1DED">
      <w:pPr>
        <w:jc w:val="both"/>
        <w:rPr>
          <w:color w:val="000000" w:themeColor="text1"/>
        </w:rPr>
      </w:pPr>
      <w:r w:rsidRPr="00871CD7">
        <w:rPr>
          <w:color w:val="000000" w:themeColor="text1"/>
        </w:rPr>
        <w:t>The accessibility gradient can be represented as a piecewise function mapping capital (C) to viable strategies (S) and expected returns (R):</w:t>
      </w:r>
    </w:p>
    <w:p w14:paraId="38E4B3BD" w14:textId="77777777" w:rsidR="00C96219" w:rsidRPr="00871CD7" w:rsidRDefault="00C96219" w:rsidP="00AE1DED">
      <w:pPr>
        <w:jc w:val="both"/>
        <w:rPr>
          <w:color w:val="000000" w:themeColor="text1"/>
        </w:rPr>
      </w:pPr>
    </w:p>
    <w:p w14:paraId="667D79F3" w14:textId="4FFD063A" w:rsidR="0038318C" w:rsidRPr="00871CD7" w:rsidRDefault="0038318C" w:rsidP="00AE1DED">
      <w:pPr>
        <w:jc w:val="both"/>
        <w:rPr>
          <w:color w:val="000000" w:themeColor="text1"/>
        </w:rPr>
      </w:pPr>
      <w:r w:rsidRPr="00871CD7">
        <w:rPr>
          <w:color w:val="000000" w:themeColor="text1"/>
        </w:rPr>
        <w:t>For C &lt; $750: S = Ø (empty set), R = undefined</w:t>
      </w:r>
    </w:p>
    <w:p w14:paraId="76BC4BD8" w14:textId="77777777" w:rsidR="0038318C" w:rsidRPr="00871CD7" w:rsidRDefault="0038318C" w:rsidP="00AE1DED">
      <w:pPr>
        <w:numPr>
          <w:ilvl w:val="0"/>
          <w:numId w:val="159"/>
        </w:numPr>
        <w:jc w:val="both"/>
        <w:rPr>
          <w:color w:val="000000" w:themeColor="text1"/>
        </w:rPr>
      </w:pPr>
      <w:r w:rsidRPr="00871CD7">
        <w:rPr>
          <w:color w:val="000000" w:themeColor="text1"/>
        </w:rPr>
        <w:t>No economically viable strategies on any network</w:t>
      </w:r>
    </w:p>
    <w:p w14:paraId="30B6A53D" w14:textId="77777777" w:rsidR="0038318C" w:rsidRPr="00871CD7" w:rsidRDefault="0038318C" w:rsidP="00AE1DED">
      <w:pPr>
        <w:jc w:val="both"/>
        <w:rPr>
          <w:color w:val="000000" w:themeColor="text1"/>
        </w:rPr>
      </w:pPr>
      <w:r w:rsidRPr="00871CD7">
        <w:rPr>
          <w:color w:val="000000" w:themeColor="text1"/>
        </w:rPr>
        <w:t>For $750 ≤ C &lt; $3,500: S = {stablecoin LP on alt-</w:t>
      </w:r>
      <w:proofErr w:type="gramStart"/>
      <w:r w:rsidRPr="00871CD7">
        <w:rPr>
          <w:color w:val="000000" w:themeColor="text1"/>
        </w:rPr>
        <w:t>L1},</w:t>
      </w:r>
      <w:proofErr w:type="gramEnd"/>
      <w:r w:rsidRPr="00871CD7">
        <w:rPr>
          <w:color w:val="000000" w:themeColor="text1"/>
        </w:rPr>
        <w:t xml:space="preserve"> R ≈ 3-5%</w:t>
      </w:r>
    </w:p>
    <w:p w14:paraId="69EDF418" w14:textId="77777777" w:rsidR="0038318C" w:rsidRPr="00871CD7" w:rsidRDefault="0038318C" w:rsidP="00AE1DED">
      <w:pPr>
        <w:numPr>
          <w:ilvl w:val="0"/>
          <w:numId w:val="160"/>
        </w:numPr>
        <w:jc w:val="both"/>
        <w:rPr>
          <w:color w:val="000000" w:themeColor="text1"/>
        </w:rPr>
      </w:pPr>
      <w:r w:rsidRPr="00871CD7">
        <w:rPr>
          <w:color w:val="000000" w:themeColor="text1"/>
        </w:rPr>
        <w:t>Single viable strategy, minimal returns, high failure risk (81%)</w:t>
      </w:r>
    </w:p>
    <w:p w14:paraId="68BA1BE0" w14:textId="77777777" w:rsidR="0038318C" w:rsidRPr="00871CD7" w:rsidRDefault="0038318C" w:rsidP="00AE1DED">
      <w:pPr>
        <w:jc w:val="both"/>
        <w:rPr>
          <w:color w:val="000000" w:themeColor="text1"/>
        </w:rPr>
      </w:pPr>
      <w:r w:rsidRPr="00871CD7">
        <w:rPr>
          <w:color w:val="000000" w:themeColor="text1"/>
        </w:rPr>
        <w:t xml:space="preserve">For $3,500 ≤ C &lt; $25,000: S = {stablecoins, correlated pairs on </w:t>
      </w:r>
      <w:proofErr w:type="gramStart"/>
      <w:r w:rsidRPr="00871CD7">
        <w:rPr>
          <w:color w:val="000000" w:themeColor="text1"/>
        </w:rPr>
        <w:t>L2},</w:t>
      </w:r>
      <w:proofErr w:type="gramEnd"/>
      <w:r w:rsidRPr="00871CD7">
        <w:rPr>
          <w:color w:val="000000" w:themeColor="text1"/>
        </w:rPr>
        <w:t xml:space="preserve"> R ≈ 5-8%</w:t>
      </w:r>
    </w:p>
    <w:p w14:paraId="46CC5470" w14:textId="77777777" w:rsidR="0038318C" w:rsidRPr="00871CD7" w:rsidRDefault="0038318C" w:rsidP="00AE1DED">
      <w:pPr>
        <w:numPr>
          <w:ilvl w:val="0"/>
          <w:numId w:val="161"/>
        </w:numPr>
        <w:jc w:val="both"/>
        <w:rPr>
          <w:color w:val="000000" w:themeColor="text1"/>
        </w:rPr>
      </w:pPr>
      <w:r w:rsidRPr="00871CD7">
        <w:rPr>
          <w:color w:val="000000" w:themeColor="text1"/>
        </w:rPr>
        <w:t>Limited strategy set, moderate returns, substantial failure risk (69%)</w:t>
      </w:r>
    </w:p>
    <w:p w14:paraId="27D03464" w14:textId="77777777" w:rsidR="0038318C" w:rsidRPr="00871CD7" w:rsidRDefault="0038318C" w:rsidP="00AE1DED">
      <w:pPr>
        <w:jc w:val="both"/>
        <w:rPr>
          <w:color w:val="000000" w:themeColor="text1"/>
        </w:rPr>
      </w:pPr>
      <w:r w:rsidRPr="00871CD7">
        <w:rPr>
          <w:color w:val="000000" w:themeColor="text1"/>
        </w:rPr>
        <w:t xml:space="preserve">For $25,000 ≤ C &lt; $100,000: S = {all L2, </w:t>
      </w:r>
      <w:proofErr w:type="spellStart"/>
      <w:r w:rsidRPr="00871CD7">
        <w:rPr>
          <w:color w:val="000000" w:themeColor="text1"/>
        </w:rPr>
        <w:t>mainnet</w:t>
      </w:r>
      <w:proofErr w:type="spellEnd"/>
      <w:r w:rsidRPr="00871CD7">
        <w:rPr>
          <w:color w:val="000000" w:themeColor="text1"/>
        </w:rPr>
        <w:t xml:space="preserve"> entry, diversification}, R ≈ 8-12%</w:t>
      </w:r>
    </w:p>
    <w:p w14:paraId="7976A2C9" w14:textId="77777777" w:rsidR="0038318C" w:rsidRPr="00871CD7" w:rsidRDefault="0038318C" w:rsidP="00AE1DED">
      <w:pPr>
        <w:numPr>
          <w:ilvl w:val="0"/>
          <w:numId w:val="162"/>
        </w:numPr>
        <w:jc w:val="both"/>
        <w:rPr>
          <w:color w:val="000000" w:themeColor="text1"/>
        </w:rPr>
      </w:pPr>
      <w:r w:rsidRPr="00871CD7">
        <w:rPr>
          <w:color w:val="000000" w:themeColor="text1"/>
        </w:rPr>
        <w:t>Expanded strategy set, improved returns, reduced but significant failure risk (62%)</w:t>
      </w:r>
    </w:p>
    <w:p w14:paraId="574FFDA4" w14:textId="77777777" w:rsidR="0038318C" w:rsidRPr="00871CD7" w:rsidRDefault="0038318C" w:rsidP="00AE1DED">
      <w:pPr>
        <w:jc w:val="both"/>
        <w:rPr>
          <w:color w:val="000000" w:themeColor="text1"/>
        </w:rPr>
      </w:pPr>
      <w:r w:rsidRPr="00871CD7">
        <w:rPr>
          <w:color w:val="000000" w:themeColor="text1"/>
        </w:rPr>
        <w:t xml:space="preserve">For C ≥ $100,000: S = {full strategy space, automation, </w:t>
      </w:r>
      <w:proofErr w:type="gramStart"/>
      <w:r w:rsidRPr="00871CD7">
        <w:rPr>
          <w:color w:val="000000" w:themeColor="text1"/>
        </w:rPr>
        <w:t>concentration},</w:t>
      </w:r>
      <w:proofErr w:type="gramEnd"/>
      <w:r w:rsidRPr="00871CD7">
        <w:rPr>
          <w:color w:val="000000" w:themeColor="text1"/>
        </w:rPr>
        <w:t xml:space="preserve"> R ≈ 15-25%</w:t>
      </w:r>
    </w:p>
    <w:p w14:paraId="32C269C0" w14:textId="77777777" w:rsidR="0038318C" w:rsidRPr="00871CD7" w:rsidRDefault="0038318C" w:rsidP="00AE1DED">
      <w:pPr>
        <w:numPr>
          <w:ilvl w:val="0"/>
          <w:numId w:val="163"/>
        </w:numPr>
        <w:jc w:val="both"/>
        <w:rPr>
          <w:color w:val="000000" w:themeColor="text1"/>
        </w:rPr>
      </w:pPr>
      <w:r w:rsidRPr="00871CD7">
        <w:rPr>
          <w:color w:val="000000" w:themeColor="text1"/>
        </w:rPr>
        <w:t>Complete strategy access, sophisticated approaches, institutional competition</w:t>
      </w:r>
    </w:p>
    <w:p w14:paraId="1A231524" w14:textId="77777777" w:rsidR="000A6836" w:rsidRPr="00871CD7" w:rsidRDefault="000A6836" w:rsidP="00AE1DED">
      <w:pPr>
        <w:jc w:val="both"/>
        <w:rPr>
          <w:color w:val="000000" w:themeColor="text1"/>
        </w:rPr>
      </w:pPr>
    </w:p>
    <w:p w14:paraId="675FB72D" w14:textId="0456B9C9" w:rsidR="0038318C" w:rsidRPr="00871CD7" w:rsidRDefault="0038318C" w:rsidP="00AE1DED">
      <w:pPr>
        <w:jc w:val="both"/>
        <w:rPr>
          <w:color w:val="000000" w:themeColor="text1"/>
        </w:rPr>
      </w:pPr>
      <w:r w:rsidRPr="00871CD7">
        <w:rPr>
          <w:color w:val="000000" w:themeColor="text1"/>
        </w:rPr>
        <w:t xml:space="preserve">This </w:t>
      </w:r>
      <w:r w:rsidR="000A6836" w:rsidRPr="00871CD7">
        <w:rPr>
          <w:color w:val="000000" w:themeColor="text1"/>
        </w:rPr>
        <w:t>data</w:t>
      </w:r>
      <w:r w:rsidRPr="00871CD7">
        <w:rPr>
          <w:color w:val="000000" w:themeColor="text1"/>
        </w:rPr>
        <w:t xml:space="preserve"> exhibits three critical properties distinguishing it from traditional finance:</w:t>
      </w:r>
    </w:p>
    <w:p w14:paraId="3040B9AB" w14:textId="77777777" w:rsidR="00EC3418" w:rsidRDefault="00EC3418" w:rsidP="00AE1DED">
      <w:pPr>
        <w:jc w:val="both"/>
        <w:rPr>
          <w:b/>
          <w:bCs/>
          <w:i/>
          <w:iCs/>
          <w:color w:val="000000" w:themeColor="text1"/>
        </w:rPr>
      </w:pPr>
    </w:p>
    <w:p w14:paraId="5E031DAD" w14:textId="4A761CEE" w:rsidR="0038318C" w:rsidRPr="00871CD7" w:rsidRDefault="0038318C" w:rsidP="00AE1DED">
      <w:pPr>
        <w:jc w:val="both"/>
        <w:rPr>
          <w:color w:val="000000" w:themeColor="text1"/>
        </w:rPr>
      </w:pPr>
      <w:r w:rsidRPr="00871CD7">
        <w:rPr>
          <w:b/>
          <w:bCs/>
          <w:i/>
          <w:iCs/>
          <w:color w:val="000000" w:themeColor="text1"/>
        </w:rPr>
        <w:t>Property 1: Discontinuity</w:t>
      </w:r>
      <w:r w:rsidRPr="00871CD7">
        <w:rPr>
          <w:i/>
          <w:iCs/>
          <w:color w:val="000000" w:themeColor="text1"/>
        </w:rPr>
        <w:t>.</w:t>
      </w:r>
      <w:r w:rsidRPr="00871CD7">
        <w:rPr>
          <w:color w:val="000000" w:themeColor="text1"/>
        </w:rPr>
        <w:t xml:space="preserve"> The function jumps at </w:t>
      </w:r>
      <w:proofErr w:type="gramStart"/>
      <w:r w:rsidRPr="00871CD7">
        <w:rPr>
          <w:color w:val="000000" w:themeColor="text1"/>
        </w:rPr>
        <w:t>threshold points</w:t>
      </w:r>
      <w:proofErr w:type="gramEnd"/>
      <w:r w:rsidRPr="00871CD7">
        <w:rPr>
          <w:color w:val="000000" w:themeColor="text1"/>
        </w:rPr>
        <w:t xml:space="preserve"> ($750, $3,500, $25,000) rather than varying smoothly. A participant with $24,900 faces fundamentally different opportunities than one with $25,100, despite only $200 difference</w:t>
      </w:r>
      <w:r w:rsidR="000A6836" w:rsidRPr="00871CD7">
        <w:rPr>
          <w:color w:val="000000" w:themeColor="text1"/>
        </w:rPr>
        <w:t>. This is due to the</w:t>
      </w:r>
      <w:r w:rsidRPr="00871CD7">
        <w:rPr>
          <w:color w:val="000000" w:themeColor="text1"/>
        </w:rPr>
        <w:t xml:space="preserve"> threshold effect</w:t>
      </w:r>
      <w:r w:rsidR="00F06912" w:rsidRPr="00871CD7">
        <w:rPr>
          <w:color w:val="000000" w:themeColor="text1"/>
        </w:rPr>
        <w:t xml:space="preserve"> (Davies, 2025).</w:t>
      </w:r>
    </w:p>
    <w:p w14:paraId="66A53CD5" w14:textId="4AAE1D9C" w:rsidR="0038318C" w:rsidRPr="00871CD7" w:rsidRDefault="0038318C" w:rsidP="00AE1DED">
      <w:pPr>
        <w:jc w:val="both"/>
        <w:rPr>
          <w:color w:val="000000" w:themeColor="text1"/>
        </w:rPr>
      </w:pPr>
      <w:r w:rsidRPr="00871CD7">
        <w:rPr>
          <w:b/>
          <w:bCs/>
          <w:i/>
          <w:iCs/>
          <w:color w:val="000000" w:themeColor="text1"/>
        </w:rPr>
        <w:lastRenderedPageBreak/>
        <w:t>Property 2: Non-monotonicity in risk-adjusted returns.</w:t>
      </w:r>
      <w:r w:rsidRPr="00871CD7">
        <w:rPr>
          <w:color w:val="000000" w:themeColor="text1"/>
        </w:rPr>
        <w:t xml:space="preserve"> While absolute returns R(C) increase with capital, risk-adjusted returns R(C)/σ(C) do not increase monotonically</w:t>
      </w:r>
      <w:r w:rsidR="00B765F0" w:rsidRPr="00871CD7">
        <w:rPr>
          <w:color w:val="000000" w:themeColor="text1"/>
        </w:rPr>
        <w:t xml:space="preserve"> (Davies, 2025)</w:t>
      </w:r>
      <w:r w:rsidRPr="00871CD7">
        <w:rPr>
          <w:color w:val="000000" w:themeColor="text1"/>
        </w:rPr>
        <w:t xml:space="preserve">. Small positions (&lt;$3,500) show poor risk-adjusted returns due to fixed costs. Medium positions ($3,500-$25,000) achieve local optimization in risk-adjusted terms. Large positions (&gt;$100,000) face institutional </w:t>
      </w:r>
      <w:proofErr w:type="gramStart"/>
      <w:r w:rsidRPr="00871CD7">
        <w:rPr>
          <w:color w:val="000000" w:themeColor="text1"/>
        </w:rPr>
        <w:t>competition</w:t>
      </w:r>
      <w:proofErr w:type="gramEnd"/>
      <w:r w:rsidRPr="00871CD7">
        <w:rPr>
          <w:color w:val="000000" w:themeColor="text1"/>
        </w:rPr>
        <w:t xml:space="preserve"> reducing risk-adjusted returns despite higher absolute returns. This creates a "sweet spot" rather than uniform advantage to scale.</w:t>
      </w:r>
    </w:p>
    <w:p w14:paraId="745ED4E6" w14:textId="77777777" w:rsidR="00871CD7" w:rsidRDefault="00871CD7" w:rsidP="00AE1DED">
      <w:pPr>
        <w:pStyle w:val="Heading4"/>
        <w:jc w:val="both"/>
        <w:rPr>
          <w:bCs/>
          <w:i/>
          <w:iCs/>
          <w:color w:val="000000" w:themeColor="text1"/>
          <w:kern w:val="0"/>
        </w:rPr>
      </w:pPr>
    </w:p>
    <w:p w14:paraId="4566803C" w14:textId="0405FA45" w:rsidR="00F06912" w:rsidRPr="00871CD7" w:rsidRDefault="00F06912" w:rsidP="00AE1DED">
      <w:pPr>
        <w:pStyle w:val="Heading4"/>
        <w:jc w:val="both"/>
        <w:rPr>
          <w:b w:val="0"/>
          <w:color w:val="000000" w:themeColor="text1"/>
          <w:kern w:val="0"/>
        </w:rPr>
      </w:pPr>
      <w:r w:rsidRPr="00871CD7">
        <w:rPr>
          <w:bCs/>
          <w:i/>
          <w:iCs/>
          <w:color w:val="000000" w:themeColor="text1"/>
          <w:kern w:val="0"/>
        </w:rPr>
        <w:t>Property 3: Strategy-capital binding</w:t>
      </w:r>
      <w:r w:rsidRPr="00871CD7">
        <w:rPr>
          <w:bCs/>
          <w:color w:val="000000" w:themeColor="text1"/>
          <w:kern w:val="0"/>
        </w:rPr>
        <w:t>.</w:t>
      </w:r>
      <w:r w:rsidRPr="00871CD7">
        <w:rPr>
          <w:b w:val="0"/>
          <w:color w:val="000000" w:themeColor="text1"/>
          <w:kern w:val="0"/>
        </w:rPr>
        <w:t xml:space="preserve"> Unlike traditional markets where strategies scale linearly with capital, DeFi strategies bind to specific capital ranges (Author, 2025). Concentrated liquidity provision (Uniswap v3) is not simply "harder" with less capital—it is economically impossible below thresholds due to fixed gas costs overwhelming potential returns (Adams et al., 2021). This creates categorical differences in opportunity sets rather than gradual transitions.</w:t>
      </w:r>
    </w:p>
    <w:p w14:paraId="5C6B7DB1" w14:textId="77777777" w:rsidR="00F06912" w:rsidRPr="00871CD7" w:rsidRDefault="00F06912" w:rsidP="00AE1DED">
      <w:pPr>
        <w:pStyle w:val="Heading4"/>
        <w:jc w:val="both"/>
        <w:rPr>
          <w:color w:val="000000" w:themeColor="text1"/>
        </w:rPr>
      </w:pPr>
    </w:p>
    <w:p w14:paraId="758991DD" w14:textId="39797C31" w:rsidR="00BB6449" w:rsidRPr="00871CD7" w:rsidRDefault="00BB6449" w:rsidP="00AE1DED">
      <w:pPr>
        <w:jc w:val="both"/>
        <w:rPr>
          <w:color w:val="000000" w:themeColor="text1"/>
        </w:rPr>
      </w:pPr>
      <w:r w:rsidRPr="00871CD7">
        <w:rPr>
          <w:color w:val="000000" w:themeColor="text1"/>
        </w:rPr>
        <w:t>This gradient framework exhibits properties that distinguish it from traditional financial markets. In conventional finance, increased capital generally provides proportional advantages through economies of scale. However, DeFi's technical architecture creates threshold effects where viability depends on surpassing minimum capital levels necessary to absorb fixed transaction costs (Davies, 2025).</w:t>
      </w:r>
    </w:p>
    <w:p w14:paraId="72907FF6" w14:textId="77777777" w:rsidR="00BB6449" w:rsidRPr="00871CD7" w:rsidRDefault="00BB6449" w:rsidP="00AE1DED">
      <w:pPr>
        <w:jc w:val="both"/>
        <w:rPr>
          <w:color w:val="000000" w:themeColor="text1"/>
        </w:rPr>
      </w:pPr>
    </w:p>
    <w:p w14:paraId="7A95EC61" w14:textId="085267F9" w:rsidR="0038318C" w:rsidRPr="00871CD7" w:rsidRDefault="007E3AAB" w:rsidP="00AE1DED">
      <w:pPr>
        <w:pStyle w:val="Heading4"/>
        <w:jc w:val="both"/>
        <w:rPr>
          <w:color w:val="000000" w:themeColor="text1"/>
        </w:rPr>
      </w:pPr>
      <w:r w:rsidRPr="00871CD7">
        <w:rPr>
          <w:color w:val="000000" w:themeColor="text1"/>
        </w:rPr>
        <w:t xml:space="preserve">11.2.4.3 </w:t>
      </w:r>
      <w:r w:rsidR="0038318C" w:rsidRPr="00871CD7">
        <w:rPr>
          <w:color w:val="000000" w:themeColor="text1"/>
        </w:rPr>
        <w:t>Empirical Manifestation of Gradient Effects</w:t>
      </w:r>
    </w:p>
    <w:p w14:paraId="649A4CC8" w14:textId="6371B18D" w:rsidR="0038318C" w:rsidRPr="00871CD7" w:rsidRDefault="0038318C" w:rsidP="00AE1DED">
      <w:pPr>
        <w:jc w:val="both"/>
        <w:rPr>
          <w:color w:val="000000" w:themeColor="text1"/>
        </w:rPr>
      </w:pPr>
      <w:r w:rsidRPr="00871CD7">
        <w:rPr>
          <w:color w:val="000000" w:themeColor="text1"/>
        </w:rPr>
        <w:t>The gradient's effects manifest across multiple dimensions documented in Chapters 7-8</w:t>
      </w:r>
      <w:r w:rsidR="00A632DD" w:rsidRPr="00871CD7">
        <w:rPr>
          <w:color w:val="000000" w:themeColor="text1"/>
        </w:rPr>
        <w:t xml:space="preserve"> as follows:</w:t>
      </w:r>
    </w:p>
    <w:p w14:paraId="48D970B7" w14:textId="77777777" w:rsidR="00871CD7" w:rsidRDefault="00871CD7" w:rsidP="00AE1DED">
      <w:pPr>
        <w:autoSpaceDE w:val="0"/>
        <w:autoSpaceDN w:val="0"/>
        <w:adjustRightInd w:val="0"/>
        <w:jc w:val="both"/>
        <w:rPr>
          <w:rFonts w:eastAsiaTheme="minorEastAsia"/>
          <w:b/>
          <w:bCs/>
          <w:i/>
          <w:iCs/>
          <w:color w:val="000000" w:themeColor="text1"/>
        </w:rPr>
      </w:pPr>
    </w:p>
    <w:p w14:paraId="32A521C9" w14:textId="63121C6D" w:rsidR="00051619" w:rsidRPr="00871CD7" w:rsidRDefault="00051619" w:rsidP="00AE1DED">
      <w:pPr>
        <w:autoSpaceDE w:val="0"/>
        <w:autoSpaceDN w:val="0"/>
        <w:adjustRightInd w:val="0"/>
        <w:jc w:val="both"/>
        <w:rPr>
          <w:rFonts w:eastAsiaTheme="minorEastAsia"/>
          <w:color w:val="000000" w:themeColor="text1"/>
        </w:rPr>
      </w:pPr>
      <w:r w:rsidRPr="00871CD7">
        <w:rPr>
          <w:rFonts w:eastAsiaTheme="minorEastAsia"/>
          <w:b/>
          <w:bCs/>
          <w:i/>
          <w:iCs/>
          <w:color w:val="000000" w:themeColor="text1"/>
        </w:rPr>
        <w:t>Failure Rate Stratification</w:t>
      </w:r>
      <w:r w:rsidRPr="00871CD7">
        <w:rPr>
          <w:rFonts w:eastAsiaTheme="minorEastAsia"/>
          <w:b/>
          <w:bCs/>
          <w:color w:val="000000" w:themeColor="text1"/>
        </w:rPr>
        <w:t>.</w:t>
      </w:r>
      <w:r w:rsidRPr="00871CD7">
        <w:rPr>
          <w:rFonts w:eastAsiaTheme="minorEastAsia"/>
          <w:color w:val="000000" w:themeColor="text1"/>
        </w:rPr>
        <w:t xml:space="preserve"> The 73% overall failure rate (95% CI: 65%-80%) </w:t>
      </w:r>
      <w:r w:rsidR="00A632DD" w:rsidRPr="00871CD7">
        <w:rPr>
          <w:rFonts w:eastAsiaTheme="minorEastAsia"/>
          <w:color w:val="000000" w:themeColor="text1"/>
        </w:rPr>
        <w:t xml:space="preserve">hides significant variations based on </w:t>
      </w:r>
      <w:r w:rsidRPr="00871CD7">
        <w:rPr>
          <w:rFonts w:eastAsiaTheme="minorEastAsia"/>
          <w:color w:val="000000" w:themeColor="text1"/>
        </w:rPr>
        <w:t xml:space="preserve">capital ranges. Among micro-capital participants ($750-$3,500), </w:t>
      </w:r>
      <w:r w:rsidR="00A632DD" w:rsidRPr="00871CD7">
        <w:rPr>
          <w:rFonts w:eastAsiaTheme="minorEastAsia"/>
          <w:color w:val="000000" w:themeColor="text1"/>
        </w:rPr>
        <w:t xml:space="preserve">the </w:t>
      </w:r>
      <w:r w:rsidRPr="00871CD7">
        <w:rPr>
          <w:rFonts w:eastAsiaTheme="minorEastAsia"/>
          <w:color w:val="000000" w:themeColor="text1"/>
        </w:rPr>
        <w:t>failure rates reached 81%. Small-modest capital ($3,500-$25,000) showed 69% failure rates</w:t>
      </w:r>
      <w:r w:rsidR="00A632DD" w:rsidRPr="00871CD7">
        <w:rPr>
          <w:rFonts w:eastAsiaTheme="minorEastAsia"/>
          <w:color w:val="000000" w:themeColor="text1"/>
        </w:rPr>
        <w:t>, while s</w:t>
      </w:r>
      <w:r w:rsidRPr="00871CD7">
        <w:rPr>
          <w:rFonts w:eastAsiaTheme="minorEastAsia"/>
          <w:color w:val="000000" w:themeColor="text1"/>
        </w:rPr>
        <w:t xml:space="preserve">ubstantial capital ($25,000+) exhibited 62% failure rates. </w:t>
      </w:r>
      <w:r w:rsidR="00A632DD" w:rsidRPr="00871CD7">
        <w:rPr>
          <w:rFonts w:eastAsiaTheme="minorEastAsia"/>
          <w:color w:val="000000" w:themeColor="text1"/>
        </w:rPr>
        <w:t>Even though</w:t>
      </w:r>
      <w:r w:rsidRPr="00871CD7">
        <w:rPr>
          <w:rFonts w:eastAsiaTheme="minorEastAsia"/>
          <w:color w:val="000000" w:themeColor="text1"/>
        </w:rPr>
        <w:t xml:space="preserve"> all capital levels show moderately high risk, </w:t>
      </w:r>
      <w:r w:rsidR="00A632DD" w:rsidRPr="00871CD7">
        <w:rPr>
          <w:rFonts w:eastAsiaTheme="minorEastAsia"/>
          <w:color w:val="000000" w:themeColor="text1"/>
        </w:rPr>
        <w:t xml:space="preserve">the </w:t>
      </w:r>
      <w:r w:rsidRPr="00871CD7">
        <w:rPr>
          <w:rFonts w:eastAsiaTheme="minorEastAsia"/>
          <w:color w:val="000000" w:themeColor="text1"/>
        </w:rPr>
        <w:t>smaller positions face both lower absolute returns AND higher risks</w:t>
      </w:r>
      <w:r w:rsidR="00A632DD" w:rsidRPr="00871CD7">
        <w:rPr>
          <w:rFonts w:eastAsiaTheme="minorEastAsia"/>
          <w:color w:val="000000" w:themeColor="text1"/>
        </w:rPr>
        <w:t xml:space="preserve">. </w:t>
      </w:r>
      <w:r w:rsidRPr="00871CD7">
        <w:rPr>
          <w:rFonts w:eastAsiaTheme="minorEastAsia"/>
          <w:color w:val="000000" w:themeColor="text1"/>
        </w:rPr>
        <w:t>What all levels show is that the capital gradient creates differ</w:t>
      </w:r>
      <w:r w:rsidR="00A632DD" w:rsidRPr="00871CD7">
        <w:rPr>
          <w:rFonts w:eastAsiaTheme="minorEastAsia"/>
          <w:color w:val="000000" w:themeColor="text1"/>
        </w:rPr>
        <w:t xml:space="preserve">ent </w:t>
      </w:r>
      <w:r w:rsidRPr="00871CD7">
        <w:rPr>
          <w:rFonts w:eastAsiaTheme="minorEastAsia"/>
          <w:color w:val="000000" w:themeColor="text1"/>
        </w:rPr>
        <w:t xml:space="preserve">failure risks that cannot be </w:t>
      </w:r>
      <w:r w:rsidR="00A632DD" w:rsidRPr="00871CD7">
        <w:rPr>
          <w:rFonts w:eastAsiaTheme="minorEastAsia"/>
          <w:color w:val="000000" w:themeColor="text1"/>
        </w:rPr>
        <w:t>minimized</w:t>
      </w:r>
      <w:r w:rsidRPr="00871CD7">
        <w:rPr>
          <w:rFonts w:eastAsiaTheme="minorEastAsia"/>
          <w:color w:val="000000" w:themeColor="text1"/>
        </w:rPr>
        <w:t xml:space="preserve"> through skill or effort</w:t>
      </w:r>
      <w:r w:rsidR="00A632DD" w:rsidRPr="00871CD7">
        <w:rPr>
          <w:rFonts w:eastAsiaTheme="minorEastAsia"/>
          <w:color w:val="000000" w:themeColor="text1"/>
        </w:rPr>
        <w:t>. T</w:t>
      </w:r>
      <w:r w:rsidRPr="00871CD7">
        <w:rPr>
          <w:rFonts w:eastAsiaTheme="minorEastAsia"/>
          <w:color w:val="000000" w:themeColor="text1"/>
        </w:rPr>
        <w:t xml:space="preserve">he underlying structural constraints remain </w:t>
      </w:r>
      <w:r w:rsidR="00A632DD" w:rsidRPr="00871CD7">
        <w:rPr>
          <w:rFonts w:eastAsiaTheme="minorEastAsia"/>
          <w:color w:val="000000" w:themeColor="text1"/>
        </w:rPr>
        <w:t>in place.</w:t>
      </w:r>
    </w:p>
    <w:p w14:paraId="3FAC80C3" w14:textId="77777777" w:rsidR="00871CD7" w:rsidRDefault="00871CD7" w:rsidP="00AE1DED">
      <w:pPr>
        <w:autoSpaceDE w:val="0"/>
        <w:autoSpaceDN w:val="0"/>
        <w:adjustRightInd w:val="0"/>
        <w:jc w:val="both"/>
        <w:rPr>
          <w:rFonts w:eastAsiaTheme="minorEastAsia"/>
          <w:b/>
          <w:bCs/>
          <w:i/>
          <w:iCs/>
          <w:color w:val="000000" w:themeColor="text1"/>
        </w:rPr>
      </w:pPr>
    </w:p>
    <w:p w14:paraId="040DFB42" w14:textId="58C604A1" w:rsidR="00051619" w:rsidRPr="00871CD7" w:rsidRDefault="00051619" w:rsidP="00AE1DED">
      <w:pPr>
        <w:autoSpaceDE w:val="0"/>
        <w:autoSpaceDN w:val="0"/>
        <w:adjustRightInd w:val="0"/>
        <w:jc w:val="both"/>
        <w:rPr>
          <w:rFonts w:eastAsiaTheme="minorEastAsia"/>
          <w:color w:val="000000" w:themeColor="text1"/>
        </w:rPr>
      </w:pPr>
      <w:r w:rsidRPr="00871CD7">
        <w:rPr>
          <w:rFonts w:eastAsiaTheme="minorEastAsia"/>
          <w:b/>
          <w:bCs/>
          <w:i/>
          <w:iCs/>
          <w:color w:val="000000" w:themeColor="text1"/>
        </w:rPr>
        <w:t>Time Requirement Inversion</w:t>
      </w:r>
      <w:r w:rsidRPr="00871CD7">
        <w:rPr>
          <w:rFonts w:eastAsiaTheme="minorEastAsia"/>
          <w:b/>
          <w:bCs/>
          <w:color w:val="000000" w:themeColor="text1"/>
        </w:rPr>
        <w:t>.</w:t>
      </w:r>
      <w:r w:rsidRPr="00871CD7">
        <w:rPr>
          <w:rFonts w:eastAsiaTheme="minorEastAsia"/>
          <w:color w:val="000000" w:themeColor="text1"/>
        </w:rPr>
        <w:t xml:space="preserve"> Counterintuitively, smaller positions required more time investment for </w:t>
      </w:r>
      <w:r w:rsidR="00A632DD" w:rsidRPr="00871CD7">
        <w:rPr>
          <w:rFonts w:eastAsiaTheme="minorEastAsia"/>
          <w:color w:val="000000" w:themeColor="text1"/>
        </w:rPr>
        <w:t xml:space="preserve">the same </w:t>
      </w:r>
      <w:r w:rsidRPr="00871CD7">
        <w:rPr>
          <w:rFonts w:eastAsiaTheme="minorEastAsia"/>
          <w:color w:val="000000" w:themeColor="text1"/>
        </w:rPr>
        <w:t xml:space="preserve">or worse outcomes (Perez et al., 2021). Micro capital participants spent </w:t>
      </w:r>
      <w:r w:rsidR="00A632DD" w:rsidRPr="00871CD7">
        <w:rPr>
          <w:rFonts w:eastAsiaTheme="minorEastAsia"/>
          <w:color w:val="000000" w:themeColor="text1"/>
        </w:rPr>
        <w:t xml:space="preserve">a </w:t>
      </w:r>
      <w:r w:rsidRPr="00871CD7">
        <w:rPr>
          <w:rFonts w:eastAsiaTheme="minorEastAsia"/>
          <w:color w:val="000000" w:themeColor="text1"/>
        </w:rPr>
        <w:t xml:space="preserve">median </w:t>
      </w:r>
      <w:r w:rsidR="00A632DD" w:rsidRPr="00871CD7">
        <w:rPr>
          <w:rFonts w:eastAsiaTheme="minorEastAsia"/>
          <w:color w:val="000000" w:themeColor="text1"/>
        </w:rPr>
        <w:t xml:space="preserve">of </w:t>
      </w:r>
      <w:r w:rsidRPr="00871CD7">
        <w:rPr>
          <w:rFonts w:eastAsiaTheme="minorEastAsia"/>
          <w:color w:val="000000" w:themeColor="text1"/>
        </w:rPr>
        <w:t xml:space="preserve">12 hours weekly achieving 3-5% returns. While substantial capital participants spent similar time achieving 8-12% returns, they faced reduced operational demands relative to </w:t>
      </w:r>
      <w:r w:rsidR="00A632DD" w:rsidRPr="00871CD7">
        <w:rPr>
          <w:rFonts w:eastAsiaTheme="minorEastAsia"/>
          <w:color w:val="000000" w:themeColor="text1"/>
        </w:rPr>
        <w:t xml:space="preserve">the </w:t>
      </w:r>
      <w:r w:rsidRPr="00871CD7">
        <w:rPr>
          <w:rFonts w:eastAsiaTheme="minorEastAsia"/>
          <w:color w:val="000000" w:themeColor="text1"/>
        </w:rPr>
        <w:t>position size due to economies of scale in monitoring and transaction execution. The gradient inverts typical labor-capital relationships</w:t>
      </w:r>
      <w:r w:rsidR="00A632DD" w:rsidRPr="00871CD7">
        <w:rPr>
          <w:rFonts w:eastAsiaTheme="minorEastAsia"/>
          <w:color w:val="000000" w:themeColor="text1"/>
        </w:rPr>
        <w:t>. T</w:t>
      </w:r>
      <w:r w:rsidRPr="00871CD7">
        <w:rPr>
          <w:rFonts w:eastAsiaTheme="minorEastAsia"/>
          <w:color w:val="000000" w:themeColor="text1"/>
        </w:rPr>
        <w:t xml:space="preserve">hose with least </w:t>
      </w:r>
      <w:r w:rsidR="00A632DD" w:rsidRPr="00871CD7">
        <w:rPr>
          <w:rFonts w:eastAsiaTheme="minorEastAsia"/>
          <w:color w:val="000000" w:themeColor="text1"/>
        </w:rPr>
        <w:t xml:space="preserve">amount of </w:t>
      </w:r>
      <w:r w:rsidRPr="00871CD7">
        <w:rPr>
          <w:rFonts w:eastAsiaTheme="minorEastAsia"/>
          <w:color w:val="000000" w:themeColor="text1"/>
        </w:rPr>
        <w:t xml:space="preserve">capital must invest </w:t>
      </w:r>
      <w:r w:rsidR="00A632DD" w:rsidRPr="00871CD7">
        <w:rPr>
          <w:rFonts w:eastAsiaTheme="minorEastAsia"/>
          <w:color w:val="000000" w:themeColor="text1"/>
        </w:rPr>
        <w:t xml:space="preserve">the </w:t>
      </w:r>
      <w:r w:rsidRPr="00871CD7">
        <w:rPr>
          <w:rFonts w:eastAsiaTheme="minorEastAsia"/>
          <w:color w:val="000000" w:themeColor="text1"/>
        </w:rPr>
        <w:t xml:space="preserve">most </w:t>
      </w:r>
      <w:r w:rsidR="00A632DD" w:rsidRPr="00871CD7">
        <w:rPr>
          <w:rFonts w:eastAsiaTheme="minorEastAsia"/>
          <w:color w:val="000000" w:themeColor="text1"/>
        </w:rPr>
        <w:t xml:space="preserve">amount of </w:t>
      </w:r>
      <w:r w:rsidRPr="00871CD7">
        <w:rPr>
          <w:rFonts w:eastAsiaTheme="minorEastAsia"/>
          <w:color w:val="000000" w:themeColor="text1"/>
        </w:rPr>
        <w:t>time, while substantial capital</w:t>
      </w:r>
      <w:r w:rsidR="00A632DD" w:rsidRPr="00871CD7">
        <w:rPr>
          <w:rFonts w:eastAsiaTheme="minorEastAsia"/>
          <w:color w:val="000000" w:themeColor="text1"/>
        </w:rPr>
        <w:t xml:space="preserve"> investment</w:t>
      </w:r>
      <w:r w:rsidRPr="00871CD7">
        <w:rPr>
          <w:rFonts w:eastAsiaTheme="minorEastAsia"/>
          <w:color w:val="000000" w:themeColor="text1"/>
        </w:rPr>
        <w:t xml:space="preserve"> allows for greater operational efficiency relative to returns generated (Heimbach et al., 2022).</w:t>
      </w:r>
    </w:p>
    <w:p w14:paraId="0E00F1EF" w14:textId="77777777" w:rsidR="00871CD7" w:rsidRDefault="00871CD7" w:rsidP="00AE1DED">
      <w:pPr>
        <w:jc w:val="both"/>
        <w:rPr>
          <w:rFonts w:eastAsiaTheme="minorEastAsia"/>
          <w:b/>
          <w:i/>
          <w:iCs/>
          <w:color w:val="000000" w:themeColor="text1"/>
        </w:rPr>
      </w:pPr>
    </w:p>
    <w:p w14:paraId="2D19CAA7" w14:textId="57D47E5F" w:rsidR="00F66226" w:rsidRPr="00871CD7" w:rsidRDefault="00051619" w:rsidP="00AE1DED">
      <w:pPr>
        <w:jc w:val="both"/>
        <w:rPr>
          <w:color w:val="000000" w:themeColor="text1"/>
        </w:rPr>
      </w:pPr>
      <w:r w:rsidRPr="00871CD7">
        <w:rPr>
          <w:rFonts w:eastAsiaTheme="minorEastAsia"/>
          <w:b/>
          <w:i/>
          <w:iCs/>
          <w:color w:val="000000" w:themeColor="text1"/>
        </w:rPr>
        <w:t>Risk-Return Distortion.</w:t>
      </w:r>
      <w:r w:rsidRPr="00871CD7">
        <w:rPr>
          <w:rFonts w:eastAsiaTheme="minorEastAsia"/>
          <w:b/>
          <w:color w:val="000000" w:themeColor="text1"/>
        </w:rPr>
        <w:t xml:space="preserve"> </w:t>
      </w:r>
      <w:r w:rsidR="00F66226" w:rsidRPr="00871CD7">
        <w:rPr>
          <w:color w:val="000000" w:themeColor="text1"/>
        </w:rPr>
        <w:t>Traditional portfolio theory asserts that risk-return tradeoffs exist, where increased returns need the acceptance of correspondingly greater risk (Markowitz, 1952). A $5,000 position with a 4% return and a 45% chance of losing money each year is strictly less desirable than a $50,000 position with a 10% return and a 35% chance of losing money. This is because the idea of dominance says that the investment with the highest return is the best. DeFi's unique characteristics may lead to vulnerabilities showing up differently than in conventional finance. This is due to risks that are associated with the automatic liquidation of collateral that is governed by smart contracts and rely on infrastructure that developers may not directly control (Financial Stability Board, 2023).</w:t>
      </w:r>
    </w:p>
    <w:p w14:paraId="3E4D4504" w14:textId="77777777" w:rsidR="00051619" w:rsidRPr="00871CD7" w:rsidRDefault="00051619" w:rsidP="00AE1DED">
      <w:pPr>
        <w:pStyle w:val="Heading4"/>
        <w:jc w:val="both"/>
        <w:rPr>
          <w:rFonts w:eastAsiaTheme="minorEastAsia"/>
          <w:color w:val="000000" w:themeColor="text1"/>
        </w:rPr>
      </w:pPr>
    </w:p>
    <w:p w14:paraId="605CFDB6" w14:textId="0A962D1C" w:rsidR="0038318C" w:rsidRPr="00871CD7" w:rsidRDefault="007E3AAB" w:rsidP="00AE1DED">
      <w:pPr>
        <w:pStyle w:val="Heading4"/>
        <w:jc w:val="both"/>
        <w:rPr>
          <w:color w:val="000000" w:themeColor="text1"/>
        </w:rPr>
      </w:pPr>
      <w:r w:rsidRPr="00871CD7">
        <w:rPr>
          <w:color w:val="000000" w:themeColor="text1"/>
        </w:rPr>
        <w:t xml:space="preserve">11.2.4.4 </w:t>
      </w:r>
      <w:r w:rsidR="0038318C" w:rsidRPr="00871CD7">
        <w:rPr>
          <w:color w:val="000000" w:themeColor="text1"/>
        </w:rPr>
        <w:t>Comparison to Traditional Finance Accessibility</w:t>
      </w:r>
    </w:p>
    <w:p w14:paraId="6A7E067B" w14:textId="42CB1DC0" w:rsidR="0038318C" w:rsidRDefault="0038318C" w:rsidP="00AE1DED">
      <w:pPr>
        <w:jc w:val="both"/>
        <w:rPr>
          <w:color w:val="000000" w:themeColor="text1"/>
        </w:rPr>
      </w:pPr>
      <w:r w:rsidRPr="00871CD7">
        <w:rPr>
          <w:color w:val="000000" w:themeColor="text1"/>
        </w:rPr>
        <w:t xml:space="preserve">Traditional finance exhibits </w:t>
      </w:r>
      <w:r w:rsidR="00CD3B21" w:rsidRPr="00871CD7">
        <w:rPr>
          <w:color w:val="000000" w:themeColor="text1"/>
        </w:rPr>
        <w:t xml:space="preserve">a </w:t>
      </w:r>
      <w:r w:rsidRPr="00871CD7">
        <w:rPr>
          <w:color w:val="000000" w:themeColor="text1"/>
        </w:rPr>
        <w:t>binary accessibility</w:t>
      </w:r>
      <w:r w:rsidR="00CD3B21" w:rsidRPr="00871CD7">
        <w:rPr>
          <w:color w:val="000000" w:themeColor="text1"/>
        </w:rPr>
        <w:t xml:space="preserve"> where </w:t>
      </w:r>
      <w:r w:rsidRPr="00871CD7">
        <w:rPr>
          <w:color w:val="000000" w:themeColor="text1"/>
        </w:rPr>
        <w:t xml:space="preserve">participants meet </w:t>
      </w:r>
      <w:proofErr w:type="gramStart"/>
      <w:r w:rsidRPr="00871CD7">
        <w:rPr>
          <w:color w:val="000000" w:themeColor="text1"/>
        </w:rPr>
        <w:t>thresholds</w:t>
      </w:r>
      <w:proofErr w:type="gramEnd"/>
      <w:r w:rsidRPr="00871CD7">
        <w:rPr>
          <w:color w:val="000000" w:themeColor="text1"/>
        </w:rPr>
        <w:t xml:space="preserve"> or </w:t>
      </w:r>
      <w:r w:rsidR="00CD3B21" w:rsidRPr="00871CD7">
        <w:rPr>
          <w:color w:val="000000" w:themeColor="text1"/>
        </w:rPr>
        <w:t xml:space="preserve">they </w:t>
      </w:r>
      <w:r w:rsidRPr="00871CD7">
        <w:rPr>
          <w:color w:val="000000" w:themeColor="text1"/>
        </w:rPr>
        <w:t xml:space="preserve">face </w:t>
      </w:r>
      <w:r w:rsidR="00CD3B21" w:rsidRPr="00871CD7">
        <w:rPr>
          <w:color w:val="000000" w:themeColor="text1"/>
        </w:rPr>
        <w:t xml:space="preserve">an </w:t>
      </w:r>
      <w:r w:rsidRPr="00871CD7">
        <w:rPr>
          <w:color w:val="000000" w:themeColor="text1"/>
        </w:rPr>
        <w:t>exclusion</w:t>
      </w:r>
      <w:r w:rsidR="00CD3B21" w:rsidRPr="00871CD7">
        <w:rPr>
          <w:color w:val="000000" w:themeColor="text1"/>
        </w:rPr>
        <w:t xml:space="preserve">. </w:t>
      </w:r>
      <w:r w:rsidRPr="00871CD7">
        <w:rPr>
          <w:color w:val="000000" w:themeColor="text1"/>
        </w:rPr>
        <w:t xml:space="preserve">DeFi </w:t>
      </w:r>
      <w:r w:rsidR="00CD3B21" w:rsidRPr="00871CD7">
        <w:rPr>
          <w:color w:val="000000" w:themeColor="text1"/>
        </w:rPr>
        <w:t xml:space="preserve">however, </w:t>
      </w:r>
      <w:r w:rsidRPr="00871CD7">
        <w:rPr>
          <w:color w:val="000000" w:themeColor="text1"/>
        </w:rPr>
        <w:t xml:space="preserve">exhibits </w:t>
      </w:r>
      <w:proofErr w:type="gramStart"/>
      <w:r w:rsidR="00CD3B21" w:rsidRPr="00871CD7">
        <w:rPr>
          <w:color w:val="000000" w:themeColor="text1"/>
        </w:rPr>
        <w:t xml:space="preserve">a </w:t>
      </w:r>
      <w:r w:rsidRPr="00871CD7">
        <w:rPr>
          <w:color w:val="000000" w:themeColor="text1"/>
        </w:rPr>
        <w:t>gradu</w:t>
      </w:r>
      <w:r w:rsidR="00CD3B21" w:rsidRPr="00871CD7">
        <w:rPr>
          <w:color w:val="000000" w:themeColor="text1"/>
        </w:rPr>
        <w:t>al</w:t>
      </w:r>
      <w:proofErr w:type="gramEnd"/>
      <w:r w:rsidRPr="00871CD7">
        <w:rPr>
          <w:color w:val="000000" w:themeColor="text1"/>
        </w:rPr>
        <w:t xml:space="preserve"> accessibility</w:t>
      </w:r>
      <w:r w:rsidR="00CD3B21" w:rsidRPr="00871CD7">
        <w:rPr>
          <w:color w:val="000000" w:themeColor="text1"/>
        </w:rPr>
        <w:t>.</w:t>
      </w:r>
    </w:p>
    <w:p w14:paraId="6817E9B1" w14:textId="77777777" w:rsidR="005B63A2" w:rsidRDefault="005B63A2" w:rsidP="00AE1DED">
      <w:pPr>
        <w:pStyle w:val="Heading3"/>
      </w:pPr>
    </w:p>
    <w:p w14:paraId="740CF256" w14:textId="1CCDB260" w:rsidR="00871CD7" w:rsidRPr="005B63A2" w:rsidRDefault="009122A9" w:rsidP="00AE1DED">
      <w:pPr>
        <w:pStyle w:val="Heading3"/>
      </w:pPr>
      <w:bookmarkStart w:id="240" w:name="_Toc214722046"/>
      <w:r w:rsidRPr="005B63A2">
        <w:t>Table 11.</w:t>
      </w:r>
      <w:r w:rsidR="00546ABE" w:rsidRPr="005B63A2">
        <w:t>A</w:t>
      </w:r>
      <w:r w:rsidR="005B63A2" w:rsidRPr="005B63A2">
        <w:t xml:space="preserve"> Financial Accessibility Comparison</w:t>
      </w:r>
      <w:bookmarkEnd w:id="240"/>
    </w:p>
    <w:p w14:paraId="3F882B50" w14:textId="77777777" w:rsidR="009122A9" w:rsidRPr="00871CD7" w:rsidRDefault="009122A9" w:rsidP="00AE1DED">
      <w:pPr>
        <w:jc w:val="both"/>
        <w:rPr>
          <w:color w:val="000000" w:themeColor="text1"/>
        </w:rPr>
      </w:pPr>
    </w:p>
    <w:tbl>
      <w:tblPr>
        <w:tblW w:w="9260" w:type="dxa"/>
        <w:tblLook w:val="04A0" w:firstRow="1" w:lastRow="0" w:firstColumn="1" w:lastColumn="0" w:noHBand="0" w:noVBand="1"/>
      </w:tblPr>
      <w:tblGrid>
        <w:gridCol w:w="2690"/>
        <w:gridCol w:w="2970"/>
        <w:gridCol w:w="3600"/>
      </w:tblGrid>
      <w:tr w:rsidR="00871CD7" w:rsidRPr="00871CD7" w14:paraId="7951EE30" w14:textId="77777777" w:rsidTr="005B63A2">
        <w:trPr>
          <w:trHeight w:val="71"/>
        </w:trPr>
        <w:tc>
          <w:tcPr>
            <w:tcW w:w="2690" w:type="dxa"/>
            <w:tcBorders>
              <w:top w:val="single" w:sz="8" w:space="0" w:color="BFBFBF"/>
              <w:left w:val="single" w:sz="8" w:space="0" w:color="BFBFBF"/>
              <w:bottom w:val="single" w:sz="8" w:space="0" w:color="BFBFBF"/>
              <w:right w:val="single" w:sz="4" w:space="0" w:color="BFBFBF"/>
            </w:tcBorders>
            <w:shd w:val="clear" w:color="auto" w:fill="D9D9D9" w:themeFill="background1" w:themeFillShade="D9"/>
            <w:vAlign w:val="center"/>
            <w:hideMark/>
          </w:tcPr>
          <w:p w14:paraId="726B9C70" w14:textId="77777777" w:rsidR="003257DD" w:rsidRPr="00871CD7" w:rsidRDefault="003257DD" w:rsidP="00AE1DED">
            <w:pPr>
              <w:jc w:val="both"/>
              <w:rPr>
                <w:b/>
                <w:bCs/>
                <w:color w:val="000000" w:themeColor="text1"/>
              </w:rPr>
            </w:pPr>
            <w:r w:rsidRPr="00871CD7">
              <w:rPr>
                <w:b/>
                <w:bCs/>
                <w:color w:val="000000" w:themeColor="text1"/>
              </w:rPr>
              <w:t>Dimension</w:t>
            </w:r>
          </w:p>
        </w:tc>
        <w:tc>
          <w:tcPr>
            <w:tcW w:w="2970" w:type="dxa"/>
            <w:tcBorders>
              <w:top w:val="single" w:sz="8" w:space="0" w:color="BFBFBF"/>
              <w:left w:val="nil"/>
              <w:bottom w:val="single" w:sz="8" w:space="0" w:color="BFBFBF"/>
              <w:right w:val="single" w:sz="4" w:space="0" w:color="BFBFBF"/>
            </w:tcBorders>
            <w:shd w:val="clear" w:color="auto" w:fill="D9D9D9" w:themeFill="background1" w:themeFillShade="D9"/>
            <w:vAlign w:val="center"/>
            <w:hideMark/>
          </w:tcPr>
          <w:p w14:paraId="255D6B00" w14:textId="77777777" w:rsidR="003257DD" w:rsidRPr="00871CD7" w:rsidRDefault="003257DD" w:rsidP="00AE1DED">
            <w:pPr>
              <w:jc w:val="both"/>
              <w:rPr>
                <w:b/>
                <w:bCs/>
                <w:color w:val="000000" w:themeColor="text1"/>
              </w:rPr>
            </w:pPr>
            <w:r w:rsidRPr="00871CD7">
              <w:rPr>
                <w:b/>
                <w:bCs/>
                <w:color w:val="000000" w:themeColor="text1"/>
              </w:rPr>
              <w:t>Traditional Finance</w:t>
            </w:r>
          </w:p>
        </w:tc>
        <w:tc>
          <w:tcPr>
            <w:tcW w:w="3600" w:type="dxa"/>
            <w:tcBorders>
              <w:top w:val="single" w:sz="8" w:space="0" w:color="BFBFBF"/>
              <w:left w:val="nil"/>
              <w:bottom w:val="single" w:sz="8" w:space="0" w:color="BFBFBF"/>
              <w:right w:val="single" w:sz="8" w:space="0" w:color="BFBFBF"/>
            </w:tcBorders>
            <w:shd w:val="clear" w:color="auto" w:fill="D9D9D9" w:themeFill="background1" w:themeFillShade="D9"/>
            <w:vAlign w:val="center"/>
            <w:hideMark/>
          </w:tcPr>
          <w:p w14:paraId="0BDEB1A6" w14:textId="77777777" w:rsidR="003257DD" w:rsidRPr="00871CD7" w:rsidRDefault="003257DD" w:rsidP="00AE1DED">
            <w:pPr>
              <w:jc w:val="both"/>
              <w:rPr>
                <w:b/>
                <w:bCs/>
                <w:color w:val="000000" w:themeColor="text1"/>
              </w:rPr>
            </w:pPr>
            <w:r w:rsidRPr="00871CD7">
              <w:rPr>
                <w:b/>
                <w:bCs/>
                <w:color w:val="000000" w:themeColor="text1"/>
              </w:rPr>
              <w:t>DeFi Gradient</w:t>
            </w:r>
          </w:p>
        </w:tc>
      </w:tr>
      <w:tr w:rsidR="00871CD7" w:rsidRPr="00871CD7" w14:paraId="6B5A4AEB" w14:textId="77777777" w:rsidTr="005B63A2">
        <w:trPr>
          <w:trHeight w:val="71"/>
        </w:trPr>
        <w:tc>
          <w:tcPr>
            <w:tcW w:w="2690" w:type="dxa"/>
            <w:tcBorders>
              <w:top w:val="nil"/>
              <w:left w:val="single" w:sz="8" w:space="0" w:color="BFBFBF"/>
              <w:bottom w:val="single" w:sz="4" w:space="0" w:color="BFBFBF"/>
              <w:right w:val="single" w:sz="4" w:space="0" w:color="BFBFBF"/>
            </w:tcBorders>
            <w:shd w:val="clear" w:color="auto" w:fill="D9D9D9" w:themeFill="background1" w:themeFillShade="D9"/>
            <w:vAlign w:val="center"/>
            <w:hideMark/>
          </w:tcPr>
          <w:p w14:paraId="572BB32D" w14:textId="77777777" w:rsidR="003257DD" w:rsidRPr="005B63A2" w:rsidRDefault="003257DD" w:rsidP="00AE1DED">
            <w:pPr>
              <w:jc w:val="both"/>
              <w:rPr>
                <w:b/>
                <w:bCs/>
                <w:color w:val="000000" w:themeColor="text1"/>
              </w:rPr>
            </w:pPr>
            <w:r w:rsidRPr="005B63A2">
              <w:rPr>
                <w:b/>
                <w:bCs/>
                <w:color w:val="000000" w:themeColor="text1"/>
              </w:rPr>
              <w:t>Entry barriers</w:t>
            </w:r>
          </w:p>
        </w:tc>
        <w:tc>
          <w:tcPr>
            <w:tcW w:w="2970" w:type="dxa"/>
            <w:tcBorders>
              <w:top w:val="nil"/>
              <w:left w:val="nil"/>
              <w:bottom w:val="single" w:sz="4" w:space="0" w:color="BFBFBF"/>
              <w:right w:val="single" w:sz="4" w:space="0" w:color="BFBFBF"/>
            </w:tcBorders>
            <w:vAlign w:val="center"/>
            <w:hideMark/>
          </w:tcPr>
          <w:p w14:paraId="4285BC69" w14:textId="77777777" w:rsidR="003257DD" w:rsidRPr="00871CD7" w:rsidRDefault="003257DD" w:rsidP="00AE1DED">
            <w:pPr>
              <w:jc w:val="both"/>
              <w:rPr>
                <w:color w:val="000000" w:themeColor="text1"/>
              </w:rPr>
            </w:pPr>
            <w:r w:rsidRPr="00871CD7">
              <w:rPr>
                <w:color w:val="000000" w:themeColor="text1"/>
              </w:rPr>
              <w:t>Regulatory, institutional</w:t>
            </w:r>
          </w:p>
        </w:tc>
        <w:tc>
          <w:tcPr>
            <w:tcW w:w="3600" w:type="dxa"/>
            <w:tcBorders>
              <w:top w:val="nil"/>
              <w:left w:val="nil"/>
              <w:bottom w:val="single" w:sz="4" w:space="0" w:color="BFBFBF"/>
              <w:right w:val="single" w:sz="8" w:space="0" w:color="BFBFBF"/>
            </w:tcBorders>
            <w:vAlign w:val="center"/>
            <w:hideMark/>
          </w:tcPr>
          <w:p w14:paraId="1F99D3AD" w14:textId="77777777" w:rsidR="003257DD" w:rsidRPr="00871CD7" w:rsidRDefault="003257DD" w:rsidP="00AE1DED">
            <w:pPr>
              <w:jc w:val="both"/>
              <w:rPr>
                <w:color w:val="000000" w:themeColor="text1"/>
              </w:rPr>
            </w:pPr>
            <w:r w:rsidRPr="00871CD7">
              <w:rPr>
                <w:color w:val="000000" w:themeColor="text1"/>
              </w:rPr>
              <w:t>Economic, operational</w:t>
            </w:r>
          </w:p>
        </w:tc>
      </w:tr>
      <w:tr w:rsidR="00871CD7" w:rsidRPr="00871CD7" w14:paraId="31C3672D" w14:textId="77777777" w:rsidTr="005B63A2">
        <w:trPr>
          <w:trHeight w:val="81"/>
        </w:trPr>
        <w:tc>
          <w:tcPr>
            <w:tcW w:w="2690" w:type="dxa"/>
            <w:tcBorders>
              <w:top w:val="nil"/>
              <w:left w:val="single" w:sz="8" w:space="0" w:color="BFBFBF"/>
              <w:bottom w:val="single" w:sz="4" w:space="0" w:color="BFBFBF"/>
              <w:right w:val="single" w:sz="4" w:space="0" w:color="BFBFBF"/>
            </w:tcBorders>
            <w:shd w:val="clear" w:color="auto" w:fill="D9D9D9" w:themeFill="background1" w:themeFillShade="D9"/>
            <w:vAlign w:val="center"/>
            <w:hideMark/>
          </w:tcPr>
          <w:p w14:paraId="01F9069F" w14:textId="77777777" w:rsidR="003257DD" w:rsidRPr="005B63A2" w:rsidRDefault="003257DD" w:rsidP="00AE1DED">
            <w:pPr>
              <w:jc w:val="both"/>
              <w:rPr>
                <w:b/>
                <w:bCs/>
                <w:color w:val="000000" w:themeColor="text1"/>
              </w:rPr>
            </w:pPr>
            <w:r w:rsidRPr="005B63A2">
              <w:rPr>
                <w:b/>
                <w:bCs/>
                <w:color w:val="000000" w:themeColor="text1"/>
              </w:rPr>
              <w:t>Minimum capital</w:t>
            </w:r>
          </w:p>
        </w:tc>
        <w:tc>
          <w:tcPr>
            <w:tcW w:w="2970" w:type="dxa"/>
            <w:tcBorders>
              <w:top w:val="nil"/>
              <w:left w:val="nil"/>
              <w:bottom w:val="single" w:sz="4" w:space="0" w:color="BFBFBF"/>
              <w:right w:val="single" w:sz="4" w:space="0" w:color="BFBFBF"/>
            </w:tcBorders>
            <w:vAlign w:val="center"/>
            <w:hideMark/>
          </w:tcPr>
          <w:p w14:paraId="497FAECB" w14:textId="77777777" w:rsidR="003257DD" w:rsidRPr="00871CD7" w:rsidRDefault="003257DD" w:rsidP="00AE1DED">
            <w:pPr>
              <w:jc w:val="both"/>
              <w:rPr>
                <w:color w:val="000000" w:themeColor="text1"/>
              </w:rPr>
            </w:pPr>
            <w:r w:rsidRPr="00871CD7">
              <w:rPr>
                <w:color w:val="000000" w:themeColor="text1"/>
              </w:rPr>
              <w:t>$100,000+ for market making</w:t>
            </w:r>
          </w:p>
        </w:tc>
        <w:tc>
          <w:tcPr>
            <w:tcW w:w="3600" w:type="dxa"/>
            <w:tcBorders>
              <w:top w:val="nil"/>
              <w:left w:val="nil"/>
              <w:bottom w:val="single" w:sz="4" w:space="0" w:color="BFBFBF"/>
              <w:right w:val="single" w:sz="8" w:space="0" w:color="BFBFBF"/>
            </w:tcBorders>
            <w:vAlign w:val="center"/>
            <w:hideMark/>
          </w:tcPr>
          <w:p w14:paraId="426181F5" w14:textId="77777777" w:rsidR="003257DD" w:rsidRPr="00871CD7" w:rsidRDefault="003257DD" w:rsidP="00AE1DED">
            <w:pPr>
              <w:jc w:val="both"/>
              <w:rPr>
                <w:color w:val="000000" w:themeColor="text1"/>
              </w:rPr>
            </w:pPr>
            <w:r w:rsidRPr="00871CD7">
              <w:rPr>
                <w:color w:val="000000" w:themeColor="text1"/>
              </w:rPr>
              <w:t>$750+ for any strategy</w:t>
            </w:r>
          </w:p>
        </w:tc>
      </w:tr>
      <w:tr w:rsidR="00871CD7" w:rsidRPr="00871CD7" w14:paraId="7B280433" w14:textId="77777777" w:rsidTr="005B63A2">
        <w:trPr>
          <w:trHeight w:val="81"/>
        </w:trPr>
        <w:tc>
          <w:tcPr>
            <w:tcW w:w="2690" w:type="dxa"/>
            <w:tcBorders>
              <w:top w:val="nil"/>
              <w:left w:val="single" w:sz="8" w:space="0" w:color="BFBFBF"/>
              <w:bottom w:val="single" w:sz="4" w:space="0" w:color="BFBFBF"/>
              <w:right w:val="single" w:sz="4" w:space="0" w:color="BFBFBF"/>
            </w:tcBorders>
            <w:shd w:val="clear" w:color="auto" w:fill="D9D9D9" w:themeFill="background1" w:themeFillShade="D9"/>
            <w:vAlign w:val="center"/>
            <w:hideMark/>
          </w:tcPr>
          <w:p w14:paraId="3059F4A7" w14:textId="77777777" w:rsidR="003257DD" w:rsidRPr="005B63A2" w:rsidRDefault="003257DD" w:rsidP="00AE1DED">
            <w:pPr>
              <w:jc w:val="both"/>
              <w:rPr>
                <w:b/>
                <w:bCs/>
                <w:color w:val="000000" w:themeColor="text1"/>
              </w:rPr>
            </w:pPr>
            <w:r w:rsidRPr="005B63A2">
              <w:rPr>
                <w:b/>
                <w:bCs/>
                <w:color w:val="000000" w:themeColor="text1"/>
              </w:rPr>
              <w:t>Skill requirements</w:t>
            </w:r>
          </w:p>
        </w:tc>
        <w:tc>
          <w:tcPr>
            <w:tcW w:w="2970" w:type="dxa"/>
            <w:tcBorders>
              <w:top w:val="nil"/>
              <w:left w:val="nil"/>
              <w:bottom w:val="single" w:sz="4" w:space="0" w:color="BFBFBF"/>
              <w:right w:val="single" w:sz="4" w:space="0" w:color="BFBFBF"/>
            </w:tcBorders>
            <w:vAlign w:val="center"/>
            <w:hideMark/>
          </w:tcPr>
          <w:p w14:paraId="060B7334" w14:textId="77777777" w:rsidR="003257DD" w:rsidRPr="00871CD7" w:rsidRDefault="003257DD" w:rsidP="00AE1DED">
            <w:pPr>
              <w:jc w:val="both"/>
              <w:rPr>
                <w:color w:val="000000" w:themeColor="text1"/>
              </w:rPr>
            </w:pPr>
            <w:r w:rsidRPr="00871CD7">
              <w:rPr>
                <w:color w:val="000000" w:themeColor="text1"/>
              </w:rPr>
              <w:t>Credentials, accreditation</w:t>
            </w:r>
          </w:p>
        </w:tc>
        <w:tc>
          <w:tcPr>
            <w:tcW w:w="3600" w:type="dxa"/>
            <w:tcBorders>
              <w:top w:val="nil"/>
              <w:left w:val="nil"/>
              <w:bottom w:val="single" w:sz="4" w:space="0" w:color="BFBFBF"/>
              <w:right w:val="single" w:sz="8" w:space="0" w:color="BFBFBF"/>
            </w:tcBorders>
            <w:vAlign w:val="center"/>
            <w:hideMark/>
          </w:tcPr>
          <w:p w14:paraId="004F3EC7" w14:textId="77777777" w:rsidR="003257DD" w:rsidRPr="00871CD7" w:rsidRDefault="003257DD" w:rsidP="00AE1DED">
            <w:pPr>
              <w:jc w:val="both"/>
              <w:rPr>
                <w:color w:val="000000" w:themeColor="text1"/>
              </w:rPr>
            </w:pPr>
            <w:r w:rsidRPr="00871CD7">
              <w:rPr>
                <w:color w:val="000000" w:themeColor="text1"/>
              </w:rPr>
              <w:t>Technical knowledge</w:t>
            </w:r>
          </w:p>
        </w:tc>
      </w:tr>
      <w:tr w:rsidR="00871CD7" w:rsidRPr="00871CD7" w14:paraId="44F63661" w14:textId="77777777" w:rsidTr="005B63A2">
        <w:trPr>
          <w:trHeight w:val="81"/>
        </w:trPr>
        <w:tc>
          <w:tcPr>
            <w:tcW w:w="2690" w:type="dxa"/>
            <w:tcBorders>
              <w:top w:val="nil"/>
              <w:left w:val="single" w:sz="8" w:space="0" w:color="BFBFBF"/>
              <w:bottom w:val="single" w:sz="4" w:space="0" w:color="BFBFBF"/>
              <w:right w:val="single" w:sz="4" w:space="0" w:color="BFBFBF"/>
            </w:tcBorders>
            <w:shd w:val="clear" w:color="auto" w:fill="D9D9D9" w:themeFill="background1" w:themeFillShade="D9"/>
            <w:vAlign w:val="center"/>
            <w:hideMark/>
          </w:tcPr>
          <w:p w14:paraId="4936034D" w14:textId="77777777" w:rsidR="003257DD" w:rsidRPr="005B63A2" w:rsidRDefault="003257DD" w:rsidP="00AE1DED">
            <w:pPr>
              <w:jc w:val="both"/>
              <w:rPr>
                <w:b/>
                <w:bCs/>
                <w:color w:val="000000" w:themeColor="text1"/>
              </w:rPr>
            </w:pPr>
            <w:r w:rsidRPr="005B63A2">
              <w:rPr>
                <w:b/>
                <w:bCs/>
                <w:color w:val="000000" w:themeColor="text1"/>
              </w:rPr>
              <w:t>Strategy access</w:t>
            </w:r>
          </w:p>
        </w:tc>
        <w:tc>
          <w:tcPr>
            <w:tcW w:w="2970" w:type="dxa"/>
            <w:tcBorders>
              <w:top w:val="nil"/>
              <w:left w:val="nil"/>
              <w:bottom w:val="single" w:sz="4" w:space="0" w:color="BFBFBF"/>
              <w:right w:val="single" w:sz="4" w:space="0" w:color="BFBFBF"/>
            </w:tcBorders>
            <w:vAlign w:val="center"/>
            <w:hideMark/>
          </w:tcPr>
          <w:p w14:paraId="382982E8" w14:textId="77777777" w:rsidR="003257DD" w:rsidRPr="00871CD7" w:rsidRDefault="003257DD" w:rsidP="00AE1DED">
            <w:pPr>
              <w:jc w:val="both"/>
              <w:rPr>
                <w:color w:val="000000" w:themeColor="text1"/>
              </w:rPr>
            </w:pPr>
            <w:r w:rsidRPr="00871CD7">
              <w:rPr>
                <w:color w:val="000000" w:themeColor="text1"/>
              </w:rPr>
              <w:t>Threshold-based</w:t>
            </w:r>
          </w:p>
        </w:tc>
        <w:tc>
          <w:tcPr>
            <w:tcW w:w="3600" w:type="dxa"/>
            <w:tcBorders>
              <w:top w:val="nil"/>
              <w:left w:val="nil"/>
              <w:bottom w:val="single" w:sz="4" w:space="0" w:color="BFBFBF"/>
              <w:right w:val="single" w:sz="8" w:space="0" w:color="BFBFBF"/>
            </w:tcBorders>
            <w:vAlign w:val="center"/>
            <w:hideMark/>
          </w:tcPr>
          <w:p w14:paraId="2B8FC145" w14:textId="77777777" w:rsidR="003257DD" w:rsidRPr="00871CD7" w:rsidRDefault="003257DD" w:rsidP="00AE1DED">
            <w:pPr>
              <w:jc w:val="both"/>
              <w:rPr>
                <w:color w:val="000000" w:themeColor="text1"/>
              </w:rPr>
            </w:pPr>
            <w:r w:rsidRPr="00871CD7">
              <w:rPr>
                <w:color w:val="000000" w:themeColor="text1"/>
              </w:rPr>
              <w:t>Capital-dependent continuous</w:t>
            </w:r>
          </w:p>
        </w:tc>
      </w:tr>
      <w:tr w:rsidR="00871CD7" w:rsidRPr="00871CD7" w14:paraId="567A173D" w14:textId="77777777" w:rsidTr="005B63A2">
        <w:trPr>
          <w:trHeight w:val="81"/>
        </w:trPr>
        <w:tc>
          <w:tcPr>
            <w:tcW w:w="2690" w:type="dxa"/>
            <w:tcBorders>
              <w:top w:val="nil"/>
              <w:left w:val="single" w:sz="8" w:space="0" w:color="BFBFBF"/>
              <w:bottom w:val="single" w:sz="4" w:space="0" w:color="BFBFBF"/>
              <w:right w:val="single" w:sz="4" w:space="0" w:color="BFBFBF"/>
            </w:tcBorders>
            <w:shd w:val="clear" w:color="auto" w:fill="D9D9D9" w:themeFill="background1" w:themeFillShade="D9"/>
            <w:vAlign w:val="center"/>
            <w:hideMark/>
          </w:tcPr>
          <w:p w14:paraId="3490F790" w14:textId="77777777" w:rsidR="003257DD" w:rsidRPr="005B63A2" w:rsidRDefault="003257DD" w:rsidP="00AE1DED">
            <w:pPr>
              <w:jc w:val="both"/>
              <w:rPr>
                <w:b/>
                <w:bCs/>
                <w:color w:val="000000" w:themeColor="text1"/>
              </w:rPr>
            </w:pPr>
            <w:r w:rsidRPr="005B63A2">
              <w:rPr>
                <w:b/>
                <w:bCs/>
                <w:color w:val="000000" w:themeColor="text1"/>
              </w:rPr>
              <w:t>Failure mechanism</w:t>
            </w:r>
          </w:p>
        </w:tc>
        <w:tc>
          <w:tcPr>
            <w:tcW w:w="2970" w:type="dxa"/>
            <w:tcBorders>
              <w:top w:val="nil"/>
              <w:left w:val="nil"/>
              <w:bottom w:val="single" w:sz="4" w:space="0" w:color="BFBFBF"/>
              <w:right w:val="single" w:sz="4" w:space="0" w:color="BFBFBF"/>
            </w:tcBorders>
            <w:vAlign w:val="center"/>
            <w:hideMark/>
          </w:tcPr>
          <w:p w14:paraId="38761E5D" w14:textId="77777777" w:rsidR="003257DD" w:rsidRPr="00871CD7" w:rsidRDefault="003257DD" w:rsidP="00AE1DED">
            <w:pPr>
              <w:jc w:val="both"/>
              <w:rPr>
                <w:color w:val="000000" w:themeColor="text1"/>
              </w:rPr>
            </w:pPr>
            <w:r w:rsidRPr="00871CD7">
              <w:rPr>
                <w:color w:val="000000" w:themeColor="text1"/>
              </w:rPr>
              <w:t>Prevented entry</w:t>
            </w:r>
          </w:p>
        </w:tc>
        <w:tc>
          <w:tcPr>
            <w:tcW w:w="3600" w:type="dxa"/>
            <w:tcBorders>
              <w:top w:val="nil"/>
              <w:left w:val="nil"/>
              <w:bottom w:val="single" w:sz="4" w:space="0" w:color="BFBFBF"/>
              <w:right w:val="single" w:sz="8" w:space="0" w:color="BFBFBF"/>
            </w:tcBorders>
            <w:vAlign w:val="center"/>
            <w:hideMark/>
          </w:tcPr>
          <w:p w14:paraId="2677A177" w14:textId="77777777" w:rsidR="003257DD" w:rsidRPr="00871CD7" w:rsidRDefault="003257DD" w:rsidP="00AE1DED">
            <w:pPr>
              <w:jc w:val="both"/>
              <w:rPr>
                <w:color w:val="000000" w:themeColor="text1"/>
              </w:rPr>
            </w:pPr>
            <w:r w:rsidRPr="00871CD7">
              <w:rPr>
                <w:color w:val="000000" w:themeColor="text1"/>
              </w:rPr>
              <w:t>Permitted entry, economic failure</w:t>
            </w:r>
          </w:p>
        </w:tc>
      </w:tr>
      <w:tr w:rsidR="00871CD7" w:rsidRPr="00871CD7" w14:paraId="6A63A6CF" w14:textId="77777777" w:rsidTr="005B63A2">
        <w:trPr>
          <w:trHeight w:val="81"/>
        </w:trPr>
        <w:tc>
          <w:tcPr>
            <w:tcW w:w="2690" w:type="dxa"/>
            <w:tcBorders>
              <w:top w:val="nil"/>
              <w:left w:val="single" w:sz="8" w:space="0" w:color="BFBFBF"/>
              <w:bottom w:val="single" w:sz="8" w:space="0" w:color="BFBFBF"/>
              <w:right w:val="single" w:sz="4" w:space="0" w:color="BFBFBF"/>
            </w:tcBorders>
            <w:shd w:val="clear" w:color="auto" w:fill="D9D9D9" w:themeFill="background1" w:themeFillShade="D9"/>
            <w:vAlign w:val="center"/>
            <w:hideMark/>
          </w:tcPr>
          <w:p w14:paraId="24DA642A" w14:textId="77777777" w:rsidR="003257DD" w:rsidRPr="005B63A2" w:rsidRDefault="003257DD" w:rsidP="00AE1DED">
            <w:pPr>
              <w:jc w:val="both"/>
              <w:rPr>
                <w:b/>
                <w:bCs/>
                <w:color w:val="000000" w:themeColor="text1"/>
              </w:rPr>
            </w:pPr>
            <w:r w:rsidRPr="005B63A2">
              <w:rPr>
                <w:b/>
                <w:bCs/>
                <w:color w:val="000000" w:themeColor="text1"/>
              </w:rPr>
              <w:t>Democratization type</w:t>
            </w:r>
          </w:p>
        </w:tc>
        <w:tc>
          <w:tcPr>
            <w:tcW w:w="2970" w:type="dxa"/>
            <w:tcBorders>
              <w:top w:val="nil"/>
              <w:left w:val="nil"/>
              <w:bottom w:val="single" w:sz="8" w:space="0" w:color="BFBFBF"/>
              <w:right w:val="single" w:sz="4" w:space="0" w:color="BFBFBF"/>
            </w:tcBorders>
            <w:vAlign w:val="center"/>
            <w:hideMark/>
          </w:tcPr>
          <w:p w14:paraId="69417366" w14:textId="77777777" w:rsidR="003257DD" w:rsidRPr="00871CD7" w:rsidRDefault="003257DD" w:rsidP="00AE1DED">
            <w:pPr>
              <w:jc w:val="both"/>
              <w:rPr>
                <w:color w:val="000000" w:themeColor="text1"/>
              </w:rPr>
            </w:pPr>
            <w:r w:rsidRPr="00871CD7">
              <w:rPr>
                <w:color w:val="000000" w:themeColor="text1"/>
              </w:rPr>
              <w:t>None (binary exclusion)</w:t>
            </w:r>
          </w:p>
        </w:tc>
        <w:tc>
          <w:tcPr>
            <w:tcW w:w="3600" w:type="dxa"/>
            <w:tcBorders>
              <w:top w:val="nil"/>
              <w:left w:val="nil"/>
              <w:bottom w:val="single" w:sz="8" w:space="0" w:color="BFBFBF"/>
              <w:right w:val="single" w:sz="8" w:space="0" w:color="BFBFBF"/>
            </w:tcBorders>
            <w:vAlign w:val="center"/>
            <w:hideMark/>
          </w:tcPr>
          <w:p w14:paraId="0EF50F96" w14:textId="77777777" w:rsidR="003257DD" w:rsidRPr="00871CD7" w:rsidRDefault="003257DD" w:rsidP="00AE1DED">
            <w:pPr>
              <w:jc w:val="both"/>
              <w:rPr>
                <w:color w:val="000000" w:themeColor="text1"/>
              </w:rPr>
            </w:pPr>
            <w:r w:rsidRPr="00871CD7">
              <w:rPr>
                <w:color w:val="000000" w:themeColor="text1"/>
              </w:rPr>
              <w:t>Conditional (stratified access)</w:t>
            </w:r>
          </w:p>
        </w:tc>
      </w:tr>
    </w:tbl>
    <w:p w14:paraId="01B5D216" w14:textId="77777777" w:rsidR="00871CD7" w:rsidRDefault="00871CD7" w:rsidP="00AE1DED">
      <w:pPr>
        <w:jc w:val="both"/>
        <w:rPr>
          <w:color w:val="000000" w:themeColor="text1"/>
        </w:rPr>
      </w:pPr>
    </w:p>
    <w:p w14:paraId="58D6E82B" w14:textId="2FB9B086" w:rsidR="0077387E" w:rsidRPr="00871CD7" w:rsidRDefault="0077387E" w:rsidP="00AE1DED">
      <w:pPr>
        <w:jc w:val="both"/>
        <w:rPr>
          <w:color w:val="000000" w:themeColor="text1"/>
        </w:rPr>
      </w:pPr>
      <w:r w:rsidRPr="00871CD7">
        <w:rPr>
          <w:color w:val="000000" w:themeColor="text1"/>
        </w:rPr>
        <w:t xml:space="preserve">This comparison </w:t>
      </w:r>
      <w:r w:rsidR="004F17CC" w:rsidRPr="00871CD7">
        <w:rPr>
          <w:color w:val="000000" w:themeColor="text1"/>
        </w:rPr>
        <w:t xml:space="preserve">shows the </w:t>
      </w:r>
      <w:r w:rsidRPr="00871CD7">
        <w:rPr>
          <w:color w:val="000000" w:themeColor="text1"/>
        </w:rPr>
        <w:t>distinctive characteristic</w:t>
      </w:r>
      <w:r w:rsidR="004F17CC" w:rsidRPr="00871CD7">
        <w:rPr>
          <w:color w:val="000000" w:themeColor="text1"/>
        </w:rPr>
        <w:t xml:space="preserve"> of DeFi's</w:t>
      </w:r>
      <w:r w:rsidRPr="00871CD7">
        <w:rPr>
          <w:color w:val="000000" w:themeColor="text1"/>
        </w:rPr>
        <w:t xml:space="preserve">: it </w:t>
      </w:r>
      <w:r w:rsidR="004F17CC" w:rsidRPr="00871CD7">
        <w:rPr>
          <w:color w:val="000000" w:themeColor="text1"/>
        </w:rPr>
        <w:t xml:space="preserve">allows </w:t>
      </w:r>
      <w:proofErr w:type="gramStart"/>
      <w:r w:rsidR="004F17CC" w:rsidRPr="00871CD7">
        <w:rPr>
          <w:color w:val="000000" w:themeColor="text1"/>
        </w:rPr>
        <w:t>the</w:t>
      </w:r>
      <w:r w:rsidRPr="00871CD7">
        <w:rPr>
          <w:color w:val="000000" w:themeColor="text1"/>
        </w:rPr>
        <w:t xml:space="preserve"> participation</w:t>
      </w:r>
      <w:proofErr w:type="gramEnd"/>
      <w:r w:rsidRPr="00871CD7">
        <w:rPr>
          <w:color w:val="000000" w:themeColor="text1"/>
        </w:rPr>
        <w:t xml:space="preserve"> that traditional finance prohibits while </w:t>
      </w:r>
      <w:r w:rsidR="004F17CC" w:rsidRPr="00871CD7">
        <w:rPr>
          <w:color w:val="000000" w:themeColor="text1"/>
        </w:rPr>
        <w:t xml:space="preserve">at the same time it is </w:t>
      </w:r>
      <w:r w:rsidRPr="00871CD7">
        <w:rPr>
          <w:color w:val="000000" w:themeColor="text1"/>
        </w:rPr>
        <w:t>creating economic barriers that prevent most permitted participation from succeeding. Traditional finance excludes explicitly; DeFi includes ineffectively</w:t>
      </w:r>
      <w:r w:rsidR="004F17CC" w:rsidRPr="00871CD7">
        <w:rPr>
          <w:color w:val="000000" w:themeColor="text1"/>
        </w:rPr>
        <w:t xml:space="preserve"> and n</w:t>
      </w:r>
      <w:r w:rsidRPr="00871CD7">
        <w:rPr>
          <w:color w:val="000000" w:themeColor="text1"/>
        </w:rPr>
        <w:t>either achieves genuine democratization</w:t>
      </w:r>
      <w:r w:rsidR="004F17CC" w:rsidRPr="00871CD7">
        <w:rPr>
          <w:color w:val="000000" w:themeColor="text1"/>
        </w:rPr>
        <w:t>.</w:t>
      </w:r>
      <w:r w:rsidRPr="00871CD7">
        <w:rPr>
          <w:color w:val="000000" w:themeColor="text1"/>
        </w:rPr>
        <w:t xml:space="preserve"> </w:t>
      </w:r>
      <w:r w:rsidR="009D7403" w:rsidRPr="00871CD7">
        <w:rPr>
          <w:color w:val="000000" w:themeColor="text1"/>
        </w:rPr>
        <w:t>However,</w:t>
      </w:r>
      <w:r w:rsidR="004F17CC" w:rsidRPr="00871CD7">
        <w:rPr>
          <w:color w:val="000000" w:themeColor="text1"/>
        </w:rPr>
        <w:t xml:space="preserve"> </w:t>
      </w:r>
      <w:r w:rsidRPr="00871CD7">
        <w:rPr>
          <w:color w:val="000000" w:themeColor="text1"/>
        </w:rPr>
        <w:t xml:space="preserve">the failure </w:t>
      </w:r>
      <w:r w:rsidR="004F17CC" w:rsidRPr="00871CD7">
        <w:rPr>
          <w:color w:val="000000" w:themeColor="text1"/>
        </w:rPr>
        <w:t xml:space="preserve">and risks </w:t>
      </w:r>
      <w:r w:rsidRPr="00871CD7">
        <w:rPr>
          <w:color w:val="000000" w:themeColor="text1"/>
        </w:rPr>
        <w:t>modes differ fundamentally</w:t>
      </w:r>
      <w:r w:rsidR="004F17CC" w:rsidRPr="00871CD7">
        <w:rPr>
          <w:color w:val="000000" w:themeColor="text1"/>
        </w:rPr>
        <w:t xml:space="preserve"> after detailed analysis.</w:t>
      </w:r>
    </w:p>
    <w:p w14:paraId="0F7ACA75" w14:textId="77777777" w:rsidR="00871CD7" w:rsidRDefault="00871CD7" w:rsidP="00AE1DED">
      <w:pPr>
        <w:pStyle w:val="Heading4"/>
        <w:jc w:val="both"/>
        <w:rPr>
          <w:color w:val="000000" w:themeColor="text1"/>
        </w:rPr>
      </w:pPr>
    </w:p>
    <w:p w14:paraId="47958F7D" w14:textId="37493B75" w:rsidR="0077387E" w:rsidRPr="00871CD7" w:rsidRDefault="007E3AAB" w:rsidP="00AE1DED">
      <w:pPr>
        <w:pStyle w:val="Heading4"/>
        <w:jc w:val="both"/>
        <w:rPr>
          <w:color w:val="000000" w:themeColor="text1"/>
        </w:rPr>
      </w:pPr>
      <w:r w:rsidRPr="00871CD7">
        <w:rPr>
          <w:color w:val="000000" w:themeColor="text1"/>
        </w:rPr>
        <w:t xml:space="preserve">11.2.4.5 </w:t>
      </w:r>
      <w:r w:rsidR="0077387E" w:rsidRPr="00871CD7">
        <w:rPr>
          <w:color w:val="000000" w:themeColor="text1"/>
        </w:rPr>
        <w:t>Theoretical Implications</w:t>
      </w:r>
    </w:p>
    <w:p w14:paraId="4FAE8E65" w14:textId="61825262" w:rsidR="0077387E" w:rsidRPr="00871CD7" w:rsidRDefault="0077387E" w:rsidP="00AE1DED">
      <w:pPr>
        <w:jc w:val="both"/>
        <w:rPr>
          <w:color w:val="000000" w:themeColor="text1"/>
        </w:rPr>
      </w:pPr>
      <w:r w:rsidRPr="00871CD7">
        <w:rPr>
          <w:color w:val="000000" w:themeColor="text1"/>
        </w:rPr>
        <w:t xml:space="preserve">The accessibility gradient has several implications </w:t>
      </w:r>
      <w:r w:rsidR="004F17CC" w:rsidRPr="00871CD7">
        <w:rPr>
          <w:color w:val="000000" w:themeColor="text1"/>
        </w:rPr>
        <w:t>here</w:t>
      </w:r>
      <w:r w:rsidRPr="00871CD7">
        <w:rPr>
          <w:color w:val="000000" w:themeColor="text1"/>
        </w:rPr>
        <w:t>:</w:t>
      </w:r>
    </w:p>
    <w:p w14:paraId="01207DF1" w14:textId="77777777" w:rsidR="00E610CD" w:rsidRDefault="00E610CD" w:rsidP="00AE1DED">
      <w:pPr>
        <w:jc w:val="both"/>
        <w:rPr>
          <w:b/>
          <w:bCs/>
          <w:i/>
          <w:iCs/>
          <w:color w:val="000000" w:themeColor="text1"/>
        </w:rPr>
      </w:pPr>
    </w:p>
    <w:p w14:paraId="067AAA2F" w14:textId="3291095A" w:rsidR="00655047" w:rsidRPr="00871CD7" w:rsidRDefault="0077387E" w:rsidP="00AE1DED">
      <w:pPr>
        <w:jc w:val="both"/>
        <w:rPr>
          <w:color w:val="000000" w:themeColor="text1"/>
        </w:rPr>
      </w:pPr>
      <w:r w:rsidRPr="00871CD7">
        <w:rPr>
          <w:b/>
          <w:bCs/>
          <w:i/>
          <w:iCs/>
          <w:color w:val="000000" w:themeColor="text1"/>
        </w:rPr>
        <w:t>Financial inclusion measurement:</w:t>
      </w:r>
      <w:r w:rsidRPr="00871CD7">
        <w:rPr>
          <w:color w:val="000000" w:themeColor="text1"/>
        </w:rPr>
        <w:t xml:space="preserve"> Current metrics count participants (access rates) or transaction volumes but miss the gradient's stratification. A metric counting </w:t>
      </w:r>
      <w:r w:rsidR="004F17CC" w:rsidRPr="00871CD7">
        <w:rPr>
          <w:color w:val="000000" w:themeColor="text1"/>
        </w:rPr>
        <w:t>a participant</w:t>
      </w:r>
      <w:r w:rsidRPr="00871CD7">
        <w:rPr>
          <w:color w:val="000000" w:themeColor="text1"/>
        </w:rPr>
        <w:t xml:space="preserve"> as "included" because </w:t>
      </w:r>
      <w:r w:rsidR="004F17CC" w:rsidRPr="00871CD7">
        <w:rPr>
          <w:color w:val="000000" w:themeColor="text1"/>
        </w:rPr>
        <w:t>they can</w:t>
      </w:r>
      <w:r w:rsidRPr="00871CD7">
        <w:rPr>
          <w:color w:val="000000" w:themeColor="text1"/>
        </w:rPr>
        <w:t xml:space="preserve"> make a $100 deposit fails to capture that this inclusion is economically non-viable. </w:t>
      </w:r>
      <w:r w:rsidR="004F17CC" w:rsidRPr="00871CD7">
        <w:rPr>
          <w:color w:val="000000" w:themeColor="text1"/>
        </w:rPr>
        <w:t>A m</w:t>
      </w:r>
      <w:r w:rsidRPr="00871CD7">
        <w:rPr>
          <w:color w:val="000000" w:themeColor="text1"/>
        </w:rPr>
        <w:t xml:space="preserve">eaningful inclusion requires not just technical access but </w:t>
      </w:r>
      <w:r w:rsidR="004F17CC" w:rsidRPr="00871CD7">
        <w:rPr>
          <w:color w:val="000000" w:themeColor="text1"/>
        </w:rPr>
        <w:t xml:space="preserve">also </w:t>
      </w:r>
      <w:r w:rsidRPr="00871CD7">
        <w:rPr>
          <w:color w:val="000000" w:themeColor="text1"/>
        </w:rPr>
        <w:t>economic viability</w:t>
      </w:r>
      <w:r w:rsidR="004F17CC" w:rsidRPr="00871CD7">
        <w:rPr>
          <w:color w:val="000000" w:themeColor="text1"/>
        </w:rPr>
        <w:t xml:space="preserve">. </w:t>
      </w:r>
      <w:r w:rsidR="009D1F0A" w:rsidRPr="00871CD7">
        <w:rPr>
          <w:color w:val="000000" w:themeColor="text1"/>
        </w:rPr>
        <w:t>T</w:t>
      </w:r>
      <w:r w:rsidRPr="00871CD7">
        <w:rPr>
          <w:color w:val="000000" w:themeColor="text1"/>
        </w:rPr>
        <w:t>h</w:t>
      </w:r>
      <w:r w:rsidR="009D1F0A" w:rsidRPr="00871CD7">
        <w:rPr>
          <w:color w:val="000000" w:themeColor="text1"/>
        </w:rPr>
        <w:t>is means having the</w:t>
      </w:r>
      <w:r w:rsidRPr="00871CD7">
        <w:rPr>
          <w:color w:val="000000" w:themeColor="text1"/>
        </w:rPr>
        <w:t xml:space="preserve"> ability to generate positive risk-adjusted returns given </w:t>
      </w:r>
      <w:r w:rsidR="009D1F0A" w:rsidRPr="00871CD7">
        <w:rPr>
          <w:color w:val="000000" w:themeColor="text1"/>
        </w:rPr>
        <w:t xml:space="preserve">the </w:t>
      </w:r>
      <w:r w:rsidRPr="00871CD7">
        <w:rPr>
          <w:color w:val="000000" w:themeColor="text1"/>
        </w:rPr>
        <w:t xml:space="preserve">actual resource constraints. The gradient suggests financial inclusion metrics should incorporate capital-stratified success rates rather than </w:t>
      </w:r>
      <w:r w:rsidR="009D1F0A" w:rsidRPr="00871CD7">
        <w:rPr>
          <w:color w:val="000000" w:themeColor="text1"/>
        </w:rPr>
        <w:t xml:space="preserve">a </w:t>
      </w:r>
      <w:r w:rsidRPr="00871CD7">
        <w:rPr>
          <w:color w:val="000000" w:themeColor="text1"/>
        </w:rPr>
        <w:t>binary participation</w:t>
      </w:r>
      <w:r w:rsidR="009D1F0A" w:rsidRPr="00871CD7">
        <w:rPr>
          <w:color w:val="000000" w:themeColor="text1"/>
        </w:rPr>
        <w:t xml:space="preserve"> inclusion.</w:t>
      </w:r>
    </w:p>
    <w:p w14:paraId="5CD46DA1" w14:textId="77777777" w:rsidR="00E610CD" w:rsidRDefault="00E610CD" w:rsidP="00AE1DED">
      <w:pPr>
        <w:jc w:val="both"/>
        <w:rPr>
          <w:b/>
          <w:bCs/>
          <w:i/>
          <w:iCs/>
          <w:color w:val="000000" w:themeColor="text1"/>
        </w:rPr>
      </w:pPr>
    </w:p>
    <w:p w14:paraId="7C926AEE" w14:textId="568C3B86" w:rsidR="00655047" w:rsidRPr="00E610CD" w:rsidRDefault="00655047" w:rsidP="00AE1DED">
      <w:pPr>
        <w:jc w:val="both"/>
        <w:rPr>
          <w:color w:val="000000" w:themeColor="text1"/>
        </w:rPr>
      </w:pPr>
      <w:r w:rsidRPr="00871CD7">
        <w:rPr>
          <w:b/>
          <w:bCs/>
          <w:i/>
          <w:iCs/>
          <w:color w:val="000000" w:themeColor="text1"/>
        </w:rPr>
        <w:t>Market efficiency reconsideration:</w:t>
      </w:r>
      <w:r w:rsidRPr="00871CD7">
        <w:rPr>
          <w:color w:val="000000" w:themeColor="text1"/>
        </w:rPr>
        <w:t xml:space="preserve"> The efficient market hypothesis posits that knowledgeable traders can exploit </w:t>
      </w:r>
      <w:r w:rsidR="00634E7B" w:rsidRPr="00871CD7">
        <w:rPr>
          <w:color w:val="000000" w:themeColor="text1"/>
        </w:rPr>
        <w:t>mispricing</w:t>
      </w:r>
      <w:r w:rsidRPr="00871CD7">
        <w:rPr>
          <w:color w:val="000000" w:themeColor="text1"/>
        </w:rPr>
        <w:t xml:space="preserve"> through arbitrage until they are eradicated (Fama, 1970). The gradient shows that arbitrage opportunities depend on capital. This means that mispricing may endure because people who see them don't have the money to take advantage of them, and people who do have the money don't see them. This causes ongoing inefficiencies at capital threshold </w:t>
      </w:r>
      <w:r w:rsidRPr="00E610CD">
        <w:rPr>
          <w:color w:val="000000" w:themeColor="text1"/>
        </w:rPr>
        <w:t xml:space="preserve">limits that can't be arbitraged away, which makes you wonder if DeFi markets will ever be informationally efficient. </w:t>
      </w:r>
    </w:p>
    <w:p w14:paraId="63FB4856" w14:textId="77777777" w:rsidR="00910264" w:rsidRPr="00E610CD" w:rsidRDefault="00910264" w:rsidP="00AE1DED">
      <w:pPr>
        <w:jc w:val="both"/>
        <w:rPr>
          <w:color w:val="000000" w:themeColor="text1"/>
        </w:rPr>
      </w:pPr>
    </w:p>
    <w:p w14:paraId="77DF1FD9" w14:textId="1BBF90AD" w:rsidR="00655047" w:rsidRPr="00E610CD" w:rsidRDefault="00655047" w:rsidP="00AE1DED">
      <w:pPr>
        <w:jc w:val="both"/>
        <w:rPr>
          <w:color w:val="000000" w:themeColor="text1"/>
        </w:rPr>
      </w:pPr>
      <w:r w:rsidRPr="00E610CD">
        <w:rPr>
          <w:color w:val="000000" w:themeColor="text1"/>
        </w:rPr>
        <w:t>Reproducing inequality through the democratization of technology: In a strange way, making technology more accessible to everyone may make inequality worse by creating economic stratification. DeFi lets people with little money join and then fail, which moves money from regular people to more experienced ones instead of redistributing it. The gradient illustrates how ostensibly neutral technology can yield stratified results; the protocol ostensibly treats all participants equally, however disparities in resources lead to different outcomes. This has effects on how technology affects inequality in areas other than money.</w:t>
      </w:r>
    </w:p>
    <w:p w14:paraId="498ABF8A" w14:textId="77777777" w:rsidR="003E2675" w:rsidRDefault="003E2675" w:rsidP="00AE1DED">
      <w:pPr>
        <w:jc w:val="both"/>
        <w:rPr>
          <w:b/>
          <w:bCs/>
          <w:i/>
          <w:iCs/>
          <w:color w:val="000000" w:themeColor="text1"/>
        </w:rPr>
      </w:pPr>
    </w:p>
    <w:p w14:paraId="1A39958E" w14:textId="37EE3C44" w:rsidR="0077387E" w:rsidRPr="00E610CD" w:rsidRDefault="0077387E" w:rsidP="00AE1DED">
      <w:pPr>
        <w:jc w:val="both"/>
        <w:rPr>
          <w:color w:val="000000" w:themeColor="text1"/>
        </w:rPr>
      </w:pPr>
      <w:r w:rsidRPr="00E610CD">
        <w:rPr>
          <w:b/>
          <w:bCs/>
          <w:i/>
          <w:iCs/>
          <w:color w:val="000000" w:themeColor="text1"/>
        </w:rPr>
        <w:t>Inequality reproduction through technical democratization</w:t>
      </w:r>
      <w:r w:rsidRPr="00E610CD">
        <w:rPr>
          <w:i/>
          <w:iCs/>
          <w:color w:val="000000" w:themeColor="text1"/>
        </w:rPr>
        <w:t>:</w:t>
      </w:r>
      <w:r w:rsidRPr="00E610CD">
        <w:rPr>
          <w:color w:val="000000" w:themeColor="text1"/>
        </w:rPr>
        <w:t xml:space="preserve"> </w:t>
      </w:r>
      <w:r w:rsidR="00DE5F0F" w:rsidRPr="00E610CD">
        <w:rPr>
          <w:color w:val="000000" w:themeColor="text1"/>
        </w:rPr>
        <w:t xml:space="preserve">In a strange way, making technology more accessible may make inequality worse instead of better by dividing the economy into different groups. DeFi creates </w:t>
      </w:r>
      <w:proofErr w:type="gramStart"/>
      <w:r w:rsidR="00DE5F0F" w:rsidRPr="00E610CD">
        <w:rPr>
          <w:color w:val="000000" w:themeColor="text1"/>
        </w:rPr>
        <w:t>a wealth</w:t>
      </w:r>
      <w:proofErr w:type="gramEnd"/>
      <w:r w:rsidR="00DE5F0F" w:rsidRPr="00E610CD">
        <w:rPr>
          <w:color w:val="000000" w:themeColor="text1"/>
        </w:rPr>
        <w:t xml:space="preserve"> transfer from retail to sophisticated participants instead of wealth redistribution by letting undercapitalized participants in who then fail (Crenshaw, 2021). The gradient illustrates how seemingly neutral technology yields stratified results; the protocol seems to treat all participants </w:t>
      </w:r>
      <w:proofErr w:type="gramStart"/>
      <w:r w:rsidR="00DE5F0F" w:rsidRPr="00E610CD">
        <w:rPr>
          <w:color w:val="000000" w:themeColor="text1"/>
        </w:rPr>
        <w:t>equally,</w:t>
      </w:r>
      <w:proofErr w:type="gramEnd"/>
      <w:r w:rsidR="00DE5F0F" w:rsidRPr="00E610CD">
        <w:rPr>
          <w:color w:val="000000" w:themeColor="text1"/>
        </w:rPr>
        <w:t xml:space="preserve"> however the resource limitations result in different outcomes. This has consequences for the role of technology in inequality dynamics beyond finance.</w:t>
      </w:r>
    </w:p>
    <w:p w14:paraId="5C07F27B" w14:textId="77777777" w:rsidR="003E2675" w:rsidRDefault="003E2675" w:rsidP="00AE1DED">
      <w:pPr>
        <w:pStyle w:val="Heading4"/>
        <w:jc w:val="both"/>
        <w:rPr>
          <w:color w:val="000000" w:themeColor="text1"/>
        </w:rPr>
      </w:pPr>
    </w:p>
    <w:p w14:paraId="0B2FEDF9" w14:textId="79B62720" w:rsidR="0077387E" w:rsidRPr="00E610CD" w:rsidRDefault="007E3AAB" w:rsidP="00AE1DED">
      <w:pPr>
        <w:pStyle w:val="Heading4"/>
        <w:jc w:val="both"/>
        <w:rPr>
          <w:color w:val="000000" w:themeColor="text1"/>
        </w:rPr>
      </w:pPr>
      <w:r w:rsidRPr="00E610CD">
        <w:rPr>
          <w:color w:val="000000" w:themeColor="text1"/>
        </w:rPr>
        <w:t xml:space="preserve">11.2.4.6 </w:t>
      </w:r>
      <w:r w:rsidR="0077387E" w:rsidRPr="00E610CD">
        <w:rPr>
          <w:color w:val="000000" w:themeColor="text1"/>
        </w:rPr>
        <w:t>Policy Implications of Gradient Recognition</w:t>
      </w:r>
    </w:p>
    <w:p w14:paraId="70CCDA8D" w14:textId="77777777" w:rsidR="001176EC" w:rsidRPr="00E610CD" w:rsidRDefault="001176EC" w:rsidP="00AE1DED">
      <w:pPr>
        <w:jc w:val="both"/>
        <w:rPr>
          <w:color w:val="000000" w:themeColor="text1"/>
        </w:rPr>
      </w:pPr>
      <w:r w:rsidRPr="00E610CD">
        <w:rPr>
          <w:color w:val="000000" w:themeColor="text1"/>
        </w:rPr>
        <w:t xml:space="preserve">It is important to understand that the accessibility gradient has regulatory implications that are different from the binary inclusion/exclusion frameworks.  The following differences were identified: </w:t>
      </w:r>
    </w:p>
    <w:p w14:paraId="2D24D96E" w14:textId="77777777" w:rsidR="003E2675" w:rsidRDefault="003E2675" w:rsidP="00AE1DED">
      <w:pPr>
        <w:jc w:val="both"/>
        <w:rPr>
          <w:b/>
          <w:bCs/>
          <w:i/>
          <w:iCs/>
          <w:color w:val="000000" w:themeColor="text1"/>
        </w:rPr>
      </w:pPr>
    </w:p>
    <w:p w14:paraId="696A2BD6" w14:textId="5F286E85" w:rsidR="0077387E" w:rsidRPr="00E610CD" w:rsidRDefault="0077387E" w:rsidP="00AE1DED">
      <w:pPr>
        <w:jc w:val="both"/>
        <w:rPr>
          <w:color w:val="000000" w:themeColor="text1"/>
        </w:rPr>
      </w:pPr>
      <w:r w:rsidRPr="00E610CD">
        <w:rPr>
          <w:b/>
          <w:bCs/>
          <w:i/>
          <w:iCs/>
          <w:color w:val="000000" w:themeColor="text1"/>
        </w:rPr>
        <w:t>Disclosure requirements:</w:t>
      </w:r>
      <w:r w:rsidRPr="00E610CD">
        <w:rPr>
          <w:color w:val="000000" w:themeColor="text1"/>
        </w:rPr>
        <w:t xml:space="preserve"> </w:t>
      </w:r>
      <w:r w:rsidR="001176EC" w:rsidRPr="00E610CD">
        <w:rPr>
          <w:color w:val="000000" w:themeColor="text1"/>
        </w:rPr>
        <w:t xml:space="preserve">The current rules state that risk disclosures should be based on the idea that all participants have the same experience. However, the gradient shows that capital-stratified disclosures are needed (IOSCO, 2023; </w:t>
      </w:r>
      <w:proofErr w:type="spellStart"/>
      <w:r w:rsidR="001176EC" w:rsidRPr="00E610CD">
        <w:rPr>
          <w:color w:val="000000" w:themeColor="text1"/>
        </w:rPr>
        <w:t>Yuyama</w:t>
      </w:r>
      <w:proofErr w:type="spellEnd"/>
      <w:r w:rsidR="001176EC" w:rsidRPr="00E610CD">
        <w:rPr>
          <w:color w:val="000000" w:themeColor="text1"/>
        </w:rPr>
        <w:t xml:space="preserve"> et al., 2023). Participants should be aware that risk-return profiles differ systematically based on the invested capital level. A participant that possesses $5,000 encounters fundamentally different risk-return profiles compared to someone with $50,000. The existing disclosure frameworks fail to recognize this capital-dependent risk stratification (Crenshaw, 2021).</w:t>
      </w:r>
    </w:p>
    <w:p w14:paraId="0D2BAA14" w14:textId="77777777" w:rsidR="003E2675" w:rsidRDefault="003E2675" w:rsidP="00AE1DED">
      <w:pPr>
        <w:jc w:val="both"/>
        <w:rPr>
          <w:b/>
          <w:bCs/>
          <w:i/>
          <w:iCs/>
          <w:color w:val="000000" w:themeColor="text1"/>
        </w:rPr>
      </w:pPr>
    </w:p>
    <w:p w14:paraId="2920923A" w14:textId="5C3F8DB1" w:rsidR="0077387E" w:rsidRPr="00E610CD" w:rsidRDefault="0077387E" w:rsidP="00AE1DED">
      <w:pPr>
        <w:jc w:val="both"/>
        <w:rPr>
          <w:color w:val="000000" w:themeColor="text1"/>
        </w:rPr>
      </w:pPr>
      <w:r w:rsidRPr="00E610CD">
        <w:rPr>
          <w:b/>
          <w:bCs/>
          <w:i/>
          <w:iCs/>
          <w:color w:val="000000" w:themeColor="text1"/>
        </w:rPr>
        <w:t>Minimum viable capital standards:</w:t>
      </w:r>
      <w:r w:rsidRPr="00E610CD">
        <w:rPr>
          <w:color w:val="000000" w:themeColor="text1"/>
        </w:rPr>
        <w:t xml:space="preserve"> </w:t>
      </w:r>
      <w:r w:rsidR="001176EC" w:rsidRPr="00E610CD">
        <w:rPr>
          <w:color w:val="000000" w:themeColor="text1"/>
        </w:rPr>
        <w:t>Instead of preventing participation below certain levels (the conventional way) or allowing universal participation (the present DeFi way), regulators can demand disclosure of network-specific minimums if previous success rates are higher than certain levels (IOSCO, 2023). This method would provide recommendations instead of saying no and only letting people in when the situation is plainly not going to work.</w:t>
      </w:r>
    </w:p>
    <w:p w14:paraId="6F459A5B" w14:textId="77777777" w:rsidR="003E2675" w:rsidRDefault="003E2675" w:rsidP="00AE1DED">
      <w:pPr>
        <w:jc w:val="both"/>
        <w:rPr>
          <w:b/>
          <w:bCs/>
          <w:i/>
          <w:iCs/>
          <w:color w:val="000000" w:themeColor="text1"/>
        </w:rPr>
      </w:pPr>
    </w:p>
    <w:p w14:paraId="61967A9C" w14:textId="05B797C2" w:rsidR="0077387E" w:rsidRPr="00E610CD" w:rsidRDefault="0077387E" w:rsidP="00AE1DED">
      <w:pPr>
        <w:jc w:val="both"/>
        <w:rPr>
          <w:color w:val="000000" w:themeColor="text1"/>
        </w:rPr>
      </w:pPr>
      <w:r w:rsidRPr="00E610CD">
        <w:rPr>
          <w:b/>
          <w:bCs/>
          <w:i/>
          <w:iCs/>
          <w:color w:val="000000" w:themeColor="text1"/>
        </w:rPr>
        <w:t>Consumer protection recalibration:</w:t>
      </w:r>
      <w:r w:rsidRPr="00E610CD">
        <w:rPr>
          <w:color w:val="000000" w:themeColor="text1"/>
        </w:rPr>
        <w:t xml:space="preserve"> </w:t>
      </w:r>
      <w:r w:rsidR="001176EC" w:rsidRPr="00E610CD">
        <w:rPr>
          <w:color w:val="000000" w:themeColor="text1"/>
        </w:rPr>
        <w:t>Traditional consumer protection stops people from participating in activities that are excessively risky, but the gradient shows that there should be other ways to safeguard people (Massari and Catalini, 2021). Rather than stopping a participant with $1,000 from providing concentrated liquidity (an action that empirical evidence from May to September 2021 indicated resulted in 51.75% of addresses being unprofitable and impermanent losses of $260.1 million, exceeding trading fees of $199.3 million across 17 major Uniswap v3 pools (</w:t>
      </w:r>
      <w:proofErr w:type="spellStart"/>
      <w:r w:rsidR="001176EC" w:rsidRPr="00E610CD">
        <w:rPr>
          <w:color w:val="000000" w:themeColor="text1"/>
        </w:rPr>
        <w:t>Bancor</w:t>
      </w:r>
      <w:proofErr w:type="spellEnd"/>
      <w:r w:rsidR="001176EC" w:rsidRPr="00E610CD">
        <w:rPr>
          <w:color w:val="000000" w:themeColor="text1"/>
        </w:rPr>
        <w:t xml:space="preserve">, 2021; </w:t>
      </w:r>
      <w:proofErr w:type="spellStart"/>
      <w:r w:rsidR="001176EC" w:rsidRPr="00E610CD">
        <w:rPr>
          <w:color w:val="000000" w:themeColor="text1"/>
        </w:rPr>
        <w:t>IntoTheBlock</w:t>
      </w:r>
      <w:proofErr w:type="spellEnd"/>
      <w:r w:rsidR="001176EC" w:rsidRPr="00E610CD">
        <w:rPr>
          <w:color w:val="000000" w:themeColor="text1"/>
        </w:rPr>
        <w:t xml:space="preserve">, 2021), regulators could ensure that participants understand the capital-strategy matching requirements. An adequate decision support </w:t>
      </w:r>
      <w:proofErr w:type="gramStart"/>
      <w:r w:rsidR="001176EC" w:rsidRPr="00E610CD">
        <w:rPr>
          <w:color w:val="000000" w:themeColor="text1"/>
        </w:rPr>
        <w:t>systems</w:t>
      </w:r>
      <w:proofErr w:type="gramEnd"/>
      <w:r w:rsidR="001176EC" w:rsidRPr="00E610CD">
        <w:rPr>
          <w:color w:val="000000" w:themeColor="text1"/>
        </w:rPr>
        <w:t xml:space="preserve"> that lowers the chance of dishonest behavior and makes sure investors have access to useful, important information are a better option to manage consumer protection (Crenshaw, 2021).</w:t>
      </w:r>
    </w:p>
    <w:p w14:paraId="4C56ED56" w14:textId="77777777" w:rsidR="00201C2B" w:rsidRDefault="00201C2B" w:rsidP="00AE1DED">
      <w:pPr>
        <w:pStyle w:val="Heading4"/>
        <w:jc w:val="both"/>
        <w:rPr>
          <w:color w:val="000000" w:themeColor="text1"/>
        </w:rPr>
      </w:pPr>
    </w:p>
    <w:p w14:paraId="46C7BFBD" w14:textId="767A4932" w:rsidR="0077387E" w:rsidRPr="00E610CD" w:rsidRDefault="007E3AAB" w:rsidP="00AE1DED">
      <w:pPr>
        <w:pStyle w:val="Heading4"/>
        <w:jc w:val="both"/>
        <w:rPr>
          <w:color w:val="000000" w:themeColor="text1"/>
        </w:rPr>
      </w:pPr>
      <w:r w:rsidRPr="00E610CD">
        <w:rPr>
          <w:color w:val="000000" w:themeColor="text1"/>
        </w:rPr>
        <w:t xml:space="preserve">11.2.4.7 </w:t>
      </w:r>
      <w:r w:rsidR="0077387E" w:rsidRPr="00E610CD">
        <w:rPr>
          <w:color w:val="000000" w:themeColor="text1"/>
        </w:rPr>
        <w:t>Limitations and Boundary Conditions</w:t>
      </w:r>
    </w:p>
    <w:p w14:paraId="5F5985C9" w14:textId="0D9E6DB4" w:rsidR="00042A0E" w:rsidRPr="00E610CD" w:rsidRDefault="00042A0E" w:rsidP="00AE1DED">
      <w:pPr>
        <w:jc w:val="both"/>
        <w:rPr>
          <w:color w:val="000000" w:themeColor="text1"/>
        </w:rPr>
      </w:pPr>
      <w:r w:rsidRPr="00E610CD">
        <w:rPr>
          <w:color w:val="000000" w:themeColor="text1"/>
        </w:rPr>
        <w:t>Recognizing the accessibility gradient framework's flaws is necessary and consists of several factors:</w:t>
      </w:r>
    </w:p>
    <w:p w14:paraId="123A4844" w14:textId="77777777" w:rsidR="00634E7B" w:rsidRPr="00E610CD" w:rsidRDefault="00634E7B" w:rsidP="00AE1DED">
      <w:pPr>
        <w:jc w:val="both"/>
        <w:rPr>
          <w:color w:val="000000" w:themeColor="text1"/>
        </w:rPr>
      </w:pPr>
    </w:p>
    <w:p w14:paraId="086E62F7" w14:textId="77777777" w:rsidR="00042A0E" w:rsidRPr="00E610CD" w:rsidRDefault="00042A0E" w:rsidP="00AE1DED">
      <w:pPr>
        <w:jc w:val="both"/>
        <w:rPr>
          <w:color w:val="000000" w:themeColor="text1"/>
        </w:rPr>
      </w:pPr>
      <w:r w:rsidRPr="00E610CD">
        <w:rPr>
          <w:b/>
          <w:bCs/>
          <w:i/>
          <w:iCs/>
          <w:color w:val="000000" w:themeColor="text1"/>
        </w:rPr>
        <w:t>Specificity in time:</w:t>
      </w:r>
      <w:r w:rsidRPr="00E610CD">
        <w:rPr>
          <w:color w:val="000000" w:themeColor="text1"/>
        </w:rPr>
        <w:t xml:space="preserve"> The gradient's thresholds ($750, $3,500, and $25,000) are based on gas costs and fees from 2020 to 2024. At any point in time network congestion could raise the thresholds, while future technical breakthroughs could lower them. This gradient exists regardless of specific threshold levels, but the practical application requires frequent recalibration and monitoring. </w:t>
      </w:r>
    </w:p>
    <w:p w14:paraId="0DD74346" w14:textId="77777777" w:rsidR="00042A0E" w:rsidRPr="00E610CD" w:rsidRDefault="00042A0E" w:rsidP="00AE1DED">
      <w:pPr>
        <w:jc w:val="both"/>
        <w:rPr>
          <w:color w:val="000000" w:themeColor="text1"/>
        </w:rPr>
      </w:pPr>
      <w:r w:rsidRPr="00E610CD">
        <w:rPr>
          <w:color w:val="000000" w:themeColor="text1"/>
        </w:rPr>
        <w:lastRenderedPageBreak/>
        <w:t> </w:t>
      </w:r>
    </w:p>
    <w:p w14:paraId="163C87FC" w14:textId="77777777" w:rsidR="00042A0E" w:rsidRPr="00E610CD" w:rsidRDefault="00042A0E" w:rsidP="00AE1DED">
      <w:pPr>
        <w:jc w:val="both"/>
        <w:rPr>
          <w:color w:val="000000" w:themeColor="text1"/>
        </w:rPr>
      </w:pPr>
      <w:r w:rsidRPr="00E610CD">
        <w:rPr>
          <w:b/>
          <w:bCs/>
          <w:i/>
          <w:iCs/>
          <w:color w:val="000000" w:themeColor="text1"/>
        </w:rPr>
        <w:t>Protocol specificity:</w:t>
      </w:r>
      <w:r w:rsidRPr="00E610CD">
        <w:rPr>
          <w:color w:val="000000" w:themeColor="text1"/>
        </w:rPr>
        <w:t xml:space="preserve"> This study recorded gradients across six </w:t>
      </w:r>
      <w:proofErr w:type="gramStart"/>
      <w:r w:rsidRPr="00E610CD">
        <w:rPr>
          <w:color w:val="000000" w:themeColor="text1"/>
        </w:rPr>
        <w:t>regimens</w:t>
      </w:r>
      <w:proofErr w:type="gramEnd"/>
      <w:r w:rsidRPr="00E610CD">
        <w:rPr>
          <w:color w:val="000000" w:themeColor="text1"/>
        </w:rPr>
        <w:t xml:space="preserve"> and the paradigm might not apply to all DeFi protocols. This limitation particularly applies to protocols that feature new fee structures or consensus processes not represented in my sample. </w:t>
      </w:r>
    </w:p>
    <w:p w14:paraId="32B0A103" w14:textId="77777777" w:rsidR="00042A0E" w:rsidRPr="00E610CD" w:rsidRDefault="00042A0E" w:rsidP="00AE1DED">
      <w:pPr>
        <w:jc w:val="both"/>
        <w:rPr>
          <w:color w:val="000000" w:themeColor="text1"/>
        </w:rPr>
      </w:pPr>
    </w:p>
    <w:p w14:paraId="2B3980D3" w14:textId="77777777" w:rsidR="00042A0E" w:rsidRPr="00E610CD" w:rsidRDefault="00042A0E" w:rsidP="00AE1DED">
      <w:pPr>
        <w:jc w:val="both"/>
        <w:rPr>
          <w:color w:val="000000" w:themeColor="text1"/>
        </w:rPr>
      </w:pPr>
      <w:r w:rsidRPr="00E610CD">
        <w:rPr>
          <w:b/>
          <w:bCs/>
          <w:i/>
          <w:iCs/>
          <w:color w:val="000000" w:themeColor="text1"/>
        </w:rPr>
        <w:t>Geographic contingency:</w:t>
      </w:r>
      <w:r w:rsidRPr="00E610CD">
        <w:rPr>
          <w:color w:val="000000" w:themeColor="text1"/>
        </w:rPr>
        <w:t xml:space="preserve"> The thresholds were set in USD, which is acceptable for US and EU participants but could be confusing for people from countries with strong inflation where dollar-denominated returns have a different value. As example, a 5% return on the US dollar does not have the same value in Argentina (where inflation is 50%) as in the US (where inflation is 3%). This suggests that gradients should change based on where the participant is located and the local currency.</w:t>
      </w:r>
    </w:p>
    <w:p w14:paraId="061F1C49" w14:textId="77777777" w:rsidR="00042A0E" w:rsidRPr="00E610CD" w:rsidRDefault="00042A0E" w:rsidP="00AE1DED">
      <w:pPr>
        <w:jc w:val="both"/>
        <w:rPr>
          <w:color w:val="000000" w:themeColor="text1"/>
        </w:rPr>
      </w:pPr>
    </w:p>
    <w:p w14:paraId="580FF3EB" w14:textId="77777777" w:rsidR="00042A0E" w:rsidRPr="00E610CD" w:rsidRDefault="00042A0E" w:rsidP="00AE1DED">
      <w:pPr>
        <w:jc w:val="both"/>
        <w:rPr>
          <w:color w:val="000000" w:themeColor="text1"/>
        </w:rPr>
      </w:pPr>
      <w:r w:rsidRPr="00E610CD">
        <w:rPr>
          <w:color w:val="000000" w:themeColor="text1"/>
        </w:rPr>
        <w:t xml:space="preserve">Even with its flaws, the accessibility gradient helps us appreciate how technologies that seem democratic can lead to unequal results through economic disadvantages rather than regulatory means. This </w:t>
      </w:r>
      <w:proofErr w:type="gramStart"/>
      <w:r w:rsidRPr="00E610CD">
        <w:rPr>
          <w:color w:val="000000" w:themeColor="text1"/>
        </w:rPr>
        <w:t>has an effect on</w:t>
      </w:r>
      <w:proofErr w:type="gramEnd"/>
      <w:r w:rsidRPr="00E610CD">
        <w:rPr>
          <w:color w:val="000000" w:themeColor="text1"/>
        </w:rPr>
        <w:t xml:space="preserve"> more than just DeFi. It applies to any tech system that claims to be democratizing and areas but relies on capital to work. The gradient shows that democratization is not a binary achievement but a spectrum, and that making things more technically accessible is vital but not always enough for full economic democratization</w:t>
      </w:r>
    </w:p>
    <w:p w14:paraId="436AE259" w14:textId="77777777" w:rsidR="00201C2B" w:rsidRDefault="00201C2B" w:rsidP="00AE1DED">
      <w:pPr>
        <w:pStyle w:val="Heading3"/>
        <w:jc w:val="both"/>
        <w:rPr>
          <w:color w:val="000000" w:themeColor="text1"/>
        </w:rPr>
      </w:pPr>
    </w:p>
    <w:p w14:paraId="3856989F" w14:textId="1F52B809" w:rsidR="00236533" w:rsidRPr="00E610CD" w:rsidRDefault="00236533" w:rsidP="00AE1DED">
      <w:pPr>
        <w:pStyle w:val="Heading3"/>
        <w:jc w:val="both"/>
        <w:rPr>
          <w:color w:val="000000" w:themeColor="text1"/>
        </w:rPr>
      </w:pPr>
      <w:bookmarkStart w:id="241" w:name="_Toc214722047"/>
      <w:r w:rsidRPr="00E610CD">
        <w:rPr>
          <w:color w:val="000000" w:themeColor="text1"/>
        </w:rPr>
        <w:t>11.2.5 Conditional Democratization: Beyond Binary Narratives</w:t>
      </w:r>
      <w:bookmarkEnd w:id="241"/>
    </w:p>
    <w:p w14:paraId="6D29E5E6" w14:textId="5B94C3C6" w:rsidR="00236533" w:rsidRPr="00E610CD" w:rsidRDefault="00236533" w:rsidP="00AE1DED">
      <w:pPr>
        <w:pStyle w:val="whitespace-normal"/>
        <w:spacing w:before="0" w:beforeAutospacing="0" w:after="0" w:afterAutospacing="0"/>
        <w:jc w:val="both"/>
        <w:rPr>
          <w:color w:val="000000" w:themeColor="text1"/>
        </w:rPr>
      </w:pPr>
      <w:r w:rsidRPr="00E610CD">
        <w:rPr>
          <w:color w:val="000000" w:themeColor="text1"/>
        </w:rPr>
        <w:t>This research's most significant theoretical contribution may be the concept of "conditional democratization"</w:t>
      </w:r>
      <w:r w:rsidR="005070C8" w:rsidRPr="00E610CD">
        <w:rPr>
          <w:color w:val="000000" w:themeColor="text1"/>
        </w:rPr>
        <w:t xml:space="preserve">. This is </w:t>
      </w:r>
      <w:r w:rsidRPr="00E610CD">
        <w:rPr>
          <w:color w:val="000000" w:themeColor="text1"/>
        </w:rPr>
        <w:t xml:space="preserve">a framework for understanding partial, constrained expansions of access that neither achieve full democratization nor constitute complete failure. Existing literature </w:t>
      </w:r>
      <w:r w:rsidR="005070C8" w:rsidRPr="00E610CD">
        <w:rPr>
          <w:color w:val="000000" w:themeColor="text1"/>
        </w:rPr>
        <w:t>mainly</w:t>
      </w:r>
      <w:r w:rsidRPr="00E610CD">
        <w:rPr>
          <w:color w:val="000000" w:themeColor="text1"/>
        </w:rPr>
        <w:t xml:space="preserve"> </w:t>
      </w:r>
      <w:r w:rsidR="005070C8" w:rsidRPr="00E610CD">
        <w:rPr>
          <w:color w:val="000000" w:themeColor="text1"/>
        </w:rPr>
        <w:t xml:space="preserve">identifies </w:t>
      </w:r>
      <w:r w:rsidRPr="00E610CD">
        <w:rPr>
          <w:color w:val="000000" w:themeColor="text1"/>
        </w:rPr>
        <w:t xml:space="preserve">democratization as binary: </w:t>
      </w:r>
      <w:r w:rsidR="005070C8" w:rsidRPr="00E610CD">
        <w:rPr>
          <w:color w:val="000000" w:themeColor="text1"/>
        </w:rPr>
        <w:t xml:space="preserve">a </w:t>
      </w:r>
      <w:proofErr w:type="gramStart"/>
      <w:r w:rsidRPr="00E610CD">
        <w:rPr>
          <w:color w:val="000000" w:themeColor="text1"/>
        </w:rPr>
        <w:t>systems</w:t>
      </w:r>
      <w:proofErr w:type="gramEnd"/>
      <w:r w:rsidRPr="00E610CD">
        <w:rPr>
          <w:color w:val="000000" w:themeColor="text1"/>
        </w:rPr>
        <w:t xml:space="preserve"> either democratize (expand</w:t>
      </w:r>
      <w:r w:rsidR="005070C8" w:rsidRPr="00E610CD">
        <w:rPr>
          <w:color w:val="000000" w:themeColor="text1"/>
        </w:rPr>
        <w:t>s</w:t>
      </w:r>
      <w:r w:rsidRPr="00E610CD">
        <w:rPr>
          <w:color w:val="000000" w:themeColor="text1"/>
        </w:rPr>
        <w:t xml:space="preserve"> access successfully) or fail</w:t>
      </w:r>
      <w:r w:rsidR="005070C8" w:rsidRPr="00E610CD">
        <w:rPr>
          <w:color w:val="000000" w:themeColor="text1"/>
        </w:rPr>
        <w:t>s</w:t>
      </w:r>
      <w:r w:rsidRPr="00E610CD">
        <w:rPr>
          <w:color w:val="000000" w:themeColor="text1"/>
        </w:rPr>
        <w:t xml:space="preserve"> to democratize (maintain</w:t>
      </w:r>
      <w:r w:rsidR="005070C8" w:rsidRPr="00E610CD">
        <w:rPr>
          <w:color w:val="000000" w:themeColor="text1"/>
        </w:rPr>
        <w:t>s</w:t>
      </w:r>
      <w:r w:rsidRPr="00E610CD">
        <w:rPr>
          <w:color w:val="000000" w:themeColor="text1"/>
        </w:rPr>
        <w:t xml:space="preserve"> existing exclusions). This binary framing </w:t>
      </w:r>
      <w:r w:rsidR="005070C8" w:rsidRPr="00E610CD">
        <w:rPr>
          <w:color w:val="000000" w:themeColor="text1"/>
        </w:rPr>
        <w:t>does not apply to</w:t>
      </w:r>
      <w:r w:rsidRPr="00E610CD">
        <w:rPr>
          <w:color w:val="000000" w:themeColor="text1"/>
        </w:rPr>
        <w:t xml:space="preserve"> DeFi's empirical </w:t>
      </w:r>
      <w:r w:rsidR="005070C8" w:rsidRPr="00E610CD">
        <w:rPr>
          <w:color w:val="000000" w:themeColor="text1"/>
        </w:rPr>
        <w:t>findings</w:t>
      </w:r>
      <w:r w:rsidRPr="00E610CD">
        <w:rPr>
          <w:color w:val="000000" w:themeColor="text1"/>
        </w:rPr>
        <w:t xml:space="preserve">: </w:t>
      </w:r>
      <w:r w:rsidR="005070C8" w:rsidRPr="00E610CD">
        <w:rPr>
          <w:color w:val="000000" w:themeColor="text1"/>
        </w:rPr>
        <w:t xml:space="preserve">a </w:t>
      </w:r>
      <w:r w:rsidRPr="00E610CD">
        <w:rPr>
          <w:color w:val="000000" w:themeColor="text1"/>
        </w:rPr>
        <w:t xml:space="preserve">genuine expansion of participation </w:t>
      </w:r>
      <w:r w:rsidR="005070C8" w:rsidRPr="00E610CD">
        <w:rPr>
          <w:color w:val="000000" w:themeColor="text1"/>
        </w:rPr>
        <w:t>combined</w:t>
      </w:r>
      <w:r w:rsidRPr="00E610CD">
        <w:rPr>
          <w:color w:val="000000" w:themeColor="text1"/>
        </w:rPr>
        <w:t xml:space="preserve"> with stratified, capital-dependent outcomes.</w:t>
      </w:r>
    </w:p>
    <w:p w14:paraId="275C69C7" w14:textId="77777777" w:rsidR="00201C2B" w:rsidRDefault="00201C2B" w:rsidP="00AE1DED">
      <w:pPr>
        <w:pStyle w:val="whitespace-normal"/>
        <w:spacing w:before="0" w:beforeAutospacing="0" w:after="0" w:afterAutospacing="0"/>
        <w:jc w:val="both"/>
        <w:rPr>
          <w:color w:val="000000" w:themeColor="text1"/>
        </w:rPr>
      </w:pPr>
    </w:p>
    <w:p w14:paraId="248B1089" w14:textId="3E503DB7" w:rsidR="00236533" w:rsidRPr="00E610CD" w:rsidRDefault="00236533" w:rsidP="00AE1DED">
      <w:pPr>
        <w:pStyle w:val="whitespace-normal"/>
        <w:spacing w:before="0" w:beforeAutospacing="0" w:after="0" w:afterAutospacing="0"/>
        <w:jc w:val="both"/>
        <w:rPr>
          <w:color w:val="000000" w:themeColor="text1"/>
        </w:rPr>
      </w:pPr>
      <w:r w:rsidRPr="00E610CD">
        <w:rPr>
          <w:color w:val="000000" w:themeColor="text1"/>
        </w:rPr>
        <w:t>The "conditional" aspect has dual meaning. First, democratization is conditional on meeting specific resource requirements (capital, competence, time) despite technical accessibility. Second, the democratization itself is incomplete</w:t>
      </w:r>
      <w:r w:rsidR="005070C8" w:rsidRPr="00E610CD">
        <w:rPr>
          <w:color w:val="000000" w:themeColor="text1"/>
        </w:rPr>
        <w:t>. I</w:t>
      </w:r>
      <w:r w:rsidRPr="00E610CD">
        <w:rPr>
          <w:color w:val="000000" w:themeColor="text1"/>
        </w:rPr>
        <w:t xml:space="preserve">t expands the participant set from traditional finance but not to universal inclusion </w:t>
      </w:r>
      <w:r w:rsidR="005070C8" w:rsidRPr="00E610CD">
        <w:rPr>
          <w:color w:val="000000" w:themeColor="text1"/>
        </w:rPr>
        <w:t>everywhere in the DeFi space</w:t>
      </w:r>
      <w:r w:rsidRPr="00E610CD">
        <w:rPr>
          <w:color w:val="000000" w:themeColor="text1"/>
        </w:rPr>
        <w:t>.</w:t>
      </w:r>
    </w:p>
    <w:p w14:paraId="2352E60D" w14:textId="77777777" w:rsidR="00201C2B" w:rsidRDefault="00201C2B" w:rsidP="00AE1DED">
      <w:pPr>
        <w:pStyle w:val="Heading4"/>
        <w:jc w:val="both"/>
        <w:rPr>
          <w:color w:val="000000" w:themeColor="text1"/>
        </w:rPr>
      </w:pPr>
    </w:p>
    <w:p w14:paraId="060622A0" w14:textId="37D28C08" w:rsidR="00236533" w:rsidRPr="00E610CD" w:rsidRDefault="007E3AAB" w:rsidP="00AE1DED">
      <w:pPr>
        <w:pStyle w:val="Heading4"/>
        <w:jc w:val="both"/>
        <w:rPr>
          <w:color w:val="000000" w:themeColor="text1"/>
        </w:rPr>
      </w:pPr>
      <w:r w:rsidRPr="00E610CD">
        <w:rPr>
          <w:color w:val="000000" w:themeColor="text1"/>
        </w:rPr>
        <w:t xml:space="preserve">11.2.5.1 </w:t>
      </w:r>
      <w:r w:rsidR="00236533" w:rsidRPr="00E610CD">
        <w:rPr>
          <w:rStyle w:val="Strong"/>
          <w:b/>
          <w:bCs w:val="0"/>
          <w:color w:val="000000" w:themeColor="text1"/>
        </w:rPr>
        <w:t>Theoretical Positioning</w:t>
      </w:r>
    </w:p>
    <w:p w14:paraId="72356684" w14:textId="4D2CCB3D" w:rsidR="00B05FFD" w:rsidRPr="00E610CD" w:rsidRDefault="00B05FFD" w:rsidP="00AE1DED">
      <w:pPr>
        <w:jc w:val="both"/>
        <w:rPr>
          <w:color w:val="000000" w:themeColor="text1"/>
          <w:kern w:val="2"/>
        </w:rPr>
      </w:pPr>
      <w:r w:rsidRPr="00E610CD">
        <w:rPr>
          <w:color w:val="000000" w:themeColor="text1"/>
          <w:kern w:val="2"/>
        </w:rPr>
        <w:t xml:space="preserve">Conditional democratization combines ideas from three different areas of study, yet </w:t>
      </w:r>
      <w:r w:rsidR="00E8491A" w:rsidRPr="00E610CD">
        <w:rPr>
          <w:color w:val="000000" w:themeColor="text1"/>
          <w:kern w:val="2"/>
        </w:rPr>
        <w:t xml:space="preserve">they </w:t>
      </w:r>
      <w:r w:rsidR="000B11FE" w:rsidRPr="00E610CD">
        <w:rPr>
          <w:color w:val="000000" w:themeColor="text1"/>
          <w:kern w:val="2"/>
        </w:rPr>
        <w:t>are different</w:t>
      </w:r>
      <w:r w:rsidRPr="00E610CD">
        <w:rPr>
          <w:color w:val="000000" w:themeColor="text1"/>
          <w:kern w:val="2"/>
        </w:rPr>
        <w:t xml:space="preserve"> from each </w:t>
      </w:r>
      <w:r w:rsidR="00E8491A" w:rsidRPr="00E610CD">
        <w:rPr>
          <w:color w:val="000000" w:themeColor="text1"/>
          <w:kern w:val="2"/>
        </w:rPr>
        <w:t>other</w:t>
      </w:r>
      <w:r w:rsidRPr="00E610CD">
        <w:rPr>
          <w:color w:val="000000" w:themeColor="text1"/>
          <w:kern w:val="2"/>
        </w:rPr>
        <w:t xml:space="preserve">: </w:t>
      </w:r>
    </w:p>
    <w:p w14:paraId="3B0E8A0B" w14:textId="77777777" w:rsidR="00201C2B" w:rsidRDefault="00201C2B" w:rsidP="00AE1DED">
      <w:pPr>
        <w:jc w:val="both"/>
        <w:rPr>
          <w:b/>
          <w:bCs/>
          <w:i/>
          <w:iCs/>
          <w:color w:val="000000" w:themeColor="text1"/>
        </w:rPr>
      </w:pPr>
    </w:p>
    <w:p w14:paraId="2846132F" w14:textId="3F084367" w:rsidR="00B05FFD" w:rsidRPr="00E610CD" w:rsidRDefault="00B05FFD" w:rsidP="00AE1DED">
      <w:pPr>
        <w:jc w:val="both"/>
        <w:rPr>
          <w:color w:val="000000" w:themeColor="text1"/>
          <w:kern w:val="2"/>
        </w:rPr>
      </w:pPr>
      <w:r w:rsidRPr="00E610CD">
        <w:rPr>
          <w:b/>
          <w:bCs/>
          <w:i/>
          <w:iCs/>
          <w:color w:val="000000" w:themeColor="text1"/>
        </w:rPr>
        <w:t>Technology determinism vs. social constructivism:</w:t>
      </w:r>
      <w:r w:rsidRPr="00E610CD">
        <w:rPr>
          <w:color w:val="000000" w:themeColor="text1"/>
        </w:rPr>
        <w:t xml:space="preserve"> </w:t>
      </w:r>
      <w:r w:rsidRPr="00E610CD">
        <w:rPr>
          <w:color w:val="000000" w:themeColor="text1"/>
          <w:kern w:val="2"/>
        </w:rPr>
        <w:t xml:space="preserve">Technology determinists </w:t>
      </w:r>
      <w:r w:rsidR="002E2F35" w:rsidRPr="00E610CD">
        <w:rPr>
          <w:color w:val="000000" w:themeColor="text1"/>
          <w:kern w:val="2"/>
        </w:rPr>
        <w:t>claim</w:t>
      </w:r>
      <w:r w:rsidR="00E8491A" w:rsidRPr="00E610CD">
        <w:rPr>
          <w:color w:val="000000" w:themeColor="text1"/>
          <w:kern w:val="2"/>
        </w:rPr>
        <w:t xml:space="preserve"> </w:t>
      </w:r>
      <w:r w:rsidRPr="00E610CD">
        <w:rPr>
          <w:color w:val="000000" w:themeColor="text1"/>
          <w:kern w:val="2"/>
        </w:rPr>
        <w:t xml:space="preserve">that tools inherently democratize or centralize based on their technical characteristics (Winner, 1980). Social constructivists </w:t>
      </w:r>
      <w:r w:rsidR="00E8491A" w:rsidRPr="00E610CD">
        <w:rPr>
          <w:color w:val="000000" w:themeColor="text1"/>
          <w:kern w:val="2"/>
        </w:rPr>
        <w:t>point out</w:t>
      </w:r>
      <w:r w:rsidRPr="00E610CD">
        <w:rPr>
          <w:color w:val="000000" w:themeColor="text1"/>
          <w:kern w:val="2"/>
        </w:rPr>
        <w:t xml:space="preserve"> that social variables govern the distributive effects of technology, regardless of technical design (Bijker &amp; Law, 1992). Conditional democracy rejects both extremes. On one hand, technical factors (like the cost of gas, fixed fees, and the possibility of automation) create real opportunities. On the other hand, social factors (</w:t>
      </w:r>
      <w:r w:rsidR="00E8491A" w:rsidRPr="00E610CD">
        <w:rPr>
          <w:color w:val="000000" w:themeColor="text1"/>
          <w:kern w:val="2"/>
        </w:rPr>
        <w:t>e.g.</w:t>
      </w:r>
      <w:r w:rsidRPr="00E610CD">
        <w:rPr>
          <w:color w:val="000000" w:themeColor="text1"/>
          <w:kern w:val="2"/>
        </w:rPr>
        <w:t xml:space="preserve"> distribution of wealth, knowledge gaps, and the amount of time available) decide who can take advantage of th</w:t>
      </w:r>
      <w:r w:rsidR="00E8491A" w:rsidRPr="00E610CD">
        <w:rPr>
          <w:color w:val="000000" w:themeColor="text1"/>
          <w:kern w:val="2"/>
        </w:rPr>
        <w:t>ese</w:t>
      </w:r>
      <w:r w:rsidRPr="00E610CD">
        <w:rPr>
          <w:color w:val="000000" w:themeColor="text1"/>
          <w:kern w:val="2"/>
        </w:rPr>
        <w:t xml:space="preserve"> opportunities. </w:t>
      </w:r>
      <w:r w:rsidR="00E8491A" w:rsidRPr="00E610CD">
        <w:rPr>
          <w:color w:val="000000" w:themeColor="text1"/>
          <w:kern w:val="2"/>
        </w:rPr>
        <w:t>The o</w:t>
      </w:r>
      <w:r w:rsidRPr="00E610CD">
        <w:rPr>
          <w:color w:val="000000" w:themeColor="text1"/>
          <w:kern w:val="2"/>
        </w:rPr>
        <w:t>utcomes cannot be exclusively ascribed to technological or social factors</w:t>
      </w:r>
      <w:r w:rsidR="00E8491A" w:rsidRPr="00E610CD">
        <w:rPr>
          <w:color w:val="000000" w:themeColor="text1"/>
          <w:kern w:val="2"/>
        </w:rPr>
        <w:t xml:space="preserve">. It is the </w:t>
      </w:r>
      <w:r w:rsidRPr="00E610CD">
        <w:rPr>
          <w:color w:val="000000" w:themeColor="text1"/>
          <w:kern w:val="2"/>
        </w:rPr>
        <w:t>interaction</w:t>
      </w:r>
      <w:r w:rsidR="00E8491A" w:rsidRPr="00E610CD">
        <w:rPr>
          <w:color w:val="000000" w:themeColor="text1"/>
          <w:kern w:val="2"/>
        </w:rPr>
        <w:t xml:space="preserve"> between them that</w:t>
      </w:r>
      <w:r w:rsidRPr="00E610CD">
        <w:rPr>
          <w:color w:val="000000" w:themeColor="text1"/>
          <w:kern w:val="2"/>
        </w:rPr>
        <w:t xml:space="preserve"> produces </w:t>
      </w:r>
      <w:proofErr w:type="gramStart"/>
      <w:r w:rsidR="00E8491A" w:rsidRPr="00E610CD">
        <w:rPr>
          <w:color w:val="000000" w:themeColor="text1"/>
          <w:kern w:val="2"/>
        </w:rPr>
        <w:t xml:space="preserve">the </w:t>
      </w:r>
      <w:r w:rsidRPr="00E610CD">
        <w:rPr>
          <w:color w:val="000000" w:themeColor="text1"/>
          <w:kern w:val="2"/>
        </w:rPr>
        <w:t>conditional</w:t>
      </w:r>
      <w:proofErr w:type="gramEnd"/>
      <w:r w:rsidRPr="00E610CD">
        <w:rPr>
          <w:color w:val="000000" w:themeColor="text1"/>
          <w:kern w:val="2"/>
        </w:rPr>
        <w:t xml:space="preserve"> democratization. </w:t>
      </w:r>
    </w:p>
    <w:p w14:paraId="30155FC8" w14:textId="77777777" w:rsidR="00201C2B" w:rsidRDefault="00201C2B" w:rsidP="00AE1DED">
      <w:pPr>
        <w:jc w:val="both"/>
        <w:rPr>
          <w:b/>
          <w:bCs/>
          <w:i/>
          <w:iCs/>
          <w:color w:val="000000" w:themeColor="text1"/>
        </w:rPr>
      </w:pPr>
    </w:p>
    <w:p w14:paraId="685CDA95" w14:textId="560D4C0F" w:rsidR="00B05FFD" w:rsidRPr="00E610CD" w:rsidRDefault="00B05FFD" w:rsidP="00AE1DED">
      <w:pPr>
        <w:jc w:val="both"/>
        <w:rPr>
          <w:color w:val="000000" w:themeColor="text1"/>
          <w:kern w:val="2"/>
        </w:rPr>
      </w:pPr>
      <w:r w:rsidRPr="00E610CD">
        <w:rPr>
          <w:b/>
          <w:bCs/>
          <w:i/>
          <w:iCs/>
          <w:color w:val="000000" w:themeColor="text1"/>
        </w:rPr>
        <w:lastRenderedPageBreak/>
        <w:t xml:space="preserve">Universal basic capabilities vs. differentiated </w:t>
      </w:r>
      <w:r w:rsidR="009D1AFA" w:rsidRPr="00E610CD">
        <w:rPr>
          <w:b/>
          <w:bCs/>
          <w:i/>
          <w:iCs/>
          <w:color w:val="000000" w:themeColor="text1"/>
        </w:rPr>
        <w:t>functioning:</w:t>
      </w:r>
      <w:r w:rsidRPr="00E610CD">
        <w:rPr>
          <w:color w:val="000000" w:themeColor="text1"/>
          <w:kern w:val="2"/>
        </w:rPr>
        <w:t xml:space="preserve"> Sen's (1999) capability approach </w:t>
      </w:r>
      <w:r w:rsidR="009D1AFA" w:rsidRPr="00E610CD">
        <w:rPr>
          <w:color w:val="000000" w:themeColor="text1"/>
          <w:kern w:val="2"/>
        </w:rPr>
        <w:t xml:space="preserve">differentiates </w:t>
      </w:r>
      <w:r w:rsidRPr="00E610CD">
        <w:rPr>
          <w:color w:val="000000" w:themeColor="text1"/>
          <w:kern w:val="2"/>
        </w:rPr>
        <w:t xml:space="preserve">between universal basic capacities and differentiated </w:t>
      </w:r>
      <w:r w:rsidR="009D1AFA" w:rsidRPr="00E610CD">
        <w:rPr>
          <w:color w:val="000000" w:themeColor="text1"/>
          <w:kern w:val="2"/>
        </w:rPr>
        <w:t>functioning. This is</w:t>
      </w:r>
      <w:r w:rsidRPr="00E610CD">
        <w:rPr>
          <w:color w:val="000000" w:themeColor="text1"/>
          <w:kern w:val="2"/>
        </w:rPr>
        <w:t xml:space="preserve"> delineating </w:t>
      </w:r>
      <w:r w:rsidR="009D1AFA" w:rsidRPr="00E610CD">
        <w:rPr>
          <w:color w:val="000000" w:themeColor="text1"/>
          <w:kern w:val="2"/>
        </w:rPr>
        <w:t xml:space="preserve">the </w:t>
      </w:r>
      <w:r w:rsidRPr="00E610CD">
        <w:rPr>
          <w:color w:val="000000" w:themeColor="text1"/>
          <w:kern w:val="2"/>
        </w:rPr>
        <w:t xml:space="preserve">capabilities as what individuals can do and </w:t>
      </w:r>
      <w:r w:rsidR="009D1AFA" w:rsidRPr="00E610CD">
        <w:rPr>
          <w:color w:val="000000" w:themeColor="text1"/>
          <w:kern w:val="2"/>
        </w:rPr>
        <w:t xml:space="preserve">what </w:t>
      </w:r>
      <w:r w:rsidRPr="00E610CD">
        <w:rPr>
          <w:color w:val="000000" w:themeColor="text1"/>
          <w:kern w:val="2"/>
        </w:rPr>
        <w:t xml:space="preserve">they </w:t>
      </w:r>
      <w:proofErr w:type="gramStart"/>
      <w:r w:rsidRPr="00E610CD">
        <w:rPr>
          <w:color w:val="000000" w:themeColor="text1"/>
          <w:kern w:val="2"/>
        </w:rPr>
        <w:t>actually achieve</w:t>
      </w:r>
      <w:proofErr w:type="gramEnd"/>
      <w:r w:rsidRPr="00E610CD">
        <w:rPr>
          <w:color w:val="000000" w:themeColor="text1"/>
          <w:kern w:val="2"/>
        </w:rPr>
        <w:t xml:space="preserve">. DeFi expands </w:t>
      </w:r>
      <w:r w:rsidR="009D1AFA" w:rsidRPr="00E610CD">
        <w:rPr>
          <w:color w:val="000000" w:themeColor="text1"/>
          <w:kern w:val="2"/>
        </w:rPr>
        <w:t xml:space="preserve">these </w:t>
      </w:r>
      <w:r w:rsidRPr="00E610CD">
        <w:rPr>
          <w:color w:val="000000" w:themeColor="text1"/>
          <w:kern w:val="2"/>
        </w:rPr>
        <w:t>capabilities</w:t>
      </w:r>
      <w:r w:rsidR="009D1AFA" w:rsidRPr="00E610CD">
        <w:rPr>
          <w:color w:val="000000" w:themeColor="text1"/>
          <w:kern w:val="2"/>
        </w:rPr>
        <w:t xml:space="preserve">, as </w:t>
      </w:r>
      <w:r w:rsidRPr="00E610CD">
        <w:rPr>
          <w:color w:val="000000" w:themeColor="text1"/>
          <w:kern w:val="2"/>
        </w:rPr>
        <w:t>anyone can technically provide liquidity</w:t>
      </w:r>
      <w:r w:rsidR="009D1AFA" w:rsidRPr="00E610CD">
        <w:rPr>
          <w:color w:val="000000" w:themeColor="text1"/>
          <w:kern w:val="2"/>
        </w:rPr>
        <w:t xml:space="preserve">, </w:t>
      </w:r>
      <w:r w:rsidRPr="00E610CD">
        <w:rPr>
          <w:color w:val="000000" w:themeColor="text1"/>
          <w:kern w:val="2"/>
        </w:rPr>
        <w:t xml:space="preserve">but </w:t>
      </w:r>
      <w:r w:rsidR="009D1AFA" w:rsidRPr="00E610CD">
        <w:rPr>
          <w:color w:val="000000" w:themeColor="text1"/>
          <w:kern w:val="2"/>
        </w:rPr>
        <w:t xml:space="preserve">the </w:t>
      </w:r>
      <w:r w:rsidR="000B11FE" w:rsidRPr="00E610CD">
        <w:rPr>
          <w:color w:val="000000" w:themeColor="text1"/>
          <w:kern w:val="2"/>
        </w:rPr>
        <w:t>functioning</w:t>
      </w:r>
      <w:r w:rsidRPr="00E610CD">
        <w:rPr>
          <w:color w:val="000000" w:themeColor="text1"/>
          <w:kern w:val="2"/>
        </w:rPr>
        <w:t xml:space="preserve"> </w:t>
      </w:r>
      <w:proofErr w:type="gramStart"/>
      <w:r w:rsidRPr="00E610CD">
        <w:rPr>
          <w:color w:val="000000" w:themeColor="text1"/>
          <w:kern w:val="2"/>
        </w:rPr>
        <w:t>remain</w:t>
      </w:r>
      <w:proofErr w:type="gramEnd"/>
      <w:r w:rsidRPr="00E610CD">
        <w:rPr>
          <w:color w:val="000000" w:themeColor="text1"/>
          <w:kern w:val="2"/>
        </w:rPr>
        <w:t xml:space="preserve"> distinct as they transform </w:t>
      </w:r>
      <w:r w:rsidR="009D1AFA" w:rsidRPr="00E610CD">
        <w:rPr>
          <w:color w:val="000000" w:themeColor="text1"/>
          <w:kern w:val="2"/>
        </w:rPr>
        <w:t xml:space="preserve">the </w:t>
      </w:r>
      <w:r w:rsidRPr="00E610CD">
        <w:rPr>
          <w:color w:val="000000" w:themeColor="text1"/>
          <w:kern w:val="2"/>
        </w:rPr>
        <w:t xml:space="preserve">capabilities into tangible achievements. My research indicates that 73% of participants possessed the capacity to invest capital </w:t>
      </w:r>
      <w:r w:rsidR="00B00A03" w:rsidRPr="00E610CD">
        <w:rPr>
          <w:color w:val="000000" w:themeColor="text1"/>
          <w:kern w:val="2"/>
        </w:rPr>
        <w:t xml:space="preserve">but </w:t>
      </w:r>
      <w:r w:rsidR="001F0274" w:rsidRPr="00E610CD">
        <w:rPr>
          <w:color w:val="000000" w:themeColor="text1"/>
          <w:kern w:val="2"/>
        </w:rPr>
        <w:t>they</w:t>
      </w:r>
      <w:r w:rsidRPr="00E610CD">
        <w:rPr>
          <w:color w:val="000000" w:themeColor="text1"/>
          <w:kern w:val="2"/>
        </w:rPr>
        <w:t xml:space="preserve"> failed to achieve favorable outcomes (sustainable returns). This shows that capabilities analysis needs to look at more than just the presence of a basic capability</w:t>
      </w:r>
      <w:r w:rsidR="00B00A03" w:rsidRPr="00E610CD">
        <w:rPr>
          <w:color w:val="000000" w:themeColor="text1"/>
          <w:kern w:val="2"/>
        </w:rPr>
        <w:t>. It should include the analysis of elements related to</w:t>
      </w:r>
      <w:r w:rsidRPr="00E610CD">
        <w:rPr>
          <w:color w:val="000000" w:themeColor="text1"/>
          <w:kern w:val="2"/>
        </w:rPr>
        <w:t xml:space="preserve"> capacity-functioning conversio</w:t>
      </w:r>
      <w:r w:rsidR="00B00A03" w:rsidRPr="00E610CD">
        <w:rPr>
          <w:color w:val="000000" w:themeColor="text1"/>
          <w:kern w:val="2"/>
        </w:rPr>
        <w:t>ns</w:t>
      </w:r>
      <w:r w:rsidRPr="00E610CD">
        <w:rPr>
          <w:color w:val="000000" w:themeColor="text1"/>
          <w:kern w:val="2"/>
        </w:rPr>
        <w:t>.</w:t>
      </w:r>
    </w:p>
    <w:p w14:paraId="1B584BEA" w14:textId="77777777" w:rsidR="00201C2B" w:rsidRDefault="00201C2B" w:rsidP="00AE1DED">
      <w:pPr>
        <w:jc w:val="both"/>
        <w:rPr>
          <w:b/>
          <w:bCs/>
          <w:i/>
          <w:iCs/>
          <w:color w:val="000000" w:themeColor="text1"/>
        </w:rPr>
      </w:pPr>
    </w:p>
    <w:p w14:paraId="0DFDBBBE" w14:textId="0150FF21" w:rsidR="00B05FFD" w:rsidRPr="00E610CD" w:rsidRDefault="00B05FFD" w:rsidP="00AE1DED">
      <w:pPr>
        <w:jc w:val="both"/>
        <w:rPr>
          <w:color w:val="000000" w:themeColor="text1"/>
          <w:kern w:val="2"/>
        </w:rPr>
      </w:pPr>
      <w:r w:rsidRPr="00E610CD">
        <w:rPr>
          <w:b/>
          <w:bCs/>
          <w:i/>
          <w:iCs/>
          <w:color w:val="000000" w:themeColor="text1"/>
        </w:rPr>
        <w:t>Weak vs. strong democratization:</w:t>
      </w:r>
      <w:r w:rsidRPr="00E610CD">
        <w:rPr>
          <w:color w:val="000000" w:themeColor="text1"/>
        </w:rPr>
        <w:t xml:space="preserve"> </w:t>
      </w:r>
      <w:r w:rsidRPr="00E610CD">
        <w:rPr>
          <w:color w:val="000000" w:themeColor="text1"/>
          <w:kern w:val="2"/>
        </w:rPr>
        <w:t>Political theory makes a difference between weak democratization (more formal involvement) and strong democratization (more substantive influence on outcomes) (Fung &amp; Wright, 2003). DeFi accomplishes weak democratization</w:t>
      </w:r>
      <w:r w:rsidR="00572C26" w:rsidRPr="00E610CD">
        <w:rPr>
          <w:color w:val="000000" w:themeColor="text1"/>
          <w:kern w:val="2"/>
        </w:rPr>
        <w:t xml:space="preserve"> while </w:t>
      </w:r>
      <w:r w:rsidRPr="00E610CD">
        <w:rPr>
          <w:color w:val="000000" w:themeColor="text1"/>
          <w:kern w:val="2"/>
        </w:rPr>
        <w:t>allowing universal participation</w:t>
      </w:r>
      <w:r w:rsidR="00572C26" w:rsidRPr="00E610CD">
        <w:rPr>
          <w:color w:val="000000" w:themeColor="text1"/>
          <w:kern w:val="2"/>
        </w:rPr>
        <w:t xml:space="preserve">. However, </w:t>
      </w:r>
      <w:r w:rsidRPr="00E610CD">
        <w:rPr>
          <w:color w:val="000000" w:themeColor="text1"/>
          <w:kern w:val="2"/>
        </w:rPr>
        <w:t xml:space="preserve">it fails to achieve </w:t>
      </w:r>
      <w:r w:rsidR="00572C26" w:rsidRPr="00E610CD">
        <w:rPr>
          <w:color w:val="000000" w:themeColor="text1"/>
          <w:kern w:val="2"/>
        </w:rPr>
        <w:t xml:space="preserve">a </w:t>
      </w:r>
      <w:r w:rsidRPr="00E610CD">
        <w:rPr>
          <w:color w:val="000000" w:themeColor="text1"/>
          <w:kern w:val="2"/>
        </w:rPr>
        <w:t xml:space="preserve">strong democratization, as only a select group can affect results through effective market-making. Conditional democratization </w:t>
      </w:r>
      <w:r w:rsidR="00572C26" w:rsidRPr="00E610CD">
        <w:rPr>
          <w:color w:val="000000" w:themeColor="text1"/>
          <w:kern w:val="2"/>
        </w:rPr>
        <w:t xml:space="preserve">in this case </w:t>
      </w:r>
      <w:r w:rsidR="00383ECC" w:rsidRPr="00E610CD">
        <w:rPr>
          <w:color w:val="000000" w:themeColor="text1"/>
          <w:kern w:val="2"/>
        </w:rPr>
        <w:t>should</w:t>
      </w:r>
      <w:r w:rsidR="00572C26" w:rsidRPr="00E610CD">
        <w:rPr>
          <w:color w:val="000000" w:themeColor="text1"/>
          <w:kern w:val="2"/>
        </w:rPr>
        <w:t xml:space="preserve"> be placed s</w:t>
      </w:r>
      <w:r w:rsidRPr="00E610CD">
        <w:rPr>
          <w:color w:val="000000" w:themeColor="text1"/>
          <w:kern w:val="2"/>
        </w:rPr>
        <w:t>omewhere in the middle: it's more than weak (people can really participate in the economy) but less than strong (the majority can</w:t>
      </w:r>
      <w:r w:rsidR="00383ECC" w:rsidRPr="00E610CD">
        <w:rPr>
          <w:color w:val="000000" w:themeColor="text1"/>
          <w:kern w:val="2"/>
        </w:rPr>
        <w:t>not</w:t>
      </w:r>
      <w:r w:rsidRPr="00E610CD">
        <w:rPr>
          <w:color w:val="000000" w:themeColor="text1"/>
          <w:kern w:val="2"/>
        </w:rPr>
        <w:t xml:space="preserve"> keep participating).</w:t>
      </w:r>
    </w:p>
    <w:p w14:paraId="6DF5948E" w14:textId="77777777" w:rsidR="00201C2B" w:rsidRDefault="00201C2B" w:rsidP="00AE1DED">
      <w:pPr>
        <w:pStyle w:val="Heading4"/>
        <w:jc w:val="both"/>
        <w:rPr>
          <w:color w:val="000000" w:themeColor="text1"/>
        </w:rPr>
      </w:pPr>
    </w:p>
    <w:p w14:paraId="3C1E44DC" w14:textId="47CF1215" w:rsidR="00A46B05" w:rsidRPr="00E610CD" w:rsidRDefault="00224685" w:rsidP="00AE1DED">
      <w:pPr>
        <w:pStyle w:val="Heading4"/>
        <w:jc w:val="both"/>
        <w:rPr>
          <w:color w:val="000000" w:themeColor="text1"/>
        </w:rPr>
      </w:pPr>
      <w:r w:rsidRPr="00E610CD">
        <w:rPr>
          <w:color w:val="000000" w:themeColor="text1"/>
        </w:rPr>
        <w:t xml:space="preserve">11.2.5.2 </w:t>
      </w:r>
      <w:r w:rsidR="00A46B05" w:rsidRPr="00E610CD">
        <w:rPr>
          <w:color w:val="000000" w:themeColor="text1"/>
        </w:rPr>
        <w:t>Empirical Evidence for Conditionality</w:t>
      </w:r>
    </w:p>
    <w:p w14:paraId="7EE229A7" w14:textId="77777777" w:rsidR="00FC6B29" w:rsidRPr="00E610CD" w:rsidRDefault="00FC6B29" w:rsidP="00AE1DED">
      <w:pPr>
        <w:jc w:val="both"/>
        <w:rPr>
          <w:color w:val="000000" w:themeColor="text1"/>
        </w:rPr>
      </w:pPr>
      <w:r w:rsidRPr="00E610CD">
        <w:rPr>
          <w:color w:val="000000" w:themeColor="text1"/>
        </w:rPr>
        <w:t xml:space="preserve">The conditionality shows up in </w:t>
      </w:r>
      <w:proofErr w:type="gramStart"/>
      <w:r w:rsidRPr="00E610CD">
        <w:rPr>
          <w:color w:val="000000" w:themeColor="text1"/>
        </w:rPr>
        <w:t>a number of</w:t>
      </w:r>
      <w:proofErr w:type="gramEnd"/>
      <w:r w:rsidRPr="00E610CD">
        <w:rPr>
          <w:color w:val="000000" w:themeColor="text1"/>
        </w:rPr>
        <w:t xml:space="preserve"> different ways, as this study has shown: </w:t>
      </w:r>
    </w:p>
    <w:p w14:paraId="5606393F" w14:textId="77777777" w:rsidR="00201C2B" w:rsidRDefault="00201C2B" w:rsidP="00AE1DED">
      <w:pPr>
        <w:jc w:val="both"/>
        <w:rPr>
          <w:b/>
          <w:bCs/>
          <w:i/>
          <w:iCs/>
          <w:color w:val="000000" w:themeColor="text1"/>
        </w:rPr>
      </w:pPr>
    </w:p>
    <w:p w14:paraId="11B7E566" w14:textId="6A6C40FE" w:rsidR="00A46B05" w:rsidRPr="00E610CD" w:rsidRDefault="00A46B05" w:rsidP="00AE1DED">
      <w:pPr>
        <w:jc w:val="both"/>
        <w:rPr>
          <w:color w:val="000000" w:themeColor="text1"/>
        </w:rPr>
      </w:pPr>
      <w:r w:rsidRPr="00E610CD">
        <w:rPr>
          <w:b/>
          <w:bCs/>
          <w:i/>
          <w:iCs/>
          <w:color w:val="000000" w:themeColor="text1"/>
        </w:rPr>
        <w:t>Capital conditionality:</w:t>
      </w:r>
      <w:r w:rsidRPr="00E610CD">
        <w:rPr>
          <w:color w:val="000000" w:themeColor="text1"/>
        </w:rPr>
        <w:t xml:space="preserve"> </w:t>
      </w:r>
      <w:r w:rsidR="00FC6B29" w:rsidRPr="00E610CD">
        <w:rPr>
          <w:color w:val="000000" w:themeColor="text1"/>
        </w:rPr>
        <w:t xml:space="preserve">Chapter 5 listed the minimum amounts of money needed to make a network viable ($750 for Polygon, $3,500 for L2, and $25,000 for </w:t>
      </w:r>
      <w:proofErr w:type="spellStart"/>
      <w:r w:rsidR="00FC6B29" w:rsidRPr="00E610CD">
        <w:rPr>
          <w:color w:val="000000" w:themeColor="text1"/>
        </w:rPr>
        <w:t>mainnet</w:t>
      </w:r>
      <w:proofErr w:type="spellEnd"/>
      <w:r w:rsidR="00FC6B29" w:rsidRPr="00E610CD">
        <w:rPr>
          <w:color w:val="000000" w:themeColor="text1"/>
        </w:rPr>
        <w:t>) below which membership is technically possible but not financially viable. The fact that 81% of attempts fail below $3,500 and only 38% fail above $25,000 shows that democracy works best when capital is sufficient and not always when capital is high</w:t>
      </w:r>
    </w:p>
    <w:p w14:paraId="589515A5" w14:textId="77777777" w:rsidR="00201C2B" w:rsidRDefault="00201C2B" w:rsidP="00AE1DED">
      <w:pPr>
        <w:jc w:val="both"/>
        <w:rPr>
          <w:b/>
          <w:bCs/>
          <w:i/>
          <w:iCs/>
          <w:color w:val="000000" w:themeColor="text1"/>
        </w:rPr>
      </w:pPr>
    </w:p>
    <w:p w14:paraId="26C67ED5" w14:textId="35A01010" w:rsidR="00634E7B" w:rsidRPr="00E610CD" w:rsidRDefault="00634E7B" w:rsidP="00AE1DED">
      <w:pPr>
        <w:jc w:val="both"/>
        <w:rPr>
          <w:color w:val="000000" w:themeColor="text1"/>
        </w:rPr>
      </w:pPr>
      <w:r w:rsidRPr="00E610CD">
        <w:rPr>
          <w:b/>
          <w:bCs/>
          <w:i/>
          <w:iCs/>
          <w:color w:val="000000" w:themeColor="text1"/>
        </w:rPr>
        <w:t>Risk tolerance conditionality:</w:t>
      </w:r>
      <w:r w:rsidRPr="00E610CD">
        <w:rPr>
          <w:color w:val="000000" w:themeColor="text1"/>
        </w:rPr>
        <w:t xml:space="preserve"> Chapter 7 and 8 set the annual event probability at 35–45%, which meant that players had to size their positions for a possible total loss. This risk profile does not include anyone who cannot handle the possibility of losing a lot of money every year. Democratization in this case is restricted to risk-tolerant participants and undermines the assertions of extensive financial inclusion. </w:t>
      </w:r>
    </w:p>
    <w:p w14:paraId="7A98090C" w14:textId="77777777" w:rsidR="00201C2B" w:rsidRDefault="00201C2B" w:rsidP="00AE1DED">
      <w:pPr>
        <w:jc w:val="both"/>
        <w:rPr>
          <w:b/>
          <w:bCs/>
          <w:i/>
          <w:iCs/>
          <w:color w:val="000000" w:themeColor="text1"/>
        </w:rPr>
      </w:pPr>
    </w:p>
    <w:p w14:paraId="597C2F8C" w14:textId="52008FC3" w:rsidR="00634E7B" w:rsidRPr="00E610CD" w:rsidRDefault="00634E7B" w:rsidP="00AE1DED">
      <w:pPr>
        <w:jc w:val="both"/>
        <w:rPr>
          <w:color w:val="000000" w:themeColor="text1"/>
        </w:rPr>
      </w:pPr>
      <w:r w:rsidRPr="00E610CD">
        <w:rPr>
          <w:b/>
          <w:bCs/>
          <w:i/>
          <w:iCs/>
          <w:color w:val="000000" w:themeColor="text1"/>
        </w:rPr>
        <w:t>Time conditionality:</w:t>
      </w:r>
      <w:r w:rsidRPr="00E610CD">
        <w:rPr>
          <w:color w:val="000000" w:themeColor="text1"/>
        </w:rPr>
        <w:t xml:space="preserve"> Section 8.5 documented between 15-20 hours weekly time requirements for </w:t>
      </w:r>
      <w:proofErr w:type="gramStart"/>
      <w:r w:rsidRPr="00E610CD">
        <w:rPr>
          <w:color w:val="000000" w:themeColor="text1"/>
        </w:rPr>
        <w:t>a successful</w:t>
      </w:r>
      <w:proofErr w:type="gramEnd"/>
      <w:r w:rsidRPr="00E610CD">
        <w:rPr>
          <w:color w:val="000000" w:themeColor="text1"/>
        </w:rPr>
        <w:t xml:space="preserve"> participation. This creates temporal barriers excluding those unable to dedicate part-time job effort to this "passive income." The median successful participant spent 17.5 hours weekly showing the democratization is conditioned on substantial time investment rather than passive deployment.</w:t>
      </w:r>
    </w:p>
    <w:p w14:paraId="0AF0C6A0" w14:textId="77777777" w:rsidR="00201C2B" w:rsidRDefault="00201C2B" w:rsidP="00AE1DED">
      <w:pPr>
        <w:jc w:val="both"/>
        <w:rPr>
          <w:b/>
          <w:bCs/>
          <w:i/>
          <w:iCs/>
          <w:color w:val="000000" w:themeColor="text1"/>
        </w:rPr>
      </w:pPr>
    </w:p>
    <w:p w14:paraId="0A217979" w14:textId="6E2134BA" w:rsidR="00A15E8E" w:rsidRDefault="00A46B05" w:rsidP="00AE1DED">
      <w:pPr>
        <w:jc w:val="both"/>
        <w:rPr>
          <w:color w:val="000000" w:themeColor="text1"/>
        </w:rPr>
      </w:pPr>
      <w:r w:rsidRPr="00E610CD">
        <w:rPr>
          <w:b/>
          <w:bCs/>
          <w:i/>
          <w:iCs/>
          <w:color w:val="000000" w:themeColor="text1"/>
        </w:rPr>
        <w:t>Competence conditionality:</w:t>
      </w:r>
      <w:r w:rsidRPr="00E610CD">
        <w:rPr>
          <w:color w:val="000000" w:themeColor="text1"/>
        </w:rPr>
        <w:t xml:space="preserve"> </w:t>
      </w:r>
      <w:r w:rsidR="00A15E8E" w:rsidRPr="00E610CD">
        <w:rPr>
          <w:color w:val="000000" w:themeColor="text1"/>
        </w:rPr>
        <w:t xml:space="preserve">Section 8.8 demonstrated that technical competence dictated </w:t>
      </w:r>
      <w:proofErr w:type="gramStart"/>
      <w:r w:rsidR="006F1D06" w:rsidRPr="00E610CD">
        <w:rPr>
          <w:color w:val="000000" w:themeColor="text1"/>
        </w:rPr>
        <w:t xml:space="preserve">the </w:t>
      </w:r>
      <w:r w:rsidR="00A15E8E" w:rsidRPr="00E610CD">
        <w:rPr>
          <w:color w:val="000000" w:themeColor="text1"/>
        </w:rPr>
        <w:t>strategy</w:t>
      </w:r>
      <w:proofErr w:type="gramEnd"/>
      <w:r w:rsidR="00A15E8E" w:rsidRPr="00E610CD">
        <w:rPr>
          <w:color w:val="000000" w:themeColor="text1"/>
        </w:rPr>
        <w:t xml:space="preserve"> viability </w:t>
      </w:r>
      <w:r w:rsidR="006F1D06" w:rsidRPr="00E610CD">
        <w:rPr>
          <w:color w:val="000000" w:themeColor="text1"/>
        </w:rPr>
        <w:t>regardless</w:t>
      </w:r>
      <w:r w:rsidR="00A15E8E" w:rsidRPr="00E610CD">
        <w:rPr>
          <w:color w:val="000000" w:themeColor="text1"/>
        </w:rPr>
        <w:t xml:space="preserve"> of capital. For </w:t>
      </w:r>
      <w:r w:rsidR="002E2F35" w:rsidRPr="00E610CD">
        <w:rPr>
          <w:color w:val="000000" w:themeColor="text1"/>
        </w:rPr>
        <w:t>participants</w:t>
      </w:r>
      <w:r w:rsidR="00A15E8E" w:rsidRPr="00E610CD">
        <w:rPr>
          <w:color w:val="000000" w:themeColor="text1"/>
        </w:rPr>
        <w:t xml:space="preserve"> with a lot of money (more than $25,000)</w:t>
      </w:r>
      <w:r w:rsidR="006F1D06" w:rsidRPr="00E610CD">
        <w:rPr>
          <w:color w:val="000000" w:themeColor="text1"/>
        </w:rPr>
        <w:t xml:space="preserve"> and </w:t>
      </w:r>
      <w:r w:rsidR="00A15E8E" w:rsidRPr="00E610CD">
        <w:rPr>
          <w:color w:val="000000" w:themeColor="text1"/>
        </w:rPr>
        <w:t>those who knew how to program had a 75% success rate with concentrated liquidity</w:t>
      </w:r>
      <w:r w:rsidR="006F1D06" w:rsidRPr="00E610CD">
        <w:rPr>
          <w:color w:val="000000" w:themeColor="text1"/>
        </w:rPr>
        <w:t xml:space="preserve">. On the other hand, </w:t>
      </w:r>
      <w:r w:rsidR="00A15E8E" w:rsidRPr="00E610CD">
        <w:rPr>
          <w:color w:val="000000" w:themeColor="text1"/>
        </w:rPr>
        <w:t xml:space="preserve">those who didn't had a 24% success rate with the same amount of money. </w:t>
      </w:r>
      <w:r w:rsidR="006F1D06" w:rsidRPr="00E610CD">
        <w:rPr>
          <w:color w:val="000000" w:themeColor="text1"/>
        </w:rPr>
        <w:t>This also</w:t>
      </w:r>
      <w:r w:rsidR="00A15E8E" w:rsidRPr="00E610CD">
        <w:rPr>
          <w:color w:val="000000" w:themeColor="text1"/>
        </w:rPr>
        <w:t xml:space="preserve"> contradicts assertions of universally accessible </w:t>
      </w:r>
      <w:proofErr w:type="gramStart"/>
      <w:r w:rsidR="00A15E8E" w:rsidRPr="00E610CD">
        <w:rPr>
          <w:color w:val="000000" w:themeColor="text1"/>
        </w:rPr>
        <w:t>opportunity</w:t>
      </w:r>
      <w:proofErr w:type="gramEnd"/>
      <w:r w:rsidR="00A15E8E" w:rsidRPr="00E610CD">
        <w:rPr>
          <w:color w:val="000000" w:themeColor="text1"/>
        </w:rPr>
        <w:t xml:space="preserve">. </w:t>
      </w:r>
    </w:p>
    <w:p w14:paraId="7141387E" w14:textId="77777777" w:rsidR="00201C2B" w:rsidRPr="00E610CD" w:rsidRDefault="00201C2B" w:rsidP="00AE1DED">
      <w:pPr>
        <w:jc w:val="both"/>
        <w:rPr>
          <w:color w:val="000000" w:themeColor="text1"/>
        </w:rPr>
      </w:pPr>
    </w:p>
    <w:p w14:paraId="7349595A" w14:textId="25B5C9D0" w:rsidR="000B61F2" w:rsidRPr="00E610CD" w:rsidRDefault="000B61F2" w:rsidP="00AE1DED">
      <w:pPr>
        <w:pStyle w:val="Heading4"/>
        <w:jc w:val="both"/>
        <w:rPr>
          <w:b w:val="0"/>
          <w:color w:val="000000" w:themeColor="text1"/>
          <w:kern w:val="0"/>
        </w:rPr>
      </w:pPr>
      <w:r w:rsidRPr="00E610CD">
        <w:rPr>
          <w:b w:val="0"/>
          <w:color w:val="000000" w:themeColor="text1"/>
          <w:kern w:val="0"/>
        </w:rPr>
        <w:t xml:space="preserve">The simultaneity requirement where participants must satisfy conditions of capital, competence, time, and risk tolerance results in multiplicative filtering. If 40% of possible participants satisfy </w:t>
      </w:r>
      <w:r w:rsidRPr="00E610CD">
        <w:rPr>
          <w:b w:val="0"/>
          <w:color w:val="000000" w:themeColor="text1"/>
          <w:kern w:val="0"/>
        </w:rPr>
        <w:lastRenderedPageBreak/>
        <w:t xml:space="preserve">each </w:t>
      </w:r>
      <w:proofErr w:type="gramStart"/>
      <w:r w:rsidRPr="00E610CD">
        <w:rPr>
          <w:b w:val="0"/>
          <w:color w:val="000000" w:themeColor="text1"/>
          <w:kern w:val="0"/>
        </w:rPr>
        <w:t>criteria</w:t>
      </w:r>
      <w:proofErr w:type="gramEnd"/>
      <w:r w:rsidRPr="00E610CD">
        <w:rPr>
          <w:b w:val="0"/>
          <w:color w:val="000000" w:themeColor="text1"/>
          <w:kern w:val="0"/>
        </w:rPr>
        <w:t xml:space="preserve"> independently, then only 40%^4 = 2.56% fulfill all conditions concurrently. This shows how authentic expansion in each dimension results in constrained overall democratization.</w:t>
      </w:r>
    </w:p>
    <w:p w14:paraId="6CF9C602" w14:textId="77777777" w:rsidR="000B61F2" w:rsidRPr="00E610CD" w:rsidRDefault="000B61F2" w:rsidP="00AE1DED">
      <w:pPr>
        <w:jc w:val="both"/>
        <w:rPr>
          <w:color w:val="000000" w:themeColor="text1"/>
        </w:rPr>
      </w:pPr>
    </w:p>
    <w:p w14:paraId="60442FA6" w14:textId="7CB628D4" w:rsidR="003E7DDD" w:rsidRPr="00E610CD" w:rsidRDefault="00224685" w:rsidP="00AE1DED">
      <w:pPr>
        <w:pStyle w:val="Heading4"/>
        <w:jc w:val="both"/>
        <w:rPr>
          <w:color w:val="000000" w:themeColor="text1"/>
        </w:rPr>
      </w:pPr>
      <w:r w:rsidRPr="00E610CD">
        <w:rPr>
          <w:color w:val="000000" w:themeColor="text1"/>
        </w:rPr>
        <w:t xml:space="preserve">11.2.5.3 </w:t>
      </w:r>
      <w:r w:rsidR="003E7DDD" w:rsidRPr="00E610CD">
        <w:rPr>
          <w:color w:val="000000" w:themeColor="text1"/>
        </w:rPr>
        <w:t>Implications for Democratization Theory</w:t>
      </w:r>
    </w:p>
    <w:p w14:paraId="1C077613" w14:textId="57EF99AB" w:rsidR="0076648B" w:rsidRPr="00E610CD" w:rsidRDefault="0076648B" w:rsidP="00AE1DED">
      <w:pPr>
        <w:jc w:val="both"/>
        <w:rPr>
          <w:color w:val="000000" w:themeColor="text1"/>
        </w:rPr>
      </w:pPr>
      <w:r w:rsidRPr="00E610CD">
        <w:rPr>
          <w:color w:val="000000" w:themeColor="text1"/>
        </w:rPr>
        <w:t xml:space="preserve">The research identified that </w:t>
      </w:r>
      <w:proofErr w:type="gramStart"/>
      <w:r w:rsidRPr="00E610CD">
        <w:rPr>
          <w:color w:val="000000" w:themeColor="text1"/>
        </w:rPr>
        <w:t>the conditional</w:t>
      </w:r>
      <w:proofErr w:type="gramEnd"/>
      <w:r w:rsidRPr="00E610CD">
        <w:rPr>
          <w:color w:val="000000" w:themeColor="text1"/>
        </w:rPr>
        <w:t xml:space="preserve"> democracy has several effects on the study of democratization in general: </w:t>
      </w:r>
    </w:p>
    <w:p w14:paraId="44C7AA69" w14:textId="77777777" w:rsidR="00201C2B" w:rsidRDefault="00201C2B" w:rsidP="00AE1DED">
      <w:pPr>
        <w:jc w:val="both"/>
        <w:rPr>
          <w:i/>
          <w:iCs/>
          <w:color w:val="000000" w:themeColor="text1"/>
        </w:rPr>
      </w:pPr>
    </w:p>
    <w:p w14:paraId="48BCD3D9" w14:textId="0A88FFBD" w:rsidR="0076648B" w:rsidRPr="00E610CD" w:rsidRDefault="003E7DDD" w:rsidP="00AE1DED">
      <w:pPr>
        <w:jc w:val="both"/>
        <w:rPr>
          <w:color w:val="000000" w:themeColor="text1"/>
        </w:rPr>
      </w:pPr>
      <w:r w:rsidRPr="00E610CD">
        <w:rPr>
          <w:i/>
          <w:iCs/>
          <w:color w:val="000000" w:themeColor="text1"/>
        </w:rPr>
        <w:t xml:space="preserve">Democratization as </w:t>
      </w:r>
      <w:r w:rsidR="0076648B" w:rsidRPr="00E610CD">
        <w:rPr>
          <w:i/>
          <w:iCs/>
          <w:color w:val="000000" w:themeColor="text1"/>
        </w:rPr>
        <w:t xml:space="preserve">a </w:t>
      </w:r>
      <w:r w:rsidRPr="00E610CD">
        <w:rPr>
          <w:i/>
          <w:iCs/>
          <w:color w:val="000000" w:themeColor="text1"/>
        </w:rPr>
        <w:t>spectrum:</w:t>
      </w:r>
      <w:r w:rsidRPr="00E610CD">
        <w:rPr>
          <w:color w:val="000000" w:themeColor="text1"/>
        </w:rPr>
        <w:t xml:space="preserve"> </w:t>
      </w:r>
      <w:r w:rsidR="0076648B" w:rsidRPr="00E610CD">
        <w:rPr>
          <w:color w:val="000000" w:themeColor="text1"/>
        </w:rPr>
        <w:t>Systems did not fall into two categories (democratized or not) instead they take up space on a spectrum of different dimensions. DeFi gets a high score for technical accessibility (getting rid of barriers), a medium score for economic viability (some players succeed), and a low score for universal inclusion (most fail). The different technologies used in DeFi may score differently across categories, but it is not enough to warrant a decision or categorization.</w:t>
      </w:r>
    </w:p>
    <w:p w14:paraId="3A708AC8" w14:textId="77777777" w:rsidR="00201C2B" w:rsidRDefault="00201C2B" w:rsidP="00AE1DED">
      <w:pPr>
        <w:jc w:val="both"/>
        <w:rPr>
          <w:i/>
          <w:iCs/>
          <w:color w:val="000000" w:themeColor="text1"/>
        </w:rPr>
      </w:pPr>
    </w:p>
    <w:p w14:paraId="50D8A0BF" w14:textId="5468256C" w:rsidR="003E7DDD" w:rsidRPr="00E610CD" w:rsidRDefault="003E7DDD" w:rsidP="00AE1DED">
      <w:pPr>
        <w:jc w:val="both"/>
        <w:rPr>
          <w:color w:val="000000" w:themeColor="text1"/>
        </w:rPr>
      </w:pPr>
      <w:r w:rsidRPr="00E610CD">
        <w:rPr>
          <w:i/>
          <w:iCs/>
          <w:color w:val="000000" w:themeColor="text1"/>
        </w:rPr>
        <w:t>Barrier transformation vs. barrier elimination:</w:t>
      </w:r>
      <w:r w:rsidRPr="00E610CD">
        <w:rPr>
          <w:color w:val="000000" w:themeColor="text1"/>
        </w:rPr>
        <w:t xml:space="preserve"> Technologies often transform rather than eliminate barriers. </w:t>
      </w:r>
      <w:r w:rsidR="0076648B" w:rsidRPr="00E610CD">
        <w:rPr>
          <w:color w:val="000000" w:themeColor="text1"/>
        </w:rPr>
        <w:t xml:space="preserve">In this case </w:t>
      </w:r>
      <w:r w:rsidRPr="00E610CD">
        <w:rPr>
          <w:color w:val="000000" w:themeColor="text1"/>
        </w:rPr>
        <w:t xml:space="preserve">DeFi transformed </w:t>
      </w:r>
      <w:r w:rsidR="0076648B" w:rsidRPr="00E610CD">
        <w:rPr>
          <w:color w:val="000000" w:themeColor="text1"/>
        </w:rPr>
        <w:t xml:space="preserve">the </w:t>
      </w:r>
      <w:r w:rsidRPr="00E610CD">
        <w:rPr>
          <w:color w:val="000000" w:themeColor="text1"/>
        </w:rPr>
        <w:t xml:space="preserve">institutional barriers (connections, credentials, regulations) into economic barriers (capital thresholds, operational costs, knowledge requirements). Both </w:t>
      </w:r>
      <w:r w:rsidR="0076648B" w:rsidRPr="00E610CD">
        <w:rPr>
          <w:color w:val="000000" w:themeColor="text1"/>
        </w:rPr>
        <w:t xml:space="preserve">have </w:t>
      </w:r>
      <w:proofErr w:type="gramStart"/>
      <w:r w:rsidR="0076648B" w:rsidRPr="00E610CD">
        <w:rPr>
          <w:color w:val="000000" w:themeColor="text1"/>
        </w:rPr>
        <w:t>exclusion</w:t>
      </w:r>
      <w:proofErr w:type="gramEnd"/>
      <w:r w:rsidRPr="00E610CD">
        <w:rPr>
          <w:color w:val="000000" w:themeColor="text1"/>
        </w:rPr>
        <w:t xml:space="preserve">, but </w:t>
      </w:r>
      <w:r w:rsidR="0076648B" w:rsidRPr="00E610CD">
        <w:rPr>
          <w:color w:val="000000" w:themeColor="text1"/>
        </w:rPr>
        <w:t xml:space="preserve">for </w:t>
      </w:r>
      <w:r w:rsidRPr="00E610CD">
        <w:rPr>
          <w:color w:val="000000" w:themeColor="text1"/>
        </w:rPr>
        <w:t>different populations</w:t>
      </w:r>
      <w:r w:rsidR="0076648B" w:rsidRPr="00E610CD">
        <w:rPr>
          <w:color w:val="000000" w:themeColor="text1"/>
        </w:rPr>
        <w:t xml:space="preserve">. The </w:t>
      </w:r>
      <w:r w:rsidRPr="00E610CD">
        <w:rPr>
          <w:color w:val="000000" w:themeColor="text1"/>
        </w:rPr>
        <w:t xml:space="preserve">transformation expands access for some while maintaining exclusion for others. Recognizing </w:t>
      </w:r>
      <w:r w:rsidR="0076648B" w:rsidRPr="00E610CD">
        <w:rPr>
          <w:color w:val="000000" w:themeColor="text1"/>
        </w:rPr>
        <w:t>this t</w:t>
      </w:r>
      <w:r w:rsidRPr="00E610CD">
        <w:rPr>
          <w:color w:val="000000" w:themeColor="text1"/>
        </w:rPr>
        <w:t xml:space="preserve">ransformation rather than </w:t>
      </w:r>
      <w:r w:rsidR="0076648B" w:rsidRPr="00E610CD">
        <w:rPr>
          <w:color w:val="000000" w:themeColor="text1"/>
        </w:rPr>
        <w:t xml:space="preserve">implementing an </w:t>
      </w:r>
      <w:r w:rsidRPr="00E610CD">
        <w:rPr>
          <w:color w:val="000000" w:themeColor="text1"/>
        </w:rPr>
        <w:t>elimination prevents mistaking partial progress for complete success.</w:t>
      </w:r>
    </w:p>
    <w:p w14:paraId="0BF86C87" w14:textId="77777777" w:rsidR="00201C2B" w:rsidRDefault="00201C2B" w:rsidP="00AE1DED">
      <w:pPr>
        <w:jc w:val="both"/>
        <w:rPr>
          <w:i/>
          <w:iCs/>
          <w:color w:val="000000" w:themeColor="text1"/>
        </w:rPr>
      </w:pPr>
    </w:p>
    <w:p w14:paraId="3E0C0F54" w14:textId="399B0AC1" w:rsidR="0076648B" w:rsidRDefault="003E7DDD" w:rsidP="00AE1DED">
      <w:pPr>
        <w:jc w:val="both"/>
        <w:rPr>
          <w:color w:val="000000" w:themeColor="text1"/>
        </w:rPr>
      </w:pPr>
      <w:r w:rsidRPr="00E610CD">
        <w:rPr>
          <w:i/>
          <w:iCs/>
          <w:color w:val="000000" w:themeColor="text1"/>
        </w:rPr>
        <w:t>Conditional gains as meaningful progress:</w:t>
      </w:r>
      <w:r w:rsidRPr="00E610CD">
        <w:rPr>
          <w:color w:val="000000" w:themeColor="text1"/>
        </w:rPr>
        <w:t xml:space="preserve"> Academic literature often dismisses partial democratization as failure by maximalist standards. Conditional democratization </w:t>
      </w:r>
      <w:r w:rsidR="0076648B" w:rsidRPr="00E610CD">
        <w:rPr>
          <w:color w:val="000000" w:themeColor="text1"/>
        </w:rPr>
        <w:t xml:space="preserve">instead </w:t>
      </w:r>
      <w:r w:rsidRPr="00E610CD">
        <w:rPr>
          <w:color w:val="000000" w:themeColor="text1"/>
        </w:rPr>
        <w:t>recognizes that expanding viable participation from 0.1% (traditional market making) to 27% (documented success rate</w:t>
      </w:r>
      <w:r w:rsidR="0076648B" w:rsidRPr="00E610CD">
        <w:rPr>
          <w:color w:val="000000" w:themeColor="text1"/>
        </w:rPr>
        <w:t xml:space="preserve"> in this study) </w:t>
      </w:r>
      <w:r w:rsidRPr="00E610CD">
        <w:rPr>
          <w:color w:val="000000" w:themeColor="text1"/>
        </w:rPr>
        <w:t xml:space="preserve">represents </w:t>
      </w:r>
      <w:proofErr w:type="gramStart"/>
      <w:r w:rsidR="0076648B" w:rsidRPr="00E610CD">
        <w:rPr>
          <w:color w:val="000000" w:themeColor="text1"/>
        </w:rPr>
        <w:t xml:space="preserve">a </w:t>
      </w:r>
      <w:r w:rsidRPr="00E610CD">
        <w:rPr>
          <w:color w:val="000000" w:themeColor="text1"/>
        </w:rPr>
        <w:t>meaningful</w:t>
      </w:r>
      <w:proofErr w:type="gramEnd"/>
      <w:r w:rsidRPr="00E610CD">
        <w:rPr>
          <w:color w:val="000000" w:themeColor="text1"/>
        </w:rPr>
        <w:t xml:space="preserve"> progress despite falling short of universal inclusion. </w:t>
      </w:r>
    </w:p>
    <w:p w14:paraId="4B0DBA70" w14:textId="77777777" w:rsidR="00201C2B" w:rsidRPr="00E610CD" w:rsidRDefault="00201C2B" w:rsidP="00AE1DED">
      <w:pPr>
        <w:jc w:val="both"/>
        <w:rPr>
          <w:color w:val="000000" w:themeColor="text1"/>
        </w:rPr>
      </w:pPr>
    </w:p>
    <w:p w14:paraId="67FC0721" w14:textId="66B5B028" w:rsidR="003E7DDD" w:rsidRPr="00E610CD" w:rsidRDefault="00ED6DC1" w:rsidP="00AE1DED">
      <w:pPr>
        <w:pStyle w:val="Heading4"/>
        <w:jc w:val="both"/>
        <w:rPr>
          <w:color w:val="000000" w:themeColor="text1"/>
        </w:rPr>
      </w:pPr>
      <w:r w:rsidRPr="00E610CD">
        <w:rPr>
          <w:color w:val="000000" w:themeColor="text1"/>
        </w:rPr>
        <w:t xml:space="preserve">11.2.5.4 </w:t>
      </w:r>
      <w:r w:rsidR="003E7DDD" w:rsidRPr="00E610CD">
        <w:rPr>
          <w:color w:val="000000" w:themeColor="text1"/>
        </w:rPr>
        <w:t>Comparative Analysis: Other Platforms</w:t>
      </w:r>
    </w:p>
    <w:p w14:paraId="4AAA746C" w14:textId="1AB65698" w:rsidR="003E7DDD" w:rsidRDefault="003E7DDD" w:rsidP="00AE1DED">
      <w:pPr>
        <w:jc w:val="both"/>
        <w:rPr>
          <w:color w:val="000000" w:themeColor="text1"/>
        </w:rPr>
      </w:pPr>
      <w:r w:rsidRPr="00E610CD">
        <w:rPr>
          <w:color w:val="000000" w:themeColor="text1"/>
        </w:rPr>
        <w:t xml:space="preserve">The conditional democratization framework </w:t>
      </w:r>
      <w:r w:rsidR="00FB60B9" w:rsidRPr="00E610CD">
        <w:rPr>
          <w:color w:val="000000" w:themeColor="text1"/>
        </w:rPr>
        <w:t>identified</w:t>
      </w:r>
      <w:r w:rsidRPr="00E610CD">
        <w:rPr>
          <w:color w:val="000000" w:themeColor="text1"/>
        </w:rPr>
        <w:t xml:space="preserve"> patterns across platforms claiming democratization:</w:t>
      </w:r>
    </w:p>
    <w:p w14:paraId="33D2D0A5" w14:textId="77777777" w:rsidR="00201C2B" w:rsidRDefault="00201C2B" w:rsidP="00AE1DED">
      <w:pPr>
        <w:jc w:val="both"/>
        <w:rPr>
          <w:color w:val="000000" w:themeColor="text1"/>
        </w:rPr>
      </w:pPr>
    </w:p>
    <w:p w14:paraId="5E3F564C" w14:textId="364AF644" w:rsidR="00546ABE" w:rsidRDefault="00546ABE" w:rsidP="00AE1DED">
      <w:pPr>
        <w:pStyle w:val="Heading3"/>
      </w:pPr>
      <w:bookmarkStart w:id="242" w:name="_Toc214722048"/>
      <w:r>
        <w:t>Table 11.B</w:t>
      </w:r>
      <w:r w:rsidR="005B63A2">
        <w:t xml:space="preserve"> Comparative Analysis</w:t>
      </w:r>
      <w:bookmarkEnd w:id="242"/>
    </w:p>
    <w:p w14:paraId="1FE639AD" w14:textId="77777777" w:rsidR="00546ABE" w:rsidRPr="00E610CD" w:rsidRDefault="00546ABE" w:rsidP="00AE1DED">
      <w:pPr>
        <w:jc w:val="both"/>
        <w:rPr>
          <w:color w:val="000000" w:themeColor="text1"/>
        </w:rPr>
      </w:pPr>
    </w:p>
    <w:tbl>
      <w:tblPr>
        <w:tblW w:w="8995" w:type="dxa"/>
        <w:tblLook w:val="04A0" w:firstRow="1" w:lastRow="0" w:firstColumn="1" w:lastColumn="0" w:noHBand="0" w:noVBand="1"/>
      </w:tblPr>
      <w:tblGrid>
        <w:gridCol w:w="1916"/>
        <w:gridCol w:w="2219"/>
        <w:gridCol w:w="2520"/>
        <w:gridCol w:w="2340"/>
      </w:tblGrid>
      <w:tr w:rsidR="00E610CD" w:rsidRPr="00E610CD" w14:paraId="381C9EAD" w14:textId="77777777" w:rsidTr="003941E6">
        <w:trPr>
          <w:trHeight w:val="107"/>
        </w:trPr>
        <w:tc>
          <w:tcPr>
            <w:tcW w:w="1916"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vAlign w:val="center"/>
            <w:hideMark/>
          </w:tcPr>
          <w:p w14:paraId="4D2953CA" w14:textId="77777777" w:rsidR="003E7DDD" w:rsidRPr="00E610CD" w:rsidRDefault="003E7DDD" w:rsidP="00AE1DED">
            <w:pPr>
              <w:jc w:val="both"/>
              <w:rPr>
                <w:b/>
                <w:bCs/>
                <w:color w:val="000000" w:themeColor="text1"/>
                <w:sz w:val="20"/>
                <w:szCs w:val="20"/>
              </w:rPr>
            </w:pPr>
            <w:r w:rsidRPr="00E610CD">
              <w:rPr>
                <w:b/>
                <w:bCs/>
                <w:color w:val="000000" w:themeColor="text1"/>
                <w:sz w:val="20"/>
                <w:szCs w:val="20"/>
              </w:rPr>
              <w:t>Platform/System</w:t>
            </w:r>
          </w:p>
        </w:tc>
        <w:tc>
          <w:tcPr>
            <w:tcW w:w="2219" w:type="dxa"/>
            <w:tcBorders>
              <w:top w:val="single" w:sz="4" w:space="0" w:color="BFBFBF"/>
              <w:left w:val="nil"/>
              <w:bottom w:val="single" w:sz="4" w:space="0" w:color="BFBFBF"/>
              <w:right w:val="single" w:sz="4" w:space="0" w:color="BFBFBF"/>
            </w:tcBorders>
            <w:shd w:val="clear" w:color="auto" w:fill="D9D9D9" w:themeFill="background1" w:themeFillShade="D9"/>
            <w:vAlign w:val="center"/>
            <w:hideMark/>
          </w:tcPr>
          <w:p w14:paraId="45804AA5" w14:textId="77777777" w:rsidR="003E7DDD" w:rsidRPr="00E610CD" w:rsidRDefault="003E7DDD" w:rsidP="00AE1DED">
            <w:pPr>
              <w:jc w:val="both"/>
              <w:rPr>
                <w:b/>
                <w:bCs/>
                <w:color w:val="000000" w:themeColor="text1"/>
                <w:sz w:val="20"/>
                <w:szCs w:val="20"/>
              </w:rPr>
            </w:pPr>
            <w:r w:rsidRPr="00E610CD">
              <w:rPr>
                <w:b/>
                <w:bCs/>
                <w:color w:val="000000" w:themeColor="text1"/>
                <w:sz w:val="20"/>
                <w:szCs w:val="20"/>
              </w:rPr>
              <w:t>Traditional Barriers Lowered</w:t>
            </w:r>
          </w:p>
        </w:tc>
        <w:tc>
          <w:tcPr>
            <w:tcW w:w="2520" w:type="dxa"/>
            <w:tcBorders>
              <w:top w:val="single" w:sz="4" w:space="0" w:color="BFBFBF"/>
              <w:left w:val="nil"/>
              <w:bottom w:val="single" w:sz="4" w:space="0" w:color="BFBFBF"/>
              <w:right w:val="single" w:sz="4" w:space="0" w:color="BFBFBF"/>
            </w:tcBorders>
            <w:shd w:val="clear" w:color="auto" w:fill="D9D9D9" w:themeFill="background1" w:themeFillShade="D9"/>
            <w:vAlign w:val="center"/>
            <w:hideMark/>
          </w:tcPr>
          <w:p w14:paraId="65BC62BF" w14:textId="77777777" w:rsidR="003E7DDD" w:rsidRPr="00E610CD" w:rsidRDefault="003E7DDD" w:rsidP="00AE1DED">
            <w:pPr>
              <w:jc w:val="both"/>
              <w:rPr>
                <w:b/>
                <w:bCs/>
                <w:color w:val="000000" w:themeColor="text1"/>
                <w:sz w:val="20"/>
                <w:szCs w:val="20"/>
              </w:rPr>
            </w:pPr>
            <w:r w:rsidRPr="00E610CD">
              <w:rPr>
                <w:b/>
                <w:bCs/>
                <w:color w:val="000000" w:themeColor="text1"/>
                <w:sz w:val="20"/>
                <w:szCs w:val="20"/>
              </w:rPr>
              <w:t>New Barriers Created</w:t>
            </w:r>
          </w:p>
        </w:tc>
        <w:tc>
          <w:tcPr>
            <w:tcW w:w="2340" w:type="dxa"/>
            <w:tcBorders>
              <w:top w:val="single" w:sz="4" w:space="0" w:color="BFBFBF"/>
              <w:left w:val="nil"/>
              <w:bottom w:val="single" w:sz="4" w:space="0" w:color="BFBFBF"/>
              <w:right w:val="single" w:sz="4" w:space="0" w:color="BFBFBF"/>
            </w:tcBorders>
            <w:shd w:val="clear" w:color="auto" w:fill="D9D9D9" w:themeFill="background1" w:themeFillShade="D9"/>
            <w:vAlign w:val="center"/>
            <w:hideMark/>
          </w:tcPr>
          <w:p w14:paraId="07252C2E" w14:textId="77777777" w:rsidR="003E7DDD" w:rsidRPr="00E610CD" w:rsidRDefault="003E7DDD" w:rsidP="00AE1DED">
            <w:pPr>
              <w:jc w:val="both"/>
              <w:rPr>
                <w:b/>
                <w:bCs/>
                <w:color w:val="000000" w:themeColor="text1"/>
                <w:sz w:val="20"/>
                <w:szCs w:val="20"/>
              </w:rPr>
            </w:pPr>
            <w:r w:rsidRPr="00E610CD">
              <w:rPr>
                <w:b/>
                <w:bCs/>
                <w:color w:val="000000" w:themeColor="text1"/>
                <w:sz w:val="20"/>
                <w:szCs w:val="20"/>
              </w:rPr>
              <w:t>Conditional Democratization Pattern</w:t>
            </w:r>
          </w:p>
        </w:tc>
      </w:tr>
      <w:tr w:rsidR="00E610CD" w:rsidRPr="00E610CD" w14:paraId="4D30FC6B" w14:textId="77777777" w:rsidTr="003941E6">
        <w:trPr>
          <w:trHeight w:val="575"/>
        </w:trPr>
        <w:tc>
          <w:tcPr>
            <w:tcW w:w="1916" w:type="dxa"/>
            <w:tcBorders>
              <w:top w:val="nil"/>
              <w:left w:val="single" w:sz="4" w:space="0" w:color="BFBFBF"/>
              <w:bottom w:val="single" w:sz="4" w:space="0" w:color="BFBFBF"/>
              <w:right w:val="single" w:sz="4" w:space="0" w:color="BFBFBF"/>
            </w:tcBorders>
            <w:shd w:val="clear" w:color="auto" w:fill="D9D9D9" w:themeFill="background1" w:themeFillShade="D9"/>
            <w:vAlign w:val="center"/>
            <w:hideMark/>
          </w:tcPr>
          <w:p w14:paraId="3D003501" w14:textId="77777777" w:rsidR="003E7DDD" w:rsidRPr="00E610CD" w:rsidRDefault="003E7DDD" w:rsidP="00AE1DED">
            <w:pPr>
              <w:jc w:val="both"/>
              <w:rPr>
                <w:b/>
                <w:bCs/>
                <w:color w:val="000000" w:themeColor="text1"/>
                <w:sz w:val="20"/>
                <w:szCs w:val="20"/>
              </w:rPr>
            </w:pPr>
            <w:r w:rsidRPr="00E610CD">
              <w:rPr>
                <w:b/>
                <w:bCs/>
                <w:color w:val="000000" w:themeColor="text1"/>
                <w:sz w:val="20"/>
                <w:szCs w:val="20"/>
              </w:rPr>
              <w:t>DeFi (this research)</w:t>
            </w:r>
          </w:p>
        </w:tc>
        <w:tc>
          <w:tcPr>
            <w:tcW w:w="2219" w:type="dxa"/>
            <w:tcBorders>
              <w:top w:val="nil"/>
              <w:left w:val="nil"/>
              <w:bottom w:val="single" w:sz="4" w:space="0" w:color="BFBFBF"/>
              <w:right w:val="single" w:sz="4" w:space="0" w:color="BFBFBF"/>
            </w:tcBorders>
            <w:vAlign w:val="center"/>
            <w:hideMark/>
          </w:tcPr>
          <w:p w14:paraId="4BFE3F41" w14:textId="77777777" w:rsidR="003E7DDD" w:rsidRPr="00E610CD" w:rsidRDefault="003E7DDD" w:rsidP="00AE1DED">
            <w:pPr>
              <w:rPr>
                <w:color w:val="000000" w:themeColor="text1"/>
                <w:sz w:val="20"/>
                <w:szCs w:val="20"/>
              </w:rPr>
            </w:pPr>
            <w:r w:rsidRPr="00E610CD">
              <w:rPr>
                <w:color w:val="000000" w:themeColor="text1"/>
                <w:sz w:val="20"/>
                <w:szCs w:val="20"/>
              </w:rPr>
              <w:t>Capital minimums, institutional access, regulatory gates</w:t>
            </w:r>
          </w:p>
        </w:tc>
        <w:tc>
          <w:tcPr>
            <w:tcW w:w="2520" w:type="dxa"/>
            <w:tcBorders>
              <w:top w:val="nil"/>
              <w:left w:val="nil"/>
              <w:bottom w:val="single" w:sz="4" w:space="0" w:color="BFBFBF"/>
              <w:right w:val="single" w:sz="4" w:space="0" w:color="BFBFBF"/>
            </w:tcBorders>
            <w:vAlign w:val="center"/>
            <w:hideMark/>
          </w:tcPr>
          <w:p w14:paraId="73CD7CEC" w14:textId="77777777" w:rsidR="003E7DDD" w:rsidRPr="00E610CD" w:rsidRDefault="003E7DDD" w:rsidP="00AE1DED">
            <w:pPr>
              <w:rPr>
                <w:color w:val="000000" w:themeColor="text1"/>
                <w:sz w:val="20"/>
                <w:szCs w:val="20"/>
              </w:rPr>
            </w:pPr>
            <w:r w:rsidRPr="00E610CD">
              <w:rPr>
                <w:color w:val="000000" w:themeColor="text1"/>
                <w:sz w:val="20"/>
                <w:szCs w:val="20"/>
              </w:rPr>
              <w:t>Fixed costs, technical knowledge, time investment</w:t>
            </w:r>
          </w:p>
        </w:tc>
        <w:tc>
          <w:tcPr>
            <w:tcW w:w="2340" w:type="dxa"/>
            <w:tcBorders>
              <w:top w:val="nil"/>
              <w:left w:val="nil"/>
              <w:bottom w:val="single" w:sz="4" w:space="0" w:color="BFBFBF"/>
              <w:right w:val="single" w:sz="4" w:space="0" w:color="BFBFBF"/>
            </w:tcBorders>
            <w:vAlign w:val="center"/>
            <w:hideMark/>
          </w:tcPr>
          <w:p w14:paraId="2D3E618C" w14:textId="77777777" w:rsidR="003E7DDD" w:rsidRPr="00E610CD" w:rsidRDefault="003E7DDD" w:rsidP="00AE1DED">
            <w:pPr>
              <w:rPr>
                <w:color w:val="000000" w:themeColor="text1"/>
                <w:sz w:val="20"/>
                <w:szCs w:val="20"/>
              </w:rPr>
            </w:pPr>
            <w:r w:rsidRPr="00E610CD">
              <w:rPr>
                <w:color w:val="000000" w:themeColor="text1"/>
                <w:sz w:val="20"/>
                <w:szCs w:val="20"/>
              </w:rPr>
              <w:t>Conditional on capital + competence + time + risk tolerance</w:t>
            </w:r>
          </w:p>
        </w:tc>
      </w:tr>
      <w:tr w:rsidR="00E610CD" w:rsidRPr="00E610CD" w14:paraId="7446FC2E" w14:textId="77777777" w:rsidTr="003941E6">
        <w:trPr>
          <w:trHeight w:val="81"/>
        </w:trPr>
        <w:tc>
          <w:tcPr>
            <w:tcW w:w="1916" w:type="dxa"/>
            <w:tcBorders>
              <w:top w:val="nil"/>
              <w:left w:val="single" w:sz="4" w:space="0" w:color="BFBFBF"/>
              <w:bottom w:val="single" w:sz="4" w:space="0" w:color="BFBFBF"/>
              <w:right w:val="single" w:sz="4" w:space="0" w:color="BFBFBF"/>
            </w:tcBorders>
            <w:shd w:val="clear" w:color="auto" w:fill="D9D9D9" w:themeFill="background1" w:themeFillShade="D9"/>
            <w:vAlign w:val="center"/>
            <w:hideMark/>
          </w:tcPr>
          <w:p w14:paraId="6B50766D" w14:textId="77777777" w:rsidR="003E7DDD" w:rsidRPr="00E610CD" w:rsidRDefault="003E7DDD" w:rsidP="00AE1DED">
            <w:pPr>
              <w:jc w:val="both"/>
              <w:rPr>
                <w:b/>
                <w:bCs/>
                <w:color w:val="000000" w:themeColor="text1"/>
                <w:sz w:val="20"/>
                <w:szCs w:val="20"/>
              </w:rPr>
            </w:pPr>
            <w:r w:rsidRPr="00E610CD">
              <w:rPr>
                <w:b/>
                <w:bCs/>
                <w:color w:val="000000" w:themeColor="text1"/>
                <w:sz w:val="20"/>
                <w:szCs w:val="20"/>
              </w:rPr>
              <w:t>Uber/Lyft</w:t>
            </w:r>
          </w:p>
        </w:tc>
        <w:tc>
          <w:tcPr>
            <w:tcW w:w="2219" w:type="dxa"/>
            <w:tcBorders>
              <w:top w:val="nil"/>
              <w:left w:val="nil"/>
              <w:bottom w:val="single" w:sz="4" w:space="0" w:color="BFBFBF"/>
              <w:right w:val="single" w:sz="4" w:space="0" w:color="BFBFBF"/>
            </w:tcBorders>
            <w:vAlign w:val="center"/>
            <w:hideMark/>
          </w:tcPr>
          <w:p w14:paraId="08DC2079" w14:textId="77777777" w:rsidR="003E7DDD" w:rsidRPr="00E610CD" w:rsidRDefault="003E7DDD" w:rsidP="00AE1DED">
            <w:pPr>
              <w:rPr>
                <w:color w:val="000000" w:themeColor="text1"/>
                <w:sz w:val="20"/>
                <w:szCs w:val="20"/>
              </w:rPr>
            </w:pPr>
            <w:r w:rsidRPr="00E610CD">
              <w:rPr>
                <w:color w:val="000000" w:themeColor="text1"/>
                <w:sz w:val="20"/>
                <w:szCs w:val="20"/>
              </w:rPr>
              <w:t>Commercial licenses, medallion costs, fleet ownership</w:t>
            </w:r>
          </w:p>
        </w:tc>
        <w:tc>
          <w:tcPr>
            <w:tcW w:w="2520" w:type="dxa"/>
            <w:tcBorders>
              <w:top w:val="nil"/>
              <w:left w:val="nil"/>
              <w:bottom w:val="single" w:sz="4" w:space="0" w:color="BFBFBF"/>
              <w:right w:val="single" w:sz="4" w:space="0" w:color="BFBFBF"/>
            </w:tcBorders>
            <w:vAlign w:val="center"/>
            <w:hideMark/>
          </w:tcPr>
          <w:p w14:paraId="7FD67295" w14:textId="77777777" w:rsidR="003E7DDD" w:rsidRPr="00E610CD" w:rsidRDefault="003E7DDD" w:rsidP="00AE1DED">
            <w:pPr>
              <w:rPr>
                <w:color w:val="000000" w:themeColor="text1"/>
                <w:sz w:val="20"/>
                <w:szCs w:val="20"/>
              </w:rPr>
            </w:pPr>
            <w:r w:rsidRPr="00E610CD">
              <w:rPr>
                <w:color w:val="000000" w:themeColor="text1"/>
                <w:sz w:val="20"/>
                <w:szCs w:val="20"/>
              </w:rPr>
              <w:t>Vehicle ownership, insurance, time flexibility</w:t>
            </w:r>
          </w:p>
        </w:tc>
        <w:tc>
          <w:tcPr>
            <w:tcW w:w="2340" w:type="dxa"/>
            <w:tcBorders>
              <w:top w:val="nil"/>
              <w:left w:val="nil"/>
              <w:bottom w:val="single" w:sz="4" w:space="0" w:color="BFBFBF"/>
              <w:right w:val="single" w:sz="4" w:space="0" w:color="BFBFBF"/>
            </w:tcBorders>
            <w:vAlign w:val="center"/>
            <w:hideMark/>
          </w:tcPr>
          <w:p w14:paraId="60F6B9E9" w14:textId="77777777" w:rsidR="003E7DDD" w:rsidRPr="00E610CD" w:rsidRDefault="003E7DDD" w:rsidP="00AE1DED">
            <w:pPr>
              <w:rPr>
                <w:color w:val="000000" w:themeColor="text1"/>
                <w:sz w:val="20"/>
                <w:szCs w:val="20"/>
              </w:rPr>
            </w:pPr>
            <w:r w:rsidRPr="00E610CD">
              <w:rPr>
                <w:color w:val="000000" w:themeColor="text1"/>
                <w:sz w:val="20"/>
                <w:szCs w:val="20"/>
              </w:rPr>
              <w:t>Conditional on asset ownership + flexibility</w:t>
            </w:r>
          </w:p>
        </w:tc>
      </w:tr>
      <w:tr w:rsidR="00E610CD" w:rsidRPr="00E610CD" w14:paraId="5EF16582" w14:textId="77777777" w:rsidTr="003941E6">
        <w:trPr>
          <w:trHeight w:val="260"/>
        </w:trPr>
        <w:tc>
          <w:tcPr>
            <w:tcW w:w="1916" w:type="dxa"/>
            <w:tcBorders>
              <w:top w:val="nil"/>
              <w:left w:val="single" w:sz="4" w:space="0" w:color="BFBFBF"/>
              <w:bottom w:val="single" w:sz="4" w:space="0" w:color="BFBFBF"/>
              <w:right w:val="single" w:sz="4" w:space="0" w:color="BFBFBF"/>
            </w:tcBorders>
            <w:shd w:val="clear" w:color="auto" w:fill="D9D9D9" w:themeFill="background1" w:themeFillShade="D9"/>
            <w:vAlign w:val="center"/>
            <w:hideMark/>
          </w:tcPr>
          <w:p w14:paraId="62455710" w14:textId="77777777" w:rsidR="003E7DDD" w:rsidRPr="00E610CD" w:rsidRDefault="003E7DDD" w:rsidP="00AE1DED">
            <w:pPr>
              <w:jc w:val="both"/>
              <w:rPr>
                <w:b/>
                <w:bCs/>
                <w:color w:val="000000" w:themeColor="text1"/>
                <w:sz w:val="20"/>
                <w:szCs w:val="20"/>
              </w:rPr>
            </w:pPr>
            <w:r w:rsidRPr="00E610CD">
              <w:rPr>
                <w:b/>
                <w:bCs/>
                <w:color w:val="000000" w:themeColor="text1"/>
                <w:sz w:val="20"/>
                <w:szCs w:val="20"/>
              </w:rPr>
              <w:t>YouTube/Creator Economy</w:t>
            </w:r>
          </w:p>
        </w:tc>
        <w:tc>
          <w:tcPr>
            <w:tcW w:w="2219" w:type="dxa"/>
            <w:tcBorders>
              <w:top w:val="nil"/>
              <w:left w:val="nil"/>
              <w:bottom w:val="single" w:sz="4" w:space="0" w:color="BFBFBF"/>
              <w:right w:val="single" w:sz="4" w:space="0" w:color="BFBFBF"/>
            </w:tcBorders>
            <w:vAlign w:val="center"/>
            <w:hideMark/>
          </w:tcPr>
          <w:p w14:paraId="1929DF4D" w14:textId="77777777" w:rsidR="003E7DDD" w:rsidRPr="00E610CD" w:rsidRDefault="003E7DDD" w:rsidP="00AE1DED">
            <w:pPr>
              <w:rPr>
                <w:color w:val="000000" w:themeColor="text1"/>
                <w:sz w:val="20"/>
                <w:szCs w:val="20"/>
              </w:rPr>
            </w:pPr>
            <w:r w:rsidRPr="00E610CD">
              <w:rPr>
                <w:color w:val="000000" w:themeColor="text1"/>
                <w:sz w:val="20"/>
                <w:szCs w:val="20"/>
              </w:rPr>
              <w:t>Distribution deals, production budgets, gatekeepers</w:t>
            </w:r>
          </w:p>
        </w:tc>
        <w:tc>
          <w:tcPr>
            <w:tcW w:w="2520" w:type="dxa"/>
            <w:tcBorders>
              <w:top w:val="nil"/>
              <w:left w:val="nil"/>
              <w:bottom w:val="single" w:sz="4" w:space="0" w:color="BFBFBF"/>
              <w:right w:val="single" w:sz="4" w:space="0" w:color="BFBFBF"/>
            </w:tcBorders>
            <w:vAlign w:val="center"/>
            <w:hideMark/>
          </w:tcPr>
          <w:p w14:paraId="76684252" w14:textId="77777777" w:rsidR="003E7DDD" w:rsidRPr="00E610CD" w:rsidRDefault="003E7DDD" w:rsidP="00AE1DED">
            <w:pPr>
              <w:rPr>
                <w:color w:val="000000" w:themeColor="text1"/>
                <w:sz w:val="20"/>
                <w:szCs w:val="20"/>
              </w:rPr>
            </w:pPr>
            <w:r w:rsidRPr="00E610CD">
              <w:rPr>
                <w:color w:val="000000" w:themeColor="text1"/>
                <w:sz w:val="20"/>
                <w:szCs w:val="20"/>
              </w:rPr>
              <w:t>Algorithm understanding, production quality, audience building</w:t>
            </w:r>
          </w:p>
        </w:tc>
        <w:tc>
          <w:tcPr>
            <w:tcW w:w="2340" w:type="dxa"/>
            <w:tcBorders>
              <w:top w:val="nil"/>
              <w:left w:val="nil"/>
              <w:bottom w:val="single" w:sz="4" w:space="0" w:color="BFBFBF"/>
              <w:right w:val="single" w:sz="4" w:space="0" w:color="BFBFBF"/>
            </w:tcBorders>
            <w:vAlign w:val="center"/>
            <w:hideMark/>
          </w:tcPr>
          <w:p w14:paraId="18C52A38" w14:textId="77777777" w:rsidR="003E7DDD" w:rsidRPr="00E610CD" w:rsidRDefault="003E7DDD" w:rsidP="00AE1DED">
            <w:pPr>
              <w:rPr>
                <w:color w:val="000000" w:themeColor="text1"/>
                <w:sz w:val="20"/>
                <w:szCs w:val="20"/>
              </w:rPr>
            </w:pPr>
            <w:proofErr w:type="gramStart"/>
            <w:r w:rsidRPr="00E610CD">
              <w:rPr>
                <w:color w:val="000000" w:themeColor="text1"/>
                <w:sz w:val="20"/>
                <w:szCs w:val="20"/>
              </w:rPr>
              <w:t>Conditional on</w:t>
            </w:r>
            <w:proofErr w:type="gramEnd"/>
            <w:r w:rsidRPr="00E610CD">
              <w:rPr>
                <w:color w:val="000000" w:themeColor="text1"/>
                <w:sz w:val="20"/>
                <w:szCs w:val="20"/>
              </w:rPr>
              <w:t xml:space="preserve"> content skill + consistency + luck</w:t>
            </w:r>
          </w:p>
        </w:tc>
      </w:tr>
      <w:tr w:rsidR="00E610CD" w:rsidRPr="00E610CD" w14:paraId="6C1583B6" w14:textId="77777777" w:rsidTr="003941E6">
        <w:trPr>
          <w:trHeight w:val="71"/>
        </w:trPr>
        <w:tc>
          <w:tcPr>
            <w:tcW w:w="1916" w:type="dxa"/>
            <w:tcBorders>
              <w:top w:val="nil"/>
              <w:left w:val="single" w:sz="4" w:space="0" w:color="BFBFBF"/>
              <w:bottom w:val="single" w:sz="4" w:space="0" w:color="BFBFBF"/>
              <w:right w:val="single" w:sz="4" w:space="0" w:color="BFBFBF"/>
            </w:tcBorders>
            <w:shd w:val="clear" w:color="auto" w:fill="D9D9D9" w:themeFill="background1" w:themeFillShade="D9"/>
            <w:vAlign w:val="center"/>
            <w:hideMark/>
          </w:tcPr>
          <w:p w14:paraId="6DD00AC9" w14:textId="77777777" w:rsidR="003E7DDD" w:rsidRPr="00E610CD" w:rsidRDefault="003E7DDD" w:rsidP="00AE1DED">
            <w:pPr>
              <w:jc w:val="both"/>
              <w:rPr>
                <w:b/>
                <w:bCs/>
                <w:color w:val="000000" w:themeColor="text1"/>
                <w:sz w:val="20"/>
                <w:szCs w:val="20"/>
              </w:rPr>
            </w:pPr>
            <w:r w:rsidRPr="00E610CD">
              <w:rPr>
                <w:b/>
                <w:bCs/>
                <w:color w:val="000000" w:themeColor="text1"/>
                <w:sz w:val="20"/>
                <w:szCs w:val="20"/>
              </w:rPr>
              <w:t>Crowdfunding (Kickstarter)</w:t>
            </w:r>
          </w:p>
        </w:tc>
        <w:tc>
          <w:tcPr>
            <w:tcW w:w="2219" w:type="dxa"/>
            <w:tcBorders>
              <w:top w:val="nil"/>
              <w:left w:val="nil"/>
              <w:bottom w:val="single" w:sz="4" w:space="0" w:color="BFBFBF"/>
              <w:right w:val="single" w:sz="4" w:space="0" w:color="BFBFBF"/>
            </w:tcBorders>
            <w:vAlign w:val="center"/>
            <w:hideMark/>
          </w:tcPr>
          <w:p w14:paraId="613AA3B3" w14:textId="77777777" w:rsidR="003E7DDD" w:rsidRPr="00E610CD" w:rsidRDefault="003E7DDD" w:rsidP="00AE1DED">
            <w:pPr>
              <w:rPr>
                <w:color w:val="000000" w:themeColor="text1"/>
                <w:sz w:val="20"/>
                <w:szCs w:val="20"/>
              </w:rPr>
            </w:pPr>
            <w:r w:rsidRPr="00E610CD">
              <w:rPr>
                <w:color w:val="000000" w:themeColor="text1"/>
                <w:sz w:val="20"/>
                <w:szCs w:val="20"/>
              </w:rPr>
              <w:t>VC connections, pitch meetings, accreditation</w:t>
            </w:r>
          </w:p>
        </w:tc>
        <w:tc>
          <w:tcPr>
            <w:tcW w:w="2520" w:type="dxa"/>
            <w:tcBorders>
              <w:top w:val="nil"/>
              <w:left w:val="nil"/>
              <w:bottom w:val="single" w:sz="4" w:space="0" w:color="BFBFBF"/>
              <w:right w:val="single" w:sz="4" w:space="0" w:color="BFBFBF"/>
            </w:tcBorders>
            <w:vAlign w:val="center"/>
            <w:hideMark/>
          </w:tcPr>
          <w:p w14:paraId="21A6EC69" w14:textId="77777777" w:rsidR="003E7DDD" w:rsidRPr="00E610CD" w:rsidRDefault="003E7DDD" w:rsidP="00AE1DED">
            <w:pPr>
              <w:rPr>
                <w:color w:val="000000" w:themeColor="text1"/>
                <w:sz w:val="20"/>
                <w:szCs w:val="20"/>
              </w:rPr>
            </w:pPr>
            <w:r w:rsidRPr="00E610CD">
              <w:rPr>
                <w:color w:val="000000" w:themeColor="text1"/>
                <w:sz w:val="20"/>
                <w:szCs w:val="20"/>
              </w:rPr>
              <w:t>Marketing ability, network effects, existing following</w:t>
            </w:r>
          </w:p>
        </w:tc>
        <w:tc>
          <w:tcPr>
            <w:tcW w:w="2340" w:type="dxa"/>
            <w:tcBorders>
              <w:top w:val="nil"/>
              <w:left w:val="nil"/>
              <w:bottom w:val="single" w:sz="4" w:space="0" w:color="BFBFBF"/>
              <w:right w:val="single" w:sz="4" w:space="0" w:color="BFBFBF"/>
            </w:tcBorders>
            <w:vAlign w:val="center"/>
            <w:hideMark/>
          </w:tcPr>
          <w:p w14:paraId="1BC83E94" w14:textId="77777777" w:rsidR="003E7DDD" w:rsidRPr="00E610CD" w:rsidRDefault="003E7DDD" w:rsidP="00AE1DED">
            <w:pPr>
              <w:rPr>
                <w:color w:val="000000" w:themeColor="text1"/>
                <w:sz w:val="20"/>
                <w:szCs w:val="20"/>
              </w:rPr>
            </w:pPr>
            <w:r w:rsidRPr="00E610CD">
              <w:rPr>
                <w:color w:val="000000" w:themeColor="text1"/>
                <w:sz w:val="20"/>
                <w:szCs w:val="20"/>
              </w:rPr>
              <w:t>Conditional on audience + credibility</w:t>
            </w:r>
          </w:p>
        </w:tc>
      </w:tr>
      <w:tr w:rsidR="00E610CD" w:rsidRPr="00E610CD" w14:paraId="06ED61DB" w14:textId="77777777" w:rsidTr="003941E6">
        <w:trPr>
          <w:trHeight w:val="71"/>
        </w:trPr>
        <w:tc>
          <w:tcPr>
            <w:tcW w:w="1916" w:type="dxa"/>
            <w:tcBorders>
              <w:top w:val="nil"/>
              <w:left w:val="single" w:sz="4" w:space="0" w:color="BFBFBF"/>
              <w:bottom w:val="single" w:sz="4" w:space="0" w:color="BFBFBF"/>
              <w:right w:val="single" w:sz="4" w:space="0" w:color="BFBFBF"/>
            </w:tcBorders>
            <w:shd w:val="clear" w:color="auto" w:fill="D9D9D9" w:themeFill="background1" w:themeFillShade="D9"/>
            <w:vAlign w:val="center"/>
            <w:hideMark/>
          </w:tcPr>
          <w:p w14:paraId="106AD60E" w14:textId="77777777" w:rsidR="003E7DDD" w:rsidRPr="00E610CD" w:rsidRDefault="003E7DDD" w:rsidP="00AE1DED">
            <w:pPr>
              <w:jc w:val="both"/>
              <w:rPr>
                <w:b/>
                <w:bCs/>
                <w:color w:val="000000" w:themeColor="text1"/>
                <w:sz w:val="20"/>
                <w:szCs w:val="20"/>
              </w:rPr>
            </w:pPr>
            <w:r w:rsidRPr="00E610CD">
              <w:rPr>
                <w:b/>
                <w:bCs/>
                <w:color w:val="000000" w:themeColor="text1"/>
                <w:sz w:val="20"/>
                <w:szCs w:val="20"/>
              </w:rPr>
              <w:t>Peer-to-peer Lending</w:t>
            </w:r>
          </w:p>
        </w:tc>
        <w:tc>
          <w:tcPr>
            <w:tcW w:w="2219" w:type="dxa"/>
            <w:tcBorders>
              <w:top w:val="nil"/>
              <w:left w:val="nil"/>
              <w:bottom w:val="single" w:sz="4" w:space="0" w:color="BFBFBF"/>
              <w:right w:val="single" w:sz="4" w:space="0" w:color="BFBFBF"/>
            </w:tcBorders>
            <w:vAlign w:val="center"/>
            <w:hideMark/>
          </w:tcPr>
          <w:p w14:paraId="6DA29101" w14:textId="77777777" w:rsidR="003E7DDD" w:rsidRPr="00E610CD" w:rsidRDefault="003E7DDD" w:rsidP="00AE1DED">
            <w:pPr>
              <w:rPr>
                <w:color w:val="000000" w:themeColor="text1"/>
                <w:sz w:val="20"/>
                <w:szCs w:val="20"/>
              </w:rPr>
            </w:pPr>
            <w:r w:rsidRPr="00E610CD">
              <w:rPr>
                <w:color w:val="000000" w:themeColor="text1"/>
                <w:sz w:val="20"/>
                <w:szCs w:val="20"/>
              </w:rPr>
              <w:t>Bank intermediation, credit gatekeeping</w:t>
            </w:r>
          </w:p>
        </w:tc>
        <w:tc>
          <w:tcPr>
            <w:tcW w:w="2520" w:type="dxa"/>
            <w:tcBorders>
              <w:top w:val="nil"/>
              <w:left w:val="nil"/>
              <w:bottom w:val="single" w:sz="4" w:space="0" w:color="BFBFBF"/>
              <w:right w:val="single" w:sz="4" w:space="0" w:color="BFBFBF"/>
            </w:tcBorders>
            <w:vAlign w:val="center"/>
            <w:hideMark/>
          </w:tcPr>
          <w:p w14:paraId="10A1BCDE" w14:textId="77777777" w:rsidR="003E7DDD" w:rsidRPr="00E610CD" w:rsidRDefault="003E7DDD" w:rsidP="00AE1DED">
            <w:pPr>
              <w:rPr>
                <w:color w:val="000000" w:themeColor="text1"/>
                <w:sz w:val="20"/>
                <w:szCs w:val="20"/>
              </w:rPr>
            </w:pPr>
            <w:r w:rsidRPr="00E610CD">
              <w:rPr>
                <w:color w:val="000000" w:themeColor="text1"/>
                <w:sz w:val="20"/>
                <w:szCs w:val="20"/>
              </w:rPr>
              <w:t>Credit assessment, default risk, capital requirements</w:t>
            </w:r>
          </w:p>
        </w:tc>
        <w:tc>
          <w:tcPr>
            <w:tcW w:w="2340" w:type="dxa"/>
            <w:tcBorders>
              <w:top w:val="nil"/>
              <w:left w:val="nil"/>
              <w:bottom w:val="single" w:sz="4" w:space="0" w:color="BFBFBF"/>
              <w:right w:val="single" w:sz="4" w:space="0" w:color="BFBFBF"/>
            </w:tcBorders>
            <w:vAlign w:val="center"/>
            <w:hideMark/>
          </w:tcPr>
          <w:p w14:paraId="27D73A89" w14:textId="77777777" w:rsidR="003E7DDD" w:rsidRPr="00E610CD" w:rsidRDefault="003E7DDD" w:rsidP="00AE1DED">
            <w:pPr>
              <w:rPr>
                <w:color w:val="000000" w:themeColor="text1"/>
                <w:sz w:val="20"/>
                <w:szCs w:val="20"/>
              </w:rPr>
            </w:pPr>
            <w:r w:rsidRPr="00E610CD">
              <w:rPr>
                <w:color w:val="000000" w:themeColor="text1"/>
                <w:sz w:val="20"/>
                <w:szCs w:val="20"/>
              </w:rPr>
              <w:t>Conditional on creditworthiness + capital + risk tolerance</w:t>
            </w:r>
          </w:p>
        </w:tc>
      </w:tr>
    </w:tbl>
    <w:p w14:paraId="135EFA32" w14:textId="77777777" w:rsidR="00201C2B" w:rsidRDefault="00201C2B" w:rsidP="00AE1DED">
      <w:pPr>
        <w:jc w:val="both"/>
        <w:rPr>
          <w:color w:val="000000" w:themeColor="text1"/>
        </w:rPr>
      </w:pPr>
    </w:p>
    <w:p w14:paraId="4240FB82" w14:textId="0EC76AF5" w:rsidR="003E7DDD" w:rsidRPr="00E610CD" w:rsidRDefault="003E7DDD" w:rsidP="00AE1DED">
      <w:pPr>
        <w:jc w:val="both"/>
        <w:rPr>
          <w:color w:val="000000" w:themeColor="text1"/>
        </w:rPr>
      </w:pPr>
      <w:r w:rsidRPr="00E610CD">
        <w:rPr>
          <w:color w:val="000000" w:themeColor="text1"/>
        </w:rPr>
        <w:lastRenderedPageBreak/>
        <w:t xml:space="preserve">The pattern repeats: technical democratization lowers traditional barriers while creating new barriers that condition success on resource availability beyond mere access. DeFi is not unique in exhibiting conditional democratization but represents </w:t>
      </w:r>
      <w:r w:rsidR="00FB60B9" w:rsidRPr="00E610CD">
        <w:rPr>
          <w:color w:val="000000" w:themeColor="text1"/>
        </w:rPr>
        <w:t xml:space="preserve">a </w:t>
      </w:r>
      <w:r w:rsidRPr="00E610CD">
        <w:rPr>
          <w:color w:val="000000" w:themeColor="text1"/>
        </w:rPr>
        <w:t>clear instantiation of the broader pattern.</w:t>
      </w:r>
    </w:p>
    <w:p w14:paraId="5E26BA56" w14:textId="77777777" w:rsidR="00201C2B" w:rsidRDefault="00201C2B" w:rsidP="00AE1DED">
      <w:pPr>
        <w:pStyle w:val="Heading4"/>
        <w:jc w:val="both"/>
        <w:rPr>
          <w:color w:val="000000" w:themeColor="text1"/>
        </w:rPr>
      </w:pPr>
    </w:p>
    <w:p w14:paraId="40BFE8A0" w14:textId="02DB7054" w:rsidR="00ED71DE" w:rsidRPr="00717BC2" w:rsidRDefault="00BF102C" w:rsidP="00AE1DED">
      <w:pPr>
        <w:pStyle w:val="Heading4"/>
        <w:jc w:val="both"/>
        <w:rPr>
          <w:color w:val="000000" w:themeColor="text1"/>
        </w:rPr>
      </w:pPr>
      <w:r w:rsidRPr="00E610CD">
        <w:rPr>
          <w:color w:val="000000" w:themeColor="text1"/>
        </w:rPr>
        <w:t>11.2.5.</w:t>
      </w:r>
      <w:r w:rsidR="007D5E45" w:rsidRPr="00E610CD">
        <w:rPr>
          <w:color w:val="000000" w:themeColor="text1"/>
        </w:rPr>
        <w:t>5</w:t>
      </w:r>
      <w:r w:rsidRPr="00E610CD">
        <w:rPr>
          <w:color w:val="000000" w:themeColor="text1"/>
        </w:rPr>
        <w:t xml:space="preserve"> </w:t>
      </w:r>
      <w:r w:rsidR="00FE3471" w:rsidRPr="00E610CD">
        <w:rPr>
          <w:color w:val="000000" w:themeColor="text1"/>
        </w:rPr>
        <w:t>Limitations and Future Research</w:t>
      </w:r>
    </w:p>
    <w:p w14:paraId="7D335A45" w14:textId="003B2C19" w:rsidR="00ED71DE" w:rsidRPr="00E610CD" w:rsidRDefault="00ED71DE" w:rsidP="00AE1DED">
      <w:pPr>
        <w:pStyle w:val="Heading4"/>
        <w:jc w:val="both"/>
        <w:rPr>
          <w:b w:val="0"/>
          <w:color w:val="000000" w:themeColor="text1"/>
          <w:kern w:val="0"/>
        </w:rPr>
      </w:pPr>
      <w:r w:rsidRPr="00E610CD">
        <w:rPr>
          <w:b w:val="0"/>
          <w:color w:val="000000" w:themeColor="text1"/>
          <w:kern w:val="0"/>
        </w:rPr>
        <w:t xml:space="preserve">Based on the identified </w:t>
      </w:r>
      <w:proofErr w:type="gramStart"/>
      <w:r w:rsidRPr="00E610CD">
        <w:rPr>
          <w:b w:val="0"/>
          <w:color w:val="000000" w:themeColor="text1"/>
          <w:kern w:val="0"/>
        </w:rPr>
        <w:t>research</w:t>
      </w:r>
      <w:proofErr w:type="gramEnd"/>
      <w:r w:rsidRPr="00E610CD">
        <w:rPr>
          <w:b w:val="0"/>
          <w:color w:val="000000" w:themeColor="text1"/>
          <w:kern w:val="0"/>
        </w:rPr>
        <w:t xml:space="preserve"> the conditional democratization framework requires several enhancements:</w:t>
      </w:r>
    </w:p>
    <w:p w14:paraId="361B0287" w14:textId="77777777" w:rsidR="00ED71DE" w:rsidRPr="00E610CD" w:rsidRDefault="00ED71DE" w:rsidP="00AE1DED">
      <w:pPr>
        <w:pStyle w:val="Heading4"/>
        <w:jc w:val="both"/>
        <w:rPr>
          <w:b w:val="0"/>
          <w:color w:val="000000" w:themeColor="text1"/>
          <w:kern w:val="0"/>
        </w:rPr>
      </w:pPr>
    </w:p>
    <w:p w14:paraId="453CB974" w14:textId="303BAF71" w:rsidR="00ED71DE" w:rsidRPr="00E610CD" w:rsidRDefault="00ED71DE" w:rsidP="00AE1DED">
      <w:pPr>
        <w:pStyle w:val="Heading4"/>
        <w:jc w:val="both"/>
        <w:rPr>
          <w:b w:val="0"/>
          <w:color w:val="000000" w:themeColor="text1"/>
          <w:kern w:val="0"/>
        </w:rPr>
      </w:pPr>
      <w:r w:rsidRPr="00E610CD">
        <w:rPr>
          <w:b w:val="0"/>
          <w:i/>
          <w:iCs/>
          <w:color w:val="000000" w:themeColor="text1"/>
          <w:kern w:val="0"/>
        </w:rPr>
        <w:t>Condition measurement:</w:t>
      </w:r>
      <w:r w:rsidRPr="00E610CD">
        <w:rPr>
          <w:b w:val="0"/>
          <w:color w:val="000000" w:themeColor="text1"/>
          <w:kern w:val="0"/>
        </w:rPr>
        <w:t xml:space="preserve"> This study recognized capital, competence, time, and risk tolerance as essential </w:t>
      </w:r>
      <w:proofErr w:type="gramStart"/>
      <w:r w:rsidRPr="00E610CD">
        <w:rPr>
          <w:b w:val="0"/>
          <w:color w:val="000000" w:themeColor="text1"/>
          <w:kern w:val="0"/>
        </w:rPr>
        <w:t>criteria,</w:t>
      </w:r>
      <w:proofErr w:type="gramEnd"/>
      <w:r w:rsidRPr="00E610CD">
        <w:rPr>
          <w:b w:val="0"/>
          <w:color w:val="000000" w:themeColor="text1"/>
          <w:kern w:val="0"/>
        </w:rPr>
        <w:t xml:space="preserve"> however, the </w:t>
      </w:r>
      <w:r w:rsidR="00FF67AB" w:rsidRPr="00E610CD">
        <w:rPr>
          <w:b w:val="0"/>
          <w:color w:val="000000" w:themeColor="text1"/>
          <w:kern w:val="0"/>
        </w:rPr>
        <w:t>research</w:t>
      </w:r>
      <w:r w:rsidRPr="00E610CD">
        <w:rPr>
          <w:b w:val="0"/>
          <w:color w:val="000000" w:themeColor="text1"/>
          <w:kern w:val="0"/>
        </w:rPr>
        <w:t xml:space="preserve"> did not systematically assess the number of prospective participants who satisfy each criterion or their collective distribution. Future research should quantify the prevalence of conditions within a </w:t>
      </w:r>
      <w:r w:rsidR="00FF67AB" w:rsidRPr="00E610CD">
        <w:rPr>
          <w:b w:val="0"/>
          <w:color w:val="000000" w:themeColor="text1"/>
          <w:kern w:val="0"/>
        </w:rPr>
        <w:t>target population</w:t>
      </w:r>
      <w:r w:rsidRPr="00E610CD">
        <w:rPr>
          <w:b w:val="0"/>
          <w:color w:val="000000" w:themeColor="text1"/>
          <w:kern w:val="0"/>
        </w:rPr>
        <w:t xml:space="preserve"> to evaluate the proportion which is encompassed by "conditional democratization." </w:t>
      </w:r>
    </w:p>
    <w:p w14:paraId="45A36AC3" w14:textId="77777777" w:rsidR="00ED71DE" w:rsidRPr="00E610CD" w:rsidRDefault="00ED71DE" w:rsidP="00AE1DED">
      <w:pPr>
        <w:pStyle w:val="Heading4"/>
        <w:jc w:val="both"/>
        <w:rPr>
          <w:b w:val="0"/>
          <w:color w:val="000000" w:themeColor="text1"/>
          <w:kern w:val="0"/>
        </w:rPr>
      </w:pPr>
    </w:p>
    <w:p w14:paraId="33C587AD" w14:textId="46582987" w:rsidR="00ED71DE" w:rsidRPr="00E610CD" w:rsidRDefault="00ED71DE" w:rsidP="00AE1DED">
      <w:pPr>
        <w:pStyle w:val="Heading4"/>
        <w:jc w:val="both"/>
        <w:rPr>
          <w:b w:val="0"/>
          <w:color w:val="000000" w:themeColor="text1"/>
          <w:kern w:val="0"/>
        </w:rPr>
      </w:pPr>
      <w:r w:rsidRPr="00E610CD">
        <w:rPr>
          <w:b w:val="0"/>
          <w:i/>
          <w:iCs/>
          <w:color w:val="000000" w:themeColor="text1"/>
          <w:kern w:val="0"/>
        </w:rPr>
        <w:t>Condition dynamics:</w:t>
      </w:r>
      <w:r w:rsidRPr="00E610CD">
        <w:rPr>
          <w:b w:val="0"/>
          <w:color w:val="000000" w:themeColor="text1"/>
          <w:kern w:val="0"/>
        </w:rPr>
        <w:t xml:space="preserve"> Conditions can </w:t>
      </w:r>
      <w:r w:rsidR="00FF67AB" w:rsidRPr="00E610CD">
        <w:rPr>
          <w:b w:val="0"/>
          <w:color w:val="000000" w:themeColor="text1"/>
          <w:kern w:val="0"/>
        </w:rPr>
        <w:t xml:space="preserve">and most likely will </w:t>
      </w:r>
      <w:r w:rsidRPr="00E610CD">
        <w:rPr>
          <w:b w:val="0"/>
          <w:color w:val="000000" w:themeColor="text1"/>
          <w:kern w:val="0"/>
        </w:rPr>
        <w:t>change over time</w:t>
      </w:r>
      <w:r w:rsidR="00FF67AB" w:rsidRPr="00E610CD">
        <w:rPr>
          <w:b w:val="0"/>
          <w:color w:val="000000" w:themeColor="text1"/>
          <w:kern w:val="0"/>
        </w:rPr>
        <w:t>. This includes</w:t>
      </w:r>
      <w:r w:rsidRPr="00E610CD">
        <w:rPr>
          <w:b w:val="0"/>
          <w:color w:val="000000" w:themeColor="text1"/>
          <w:kern w:val="0"/>
        </w:rPr>
        <w:t xml:space="preserve"> gas prices go</w:t>
      </w:r>
      <w:r w:rsidR="00FF67AB" w:rsidRPr="00E610CD">
        <w:rPr>
          <w:b w:val="0"/>
          <w:color w:val="000000" w:themeColor="text1"/>
          <w:kern w:val="0"/>
        </w:rPr>
        <w:t>ing</w:t>
      </w:r>
      <w:r w:rsidRPr="00E610CD">
        <w:rPr>
          <w:b w:val="0"/>
          <w:color w:val="000000" w:themeColor="text1"/>
          <w:kern w:val="0"/>
        </w:rPr>
        <w:t xml:space="preserve"> up and down, technical knowledge spreads, and risk profiles change</w:t>
      </w:r>
      <w:r w:rsidR="00FF67AB" w:rsidRPr="00E610CD">
        <w:rPr>
          <w:b w:val="0"/>
          <w:color w:val="000000" w:themeColor="text1"/>
          <w:kern w:val="0"/>
        </w:rPr>
        <w:t>s</w:t>
      </w:r>
      <w:r w:rsidRPr="00E610CD">
        <w:rPr>
          <w:b w:val="0"/>
          <w:color w:val="000000" w:themeColor="text1"/>
          <w:kern w:val="0"/>
        </w:rPr>
        <w:t xml:space="preserve">. The framework </w:t>
      </w:r>
      <w:r w:rsidR="003D7ACC" w:rsidRPr="00E610CD">
        <w:rPr>
          <w:b w:val="0"/>
          <w:color w:val="000000" w:themeColor="text1"/>
          <w:kern w:val="0"/>
        </w:rPr>
        <w:t>should</w:t>
      </w:r>
      <w:r w:rsidRPr="00E610CD">
        <w:rPr>
          <w:b w:val="0"/>
          <w:color w:val="000000" w:themeColor="text1"/>
          <w:kern w:val="0"/>
        </w:rPr>
        <w:t xml:space="preserve"> include temporal dynamics that illustrate the expansion or contraction of conditional democratization in response to </w:t>
      </w:r>
      <w:r w:rsidR="00FF67AB" w:rsidRPr="00E610CD">
        <w:rPr>
          <w:b w:val="0"/>
          <w:color w:val="000000" w:themeColor="text1"/>
          <w:kern w:val="0"/>
        </w:rPr>
        <w:t xml:space="preserve">these </w:t>
      </w:r>
      <w:r w:rsidRPr="00E610CD">
        <w:rPr>
          <w:b w:val="0"/>
          <w:color w:val="000000" w:themeColor="text1"/>
          <w:kern w:val="0"/>
        </w:rPr>
        <w:t xml:space="preserve">changing conditions. </w:t>
      </w:r>
    </w:p>
    <w:p w14:paraId="3BF2B4FD" w14:textId="77777777" w:rsidR="00ED71DE" w:rsidRPr="00E610CD" w:rsidRDefault="00ED71DE" w:rsidP="00AE1DED">
      <w:pPr>
        <w:pStyle w:val="Heading4"/>
        <w:jc w:val="both"/>
        <w:rPr>
          <w:b w:val="0"/>
          <w:color w:val="000000" w:themeColor="text1"/>
          <w:kern w:val="0"/>
        </w:rPr>
      </w:pPr>
    </w:p>
    <w:p w14:paraId="69163024" w14:textId="2342AEB1" w:rsidR="00ED71DE" w:rsidRPr="00E610CD" w:rsidRDefault="00ED71DE" w:rsidP="00AE1DED">
      <w:pPr>
        <w:pStyle w:val="Heading4"/>
        <w:jc w:val="both"/>
        <w:rPr>
          <w:b w:val="0"/>
          <w:color w:val="000000" w:themeColor="text1"/>
          <w:kern w:val="0"/>
        </w:rPr>
      </w:pPr>
      <w:r w:rsidRPr="00E610CD">
        <w:rPr>
          <w:b w:val="0"/>
          <w:i/>
          <w:iCs/>
          <w:color w:val="000000" w:themeColor="text1"/>
          <w:kern w:val="0"/>
        </w:rPr>
        <w:t>Condition equity:</w:t>
      </w:r>
      <w:r w:rsidRPr="00E610CD">
        <w:rPr>
          <w:b w:val="0"/>
          <w:color w:val="000000" w:themeColor="text1"/>
          <w:kern w:val="0"/>
        </w:rPr>
        <w:t xml:space="preserve"> The framework delineates conditional democratization without providing a normative assessment. The framework </w:t>
      </w:r>
      <w:r w:rsidR="00A90EEE" w:rsidRPr="00E610CD">
        <w:rPr>
          <w:b w:val="0"/>
          <w:color w:val="000000" w:themeColor="text1"/>
          <w:kern w:val="0"/>
        </w:rPr>
        <w:t>requires</w:t>
      </w:r>
      <w:r w:rsidRPr="00E610CD">
        <w:rPr>
          <w:b w:val="0"/>
          <w:color w:val="000000" w:themeColor="text1"/>
          <w:kern w:val="0"/>
        </w:rPr>
        <w:t xml:space="preserve"> a normative extension to evaluate the conditions that </w:t>
      </w:r>
      <w:r w:rsidR="008F4F94" w:rsidRPr="00E610CD">
        <w:rPr>
          <w:b w:val="0"/>
          <w:color w:val="000000" w:themeColor="text1"/>
          <w:kern w:val="0"/>
        </w:rPr>
        <w:t>differentiate</w:t>
      </w:r>
      <w:r w:rsidRPr="00E610CD">
        <w:rPr>
          <w:b w:val="0"/>
          <w:color w:val="000000" w:themeColor="text1"/>
          <w:kern w:val="0"/>
        </w:rPr>
        <w:t xml:space="preserve"> acceptable from problematic bases for inclusion. </w:t>
      </w:r>
    </w:p>
    <w:p w14:paraId="1341B3F1" w14:textId="77777777" w:rsidR="00ED71DE" w:rsidRPr="00E610CD" w:rsidRDefault="00ED71DE" w:rsidP="00AE1DED">
      <w:pPr>
        <w:pStyle w:val="Heading4"/>
        <w:jc w:val="both"/>
        <w:rPr>
          <w:b w:val="0"/>
          <w:color w:val="000000" w:themeColor="text1"/>
          <w:kern w:val="0"/>
        </w:rPr>
      </w:pPr>
    </w:p>
    <w:p w14:paraId="6FD27A4D" w14:textId="32659291" w:rsidR="00ED71DE" w:rsidRPr="00E610CD" w:rsidRDefault="00ED71DE" w:rsidP="00AE1DED">
      <w:pPr>
        <w:pStyle w:val="Heading4"/>
        <w:jc w:val="both"/>
        <w:rPr>
          <w:b w:val="0"/>
          <w:color w:val="000000" w:themeColor="text1"/>
          <w:kern w:val="0"/>
        </w:rPr>
      </w:pPr>
      <w:r w:rsidRPr="00E610CD">
        <w:rPr>
          <w:b w:val="0"/>
          <w:i/>
          <w:iCs/>
          <w:color w:val="000000" w:themeColor="text1"/>
          <w:kern w:val="0"/>
        </w:rPr>
        <w:t>Cross-domain applicability:</w:t>
      </w:r>
      <w:r w:rsidRPr="00E610CD">
        <w:rPr>
          <w:b w:val="0"/>
          <w:color w:val="000000" w:themeColor="text1"/>
          <w:kern w:val="0"/>
        </w:rPr>
        <w:t xml:space="preserve"> </w:t>
      </w:r>
      <w:r w:rsidR="00BF55ED" w:rsidRPr="00E610CD">
        <w:rPr>
          <w:b w:val="0"/>
          <w:color w:val="000000" w:themeColor="text1"/>
          <w:kern w:val="0"/>
        </w:rPr>
        <w:t>This research</w:t>
      </w:r>
      <w:r w:rsidRPr="00E610CD">
        <w:rPr>
          <w:b w:val="0"/>
          <w:color w:val="000000" w:themeColor="text1"/>
          <w:kern w:val="0"/>
        </w:rPr>
        <w:t xml:space="preserve"> used conditional democratization on DeFi </w:t>
      </w:r>
      <w:r w:rsidR="00BF55ED" w:rsidRPr="00E610CD">
        <w:rPr>
          <w:b w:val="0"/>
          <w:color w:val="000000" w:themeColor="text1"/>
          <w:kern w:val="0"/>
        </w:rPr>
        <w:t>that could</w:t>
      </w:r>
      <w:r w:rsidRPr="00E610CD">
        <w:rPr>
          <w:b w:val="0"/>
          <w:color w:val="000000" w:themeColor="text1"/>
          <w:kern w:val="0"/>
        </w:rPr>
        <w:t xml:space="preserve"> be used on other platforms. However, testing it systematically across </w:t>
      </w:r>
      <w:r w:rsidR="00740E11" w:rsidRPr="00E610CD">
        <w:rPr>
          <w:b w:val="0"/>
          <w:color w:val="000000" w:themeColor="text1"/>
          <w:kern w:val="0"/>
        </w:rPr>
        <w:t xml:space="preserve">different </w:t>
      </w:r>
      <w:r w:rsidRPr="00E610CD">
        <w:rPr>
          <w:b w:val="0"/>
          <w:color w:val="000000" w:themeColor="text1"/>
          <w:kern w:val="0"/>
        </w:rPr>
        <w:t xml:space="preserve">domains </w:t>
      </w:r>
      <w:r w:rsidR="00740E11" w:rsidRPr="00E610CD">
        <w:rPr>
          <w:b w:val="0"/>
          <w:color w:val="000000" w:themeColor="text1"/>
          <w:kern w:val="0"/>
        </w:rPr>
        <w:t>could</w:t>
      </w:r>
      <w:r w:rsidRPr="00E610CD">
        <w:rPr>
          <w:b w:val="0"/>
          <w:color w:val="000000" w:themeColor="text1"/>
          <w:kern w:val="0"/>
        </w:rPr>
        <w:t xml:space="preserve"> make the framework more generalizable and show patterns of conditions that are specific to each domain</w:t>
      </w:r>
      <w:r w:rsidR="00740E11" w:rsidRPr="00E610CD">
        <w:rPr>
          <w:b w:val="0"/>
          <w:color w:val="000000" w:themeColor="text1"/>
          <w:kern w:val="0"/>
        </w:rPr>
        <w:t xml:space="preserve"> and across various platforms.</w:t>
      </w:r>
    </w:p>
    <w:p w14:paraId="4C7D2B26" w14:textId="77777777" w:rsidR="00ED71DE" w:rsidRPr="00E610CD" w:rsidRDefault="00ED71DE" w:rsidP="00AE1DED">
      <w:pPr>
        <w:pStyle w:val="Heading4"/>
        <w:jc w:val="both"/>
        <w:rPr>
          <w:b w:val="0"/>
          <w:color w:val="000000" w:themeColor="text1"/>
          <w:kern w:val="0"/>
        </w:rPr>
      </w:pPr>
    </w:p>
    <w:p w14:paraId="53163F29" w14:textId="344A4C45" w:rsidR="00FE3471" w:rsidRPr="00E610CD" w:rsidRDefault="00BF102C" w:rsidP="00AE1DED">
      <w:pPr>
        <w:pStyle w:val="Heading4"/>
        <w:jc w:val="both"/>
        <w:rPr>
          <w:color w:val="000000" w:themeColor="text1"/>
        </w:rPr>
      </w:pPr>
      <w:r w:rsidRPr="00E610CD">
        <w:rPr>
          <w:color w:val="000000" w:themeColor="text1"/>
        </w:rPr>
        <w:t>11.2.5.</w:t>
      </w:r>
      <w:r w:rsidR="007D5E45" w:rsidRPr="00E610CD">
        <w:rPr>
          <w:color w:val="000000" w:themeColor="text1"/>
        </w:rPr>
        <w:t>6</w:t>
      </w:r>
      <w:r w:rsidRPr="00E610CD">
        <w:rPr>
          <w:color w:val="000000" w:themeColor="text1"/>
        </w:rPr>
        <w:t xml:space="preserve"> </w:t>
      </w:r>
      <w:r w:rsidR="00FE3471" w:rsidRPr="00E610CD">
        <w:rPr>
          <w:color w:val="000000" w:themeColor="text1"/>
        </w:rPr>
        <w:t>Synthesis: Toward Nuanced Democratization Assessment</w:t>
      </w:r>
    </w:p>
    <w:p w14:paraId="1781E52F" w14:textId="77777777" w:rsidR="00FE3471" w:rsidRDefault="00FE3471" w:rsidP="00AE1DED">
      <w:pPr>
        <w:jc w:val="both"/>
        <w:rPr>
          <w:color w:val="000000" w:themeColor="text1"/>
        </w:rPr>
      </w:pPr>
      <w:r w:rsidRPr="00E610CD">
        <w:rPr>
          <w:color w:val="000000" w:themeColor="text1"/>
        </w:rPr>
        <w:t>Conditional democratization reframes the fundamental question from "Does DeFi democratize finance?" (answered binary yes/no) to "For whom, under what conditions, does DeFi expand viable financial participation?" (answered with empirical specificity). This reframing:</w:t>
      </w:r>
    </w:p>
    <w:p w14:paraId="41F95383" w14:textId="77777777" w:rsidR="000B11FE" w:rsidRPr="00E610CD" w:rsidRDefault="000B11FE" w:rsidP="00AE1DED">
      <w:pPr>
        <w:jc w:val="both"/>
        <w:rPr>
          <w:color w:val="000000" w:themeColor="text1"/>
        </w:rPr>
      </w:pPr>
    </w:p>
    <w:p w14:paraId="6D41F504" w14:textId="5D19235F" w:rsidR="00FE3471" w:rsidRPr="00E610CD" w:rsidRDefault="00FE3471" w:rsidP="00AE1DED">
      <w:pPr>
        <w:numPr>
          <w:ilvl w:val="0"/>
          <w:numId w:val="165"/>
        </w:numPr>
        <w:jc w:val="both"/>
        <w:rPr>
          <w:color w:val="000000" w:themeColor="text1"/>
        </w:rPr>
      </w:pPr>
      <w:r w:rsidRPr="00E610CD">
        <w:rPr>
          <w:color w:val="000000" w:themeColor="text1"/>
        </w:rPr>
        <w:t xml:space="preserve">Acknowledges </w:t>
      </w:r>
      <w:r w:rsidR="00A60498" w:rsidRPr="00E610CD">
        <w:rPr>
          <w:color w:val="000000" w:themeColor="text1"/>
        </w:rPr>
        <w:t xml:space="preserve">a </w:t>
      </w:r>
      <w:r w:rsidRPr="00E610CD">
        <w:rPr>
          <w:color w:val="000000" w:themeColor="text1"/>
        </w:rPr>
        <w:t>genuine expansion (from ~0% traditional market-making participation to 27% successful DeFi participation in my sample)</w:t>
      </w:r>
    </w:p>
    <w:p w14:paraId="16619C75" w14:textId="42476926" w:rsidR="00FE3471" w:rsidRPr="00E610CD" w:rsidRDefault="00FE3471" w:rsidP="00AE1DED">
      <w:pPr>
        <w:numPr>
          <w:ilvl w:val="0"/>
          <w:numId w:val="165"/>
        </w:numPr>
        <w:jc w:val="both"/>
        <w:rPr>
          <w:color w:val="000000" w:themeColor="text1"/>
        </w:rPr>
      </w:pPr>
      <w:r w:rsidRPr="00E610CD">
        <w:rPr>
          <w:color w:val="000000" w:themeColor="text1"/>
        </w:rPr>
        <w:t xml:space="preserve">Recognizes </w:t>
      </w:r>
      <w:r w:rsidR="00A60498" w:rsidRPr="00E610CD">
        <w:rPr>
          <w:color w:val="000000" w:themeColor="text1"/>
        </w:rPr>
        <w:t xml:space="preserve">its </w:t>
      </w:r>
      <w:r w:rsidRPr="00E610CD">
        <w:rPr>
          <w:color w:val="000000" w:themeColor="text1"/>
        </w:rPr>
        <w:t>persistent limitation (73% failure rate despite technical accessibility)</w:t>
      </w:r>
    </w:p>
    <w:p w14:paraId="39BBEDAD" w14:textId="77777777" w:rsidR="00FE3471" w:rsidRPr="00E610CD" w:rsidRDefault="00FE3471" w:rsidP="00AE1DED">
      <w:pPr>
        <w:numPr>
          <w:ilvl w:val="0"/>
          <w:numId w:val="165"/>
        </w:numPr>
        <w:jc w:val="both"/>
        <w:rPr>
          <w:color w:val="000000" w:themeColor="text1"/>
        </w:rPr>
      </w:pPr>
      <w:r w:rsidRPr="00E610CD">
        <w:rPr>
          <w:color w:val="000000" w:themeColor="text1"/>
        </w:rPr>
        <w:t>Identifies specific conditions enabling success (capital thresholds, competence requirements, time investments)</w:t>
      </w:r>
    </w:p>
    <w:p w14:paraId="1CCE6FA4" w14:textId="77777777" w:rsidR="00FE3471" w:rsidRPr="00E610CD" w:rsidRDefault="00FE3471" w:rsidP="00AE1DED">
      <w:pPr>
        <w:numPr>
          <w:ilvl w:val="0"/>
          <w:numId w:val="165"/>
        </w:numPr>
        <w:jc w:val="both"/>
        <w:rPr>
          <w:color w:val="000000" w:themeColor="text1"/>
        </w:rPr>
      </w:pPr>
      <w:r w:rsidRPr="00E610CD">
        <w:rPr>
          <w:color w:val="000000" w:themeColor="text1"/>
        </w:rPr>
        <w:t>Provides actionable framework for participants, platforms, and policymakers</w:t>
      </w:r>
    </w:p>
    <w:p w14:paraId="3DAC7B2C" w14:textId="77777777" w:rsidR="00201C2B" w:rsidRDefault="00201C2B" w:rsidP="00AE1DED">
      <w:pPr>
        <w:jc w:val="both"/>
        <w:rPr>
          <w:color w:val="000000" w:themeColor="text1"/>
        </w:rPr>
      </w:pPr>
    </w:p>
    <w:p w14:paraId="369DAAFD" w14:textId="7B4C6ADC" w:rsidR="00FE3471" w:rsidRDefault="00FE3471" w:rsidP="00AE1DED">
      <w:pPr>
        <w:jc w:val="both"/>
        <w:rPr>
          <w:color w:val="000000" w:themeColor="text1"/>
        </w:rPr>
      </w:pPr>
      <w:r w:rsidRPr="00E610CD">
        <w:rPr>
          <w:color w:val="000000" w:themeColor="text1"/>
        </w:rPr>
        <w:t xml:space="preserve">The </w:t>
      </w:r>
      <w:r w:rsidR="00706071" w:rsidRPr="00E610CD">
        <w:rPr>
          <w:color w:val="000000" w:themeColor="text1"/>
        </w:rPr>
        <w:t xml:space="preserve">transition </w:t>
      </w:r>
      <w:r w:rsidRPr="00E610CD">
        <w:rPr>
          <w:color w:val="000000" w:themeColor="text1"/>
        </w:rPr>
        <w:t>from binary to conditional assessment represents this research's core theoretical contribution. Rather than debating whether DeFi succeeds or fails at democratization, the framework enables mapping the specific conditions under which democratization occurs</w:t>
      </w:r>
      <w:r w:rsidR="00706071" w:rsidRPr="00E610CD">
        <w:rPr>
          <w:color w:val="000000" w:themeColor="text1"/>
        </w:rPr>
        <w:t xml:space="preserve">. It also indicates </w:t>
      </w:r>
      <w:r w:rsidRPr="00E610CD">
        <w:rPr>
          <w:color w:val="000000" w:themeColor="text1"/>
        </w:rPr>
        <w:t>who it includes, who it excludes, and how these boundaries might shift</w:t>
      </w:r>
      <w:r w:rsidR="00706071" w:rsidRPr="00E610CD">
        <w:rPr>
          <w:color w:val="000000" w:themeColor="text1"/>
        </w:rPr>
        <w:t xml:space="preserve"> under different conditions or </w:t>
      </w:r>
      <w:proofErr w:type="gramStart"/>
      <w:r w:rsidR="00706071" w:rsidRPr="00E610CD">
        <w:rPr>
          <w:color w:val="000000" w:themeColor="text1"/>
        </w:rPr>
        <w:t>technology</w:t>
      </w:r>
      <w:proofErr w:type="gramEnd"/>
      <w:r w:rsidR="00706071" w:rsidRPr="00E610CD">
        <w:rPr>
          <w:color w:val="000000" w:themeColor="text1"/>
        </w:rPr>
        <w:t xml:space="preserve"> advances</w:t>
      </w:r>
      <w:r w:rsidRPr="00E610CD">
        <w:rPr>
          <w:color w:val="000000" w:themeColor="text1"/>
        </w:rPr>
        <w:t xml:space="preserve">. This conditional lens applies </w:t>
      </w:r>
      <w:r w:rsidR="00706071" w:rsidRPr="00E610CD">
        <w:rPr>
          <w:color w:val="000000" w:themeColor="text1"/>
        </w:rPr>
        <w:t>not just to</w:t>
      </w:r>
      <w:r w:rsidRPr="00E610CD">
        <w:rPr>
          <w:color w:val="000000" w:themeColor="text1"/>
        </w:rPr>
        <w:t xml:space="preserve"> DeFi </w:t>
      </w:r>
      <w:r w:rsidR="00706071" w:rsidRPr="00E610CD">
        <w:rPr>
          <w:color w:val="000000" w:themeColor="text1"/>
        </w:rPr>
        <w:t xml:space="preserve">but also </w:t>
      </w:r>
      <w:r w:rsidRPr="00E610CD">
        <w:rPr>
          <w:color w:val="000000" w:themeColor="text1"/>
        </w:rPr>
        <w:t>to any technology claiming democratizing effects</w:t>
      </w:r>
      <w:r w:rsidR="00706071" w:rsidRPr="00E610CD">
        <w:rPr>
          <w:color w:val="000000" w:themeColor="text1"/>
        </w:rPr>
        <w:t xml:space="preserve"> – especially global ones. </w:t>
      </w:r>
    </w:p>
    <w:p w14:paraId="3C6CE581" w14:textId="77777777" w:rsidR="00201C2B" w:rsidRPr="00E610CD" w:rsidRDefault="00201C2B" w:rsidP="00AE1DED">
      <w:pPr>
        <w:jc w:val="both"/>
        <w:rPr>
          <w:color w:val="000000" w:themeColor="text1"/>
        </w:rPr>
      </w:pPr>
    </w:p>
    <w:p w14:paraId="51B6C13D" w14:textId="7CACDA4D" w:rsidR="00236533" w:rsidRPr="00E610CD" w:rsidRDefault="00FE3471" w:rsidP="00AE1DED">
      <w:pPr>
        <w:jc w:val="both"/>
        <w:rPr>
          <w:color w:val="000000" w:themeColor="text1"/>
        </w:rPr>
      </w:pPr>
      <w:r w:rsidRPr="00E610CD">
        <w:rPr>
          <w:color w:val="000000" w:themeColor="text1"/>
        </w:rPr>
        <w:lastRenderedPageBreak/>
        <w:t xml:space="preserve">The 27% success rate in my sample—neither universal success nor complete </w:t>
      </w:r>
      <w:proofErr w:type="gramStart"/>
      <w:r w:rsidRPr="00E610CD">
        <w:rPr>
          <w:color w:val="000000" w:themeColor="text1"/>
        </w:rPr>
        <w:t>failure—</w:t>
      </w:r>
      <w:r w:rsidR="00706071" w:rsidRPr="00E610CD">
        <w:rPr>
          <w:color w:val="000000" w:themeColor="text1"/>
        </w:rPr>
        <w:t>shows</w:t>
      </w:r>
      <w:proofErr w:type="gramEnd"/>
      <w:r w:rsidRPr="00E610CD">
        <w:rPr>
          <w:color w:val="000000" w:themeColor="text1"/>
        </w:rPr>
        <w:t xml:space="preserve"> conditional democratization's essence. DeFi expanded financial participation meaningfully but conditionally, creating opportunities for specific groups while maintaining barriers for others. </w:t>
      </w:r>
      <w:r w:rsidR="00706071" w:rsidRPr="00E610CD">
        <w:rPr>
          <w:color w:val="000000" w:themeColor="text1"/>
        </w:rPr>
        <w:t xml:space="preserve">It is important </w:t>
      </w:r>
      <w:proofErr w:type="gramStart"/>
      <w:r w:rsidR="00706071" w:rsidRPr="00E610CD">
        <w:rPr>
          <w:color w:val="000000" w:themeColor="text1"/>
        </w:rPr>
        <w:t>u</w:t>
      </w:r>
      <w:r w:rsidRPr="00E610CD">
        <w:rPr>
          <w:color w:val="000000" w:themeColor="text1"/>
        </w:rPr>
        <w:t>nderstanding</w:t>
      </w:r>
      <w:proofErr w:type="gramEnd"/>
      <w:r w:rsidRPr="00E610CD">
        <w:rPr>
          <w:color w:val="000000" w:themeColor="text1"/>
        </w:rPr>
        <w:t xml:space="preserve"> these conditions, their distributions, and their evolution </w:t>
      </w:r>
      <w:r w:rsidR="00706071" w:rsidRPr="00E610CD">
        <w:rPr>
          <w:color w:val="000000" w:themeColor="text1"/>
        </w:rPr>
        <w:t xml:space="preserve">as it </w:t>
      </w:r>
      <w:r w:rsidRPr="00E610CD">
        <w:rPr>
          <w:color w:val="000000" w:themeColor="text1"/>
        </w:rPr>
        <w:t xml:space="preserve">provides </w:t>
      </w:r>
      <w:r w:rsidR="00706071" w:rsidRPr="00E610CD">
        <w:rPr>
          <w:color w:val="000000" w:themeColor="text1"/>
        </w:rPr>
        <w:t xml:space="preserve">the </w:t>
      </w:r>
      <w:r w:rsidRPr="00E610CD">
        <w:rPr>
          <w:color w:val="000000" w:themeColor="text1"/>
        </w:rPr>
        <w:t>foundation for realistic assessment</w:t>
      </w:r>
      <w:r w:rsidR="00706071" w:rsidRPr="00E610CD">
        <w:rPr>
          <w:color w:val="000000" w:themeColor="text1"/>
        </w:rPr>
        <w:t xml:space="preserve">s </w:t>
      </w:r>
      <w:r w:rsidRPr="00E610CD">
        <w:rPr>
          <w:color w:val="000000" w:themeColor="text1"/>
        </w:rPr>
        <w:t xml:space="preserve">of democratization's progress and limitations in </w:t>
      </w:r>
      <w:r w:rsidR="007D5E45" w:rsidRPr="00E610CD">
        <w:rPr>
          <w:color w:val="000000" w:themeColor="text1"/>
        </w:rPr>
        <w:t>technologically mediated</w:t>
      </w:r>
      <w:r w:rsidRPr="00E610CD">
        <w:rPr>
          <w:color w:val="000000" w:themeColor="text1"/>
        </w:rPr>
        <w:t xml:space="preserve"> financial systems.</w:t>
      </w:r>
    </w:p>
    <w:p w14:paraId="39CD9C0F" w14:textId="77777777" w:rsidR="00201C2B" w:rsidRDefault="00201C2B" w:rsidP="00AE1DED">
      <w:pPr>
        <w:pStyle w:val="Heading2"/>
        <w:jc w:val="both"/>
        <w:rPr>
          <w:rFonts w:eastAsiaTheme="majorEastAsia"/>
          <w:color w:val="000000" w:themeColor="text1"/>
        </w:rPr>
      </w:pPr>
    </w:p>
    <w:p w14:paraId="19B03F5A" w14:textId="0D4C0E4F" w:rsidR="0076579E" w:rsidRPr="00E610CD" w:rsidRDefault="008D6F57" w:rsidP="00AE1DED">
      <w:pPr>
        <w:pStyle w:val="Heading2"/>
        <w:jc w:val="both"/>
        <w:rPr>
          <w:rFonts w:eastAsiaTheme="majorEastAsia"/>
          <w:color w:val="000000" w:themeColor="text1"/>
        </w:rPr>
      </w:pPr>
      <w:bookmarkStart w:id="243" w:name="_Toc214722049"/>
      <w:r w:rsidRPr="00E610CD">
        <w:rPr>
          <w:rFonts w:eastAsiaTheme="majorEastAsia"/>
          <w:color w:val="000000" w:themeColor="text1"/>
        </w:rPr>
        <w:t>11</w:t>
      </w:r>
      <w:r w:rsidR="0076579E" w:rsidRPr="00E610CD">
        <w:rPr>
          <w:rFonts w:eastAsiaTheme="majorEastAsia"/>
          <w:color w:val="000000" w:themeColor="text1"/>
        </w:rPr>
        <w:t>.3 Practical Implications for Limited-Capital Investors</w:t>
      </w:r>
      <w:bookmarkEnd w:id="243"/>
    </w:p>
    <w:p w14:paraId="197B2F1F" w14:textId="606E2B5A" w:rsidR="0076579E" w:rsidRPr="00E610CD" w:rsidRDefault="0076579E" w:rsidP="00AE1DED">
      <w:pPr>
        <w:jc w:val="both"/>
        <w:rPr>
          <w:rFonts w:eastAsiaTheme="majorEastAsia"/>
          <w:color w:val="000000" w:themeColor="text1"/>
        </w:rPr>
      </w:pPr>
      <w:r w:rsidRPr="00E610CD">
        <w:rPr>
          <w:rFonts w:eastAsiaTheme="majorEastAsia"/>
          <w:color w:val="000000" w:themeColor="text1"/>
        </w:rPr>
        <w:t xml:space="preserve">For potential participants with limited capital, </w:t>
      </w:r>
      <w:r w:rsidR="00231D5B" w:rsidRPr="00E610CD">
        <w:rPr>
          <w:rFonts w:eastAsiaTheme="majorEastAsia"/>
          <w:color w:val="000000" w:themeColor="text1"/>
        </w:rPr>
        <w:t xml:space="preserve">my </w:t>
      </w:r>
      <w:r w:rsidRPr="00E610CD">
        <w:rPr>
          <w:rFonts w:eastAsiaTheme="majorEastAsia"/>
          <w:color w:val="000000" w:themeColor="text1"/>
        </w:rPr>
        <w:t>findings offer concrete guidance:</w:t>
      </w:r>
    </w:p>
    <w:p w14:paraId="00B6737A" w14:textId="77777777" w:rsidR="0010086C" w:rsidRPr="00E610CD" w:rsidRDefault="0010086C" w:rsidP="00AE1DED">
      <w:pPr>
        <w:jc w:val="both"/>
        <w:rPr>
          <w:rFonts w:eastAsiaTheme="majorEastAsia"/>
          <w:b/>
          <w:bCs/>
          <w:color w:val="000000" w:themeColor="text1"/>
        </w:rPr>
      </w:pPr>
    </w:p>
    <w:p w14:paraId="25CB806B" w14:textId="2429E331" w:rsidR="0076579E" w:rsidRPr="00E610CD" w:rsidRDefault="008D6F57" w:rsidP="00AE1DED">
      <w:pPr>
        <w:pStyle w:val="Heading3"/>
        <w:jc w:val="both"/>
        <w:rPr>
          <w:rFonts w:eastAsiaTheme="majorEastAsia"/>
          <w:color w:val="000000" w:themeColor="text1"/>
        </w:rPr>
      </w:pPr>
      <w:bookmarkStart w:id="244" w:name="_Toc214722050"/>
      <w:r w:rsidRPr="00E610CD">
        <w:rPr>
          <w:rFonts w:eastAsiaTheme="majorEastAsia"/>
          <w:color w:val="000000" w:themeColor="text1"/>
        </w:rPr>
        <w:t>11</w:t>
      </w:r>
      <w:r w:rsidR="0076579E" w:rsidRPr="00E610CD">
        <w:rPr>
          <w:rFonts w:eastAsiaTheme="majorEastAsia"/>
          <w:color w:val="000000" w:themeColor="text1"/>
        </w:rPr>
        <w:t>.3.1 Viable Strategies by Capital Level</w:t>
      </w:r>
      <w:bookmarkEnd w:id="244"/>
    </w:p>
    <w:p w14:paraId="1FBD8098" w14:textId="00A9586F" w:rsidR="0076579E" w:rsidRPr="00E610CD" w:rsidRDefault="0076579E" w:rsidP="00AE1DED">
      <w:pPr>
        <w:pStyle w:val="ListParagraph"/>
        <w:numPr>
          <w:ilvl w:val="0"/>
          <w:numId w:val="108"/>
        </w:numPr>
        <w:jc w:val="both"/>
        <w:rPr>
          <w:rFonts w:eastAsiaTheme="majorEastAsia"/>
          <w:color w:val="000000" w:themeColor="text1"/>
        </w:rPr>
      </w:pPr>
      <w:r w:rsidRPr="00E610CD">
        <w:rPr>
          <w:rFonts w:eastAsiaTheme="majorEastAsia"/>
          <w:b/>
          <w:bCs/>
          <w:color w:val="000000" w:themeColor="text1"/>
        </w:rPr>
        <w:t>$500-3,500:</w:t>
      </w:r>
      <w:r w:rsidRPr="00E610CD">
        <w:rPr>
          <w:rFonts w:eastAsiaTheme="majorEastAsia"/>
          <w:color w:val="000000" w:themeColor="text1"/>
        </w:rPr>
        <w:t xml:space="preserve"> Only stablecoin liquidity on low-cost chains (Polygon, BSC) proves viable, generating 4-6% annually after costs. This won't generate life-changing returns but provides exposure to DeFi with manageable risk </w:t>
      </w:r>
      <w:r w:rsidR="00983727" w:rsidRPr="00E610CD">
        <w:rPr>
          <w:rFonts w:eastAsiaTheme="majorEastAsia"/>
          <w:color w:val="000000" w:themeColor="text1"/>
        </w:rPr>
        <w:t xml:space="preserve">based on </w:t>
      </w:r>
      <w:r w:rsidR="00231D5B" w:rsidRPr="00E610CD">
        <w:rPr>
          <w:rFonts w:eastAsiaTheme="majorEastAsia"/>
          <w:color w:val="000000" w:themeColor="text1"/>
        </w:rPr>
        <w:t xml:space="preserve">my </w:t>
      </w:r>
      <w:r w:rsidR="00983727" w:rsidRPr="00E610CD">
        <w:rPr>
          <w:rFonts w:eastAsiaTheme="majorEastAsia"/>
          <w:color w:val="000000" w:themeColor="text1"/>
        </w:rPr>
        <w:t>empirical sample</w:t>
      </w:r>
      <w:r w:rsidRPr="00E610CD">
        <w:rPr>
          <w:rFonts w:eastAsiaTheme="majorEastAsia"/>
          <w:color w:val="000000" w:themeColor="text1"/>
        </w:rPr>
        <w:t>.</w:t>
      </w:r>
    </w:p>
    <w:p w14:paraId="744CA79A" w14:textId="77777777" w:rsidR="0055645D" w:rsidRPr="00E610CD" w:rsidRDefault="0055645D" w:rsidP="00AE1DED">
      <w:pPr>
        <w:pStyle w:val="ListParagraph"/>
        <w:jc w:val="both"/>
        <w:rPr>
          <w:rFonts w:eastAsiaTheme="majorEastAsia"/>
          <w:color w:val="000000" w:themeColor="text1"/>
        </w:rPr>
      </w:pPr>
    </w:p>
    <w:p w14:paraId="43FB014A" w14:textId="495AAC83" w:rsidR="0076579E" w:rsidRPr="00E610CD" w:rsidRDefault="0076579E" w:rsidP="00AE1DED">
      <w:pPr>
        <w:pStyle w:val="ListParagraph"/>
        <w:numPr>
          <w:ilvl w:val="0"/>
          <w:numId w:val="108"/>
        </w:numPr>
        <w:jc w:val="both"/>
        <w:rPr>
          <w:rFonts w:eastAsiaTheme="majorEastAsia"/>
          <w:color w:val="000000" w:themeColor="text1"/>
        </w:rPr>
      </w:pPr>
      <w:r w:rsidRPr="00E610CD">
        <w:rPr>
          <w:rFonts w:eastAsiaTheme="majorEastAsia"/>
          <w:b/>
          <w:bCs/>
          <w:color w:val="000000" w:themeColor="text1"/>
        </w:rPr>
        <w:t>$3,500-25,000:</w:t>
      </w:r>
      <w:r w:rsidRPr="00E610CD">
        <w:rPr>
          <w:rFonts w:eastAsiaTheme="majorEastAsia"/>
          <w:color w:val="000000" w:themeColor="text1"/>
        </w:rPr>
        <w:t xml:space="preserve"> </w:t>
      </w:r>
      <w:r w:rsidR="00281A1E" w:rsidRPr="00E610CD">
        <w:rPr>
          <w:rFonts w:eastAsiaTheme="majorEastAsia"/>
          <w:color w:val="000000" w:themeColor="text1"/>
        </w:rPr>
        <w:t>L2</w:t>
      </w:r>
      <w:r w:rsidRPr="00E610CD">
        <w:rPr>
          <w:rFonts w:eastAsiaTheme="majorEastAsia"/>
          <w:color w:val="000000" w:themeColor="text1"/>
        </w:rPr>
        <w:t xml:space="preserve"> solutions </w:t>
      </w:r>
      <w:proofErr w:type="gramStart"/>
      <w:r w:rsidRPr="00E610CD">
        <w:rPr>
          <w:rFonts w:eastAsiaTheme="majorEastAsia"/>
          <w:color w:val="000000" w:themeColor="text1"/>
        </w:rPr>
        <w:t>open up</w:t>
      </w:r>
      <w:proofErr w:type="gramEnd"/>
      <w:r w:rsidRPr="00E610CD">
        <w:rPr>
          <w:rFonts w:eastAsiaTheme="majorEastAsia"/>
          <w:color w:val="000000" w:themeColor="text1"/>
        </w:rPr>
        <w:t>, enabling 6-10% returns from correlated asset pairs. This range provides crucial psychological comfort—room for small mistakes without devastating losses (Kahneman &amp; Tversky, 1979).</w:t>
      </w:r>
    </w:p>
    <w:p w14:paraId="532140A8" w14:textId="77777777" w:rsidR="0055645D" w:rsidRPr="00E610CD" w:rsidRDefault="0055645D" w:rsidP="00AE1DED">
      <w:pPr>
        <w:jc w:val="both"/>
        <w:rPr>
          <w:rFonts w:eastAsiaTheme="majorEastAsia"/>
          <w:color w:val="000000" w:themeColor="text1"/>
        </w:rPr>
      </w:pPr>
    </w:p>
    <w:p w14:paraId="0F6D44F5" w14:textId="77777777" w:rsidR="0076579E" w:rsidRPr="00E610CD" w:rsidRDefault="0076579E" w:rsidP="00AE1DED">
      <w:pPr>
        <w:pStyle w:val="ListParagraph"/>
        <w:numPr>
          <w:ilvl w:val="0"/>
          <w:numId w:val="108"/>
        </w:numPr>
        <w:jc w:val="both"/>
        <w:rPr>
          <w:rFonts w:eastAsiaTheme="majorEastAsia"/>
          <w:color w:val="000000" w:themeColor="text1"/>
        </w:rPr>
      </w:pPr>
      <w:r w:rsidRPr="00E610CD">
        <w:rPr>
          <w:rFonts w:eastAsiaTheme="majorEastAsia"/>
          <w:b/>
          <w:bCs/>
          <w:color w:val="000000" w:themeColor="text1"/>
        </w:rPr>
        <w:t>$25,000+:</w:t>
      </w:r>
      <w:r w:rsidRPr="00E610CD">
        <w:rPr>
          <w:rFonts w:eastAsiaTheme="majorEastAsia"/>
          <w:color w:val="000000" w:themeColor="text1"/>
        </w:rPr>
        <w:t xml:space="preserve"> Ethereum </w:t>
      </w:r>
      <w:proofErr w:type="spellStart"/>
      <w:r w:rsidRPr="00E610CD">
        <w:rPr>
          <w:rFonts w:eastAsiaTheme="majorEastAsia"/>
          <w:color w:val="000000" w:themeColor="text1"/>
        </w:rPr>
        <w:t>mainnet</w:t>
      </w:r>
      <w:proofErr w:type="spellEnd"/>
      <w:r w:rsidRPr="00E610CD">
        <w:rPr>
          <w:rFonts w:eastAsiaTheme="majorEastAsia"/>
          <w:color w:val="000000" w:themeColor="text1"/>
        </w:rPr>
        <w:t xml:space="preserve"> becomes profitable with 8-14% sustainable returns. True diversification becomes possible across protocols and strategies (Markowitz, 1952).</w:t>
      </w:r>
    </w:p>
    <w:p w14:paraId="412C5950" w14:textId="77777777" w:rsidR="00281E73" w:rsidRPr="00E610CD" w:rsidRDefault="00281E73" w:rsidP="00AE1DED">
      <w:pPr>
        <w:jc w:val="both"/>
        <w:rPr>
          <w:rFonts w:eastAsiaTheme="majorEastAsia"/>
          <w:b/>
          <w:bCs/>
          <w:color w:val="000000" w:themeColor="text1"/>
        </w:rPr>
      </w:pPr>
    </w:p>
    <w:p w14:paraId="6DFB3302" w14:textId="724E54DB" w:rsidR="0076579E" w:rsidRPr="00E610CD" w:rsidRDefault="00B75520" w:rsidP="00AE1DED">
      <w:pPr>
        <w:pStyle w:val="Heading3"/>
        <w:jc w:val="both"/>
        <w:rPr>
          <w:rFonts w:eastAsiaTheme="majorEastAsia"/>
          <w:color w:val="000000" w:themeColor="text1"/>
        </w:rPr>
      </w:pPr>
      <w:bookmarkStart w:id="245" w:name="_Toc214722051"/>
      <w:r w:rsidRPr="00E610CD">
        <w:rPr>
          <w:rFonts w:eastAsiaTheme="majorEastAsia"/>
          <w:color w:val="000000" w:themeColor="text1"/>
        </w:rPr>
        <w:t>1</w:t>
      </w:r>
      <w:r w:rsidR="006547AE" w:rsidRPr="00E610CD">
        <w:rPr>
          <w:rFonts w:eastAsiaTheme="majorEastAsia"/>
          <w:color w:val="000000" w:themeColor="text1"/>
        </w:rPr>
        <w:t>1</w:t>
      </w:r>
      <w:r w:rsidR="0076579E" w:rsidRPr="00E610CD">
        <w:rPr>
          <w:rFonts w:eastAsiaTheme="majorEastAsia"/>
          <w:color w:val="000000" w:themeColor="text1"/>
        </w:rPr>
        <w:t>.3.2 Critical Success Factors</w:t>
      </w:r>
      <w:bookmarkEnd w:id="245"/>
    </w:p>
    <w:p w14:paraId="58E0C2EB" w14:textId="4E2C0FE3" w:rsidR="0076579E" w:rsidRPr="00E610CD" w:rsidRDefault="00231D5B" w:rsidP="00AE1DED">
      <w:pPr>
        <w:jc w:val="both"/>
        <w:rPr>
          <w:rFonts w:eastAsiaTheme="majorEastAsia"/>
          <w:color w:val="000000" w:themeColor="text1"/>
        </w:rPr>
      </w:pPr>
      <w:r w:rsidRPr="00E610CD">
        <w:rPr>
          <w:rFonts w:eastAsiaTheme="majorEastAsia"/>
          <w:color w:val="000000" w:themeColor="text1"/>
        </w:rPr>
        <w:t xml:space="preserve">My </w:t>
      </w:r>
      <w:r w:rsidR="0076579E" w:rsidRPr="00E610CD">
        <w:rPr>
          <w:rFonts w:eastAsiaTheme="majorEastAsia"/>
          <w:color w:val="000000" w:themeColor="text1"/>
        </w:rPr>
        <w:t>analysis identifies five factors distinguishing successful participants:</w:t>
      </w:r>
    </w:p>
    <w:p w14:paraId="41A2A07D" w14:textId="77777777" w:rsidR="0076579E" w:rsidRPr="00E610CD" w:rsidRDefault="0076579E" w:rsidP="00AE1DED">
      <w:pPr>
        <w:numPr>
          <w:ilvl w:val="0"/>
          <w:numId w:val="85"/>
        </w:numPr>
        <w:jc w:val="both"/>
        <w:rPr>
          <w:rFonts w:eastAsiaTheme="majorEastAsia"/>
          <w:color w:val="000000" w:themeColor="text1"/>
        </w:rPr>
      </w:pPr>
      <w:r w:rsidRPr="00E610CD">
        <w:rPr>
          <w:rFonts w:eastAsiaTheme="majorEastAsia"/>
          <w:b/>
          <w:bCs/>
          <w:color w:val="000000" w:themeColor="text1"/>
        </w:rPr>
        <w:t>Capital-strategy alignment:</w:t>
      </w:r>
      <w:r w:rsidRPr="00E610CD">
        <w:rPr>
          <w:rFonts w:eastAsiaTheme="majorEastAsia"/>
          <w:color w:val="000000" w:themeColor="text1"/>
        </w:rPr>
        <w:t xml:space="preserve"> Matching available capital to appropriate strategies</w:t>
      </w:r>
    </w:p>
    <w:p w14:paraId="16F3C390" w14:textId="77777777" w:rsidR="0076579E" w:rsidRPr="00E610CD" w:rsidRDefault="0076579E" w:rsidP="00AE1DED">
      <w:pPr>
        <w:numPr>
          <w:ilvl w:val="0"/>
          <w:numId w:val="85"/>
        </w:numPr>
        <w:jc w:val="both"/>
        <w:rPr>
          <w:rFonts w:eastAsiaTheme="majorEastAsia"/>
          <w:color w:val="000000" w:themeColor="text1"/>
        </w:rPr>
      </w:pPr>
      <w:r w:rsidRPr="00E610CD">
        <w:rPr>
          <w:rFonts w:eastAsiaTheme="majorEastAsia"/>
          <w:b/>
          <w:bCs/>
          <w:color w:val="000000" w:themeColor="text1"/>
        </w:rPr>
        <w:t>Realistic expectations:</w:t>
      </w:r>
      <w:r w:rsidRPr="00E610CD">
        <w:rPr>
          <w:rFonts w:eastAsiaTheme="majorEastAsia"/>
          <w:color w:val="000000" w:themeColor="text1"/>
        </w:rPr>
        <w:t xml:space="preserve"> Accepting 5-10% returns, not believing 100% marketing claims</w:t>
      </w:r>
    </w:p>
    <w:p w14:paraId="20A23139" w14:textId="77777777" w:rsidR="0076579E" w:rsidRPr="00E610CD" w:rsidRDefault="0076579E" w:rsidP="00AE1DED">
      <w:pPr>
        <w:numPr>
          <w:ilvl w:val="0"/>
          <w:numId w:val="85"/>
        </w:numPr>
        <w:jc w:val="both"/>
        <w:rPr>
          <w:rFonts w:eastAsiaTheme="majorEastAsia"/>
          <w:color w:val="000000" w:themeColor="text1"/>
        </w:rPr>
      </w:pPr>
      <w:r w:rsidRPr="00E610CD">
        <w:rPr>
          <w:rFonts w:eastAsiaTheme="majorEastAsia"/>
          <w:b/>
          <w:bCs/>
          <w:color w:val="000000" w:themeColor="text1"/>
        </w:rPr>
        <w:t>Time commitment:</w:t>
      </w:r>
      <w:r w:rsidRPr="00E610CD">
        <w:rPr>
          <w:rFonts w:eastAsiaTheme="majorEastAsia"/>
          <w:color w:val="000000" w:themeColor="text1"/>
        </w:rPr>
        <w:t xml:space="preserve"> Dedicating 15-20 hours weekly for management</w:t>
      </w:r>
    </w:p>
    <w:p w14:paraId="09471D3F" w14:textId="77777777" w:rsidR="0076579E" w:rsidRPr="00E610CD" w:rsidRDefault="0076579E" w:rsidP="00AE1DED">
      <w:pPr>
        <w:numPr>
          <w:ilvl w:val="0"/>
          <w:numId w:val="85"/>
        </w:numPr>
        <w:jc w:val="both"/>
        <w:rPr>
          <w:rFonts w:eastAsiaTheme="majorEastAsia"/>
          <w:color w:val="000000" w:themeColor="text1"/>
        </w:rPr>
      </w:pPr>
      <w:r w:rsidRPr="00E610CD">
        <w:rPr>
          <w:rFonts w:eastAsiaTheme="majorEastAsia"/>
          <w:b/>
          <w:bCs/>
          <w:color w:val="000000" w:themeColor="text1"/>
        </w:rPr>
        <w:t>Risk acceptance:</w:t>
      </w:r>
      <w:r w:rsidRPr="00E610CD">
        <w:rPr>
          <w:rFonts w:eastAsiaTheme="majorEastAsia"/>
          <w:color w:val="000000" w:themeColor="text1"/>
        </w:rPr>
        <w:t xml:space="preserve"> Understanding 41% annual probability of significant loss</w:t>
      </w:r>
    </w:p>
    <w:p w14:paraId="08399C95" w14:textId="77777777" w:rsidR="0076579E" w:rsidRPr="00E610CD" w:rsidRDefault="0076579E" w:rsidP="00AE1DED">
      <w:pPr>
        <w:numPr>
          <w:ilvl w:val="0"/>
          <w:numId w:val="85"/>
        </w:numPr>
        <w:jc w:val="both"/>
        <w:rPr>
          <w:rFonts w:eastAsiaTheme="majorEastAsia"/>
          <w:color w:val="000000" w:themeColor="text1"/>
        </w:rPr>
      </w:pPr>
      <w:r w:rsidRPr="00E610CD">
        <w:rPr>
          <w:rFonts w:eastAsiaTheme="majorEastAsia"/>
          <w:b/>
          <w:bCs/>
          <w:color w:val="000000" w:themeColor="text1"/>
        </w:rPr>
        <w:t>Continuous learning:</w:t>
      </w:r>
      <w:r w:rsidRPr="00E610CD">
        <w:rPr>
          <w:rFonts w:eastAsiaTheme="majorEastAsia"/>
          <w:color w:val="000000" w:themeColor="text1"/>
        </w:rPr>
        <w:t xml:space="preserve"> Adapting as markets evolve</w:t>
      </w:r>
    </w:p>
    <w:p w14:paraId="713E4895" w14:textId="77777777" w:rsidR="00281E73" w:rsidRPr="00E610CD" w:rsidRDefault="00281E73" w:rsidP="00AE1DED">
      <w:pPr>
        <w:jc w:val="both"/>
        <w:rPr>
          <w:rFonts w:eastAsiaTheme="majorEastAsia"/>
          <w:b/>
          <w:bCs/>
          <w:color w:val="000000" w:themeColor="text1"/>
        </w:rPr>
      </w:pPr>
    </w:p>
    <w:p w14:paraId="2538B76E" w14:textId="1E75162D" w:rsidR="0076579E" w:rsidRPr="00E610CD" w:rsidRDefault="008D6F57" w:rsidP="00AE1DED">
      <w:pPr>
        <w:pStyle w:val="Heading2"/>
        <w:jc w:val="both"/>
        <w:rPr>
          <w:rFonts w:eastAsiaTheme="majorEastAsia"/>
          <w:color w:val="000000" w:themeColor="text1"/>
        </w:rPr>
      </w:pPr>
      <w:bookmarkStart w:id="246" w:name="_Toc214722052"/>
      <w:r w:rsidRPr="00E610CD">
        <w:rPr>
          <w:rFonts w:eastAsiaTheme="majorEastAsia"/>
          <w:color w:val="000000" w:themeColor="text1"/>
        </w:rPr>
        <w:t>11</w:t>
      </w:r>
      <w:r w:rsidR="0076579E" w:rsidRPr="00E610CD">
        <w:rPr>
          <w:rFonts w:eastAsiaTheme="majorEastAsia"/>
          <w:color w:val="000000" w:themeColor="text1"/>
        </w:rPr>
        <w:t>.4 Limitations and Future Research</w:t>
      </w:r>
      <w:bookmarkEnd w:id="246"/>
    </w:p>
    <w:p w14:paraId="0BE1AC63" w14:textId="3D9E79AC" w:rsidR="0076579E" w:rsidRPr="00E610CD" w:rsidRDefault="0076579E" w:rsidP="00AE1DED">
      <w:pPr>
        <w:jc w:val="both"/>
        <w:rPr>
          <w:rFonts w:eastAsiaTheme="majorEastAsia"/>
          <w:color w:val="000000" w:themeColor="text1"/>
        </w:rPr>
      </w:pPr>
      <w:r w:rsidRPr="00E610CD">
        <w:rPr>
          <w:rFonts w:eastAsiaTheme="majorEastAsia"/>
          <w:color w:val="000000" w:themeColor="text1"/>
        </w:rPr>
        <w:t xml:space="preserve">This research faces important limitations that </w:t>
      </w:r>
      <w:r w:rsidR="00052F5E" w:rsidRPr="00E610CD">
        <w:rPr>
          <w:rFonts w:eastAsiaTheme="majorEastAsia"/>
          <w:color w:val="000000" w:themeColor="text1"/>
        </w:rPr>
        <w:t>restrict</w:t>
      </w:r>
      <w:r w:rsidRPr="00E610CD">
        <w:rPr>
          <w:rFonts w:eastAsiaTheme="majorEastAsia"/>
          <w:color w:val="000000" w:themeColor="text1"/>
        </w:rPr>
        <w:t xml:space="preserve"> conclusions:</w:t>
      </w:r>
    </w:p>
    <w:p w14:paraId="333274E4" w14:textId="77777777" w:rsidR="00281E73" w:rsidRPr="00E610CD" w:rsidRDefault="00281E73" w:rsidP="00AE1DED">
      <w:pPr>
        <w:jc w:val="both"/>
        <w:rPr>
          <w:rFonts w:eastAsiaTheme="majorEastAsia"/>
          <w:color w:val="000000" w:themeColor="text1"/>
        </w:rPr>
      </w:pPr>
    </w:p>
    <w:p w14:paraId="6B9F18FF" w14:textId="76E508B7" w:rsidR="0076579E" w:rsidRPr="00E610CD" w:rsidRDefault="0076579E" w:rsidP="00AE1DED">
      <w:pPr>
        <w:jc w:val="both"/>
        <w:rPr>
          <w:rFonts w:eastAsiaTheme="majorEastAsia"/>
          <w:color w:val="000000" w:themeColor="text1"/>
        </w:rPr>
      </w:pPr>
      <w:r w:rsidRPr="00E610CD">
        <w:rPr>
          <w:rFonts w:eastAsiaTheme="majorEastAsia"/>
          <w:b/>
          <w:bCs/>
          <w:color w:val="000000" w:themeColor="text1"/>
        </w:rPr>
        <w:t>Temporal specificity:</w:t>
      </w:r>
      <w:r w:rsidRPr="00E610CD">
        <w:rPr>
          <w:rFonts w:eastAsiaTheme="majorEastAsia"/>
          <w:color w:val="000000" w:themeColor="text1"/>
        </w:rPr>
        <w:t xml:space="preserve"> The 2020-2024 period included extraordinary conditions—pandemic, monetary expansion, regulatory uncertainty—unlikely to </w:t>
      </w:r>
      <w:r w:rsidR="005904F8" w:rsidRPr="00E610CD">
        <w:rPr>
          <w:rFonts w:eastAsiaTheme="majorEastAsia"/>
          <w:color w:val="000000" w:themeColor="text1"/>
        </w:rPr>
        <w:t xml:space="preserve">be </w:t>
      </w:r>
      <w:r w:rsidRPr="00E610CD">
        <w:rPr>
          <w:rFonts w:eastAsiaTheme="majorEastAsia"/>
          <w:color w:val="000000" w:themeColor="text1"/>
        </w:rPr>
        <w:t>repeat</w:t>
      </w:r>
      <w:r w:rsidR="005904F8" w:rsidRPr="00E610CD">
        <w:rPr>
          <w:rFonts w:eastAsiaTheme="majorEastAsia"/>
          <w:color w:val="000000" w:themeColor="text1"/>
        </w:rPr>
        <w:t>ed</w:t>
      </w:r>
      <w:r w:rsidRPr="00E610CD">
        <w:rPr>
          <w:rFonts w:eastAsiaTheme="majorEastAsia"/>
          <w:color w:val="000000" w:themeColor="text1"/>
        </w:rPr>
        <w:t xml:space="preserve"> identically (Federal Reserve, 2024).</w:t>
      </w:r>
    </w:p>
    <w:p w14:paraId="4D83A3D1" w14:textId="77777777" w:rsidR="00281E73" w:rsidRPr="00E610CD" w:rsidRDefault="00281E73" w:rsidP="00AE1DED">
      <w:pPr>
        <w:jc w:val="both"/>
        <w:rPr>
          <w:rFonts w:eastAsiaTheme="majorEastAsia"/>
          <w:color w:val="000000" w:themeColor="text1"/>
        </w:rPr>
      </w:pPr>
    </w:p>
    <w:p w14:paraId="518ECFF8" w14:textId="173E46A8" w:rsidR="0076579E" w:rsidRPr="00E610CD" w:rsidRDefault="0076579E" w:rsidP="00AE1DED">
      <w:pPr>
        <w:jc w:val="both"/>
        <w:rPr>
          <w:rFonts w:eastAsiaTheme="majorEastAsia"/>
          <w:color w:val="000000" w:themeColor="text1"/>
        </w:rPr>
      </w:pPr>
      <w:r w:rsidRPr="00E610CD">
        <w:rPr>
          <w:rFonts w:eastAsiaTheme="majorEastAsia"/>
          <w:b/>
          <w:bCs/>
          <w:color w:val="000000" w:themeColor="text1"/>
        </w:rPr>
        <w:t>Sample limitations:</w:t>
      </w:r>
      <w:r w:rsidRPr="00E610CD">
        <w:rPr>
          <w:rFonts w:eastAsiaTheme="majorEastAsia"/>
          <w:color w:val="000000" w:themeColor="text1"/>
        </w:rPr>
        <w:t xml:space="preserve"> </w:t>
      </w:r>
      <w:r w:rsidR="00231D5B" w:rsidRPr="00E610CD">
        <w:rPr>
          <w:rFonts w:eastAsiaTheme="majorEastAsia"/>
          <w:color w:val="000000" w:themeColor="text1"/>
        </w:rPr>
        <w:t xml:space="preserve">My </w:t>
      </w:r>
      <w:r w:rsidRPr="00E610CD">
        <w:rPr>
          <w:rFonts w:eastAsiaTheme="majorEastAsia"/>
          <w:color w:val="000000" w:themeColor="text1"/>
        </w:rPr>
        <w:t xml:space="preserve">156 positions represent early adopters during </w:t>
      </w:r>
      <w:r w:rsidR="005904F8" w:rsidRPr="00E610CD">
        <w:rPr>
          <w:rFonts w:eastAsiaTheme="majorEastAsia"/>
          <w:color w:val="000000" w:themeColor="text1"/>
        </w:rPr>
        <w:t xml:space="preserve">a </w:t>
      </w:r>
      <w:r w:rsidRPr="00E610CD">
        <w:rPr>
          <w:rFonts w:eastAsiaTheme="majorEastAsia"/>
          <w:color w:val="000000" w:themeColor="text1"/>
        </w:rPr>
        <w:t>volatile period</w:t>
      </w:r>
      <w:r w:rsidR="005904F8" w:rsidRPr="00E610CD">
        <w:rPr>
          <w:rFonts w:eastAsiaTheme="majorEastAsia"/>
          <w:color w:val="000000" w:themeColor="text1"/>
        </w:rPr>
        <w:t xml:space="preserve"> and </w:t>
      </w:r>
      <w:r w:rsidRPr="00E610CD">
        <w:rPr>
          <w:rFonts w:eastAsiaTheme="majorEastAsia"/>
          <w:color w:val="000000" w:themeColor="text1"/>
        </w:rPr>
        <w:t>not all potential participants. The 73% failure rate might be higher or lower in different contexts</w:t>
      </w:r>
      <w:r w:rsidR="005904F8" w:rsidRPr="00E610CD">
        <w:rPr>
          <w:rFonts w:eastAsiaTheme="majorEastAsia"/>
          <w:color w:val="000000" w:themeColor="text1"/>
        </w:rPr>
        <w:t>.</w:t>
      </w:r>
    </w:p>
    <w:p w14:paraId="1CC49B04" w14:textId="77777777" w:rsidR="00281E73" w:rsidRPr="00E610CD" w:rsidRDefault="00281E73" w:rsidP="00AE1DED">
      <w:pPr>
        <w:jc w:val="both"/>
        <w:rPr>
          <w:rFonts w:eastAsiaTheme="majorEastAsia"/>
          <w:color w:val="000000" w:themeColor="text1"/>
        </w:rPr>
      </w:pPr>
    </w:p>
    <w:p w14:paraId="6ECD3522" w14:textId="33B89136" w:rsidR="0076579E" w:rsidRPr="00E610CD" w:rsidRDefault="0076579E" w:rsidP="00AE1DED">
      <w:pPr>
        <w:jc w:val="both"/>
        <w:rPr>
          <w:rFonts w:eastAsiaTheme="majorEastAsia"/>
          <w:color w:val="000000" w:themeColor="text1"/>
        </w:rPr>
      </w:pPr>
      <w:r w:rsidRPr="00E610CD">
        <w:rPr>
          <w:rFonts w:eastAsiaTheme="majorEastAsia"/>
          <w:b/>
          <w:bCs/>
          <w:color w:val="000000" w:themeColor="text1"/>
        </w:rPr>
        <w:t>Survivorship bias:</w:t>
      </w:r>
      <w:r w:rsidRPr="00E610CD">
        <w:rPr>
          <w:rFonts w:eastAsiaTheme="majorEastAsia"/>
          <w:color w:val="000000" w:themeColor="text1"/>
        </w:rPr>
        <w:t xml:space="preserve"> Despite efforts including failures, abandoned positions remain unobserved. True failure rates might exceed </w:t>
      </w:r>
      <w:r w:rsidR="00231D5B" w:rsidRPr="00E610CD">
        <w:rPr>
          <w:rFonts w:eastAsiaTheme="majorEastAsia"/>
          <w:color w:val="000000" w:themeColor="text1"/>
        </w:rPr>
        <w:t xml:space="preserve">my </w:t>
      </w:r>
      <w:r w:rsidRPr="00E610CD">
        <w:rPr>
          <w:rFonts w:eastAsiaTheme="majorEastAsia"/>
          <w:color w:val="000000" w:themeColor="text1"/>
        </w:rPr>
        <w:t>estimates</w:t>
      </w:r>
      <w:r w:rsidR="005904F8" w:rsidRPr="00E610CD">
        <w:rPr>
          <w:rFonts w:eastAsiaTheme="majorEastAsia"/>
          <w:color w:val="000000" w:themeColor="text1"/>
        </w:rPr>
        <w:t xml:space="preserve"> and documented ones</w:t>
      </w:r>
      <w:r w:rsidRPr="00E610CD">
        <w:rPr>
          <w:rFonts w:eastAsiaTheme="majorEastAsia"/>
          <w:color w:val="000000" w:themeColor="text1"/>
        </w:rPr>
        <w:t xml:space="preserve"> (Brown et al., 1992).</w:t>
      </w:r>
    </w:p>
    <w:p w14:paraId="72818BE5" w14:textId="77777777" w:rsidR="00281E73" w:rsidRPr="00E610CD" w:rsidRDefault="00281E73" w:rsidP="00AE1DED">
      <w:pPr>
        <w:jc w:val="both"/>
        <w:rPr>
          <w:rFonts w:eastAsiaTheme="majorEastAsia"/>
          <w:color w:val="000000" w:themeColor="text1"/>
        </w:rPr>
      </w:pPr>
    </w:p>
    <w:p w14:paraId="1A46E8C6" w14:textId="2999C7B7" w:rsidR="00D372DC" w:rsidRPr="00E610CD" w:rsidRDefault="00D372DC" w:rsidP="00AE1DED">
      <w:pPr>
        <w:jc w:val="both"/>
        <w:rPr>
          <w:rFonts w:eastAsiaTheme="majorEastAsia"/>
          <w:b/>
          <w:bCs/>
          <w:color w:val="000000" w:themeColor="text1"/>
        </w:rPr>
      </w:pPr>
      <w:r w:rsidRPr="00E610CD">
        <w:rPr>
          <w:rFonts w:eastAsiaTheme="majorEastAsia"/>
          <w:b/>
          <w:bCs/>
          <w:color w:val="000000" w:themeColor="text1"/>
        </w:rPr>
        <w:t xml:space="preserve">Geographic concentration and context-dependent value propositions: </w:t>
      </w:r>
      <w:r w:rsidRPr="00E610CD">
        <w:rPr>
          <w:rFonts w:eastAsiaTheme="majorEastAsia"/>
          <w:color w:val="000000" w:themeColor="text1"/>
        </w:rPr>
        <w:t xml:space="preserve">The sample's concentration in developed markets (74% US/EU/UK) limits </w:t>
      </w:r>
      <w:r w:rsidR="00B3289E" w:rsidRPr="00E610CD">
        <w:rPr>
          <w:rFonts w:eastAsiaTheme="majorEastAsia"/>
          <w:color w:val="000000" w:themeColor="text1"/>
        </w:rPr>
        <w:t xml:space="preserve">the </w:t>
      </w:r>
      <w:r w:rsidRPr="00E610CD">
        <w:rPr>
          <w:rFonts w:eastAsiaTheme="majorEastAsia"/>
          <w:color w:val="000000" w:themeColor="text1"/>
        </w:rPr>
        <w:t>understanding of DeFi's role in contexts where it potentially offers greatest marginal value. This geographic bias affects findings along multiple dimensions:</w:t>
      </w:r>
    </w:p>
    <w:p w14:paraId="2D5CA72F" w14:textId="77777777" w:rsidR="00D372DC" w:rsidRPr="00E610CD" w:rsidRDefault="00D372DC" w:rsidP="00AE1DED">
      <w:pPr>
        <w:ind w:left="720"/>
        <w:jc w:val="both"/>
        <w:rPr>
          <w:rFonts w:eastAsiaTheme="majorEastAsia"/>
          <w:b/>
          <w:bCs/>
          <w:color w:val="000000" w:themeColor="text1"/>
        </w:rPr>
      </w:pPr>
    </w:p>
    <w:p w14:paraId="568672D7" w14:textId="0AA3B721" w:rsidR="00D372DC" w:rsidRPr="00E610CD" w:rsidRDefault="00D372DC" w:rsidP="00AE1DED">
      <w:pPr>
        <w:pStyle w:val="ListParagraph"/>
        <w:numPr>
          <w:ilvl w:val="0"/>
          <w:numId w:val="253"/>
        </w:numPr>
        <w:jc w:val="both"/>
        <w:rPr>
          <w:rFonts w:eastAsiaTheme="majorEastAsia"/>
          <w:b/>
          <w:bCs/>
          <w:color w:val="000000" w:themeColor="text1"/>
        </w:rPr>
      </w:pPr>
      <w:r w:rsidRPr="00E610CD">
        <w:rPr>
          <w:rFonts w:eastAsiaTheme="majorEastAsia"/>
          <w:b/>
          <w:bCs/>
          <w:color w:val="000000" w:themeColor="text1"/>
        </w:rPr>
        <w:t xml:space="preserve">Risk-return context dependency: </w:t>
      </w:r>
      <w:r w:rsidRPr="00E610CD">
        <w:rPr>
          <w:rFonts w:eastAsiaTheme="majorEastAsia"/>
          <w:color w:val="000000" w:themeColor="text1"/>
        </w:rPr>
        <w:t>The documented 4-8% returns compete poorly with developed-market alternatives (4.5% Treasury bonds (Federal Reserve, 2024), 7-10% S&amp;P 500 index funds (S&amp;P Dow Jones Indices, 2024))</w:t>
      </w:r>
      <w:r w:rsidR="00300B31" w:rsidRPr="00E610CD">
        <w:rPr>
          <w:rFonts w:eastAsiaTheme="majorEastAsia"/>
          <w:color w:val="000000" w:themeColor="text1"/>
        </w:rPr>
        <w:t xml:space="preserve">. </w:t>
      </w:r>
      <w:proofErr w:type="gramStart"/>
      <w:r w:rsidR="00300B31" w:rsidRPr="00E610CD">
        <w:rPr>
          <w:rFonts w:eastAsiaTheme="majorEastAsia"/>
          <w:color w:val="000000" w:themeColor="text1"/>
        </w:rPr>
        <w:t>However</w:t>
      </w:r>
      <w:proofErr w:type="gramEnd"/>
      <w:r w:rsidR="00300B31" w:rsidRPr="00E610CD">
        <w:rPr>
          <w:rFonts w:eastAsiaTheme="majorEastAsia"/>
          <w:color w:val="000000" w:themeColor="text1"/>
        </w:rPr>
        <w:t xml:space="preserve"> when analyzing countries with </w:t>
      </w:r>
      <w:proofErr w:type="spellStart"/>
      <w:r w:rsidR="00300B31" w:rsidRPr="00E610CD">
        <w:rPr>
          <w:rFonts w:eastAsiaTheme="majorEastAsia"/>
          <w:color w:val="000000" w:themeColor="text1"/>
        </w:rPr>
        <w:t>hin</w:t>
      </w:r>
      <w:proofErr w:type="spellEnd"/>
      <w:r w:rsidR="00300B31" w:rsidRPr="00E610CD">
        <w:rPr>
          <w:rFonts w:eastAsiaTheme="majorEastAsia"/>
          <w:color w:val="000000" w:themeColor="text1"/>
        </w:rPr>
        <w:t xml:space="preserve"> inflation or low incomes where meeting minimum thresholds may not be possible, it is </w:t>
      </w:r>
      <w:r w:rsidRPr="00E610CD">
        <w:rPr>
          <w:rFonts w:eastAsiaTheme="majorEastAsia"/>
          <w:color w:val="000000" w:themeColor="text1"/>
        </w:rPr>
        <w:t>excluding the very populations DeFi claims to serve.</w:t>
      </w:r>
    </w:p>
    <w:p w14:paraId="7EF087DB" w14:textId="77777777" w:rsidR="00D372DC" w:rsidRPr="00E610CD" w:rsidRDefault="00D372DC" w:rsidP="00AE1DED">
      <w:pPr>
        <w:ind w:left="720"/>
        <w:jc w:val="both"/>
        <w:rPr>
          <w:rFonts w:eastAsiaTheme="majorEastAsia"/>
          <w:b/>
          <w:bCs/>
          <w:color w:val="000000" w:themeColor="text1"/>
        </w:rPr>
      </w:pPr>
    </w:p>
    <w:p w14:paraId="6C98D005" w14:textId="5375439A" w:rsidR="00D372DC" w:rsidRPr="00E610CD" w:rsidRDefault="00D372DC" w:rsidP="00AE1DED">
      <w:pPr>
        <w:pStyle w:val="ListParagraph"/>
        <w:numPr>
          <w:ilvl w:val="0"/>
          <w:numId w:val="253"/>
        </w:numPr>
        <w:jc w:val="both"/>
        <w:rPr>
          <w:rFonts w:eastAsiaTheme="majorEastAsia"/>
          <w:b/>
          <w:bCs/>
          <w:color w:val="000000" w:themeColor="text1"/>
        </w:rPr>
      </w:pPr>
      <w:r w:rsidRPr="00E610CD">
        <w:rPr>
          <w:rFonts w:eastAsiaTheme="majorEastAsia"/>
          <w:b/>
          <w:bCs/>
          <w:color w:val="000000" w:themeColor="text1"/>
        </w:rPr>
        <w:t xml:space="preserve">Regulatory environment variation: </w:t>
      </w:r>
      <w:r w:rsidRPr="00E610CD">
        <w:rPr>
          <w:rFonts w:eastAsiaTheme="majorEastAsia"/>
          <w:color w:val="000000" w:themeColor="text1"/>
        </w:rPr>
        <w:t>The documented 35-45% annual incident probability reflects US/EU regulatory uncertainty during 2020-2024. Regulatory risks may differ substantially in crypto-friendly jurisdictions (Switzerland, Singapore) or restrictive environments (periodic Chinese restrictions)</w:t>
      </w:r>
      <w:r w:rsidR="00B3289E" w:rsidRPr="00E610CD">
        <w:rPr>
          <w:rFonts w:eastAsiaTheme="majorEastAsia"/>
          <w:color w:val="000000" w:themeColor="text1"/>
        </w:rPr>
        <w:t>.</w:t>
      </w:r>
    </w:p>
    <w:p w14:paraId="3D714C93" w14:textId="77777777" w:rsidR="00D372DC" w:rsidRPr="00E610CD" w:rsidRDefault="00D372DC" w:rsidP="00AE1DED">
      <w:pPr>
        <w:ind w:left="720"/>
        <w:jc w:val="both"/>
        <w:rPr>
          <w:rFonts w:eastAsiaTheme="majorEastAsia"/>
          <w:b/>
          <w:bCs/>
          <w:color w:val="000000" w:themeColor="text1"/>
        </w:rPr>
      </w:pPr>
    </w:p>
    <w:p w14:paraId="3E936783" w14:textId="47A599B1" w:rsidR="00D372DC" w:rsidRPr="00E610CD" w:rsidRDefault="00D372DC" w:rsidP="00AE1DED">
      <w:pPr>
        <w:pStyle w:val="ListParagraph"/>
        <w:numPr>
          <w:ilvl w:val="0"/>
          <w:numId w:val="253"/>
        </w:numPr>
        <w:jc w:val="both"/>
        <w:rPr>
          <w:rFonts w:eastAsiaTheme="majorEastAsia"/>
          <w:color w:val="000000" w:themeColor="text1"/>
        </w:rPr>
      </w:pPr>
      <w:r w:rsidRPr="00E610CD">
        <w:rPr>
          <w:rFonts w:eastAsiaTheme="majorEastAsia"/>
          <w:b/>
          <w:bCs/>
          <w:color w:val="000000" w:themeColor="text1"/>
        </w:rPr>
        <w:t xml:space="preserve">Infrastructure and operational barriers: </w:t>
      </w:r>
      <w:r w:rsidRPr="00E610CD">
        <w:rPr>
          <w:rFonts w:eastAsiaTheme="majorEastAsia"/>
          <w:color w:val="000000" w:themeColor="text1"/>
        </w:rPr>
        <w:t>Optimal gas timing favors specific time zones</w:t>
      </w:r>
      <w:r w:rsidR="00B3289E" w:rsidRPr="00E610CD">
        <w:rPr>
          <w:rFonts w:eastAsiaTheme="majorEastAsia"/>
          <w:color w:val="000000" w:themeColor="text1"/>
        </w:rPr>
        <w:t xml:space="preserve">. </w:t>
      </w:r>
      <w:r w:rsidR="000224A6" w:rsidRPr="00E610CD">
        <w:rPr>
          <w:rFonts w:eastAsiaTheme="majorEastAsia"/>
          <w:color w:val="000000" w:themeColor="text1"/>
        </w:rPr>
        <w:t>Also,</w:t>
      </w:r>
      <w:r w:rsidR="00B3289E" w:rsidRPr="00E610CD">
        <w:rPr>
          <w:rFonts w:eastAsiaTheme="majorEastAsia"/>
          <w:color w:val="000000" w:themeColor="text1"/>
        </w:rPr>
        <w:t xml:space="preserve"> </w:t>
      </w:r>
      <w:r w:rsidRPr="00E610CD">
        <w:rPr>
          <w:rFonts w:eastAsiaTheme="majorEastAsia"/>
          <w:color w:val="000000" w:themeColor="text1"/>
        </w:rPr>
        <w:t>reliable internet access varies globally,</w:t>
      </w:r>
      <w:r w:rsidR="00B3289E" w:rsidRPr="00E610CD">
        <w:rPr>
          <w:rFonts w:eastAsiaTheme="majorEastAsia"/>
          <w:color w:val="000000" w:themeColor="text1"/>
        </w:rPr>
        <w:t xml:space="preserve"> which </w:t>
      </w:r>
      <w:r w:rsidRPr="00E610CD">
        <w:rPr>
          <w:rFonts w:eastAsiaTheme="majorEastAsia"/>
          <w:color w:val="000000" w:themeColor="text1"/>
        </w:rPr>
        <w:t>creat</w:t>
      </w:r>
      <w:r w:rsidR="00B3289E" w:rsidRPr="00E610CD">
        <w:rPr>
          <w:rFonts w:eastAsiaTheme="majorEastAsia"/>
          <w:color w:val="000000" w:themeColor="text1"/>
        </w:rPr>
        <w:t>es</w:t>
      </w:r>
      <w:r w:rsidRPr="00E610CD">
        <w:rPr>
          <w:rFonts w:eastAsiaTheme="majorEastAsia"/>
          <w:color w:val="000000" w:themeColor="text1"/>
        </w:rPr>
        <w:t xml:space="preserve"> hidden operational costs </w:t>
      </w:r>
      <w:r w:rsidR="00B3289E" w:rsidRPr="00E610CD">
        <w:rPr>
          <w:rFonts w:eastAsiaTheme="majorEastAsia"/>
          <w:color w:val="000000" w:themeColor="text1"/>
        </w:rPr>
        <w:t xml:space="preserve">that </w:t>
      </w:r>
      <w:proofErr w:type="gramStart"/>
      <w:r w:rsidR="00B3289E" w:rsidRPr="00E610CD">
        <w:rPr>
          <w:rFonts w:eastAsiaTheme="majorEastAsia"/>
          <w:color w:val="000000" w:themeColor="text1"/>
        </w:rPr>
        <w:t>is</w:t>
      </w:r>
      <w:proofErr w:type="gramEnd"/>
      <w:r w:rsidR="00B3289E" w:rsidRPr="00E610CD">
        <w:rPr>
          <w:rFonts w:eastAsiaTheme="majorEastAsia"/>
          <w:color w:val="000000" w:themeColor="text1"/>
        </w:rPr>
        <w:t xml:space="preserve"> </w:t>
      </w:r>
      <w:r w:rsidRPr="00E610CD">
        <w:rPr>
          <w:rFonts w:eastAsiaTheme="majorEastAsia"/>
          <w:color w:val="000000" w:themeColor="text1"/>
        </w:rPr>
        <w:t>not captured in the developed-market-focused sample.</w:t>
      </w:r>
    </w:p>
    <w:p w14:paraId="37F6EAB3" w14:textId="77777777" w:rsidR="00D372DC" w:rsidRPr="00E610CD" w:rsidRDefault="00D372DC" w:rsidP="00AE1DED">
      <w:pPr>
        <w:ind w:left="720"/>
        <w:jc w:val="both"/>
        <w:rPr>
          <w:rFonts w:eastAsiaTheme="majorEastAsia"/>
          <w:b/>
          <w:bCs/>
          <w:color w:val="000000" w:themeColor="text1"/>
        </w:rPr>
      </w:pPr>
    </w:p>
    <w:p w14:paraId="52CDF572" w14:textId="56A962BB" w:rsidR="001A290D" w:rsidRDefault="00D372DC" w:rsidP="00AE1DED">
      <w:pPr>
        <w:jc w:val="both"/>
        <w:rPr>
          <w:rFonts w:eastAsiaTheme="majorEastAsia"/>
          <w:color w:val="000000" w:themeColor="text1"/>
        </w:rPr>
      </w:pPr>
      <w:r w:rsidRPr="00E610CD">
        <w:rPr>
          <w:rFonts w:eastAsiaTheme="majorEastAsia"/>
          <w:color w:val="000000" w:themeColor="text1"/>
        </w:rPr>
        <w:t xml:space="preserve">The </w:t>
      </w:r>
      <w:r w:rsidR="000224A6" w:rsidRPr="00E610CD">
        <w:rPr>
          <w:rFonts w:eastAsiaTheme="majorEastAsia"/>
          <w:color w:val="000000" w:themeColor="text1"/>
        </w:rPr>
        <w:t xml:space="preserve">identified </w:t>
      </w:r>
      <w:r w:rsidRPr="00E610CD">
        <w:rPr>
          <w:rFonts w:eastAsiaTheme="majorEastAsia"/>
          <w:color w:val="000000" w:themeColor="text1"/>
        </w:rPr>
        <w:t xml:space="preserve">findings apply most to middle-class </w:t>
      </w:r>
      <w:proofErr w:type="gramStart"/>
      <w:r w:rsidRPr="00E610CD">
        <w:rPr>
          <w:rFonts w:eastAsiaTheme="majorEastAsia"/>
          <w:color w:val="000000" w:themeColor="text1"/>
        </w:rPr>
        <w:t>participants (\</w:t>
      </w:r>
      <w:proofErr w:type="gramEnd"/>
      <w:r w:rsidRPr="00E610CD">
        <w:rPr>
          <w:rFonts w:eastAsiaTheme="majorEastAsia"/>
          <w:color w:val="000000" w:themeColor="text1"/>
        </w:rPr>
        <w:t xml:space="preserve">$5,000-100,000 capital) in developed markets with USD-denominated opportunity costs. Substantial recalibration would be </w:t>
      </w:r>
      <w:r w:rsidR="000224A6" w:rsidRPr="00E610CD">
        <w:rPr>
          <w:rFonts w:eastAsiaTheme="majorEastAsia"/>
          <w:color w:val="000000" w:themeColor="text1"/>
        </w:rPr>
        <w:t xml:space="preserve">required </w:t>
      </w:r>
      <w:r w:rsidRPr="00E610CD">
        <w:rPr>
          <w:rFonts w:eastAsiaTheme="majorEastAsia"/>
          <w:color w:val="000000" w:themeColor="text1"/>
        </w:rPr>
        <w:t>to assess DeFi's viability in high-inflation economies, capital-control contexts, or settings with limited financial infrastructure</w:t>
      </w:r>
      <w:r w:rsidR="000224A6" w:rsidRPr="00E610CD">
        <w:rPr>
          <w:rFonts w:eastAsiaTheme="majorEastAsia"/>
          <w:color w:val="000000" w:themeColor="text1"/>
        </w:rPr>
        <w:t>.</w:t>
      </w:r>
    </w:p>
    <w:p w14:paraId="2047BA8F" w14:textId="77777777" w:rsidR="0039019C" w:rsidRDefault="0039019C" w:rsidP="00AE1DED">
      <w:pPr>
        <w:jc w:val="both"/>
        <w:rPr>
          <w:rFonts w:eastAsiaTheme="majorEastAsia"/>
          <w:color w:val="000000" w:themeColor="text1"/>
        </w:rPr>
      </w:pPr>
    </w:p>
    <w:p w14:paraId="163E982F" w14:textId="5BE4455A" w:rsidR="0039019C" w:rsidRPr="0039019C" w:rsidRDefault="0039019C" w:rsidP="00AE1DED">
      <w:pPr>
        <w:pStyle w:val="Heading3"/>
      </w:pPr>
      <w:bookmarkStart w:id="247" w:name="_Toc214722053"/>
      <w:r w:rsidRPr="0039019C">
        <w:t>Table 11.</w:t>
      </w:r>
      <w:r>
        <w:t>C</w:t>
      </w:r>
      <w:r w:rsidRPr="0039019C">
        <w:t>: Critical Research Limitations and Boundary Conditions</w:t>
      </w:r>
      <w:bookmarkEnd w:id="247"/>
    </w:p>
    <w:p w14:paraId="1AA4876B" w14:textId="77777777" w:rsidR="0039019C" w:rsidRDefault="0039019C" w:rsidP="00AE1DED">
      <w:pPr>
        <w:jc w:val="both"/>
        <w:rPr>
          <w:rFonts w:eastAsiaTheme="majorEastAsia"/>
          <w:color w:val="000000" w:themeColor="text1"/>
        </w:rPr>
      </w:pPr>
    </w:p>
    <w:tbl>
      <w:tblPr>
        <w:tblW w:w="9350" w:type="dxa"/>
        <w:tblLook w:val="04A0" w:firstRow="1" w:lastRow="0" w:firstColumn="1" w:lastColumn="0" w:noHBand="0" w:noVBand="1"/>
      </w:tblPr>
      <w:tblGrid>
        <w:gridCol w:w="1696"/>
        <w:gridCol w:w="2704"/>
        <w:gridCol w:w="2430"/>
        <w:gridCol w:w="2520"/>
      </w:tblGrid>
      <w:tr w:rsidR="00ED4B0B" w:rsidRPr="009143DA" w14:paraId="6DE06A90" w14:textId="77777777" w:rsidTr="009143DA">
        <w:trPr>
          <w:trHeight w:val="620"/>
        </w:trPr>
        <w:tc>
          <w:tcPr>
            <w:tcW w:w="169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0C3290D" w14:textId="77777777" w:rsidR="00ED4B0B" w:rsidRPr="009143DA" w:rsidRDefault="00ED4B0B" w:rsidP="00AE1DED">
            <w:pPr>
              <w:rPr>
                <w:b/>
                <w:bCs/>
                <w:color w:val="000000"/>
                <w:sz w:val="20"/>
                <w:szCs w:val="20"/>
              </w:rPr>
            </w:pPr>
            <w:r w:rsidRPr="009143DA">
              <w:rPr>
                <w:b/>
                <w:bCs/>
                <w:color w:val="000000"/>
                <w:sz w:val="20"/>
                <w:szCs w:val="20"/>
              </w:rPr>
              <w:t>Limitation Dimension</w:t>
            </w:r>
          </w:p>
        </w:tc>
        <w:tc>
          <w:tcPr>
            <w:tcW w:w="2704"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3A0AC5F1" w14:textId="77777777" w:rsidR="00ED4B0B" w:rsidRPr="009143DA" w:rsidRDefault="00ED4B0B" w:rsidP="00AE1DED">
            <w:pPr>
              <w:rPr>
                <w:b/>
                <w:bCs/>
                <w:color w:val="000000"/>
                <w:sz w:val="20"/>
                <w:szCs w:val="20"/>
              </w:rPr>
            </w:pPr>
            <w:r w:rsidRPr="009143DA">
              <w:rPr>
                <w:b/>
                <w:bCs/>
                <w:color w:val="000000"/>
                <w:sz w:val="20"/>
                <w:szCs w:val="20"/>
              </w:rPr>
              <w:t>Nature of Constraint</w:t>
            </w:r>
          </w:p>
        </w:tc>
        <w:tc>
          <w:tcPr>
            <w:tcW w:w="2430"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4A588FCF" w14:textId="77777777" w:rsidR="00ED4B0B" w:rsidRPr="009143DA" w:rsidRDefault="00ED4B0B" w:rsidP="00AE1DED">
            <w:pPr>
              <w:rPr>
                <w:b/>
                <w:bCs/>
                <w:color w:val="000000"/>
                <w:sz w:val="20"/>
                <w:szCs w:val="20"/>
              </w:rPr>
            </w:pPr>
            <w:r w:rsidRPr="009143DA">
              <w:rPr>
                <w:b/>
                <w:bCs/>
                <w:color w:val="000000"/>
                <w:sz w:val="20"/>
                <w:szCs w:val="20"/>
              </w:rPr>
              <w:t>Impact on Findings</w:t>
            </w:r>
          </w:p>
        </w:tc>
        <w:tc>
          <w:tcPr>
            <w:tcW w:w="252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291C932" w14:textId="77777777" w:rsidR="00ED4B0B" w:rsidRPr="009143DA" w:rsidRDefault="00ED4B0B" w:rsidP="00AE1DED">
            <w:pPr>
              <w:rPr>
                <w:b/>
                <w:bCs/>
                <w:color w:val="000000"/>
                <w:sz w:val="20"/>
                <w:szCs w:val="20"/>
              </w:rPr>
            </w:pPr>
            <w:r w:rsidRPr="009143DA">
              <w:rPr>
                <w:b/>
                <w:bCs/>
                <w:color w:val="000000"/>
                <w:sz w:val="20"/>
                <w:szCs w:val="20"/>
              </w:rPr>
              <w:t>Confidence Adjustment</w:t>
            </w:r>
          </w:p>
        </w:tc>
      </w:tr>
      <w:tr w:rsidR="00ED4B0B" w:rsidRPr="009143DA" w14:paraId="05A66934" w14:textId="77777777" w:rsidTr="009143DA">
        <w:trPr>
          <w:trHeight w:val="1042"/>
        </w:trPr>
        <w:tc>
          <w:tcPr>
            <w:tcW w:w="1696"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556509A0" w14:textId="77777777" w:rsidR="00ED4B0B" w:rsidRPr="009143DA" w:rsidRDefault="00ED4B0B" w:rsidP="00AE1DED">
            <w:pPr>
              <w:rPr>
                <w:b/>
                <w:bCs/>
                <w:color w:val="000000"/>
                <w:sz w:val="20"/>
                <w:szCs w:val="20"/>
              </w:rPr>
            </w:pPr>
            <w:r w:rsidRPr="009143DA">
              <w:rPr>
                <w:b/>
                <w:bCs/>
                <w:color w:val="000000"/>
                <w:sz w:val="20"/>
                <w:szCs w:val="20"/>
              </w:rPr>
              <w:t>Temporal Specificity</w:t>
            </w:r>
          </w:p>
        </w:tc>
        <w:tc>
          <w:tcPr>
            <w:tcW w:w="2704" w:type="dxa"/>
            <w:tcBorders>
              <w:top w:val="nil"/>
              <w:left w:val="nil"/>
              <w:bottom w:val="single" w:sz="4" w:space="0" w:color="auto"/>
              <w:right w:val="single" w:sz="4" w:space="0" w:color="auto"/>
            </w:tcBorders>
            <w:vAlign w:val="center"/>
            <w:hideMark/>
          </w:tcPr>
          <w:p w14:paraId="202F2DF2" w14:textId="77777777" w:rsidR="00ED4B0B" w:rsidRPr="009143DA" w:rsidRDefault="00ED4B0B" w:rsidP="00AE1DED">
            <w:pPr>
              <w:rPr>
                <w:color w:val="000000"/>
                <w:sz w:val="20"/>
                <w:szCs w:val="20"/>
              </w:rPr>
            </w:pPr>
            <w:r w:rsidRPr="009143DA">
              <w:rPr>
                <w:color w:val="000000"/>
                <w:sz w:val="20"/>
                <w:szCs w:val="20"/>
              </w:rPr>
              <w:t>2020-2024 observation period captured extraordinary conditions (pandemic monetary expansion, regulatory ambiguity, technological novelty) unlikely to recur identically</w:t>
            </w:r>
          </w:p>
        </w:tc>
        <w:tc>
          <w:tcPr>
            <w:tcW w:w="2430" w:type="dxa"/>
            <w:tcBorders>
              <w:top w:val="nil"/>
              <w:left w:val="nil"/>
              <w:bottom w:val="single" w:sz="4" w:space="0" w:color="auto"/>
              <w:right w:val="single" w:sz="4" w:space="0" w:color="auto"/>
            </w:tcBorders>
            <w:vAlign w:val="center"/>
            <w:hideMark/>
          </w:tcPr>
          <w:p w14:paraId="4D026931" w14:textId="77777777" w:rsidR="00ED4B0B" w:rsidRPr="009143DA" w:rsidRDefault="00ED4B0B" w:rsidP="00AE1DED">
            <w:pPr>
              <w:rPr>
                <w:color w:val="000000"/>
                <w:sz w:val="20"/>
                <w:szCs w:val="20"/>
              </w:rPr>
            </w:pPr>
            <w:r w:rsidRPr="009143DA">
              <w:rPr>
                <w:color w:val="000000"/>
                <w:sz w:val="20"/>
                <w:szCs w:val="20"/>
              </w:rPr>
              <w:t>Documented opportunities may represent unique historical moment rather than sustainable equilibrium; return rates and failure probabilities reflect specific regime</w:t>
            </w:r>
          </w:p>
        </w:tc>
        <w:tc>
          <w:tcPr>
            <w:tcW w:w="2520" w:type="dxa"/>
            <w:tcBorders>
              <w:top w:val="nil"/>
              <w:left w:val="nil"/>
              <w:bottom w:val="single" w:sz="4" w:space="0" w:color="auto"/>
              <w:right w:val="single" w:sz="8" w:space="0" w:color="auto"/>
            </w:tcBorders>
            <w:vAlign w:val="center"/>
            <w:hideMark/>
          </w:tcPr>
          <w:p w14:paraId="708A5331" w14:textId="77777777" w:rsidR="00ED4B0B" w:rsidRPr="009143DA" w:rsidRDefault="00ED4B0B" w:rsidP="00AE1DED">
            <w:pPr>
              <w:rPr>
                <w:color w:val="000000"/>
                <w:sz w:val="20"/>
                <w:szCs w:val="20"/>
              </w:rPr>
            </w:pPr>
            <w:r w:rsidRPr="009143DA">
              <w:rPr>
                <w:color w:val="000000"/>
                <w:sz w:val="20"/>
                <w:szCs w:val="20"/>
              </w:rPr>
              <w:t>Moderate confidence in directional patterns (rising barriers, return compression); Low confidence in exact magnitudes and timelines</w:t>
            </w:r>
          </w:p>
        </w:tc>
      </w:tr>
      <w:tr w:rsidR="00ED4B0B" w:rsidRPr="009143DA" w14:paraId="25343728" w14:textId="77777777" w:rsidTr="006A5B3D">
        <w:trPr>
          <w:trHeight w:val="1601"/>
        </w:trPr>
        <w:tc>
          <w:tcPr>
            <w:tcW w:w="1696"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5C1EA0AB" w14:textId="77777777" w:rsidR="00ED4B0B" w:rsidRPr="009143DA" w:rsidRDefault="00ED4B0B" w:rsidP="00AE1DED">
            <w:pPr>
              <w:rPr>
                <w:b/>
                <w:bCs/>
                <w:color w:val="000000"/>
                <w:sz w:val="20"/>
                <w:szCs w:val="20"/>
              </w:rPr>
            </w:pPr>
            <w:r w:rsidRPr="009143DA">
              <w:rPr>
                <w:b/>
                <w:bCs/>
                <w:color w:val="000000"/>
                <w:sz w:val="20"/>
                <w:szCs w:val="20"/>
              </w:rPr>
              <w:t>Sample Composition</w:t>
            </w:r>
          </w:p>
        </w:tc>
        <w:tc>
          <w:tcPr>
            <w:tcW w:w="2704" w:type="dxa"/>
            <w:tcBorders>
              <w:top w:val="nil"/>
              <w:left w:val="nil"/>
              <w:bottom w:val="single" w:sz="4" w:space="0" w:color="auto"/>
              <w:right w:val="single" w:sz="4" w:space="0" w:color="auto"/>
            </w:tcBorders>
            <w:vAlign w:val="center"/>
            <w:hideMark/>
          </w:tcPr>
          <w:p w14:paraId="1E06A37A" w14:textId="77777777" w:rsidR="00ED4B0B" w:rsidRPr="009143DA" w:rsidRDefault="00ED4B0B" w:rsidP="00AE1DED">
            <w:pPr>
              <w:rPr>
                <w:color w:val="000000"/>
                <w:sz w:val="20"/>
                <w:szCs w:val="20"/>
              </w:rPr>
            </w:pPr>
            <w:r w:rsidRPr="009143DA">
              <w:rPr>
                <w:color w:val="000000"/>
                <w:sz w:val="20"/>
                <w:szCs w:val="20"/>
              </w:rPr>
              <w:t>156 tracked positions represent early adopters during volatile period; 27 interview participants skew toward technically sophisticated, English-speaking, developed-market residents</w:t>
            </w:r>
          </w:p>
        </w:tc>
        <w:tc>
          <w:tcPr>
            <w:tcW w:w="2430" w:type="dxa"/>
            <w:tcBorders>
              <w:top w:val="nil"/>
              <w:left w:val="nil"/>
              <w:bottom w:val="single" w:sz="4" w:space="0" w:color="auto"/>
              <w:right w:val="single" w:sz="4" w:space="0" w:color="auto"/>
            </w:tcBorders>
            <w:vAlign w:val="center"/>
            <w:hideMark/>
          </w:tcPr>
          <w:p w14:paraId="7FBA539C" w14:textId="77777777" w:rsidR="00ED4B0B" w:rsidRPr="009143DA" w:rsidRDefault="00ED4B0B" w:rsidP="00AE1DED">
            <w:pPr>
              <w:rPr>
                <w:color w:val="000000"/>
                <w:sz w:val="20"/>
                <w:szCs w:val="20"/>
              </w:rPr>
            </w:pPr>
            <w:r w:rsidRPr="009143DA">
              <w:rPr>
                <w:color w:val="000000"/>
                <w:sz w:val="20"/>
                <w:szCs w:val="20"/>
              </w:rPr>
              <w:t xml:space="preserve">Findings may overstate typical participant capability; documented 73% failure rate could be </w:t>
            </w:r>
            <w:proofErr w:type="gramStart"/>
            <w:r w:rsidRPr="009143DA">
              <w:rPr>
                <w:color w:val="000000"/>
                <w:sz w:val="20"/>
                <w:szCs w:val="20"/>
              </w:rPr>
              <w:t>conservative estimate</w:t>
            </w:r>
            <w:proofErr w:type="gramEnd"/>
            <w:r w:rsidRPr="009143DA">
              <w:rPr>
                <w:color w:val="000000"/>
                <w:sz w:val="20"/>
                <w:szCs w:val="20"/>
              </w:rPr>
              <w:t xml:space="preserve"> if less sophisticated populations attempted participation</w:t>
            </w:r>
          </w:p>
        </w:tc>
        <w:tc>
          <w:tcPr>
            <w:tcW w:w="2520" w:type="dxa"/>
            <w:tcBorders>
              <w:top w:val="nil"/>
              <w:left w:val="nil"/>
              <w:bottom w:val="single" w:sz="4" w:space="0" w:color="auto"/>
              <w:right w:val="single" w:sz="8" w:space="0" w:color="auto"/>
            </w:tcBorders>
            <w:vAlign w:val="center"/>
            <w:hideMark/>
          </w:tcPr>
          <w:p w14:paraId="2A269523" w14:textId="77777777" w:rsidR="00ED4B0B" w:rsidRPr="009143DA" w:rsidRDefault="00ED4B0B" w:rsidP="00AE1DED">
            <w:pPr>
              <w:rPr>
                <w:color w:val="000000"/>
                <w:sz w:val="20"/>
                <w:szCs w:val="20"/>
              </w:rPr>
            </w:pPr>
            <w:r w:rsidRPr="009143DA">
              <w:rPr>
                <w:color w:val="000000"/>
                <w:sz w:val="20"/>
                <w:szCs w:val="20"/>
              </w:rPr>
              <w:t>High confidence for sampled population characteristics; Low confidence for generalization to broader populations</w:t>
            </w:r>
          </w:p>
        </w:tc>
      </w:tr>
      <w:tr w:rsidR="00ED4B0B" w:rsidRPr="009143DA" w14:paraId="48B52876" w14:textId="77777777" w:rsidTr="006A5B3D">
        <w:trPr>
          <w:trHeight w:val="1097"/>
        </w:trPr>
        <w:tc>
          <w:tcPr>
            <w:tcW w:w="1696"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5F34D265" w14:textId="77777777" w:rsidR="00ED4B0B" w:rsidRPr="009143DA" w:rsidRDefault="00ED4B0B" w:rsidP="00AE1DED">
            <w:pPr>
              <w:rPr>
                <w:b/>
                <w:bCs/>
                <w:color w:val="000000"/>
                <w:sz w:val="20"/>
                <w:szCs w:val="20"/>
              </w:rPr>
            </w:pPr>
            <w:r w:rsidRPr="009143DA">
              <w:rPr>
                <w:b/>
                <w:bCs/>
                <w:color w:val="000000"/>
                <w:sz w:val="20"/>
                <w:szCs w:val="20"/>
              </w:rPr>
              <w:t>Survivorship Bias</w:t>
            </w:r>
          </w:p>
        </w:tc>
        <w:tc>
          <w:tcPr>
            <w:tcW w:w="2704" w:type="dxa"/>
            <w:tcBorders>
              <w:top w:val="nil"/>
              <w:left w:val="nil"/>
              <w:bottom w:val="single" w:sz="4" w:space="0" w:color="auto"/>
              <w:right w:val="single" w:sz="4" w:space="0" w:color="auto"/>
            </w:tcBorders>
            <w:vAlign w:val="center"/>
            <w:hideMark/>
          </w:tcPr>
          <w:p w14:paraId="087856DE" w14:textId="77777777" w:rsidR="00ED4B0B" w:rsidRPr="009143DA" w:rsidRDefault="00ED4B0B" w:rsidP="00AE1DED">
            <w:pPr>
              <w:rPr>
                <w:color w:val="000000"/>
                <w:sz w:val="20"/>
                <w:szCs w:val="20"/>
              </w:rPr>
            </w:pPr>
            <w:r w:rsidRPr="009143DA">
              <w:rPr>
                <w:color w:val="000000"/>
                <w:sz w:val="20"/>
                <w:szCs w:val="20"/>
              </w:rPr>
              <w:t>$1.2 billion in abandoned positions, deleted protocol data, and undisclosed failures remain unobserved despite inclusion efforts</w:t>
            </w:r>
          </w:p>
        </w:tc>
        <w:tc>
          <w:tcPr>
            <w:tcW w:w="2430" w:type="dxa"/>
            <w:tcBorders>
              <w:top w:val="nil"/>
              <w:left w:val="nil"/>
              <w:bottom w:val="single" w:sz="4" w:space="0" w:color="auto"/>
              <w:right w:val="single" w:sz="4" w:space="0" w:color="auto"/>
            </w:tcBorders>
            <w:vAlign w:val="center"/>
            <w:hideMark/>
          </w:tcPr>
          <w:p w14:paraId="0BA944E3" w14:textId="77777777" w:rsidR="00ED4B0B" w:rsidRPr="009143DA" w:rsidRDefault="00ED4B0B" w:rsidP="00AE1DED">
            <w:pPr>
              <w:rPr>
                <w:color w:val="000000"/>
                <w:sz w:val="20"/>
                <w:szCs w:val="20"/>
              </w:rPr>
            </w:pPr>
            <w:r w:rsidRPr="009143DA">
              <w:rPr>
                <w:color w:val="000000"/>
                <w:sz w:val="20"/>
                <w:szCs w:val="20"/>
              </w:rPr>
              <w:t>True failure rates potentially approach 90% rather than documented 73%; successful participants may represent extreme selection rather than replicable outcomes</w:t>
            </w:r>
          </w:p>
        </w:tc>
        <w:tc>
          <w:tcPr>
            <w:tcW w:w="2520" w:type="dxa"/>
            <w:tcBorders>
              <w:top w:val="nil"/>
              <w:left w:val="nil"/>
              <w:bottom w:val="single" w:sz="4" w:space="0" w:color="auto"/>
              <w:right w:val="single" w:sz="8" w:space="0" w:color="auto"/>
            </w:tcBorders>
            <w:vAlign w:val="center"/>
            <w:hideMark/>
          </w:tcPr>
          <w:p w14:paraId="77C481D1" w14:textId="77777777" w:rsidR="00ED4B0B" w:rsidRPr="009143DA" w:rsidRDefault="00ED4B0B" w:rsidP="00AE1DED">
            <w:pPr>
              <w:rPr>
                <w:color w:val="000000"/>
                <w:sz w:val="20"/>
                <w:szCs w:val="20"/>
              </w:rPr>
            </w:pPr>
            <w:r w:rsidRPr="009143DA">
              <w:rPr>
                <w:color w:val="000000"/>
                <w:sz w:val="20"/>
                <w:szCs w:val="20"/>
              </w:rPr>
              <w:t>Documented 73% (95% CI: 65%-80%) represents lower bound; accounting for survivorship bias suggests likely range: 73-90%</w:t>
            </w:r>
          </w:p>
        </w:tc>
      </w:tr>
      <w:tr w:rsidR="00ED4B0B" w:rsidRPr="009143DA" w14:paraId="79958FE1" w14:textId="77777777" w:rsidTr="001A11A9">
        <w:trPr>
          <w:trHeight w:val="728"/>
        </w:trPr>
        <w:tc>
          <w:tcPr>
            <w:tcW w:w="1696"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68DE022B" w14:textId="77777777" w:rsidR="00ED4B0B" w:rsidRPr="009143DA" w:rsidRDefault="00ED4B0B" w:rsidP="00AE1DED">
            <w:pPr>
              <w:rPr>
                <w:b/>
                <w:bCs/>
                <w:color w:val="000000"/>
                <w:sz w:val="20"/>
                <w:szCs w:val="20"/>
              </w:rPr>
            </w:pPr>
            <w:r w:rsidRPr="009143DA">
              <w:rPr>
                <w:b/>
                <w:bCs/>
                <w:color w:val="000000"/>
                <w:sz w:val="20"/>
                <w:szCs w:val="20"/>
              </w:rPr>
              <w:t>Geographic Concentration</w:t>
            </w:r>
          </w:p>
        </w:tc>
        <w:tc>
          <w:tcPr>
            <w:tcW w:w="2704" w:type="dxa"/>
            <w:tcBorders>
              <w:top w:val="nil"/>
              <w:left w:val="nil"/>
              <w:bottom w:val="single" w:sz="4" w:space="0" w:color="auto"/>
              <w:right w:val="single" w:sz="4" w:space="0" w:color="auto"/>
            </w:tcBorders>
            <w:vAlign w:val="center"/>
            <w:hideMark/>
          </w:tcPr>
          <w:p w14:paraId="28061A84" w14:textId="77777777" w:rsidR="00ED4B0B" w:rsidRPr="009143DA" w:rsidRDefault="00ED4B0B" w:rsidP="00AE1DED">
            <w:pPr>
              <w:rPr>
                <w:color w:val="000000"/>
                <w:sz w:val="20"/>
                <w:szCs w:val="20"/>
              </w:rPr>
            </w:pPr>
            <w:r w:rsidRPr="009143DA">
              <w:rPr>
                <w:color w:val="000000"/>
                <w:sz w:val="20"/>
                <w:szCs w:val="20"/>
              </w:rPr>
              <w:t xml:space="preserve">Sample concentration: 74% US/EU/UK participants; findings calibrated to developed-market opportunity </w:t>
            </w:r>
            <w:r w:rsidRPr="009143DA">
              <w:rPr>
                <w:color w:val="000000"/>
                <w:sz w:val="20"/>
                <w:szCs w:val="20"/>
              </w:rPr>
              <w:lastRenderedPageBreak/>
              <w:t>costs and regulatory environments</w:t>
            </w:r>
          </w:p>
        </w:tc>
        <w:tc>
          <w:tcPr>
            <w:tcW w:w="2430" w:type="dxa"/>
            <w:tcBorders>
              <w:top w:val="nil"/>
              <w:left w:val="nil"/>
              <w:bottom w:val="single" w:sz="4" w:space="0" w:color="auto"/>
              <w:right w:val="single" w:sz="4" w:space="0" w:color="auto"/>
            </w:tcBorders>
            <w:vAlign w:val="center"/>
            <w:hideMark/>
          </w:tcPr>
          <w:p w14:paraId="0D340D34" w14:textId="77777777" w:rsidR="00ED4B0B" w:rsidRPr="009143DA" w:rsidRDefault="00ED4B0B" w:rsidP="00AE1DED">
            <w:pPr>
              <w:rPr>
                <w:color w:val="000000"/>
                <w:sz w:val="20"/>
                <w:szCs w:val="20"/>
              </w:rPr>
            </w:pPr>
            <w:r w:rsidRPr="009143DA">
              <w:rPr>
                <w:color w:val="000000"/>
                <w:sz w:val="20"/>
                <w:szCs w:val="20"/>
              </w:rPr>
              <w:lastRenderedPageBreak/>
              <w:t xml:space="preserve">Limited applicability to contexts where DeFi offers greatest marginal value (high-inflation economies, capital controls, limited </w:t>
            </w:r>
            <w:r w:rsidRPr="009143DA">
              <w:rPr>
                <w:color w:val="000000"/>
                <w:sz w:val="20"/>
                <w:szCs w:val="20"/>
              </w:rPr>
              <w:lastRenderedPageBreak/>
              <w:t>banking access); documented 4-8% returns compete unfavorably with developed-market alternatives</w:t>
            </w:r>
          </w:p>
        </w:tc>
        <w:tc>
          <w:tcPr>
            <w:tcW w:w="2520" w:type="dxa"/>
            <w:tcBorders>
              <w:top w:val="nil"/>
              <w:left w:val="nil"/>
              <w:bottom w:val="single" w:sz="4" w:space="0" w:color="auto"/>
              <w:right w:val="single" w:sz="8" w:space="0" w:color="auto"/>
            </w:tcBorders>
            <w:vAlign w:val="center"/>
            <w:hideMark/>
          </w:tcPr>
          <w:p w14:paraId="20EB2FCD" w14:textId="77777777" w:rsidR="00ED4B0B" w:rsidRPr="009143DA" w:rsidRDefault="00ED4B0B" w:rsidP="00AE1DED">
            <w:pPr>
              <w:rPr>
                <w:color w:val="000000"/>
                <w:sz w:val="20"/>
                <w:szCs w:val="20"/>
              </w:rPr>
            </w:pPr>
            <w:r w:rsidRPr="009143DA">
              <w:rPr>
                <w:color w:val="000000"/>
                <w:sz w:val="20"/>
                <w:szCs w:val="20"/>
              </w:rPr>
              <w:lastRenderedPageBreak/>
              <w:t xml:space="preserve">High confidence for developed-market, middle-class participants ($5,000-100,000 capital); Substantial </w:t>
            </w:r>
            <w:r w:rsidRPr="009143DA">
              <w:rPr>
                <w:color w:val="000000"/>
                <w:sz w:val="20"/>
                <w:szCs w:val="20"/>
              </w:rPr>
              <w:lastRenderedPageBreak/>
              <w:t>recalibration required for other contexts</w:t>
            </w:r>
          </w:p>
        </w:tc>
      </w:tr>
      <w:tr w:rsidR="00ED4B0B" w:rsidRPr="009143DA" w14:paraId="0AB74AAA" w14:textId="77777777" w:rsidTr="009143DA">
        <w:trPr>
          <w:trHeight w:val="1349"/>
        </w:trPr>
        <w:tc>
          <w:tcPr>
            <w:tcW w:w="1696"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79BDA4B8" w14:textId="77777777" w:rsidR="00ED4B0B" w:rsidRPr="009143DA" w:rsidRDefault="00ED4B0B" w:rsidP="00AE1DED">
            <w:pPr>
              <w:rPr>
                <w:b/>
                <w:bCs/>
                <w:color w:val="000000"/>
                <w:sz w:val="20"/>
                <w:szCs w:val="20"/>
              </w:rPr>
            </w:pPr>
            <w:r w:rsidRPr="009143DA">
              <w:rPr>
                <w:b/>
                <w:bCs/>
                <w:color w:val="000000"/>
                <w:sz w:val="20"/>
                <w:szCs w:val="20"/>
              </w:rPr>
              <w:lastRenderedPageBreak/>
              <w:t>Network Selection</w:t>
            </w:r>
          </w:p>
        </w:tc>
        <w:tc>
          <w:tcPr>
            <w:tcW w:w="2704" w:type="dxa"/>
            <w:tcBorders>
              <w:top w:val="nil"/>
              <w:left w:val="nil"/>
              <w:bottom w:val="single" w:sz="4" w:space="0" w:color="auto"/>
              <w:right w:val="single" w:sz="4" w:space="0" w:color="auto"/>
            </w:tcBorders>
            <w:vAlign w:val="center"/>
            <w:hideMark/>
          </w:tcPr>
          <w:p w14:paraId="7B651BF4" w14:textId="77777777" w:rsidR="00ED4B0B" w:rsidRPr="009143DA" w:rsidRDefault="00ED4B0B" w:rsidP="00AE1DED">
            <w:pPr>
              <w:rPr>
                <w:color w:val="000000"/>
                <w:sz w:val="20"/>
                <w:szCs w:val="20"/>
              </w:rPr>
            </w:pPr>
            <w:r w:rsidRPr="009143DA">
              <w:rPr>
                <w:color w:val="000000"/>
                <w:sz w:val="20"/>
                <w:szCs w:val="20"/>
              </w:rPr>
              <w:t>Primary focus on Ethereum ecosystem and major Layer-2 solutions; limited coverage of alternative Layer-1 networks and emerging infrastructure</w:t>
            </w:r>
          </w:p>
        </w:tc>
        <w:tc>
          <w:tcPr>
            <w:tcW w:w="2430" w:type="dxa"/>
            <w:tcBorders>
              <w:top w:val="nil"/>
              <w:left w:val="nil"/>
              <w:bottom w:val="single" w:sz="4" w:space="0" w:color="auto"/>
              <w:right w:val="single" w:sz="4" w:space="0" w:color="auto"/>
            </w:tcBorders>
            <w:vAlign w:val="center"/>
            <w:hideMark/>
          </w:tcPr>
          <w:p w14:paraId="70EE5C3E" w14:textId="77777777" w:rsidR="00ED4B0B" w:rsidRPr="009143DA" w:rsidRDefault="00ED4B0B" w:rsidP="00AE1DED">
            <w:pPr>
              <w:rPr>
                <w:color w:val="000000"/>
                <w:sz w:val="20"/>
                <w:szCs w:val="20"/>
              </w:rPr>
            </w:pPr>
            <w:r w:rsidRPr="009143DA">
              <w:rPr>
                <w:color w:val="000000"/>
                <w:sz w:val="20"/>
                <w:szCs w:val="20"/>
              </w:rPr>
              <w:t>Capital thresholds ($750/$3,500/$25,000) specific to analyzed networks; newer infrastructure with different cost structures may alter viability boundaries</w:t>
            </w:r>
          </w:p>
        </w:tc>
        <w:tc>
          <w:tcPr>
            <w:tcW w:w="2520" w:type="dxa"/>
            <w:tcBorders>
              <w:top w:val="nil"/>
              <w:left w:val="nil"/>
              <w:bottom w:val="single" w:sz="4" w:space="0" w:color="auto"/>
              <w:right w:val="single" w:sz="8" w:space="0" w:color="auto"/>
            </w:tcBorders>
            <w:vAlign w:val="center"/>
            <w:hideMark/>
          </w:tcPr>
          <w:p w14:paraId="0355B96D" w14:textId="77777777" w:rsidR="00ED4B0B" w:rsidRPr="009143DA" w:rsidRDefault="00ED4B0B" w:rsidP="00AE1DED">
            <w:pPr>
              <w:rPr>
                <w:color w:val="000000"/>
                <w:sz w:val="20"/>
                <w:szCs w:val="20"/>
              </w:rPr>
            </w:pPr>
            <w:r w:rsidRPr="009143DA">
              <w:rPr>
                <w:color w:val="000000"/>
                <w:sz w:val="20"/>
                <w:szCs w:val="20"/>
              </w:rPr>
              <w:t>High confidence for Ethereum/</w:t>
            </w:r>
            <w:proofErr w:type="spellStart"/>
            <w:r w:rsidRPr="009143DA">
              <w:rPr>
                <w:color w:val="000000"/>
                <w:sz w:val="20"/>
                <w:szCs w:val="20"/>
              </w:rPr>
              <w:t>Arbitrum</w:t>
            </w:r>
            <w:proofErr w:type="spellEnd"/>
            <w:r w:rsidRPr="009143DA">
              <w:rPr>
                <w:color w:val="000000"/>
                <w:sz w:val="20"/>
                <w:szCs w:val="20"/>
              </w:rPr>
              <w:t>/Polygon thresholds; Moderate confidence for directional applicability to alternative networks</w:t>
            </w:r>
          </w:p>
        </w:tc>
      </w:tr>
      <w:tr w:rsidR="00ED4B0B" w:rsidRPr="009143DA" w14:paraId="619C48F3" w14:textId="77777777" w:rsidTr="009143DA">
        <w:trPr>
          <w:trHeight w:val="917"/>
        </w:trPr>
        <w:tc>
          <w:tcPr>
            <w:tcW w:w="1696" w:type="dxa"/>
            <w:tcBorders>
              <w:top w:val="nil"/>
              <w:left w:val="single" w:sz="8" w:space="0" w:color="auto"/>
              <w:bottom w:val="single" w:sz="4" w:space="0" w:color="auto"/>
              <w:right w:val="single" w:sz="8" w:space="0" w:color="auto"/>
            </w:tcBorders>
            <w:shd w:val="clear" w:color="auto" w:fill="D9D9D9" w:themeFill="background1" w:themeFillShade="D9"/>
            <w:vAlign w:val="center"/>
            <w:hideMark/>
          </w:tcPr>
          <w:p w14:paraId="34B81AD9" w14:textId="77777777" w:rsidR="00ED4B0B" w:rsidRPr="009143DA" w:rsidRDefault="00ED4B0B" w:rsidP="00AE1DED">
            <w:pPr>
              <w:rPr>
                <w:b/>
                <w:bCs/>
                <w:color w:val="000000"/>
                <w:sz w:val="20"/>
                <w:szCs w:val="20"/>
              </w:rPr>
            </w:pPr>
            <w:r w:rsidRPr="009143DA">
              <w:rPr>
                <w:b/>
                <w:bCs/>
                <w:color w:val="000000"/>
                <w:sz w:val="20"/>
                <w:szCs w:val="20"/>
              </w:rPr>
              <w:t>Strategy Coverage</w:t>
            </w:r>
          </w:p>
        </w:tc>
        <w:tc>
          <w:tcPr>
            <w:tcW w:w="2704" w:type="dxa"/>
            <w:tcBorders>
              <w:top w:val="nil"/>
              <w:left w:val="nil"/>
              <w:bottom w:val="single" w:sz="4" w:space="0" w:color="auto"/>
              <w:right w:val="single" w:sz="4" w:space="0" w:color="auto"/>
            </w:tcBorders>
            <w:vAlign w:val="center"/>
            <w:hideMark/>
          </w:tcPr>
          <w:p w14:paraId="15EACE6D" w14:textId="77777777" w:rsidR="00ED4B0B" w:rsidRPr="009143DA" w:rsidRDefault="00ED4B0B" w:rsidP="00AE1DED">
            <w:pPr>
              <w:rPr>
                <w:color w:val="000000"/>
                <w:sz w:val="20"/>
                <w:szCs w:val="20"/>
              </w:rPr>
            </w:pPr>
            <w:r w:rsidRPr="009143DA">
              <w:rPr>
                <w:color w:val="000000"/>
                <w:sz w:val="20"/>
                <w:szCs w:val="20"/>
              </w:rPr>
              <w:t>Concentrated analysis on liquidity provision; limited examination of lending, derivatives, structured products, and emerging DeFi primitives</w:t>
            </w:r>
          </w:p>
        </w:tc>
        <w:tc>
          <w:tcPr>
            <w:tcW w:w="2430" w:type="dxa"/>
            <w:tcBorders>
              <w:top w:val="nil"/>
              <w:left w:val="nil"/>
              <w:bottom w:val="single" w:sz="4" w:space="0" w:color="auto"/>
              <w:right w:val="single" w:sz="4" w:space="0" w:color="auto"/>
            </w:tcBorders>
            <w:vAlign w:val="center"/>
            <w:hideMark/>
          </w:tcPr>
          <w:p w14:paraId="6BFDEC09" w14:textId="77777777" w:rsidR="00ED4B0B" w:rsidRPr="009143DA" w:rsidRDefault="00ED4B0B" w:rsidP="00AE1DED">
            <w:pPr>
              <w:rPr>
                <w:color w:val="000000"/>
                <w:sz w:val="20"/>
                <w:szCs w:val="20"/>
              </w:rPr>
            </w:pPr>
            <w:r w:rsidRPr="009143DA">
              <w:rPr>
                <w:color w:val="000000"/>
                <w:sz w:val="20"/>
                <w:szCs w:val="20"/>
              </w:rPr>
              <w:t>Findings may not generalize to non-LP strategies; documented operational complexity and failure rates specific to market-making activities</w:t>
            </w:r>
          </w:p>
        </w:tc>
        <w:tc>
          <w:tcPr>
            <w:tcW w:w="2520" w:type="dxa"/>
            <w:tcBorders>
              <w:top w:val="nil"/>
              <w:left w:val="nil"/>
              <w:bottom w:val="single" w:sz="4" w:space="0" w:color="auto"/>
              <w:right w:val="single" w:sz="8" w:space="0" w:color="auto"/>
            </w:tcBorders>
            <w:vAlign w:val="center"/>
            <w:hideMark/>
          </w:tcPr>
          <w:p w14:paraId="0754F734" w14:textId="77777777" w:rsidR="00ED4B0B" w:rsidRPr="009143DA" w:rsidRDefault="00ED4B0B" w:rsidP="00AE1DED">
            <w:pPr>
              <w:rPr>
                <w:color w:val="000000"/>
                <w:sz w:val="20"/>
                <w:szCs w:val="20"/>
              </w:rPr>
            </w:pPr>
            <w:r w:rsidRPr="009143DA">
              <w:rPr>
                <w:color w:val="000000"/>
                <w:sz w:val="20"/>
                <w:szCs w:val="20"/>
              </w:rPr>
              <w:t>High confidence for liquidity provision conclusions; Unknown applicability to alternative DeFi strategies</w:t>
            </w:r>
          </w:p>
        </w:tc>
      </w:tr>
      <w:tr w:rsidR="00ED4B0B" w:rsidRPr="009143DA" w14:paraId="24187592" w14:textId="77777777" w:rsidTr="009143DA">
        <w:trPr>
          <w:trHeight w:val="575"/>
        </w:trPr>
        <w:tc>
          <w:tcPr>
            <w:tcW w:w="1696"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3A781EC" w14:textId="77777777" w:rsidR="00ED4B0B" w:rsidRPr="009143DA" w:rsidRDefault="00ED4B0B" w:rsidP="00AE1DED">
            <w:pPr>
              <w:rPr>
                <w:b/>
                <w:bCs/>
                <w:color w:val="000000"/>
                <w:sz w:val="20"/>
                <w:szCs w:val="20"/>
              </w:rPr>
            </w:pPr>
            <w:r w:rsidRPr="009143DA">
              <w:rPr>
                <w:b/>
                <w:bCs/>
                <w:color w:val="000000"/>
                <w:sz w:val="20"/>
                <w:szCs w:val="20"/>
              </w:rPr>
              <w:t>Observation Granularity</w:t>
            </w:r>
          </w:p>
        </w:tc>
        <w:tc>
          <w:tcPr>
            <w:tcW w:w="2704" w:type="dxa"/>
            <w:tcBorders>
              <w:top w:val="nil"/>
              <w:left w:val="nil"/>
              <w:bottom w:val="single" w:sz="8" w:space="0" w:color="auto"/>
              <w:right w:val="single" w:sz="4" w:space="0" w:color="auto"/>
            </w:tcBorders>
            <w:vAlign w:val="center"/>
            <w:hideMark/>
          </w:tcPr>
          <w:p w14:paraId="0C3006F1" w14:textId="77777777" w:rsidR="00ED4B0B" w:rsidRPr="009143DA" w:rsidRDefault="00ED4B0B" w:rsidP="00AE1DED">
            <w:pPr>
              <w:rPr>
                <w:color w:val="000000"/>
                <w:sz w:val="20"/>
                <w:szCs w:val="20"/>
              </w:rPr>
            </w:pPr>
            <w:r w:rsidRPr="009143DA">
              <w:rPr>
                <w:color w:val="000000"/>
                <w:sz w:val="20"/>
                <w:szCs w:val="20"/>
              </w:rPr>
              <w:t>Position tracking at daily/weekly intervals; limited high-frequency data on intraday volatility, MEV extraction, and liquidation cascades</w:t>
            </w:r>
          </w:p>
        </w:tc>
        <w:tc>
          <w:tcPr>
            <w:tcW w:w="2430" w:type="dxa"/>
            <w:tcBorders>
              <w:top w:val="nil"/>
              <w:left w:val="nil"/>
              <w:bottom w:val="single" w:sz="8" w:space="0" w:color="auto"/>
              <w:right w:val="single" w:sz="4" w:space="0" w:color="auto"/>
            </w:tcBorders>
            <w:vAlign w:val="center"/>
            <w:hideMark/>
          </w:tcPr>
          <w:p w14:paraId="2986F49D" w14:textId="77777777" w:rsidR="00ED4B0B" w:rsidRPr="009143DA" w:rsidRDefault="00ED4B0B" w:rsidP="00AE1DED">
            <w:pPr>
              <w:rPr>
                <w:color w:val="000000"/>
                <w:sz w:val="20"/>
                <w:szCs w:val="20"/>
              </w:rPr>
            </w:pPr>
            <w:r w:rsidRPr="009143DA">
              <w:rPr>
                <w:color w:val="000000"/>
                <w:sz w:val="20"/>
                <w:szCs w:val="20"/>
              </w:rPr>
              <w:t>Systematic underestimation of risk from rapid market movements; documented incident probability (35-45% annually) may miss short-duration catastrophic events</w:t>
            </w:r>
          </w:p>
        </w:tc>
        <w:tc>
          <w:tcPr>
            <w:tcW w:w="2520" w:type="dxa"/>
            <w:tcBorders>
              <w:top w:val="nil"/>
              <w:left w:val="nil"/>
              <w:bottom w:val="single" w:sz="8" w:space="0" w:color="auto"/>
              <w:right w:val="single" w:sz="8" w:space="0" w:color="auto"/>
            </w:tcBorders>
            <w:vAlign w:val="center"/>
            <w:hideMark/>
          </w:tcPr>
          <w:p w14:paraId="3962F331" w14:textId="77777777" w:rsidR="00ED4B0B" w:rsidRPr="009143DA" w:rsidRDefault="00ED4B0B" w:rsidP="00AE1DED">
            <w:pPr>
              <w:rPr>
                <w:color w:val="000000"/>
                <w:sz w:val="20"/>
                <w:szCs w:val="20"/>
              </w:rPr>
            </w:pPr>
            <w:r w:rsidRPr="009143DA">
              <w:rPr>
                <w:color w:val="000000"/>
                <w:sz w:val="20"/>
                <w:szCs w:val="20"/>
              </w:rPr>
              <w:t>Moderate confidence in documented risk ranges; true risk potentially 10-20% higher with high-frequency observation</w:t>
            </w:r>
          </w:p>
        </w:tc>
      </w:tr>
    </w:tbl>
    <w:p w14:paraId="336E3D77" w14:textId="77777777" w:rsidR="00ED4B0B" w:rsidRDefault="00ED4B0B" w:rsidP="00AE1DED">
      <w:pPr>
        <w:jc w:val="both"/>
        <w:rPr>
          <w:rFonts w:eastAsiaTheme="majorEastAsia"/>
          <w:color w:val="000000" w:themeColor="text1"/>
        </w:rPr>
      </w:pPr>
    </w:p>
    <w:p w14:paraId="14DA5937" w14:textId="5013066F" w:rsidR="001A11A9" w:rsidRPr="00F51AE5" w:rsidRDefault="001A11A9" w:rsidP="00AE1DED">
      <w:pPr>
        <w:jc w:val="both"/>
        <w:rPr>
          <w:b/>
          <w:bCs/>
          <w:color w:val="000000" w:themeColor="text1"/>
        </w:rPr>
      </w:pPr>
      <w:r w:rsidRPr="00F51AE5">
        <w:rPr>
          <w:b/>
          <w:bCs/>
          <w:color w:val="000000" w:themeColor="text1"/>
        </w:rPr>
        <w:t>Aggregated Confidence Assessment</w:t>
      </w:r>
    </w:p>
    <w:p w14:paraId="2AC7460B" w14:textId="77777777" w:rsidR="00B843AF" w:rsidRPr="00F51AE5" w:rsidRDefault="00B843AF" w:rsidP="00AE1DED">
      <w:pPr>
        <w:jc w:val="both"/>
        <w:rPr>
          <w:color w:val="000000" w:themeColor="text1"/>
        </w:rPr>
      </w:pPr>
    </w:p>
    <w:p w14:paraId="179D4B67" w14:textId="77777777" w:rsidR="001A11A9" w:rsidRPr="00F51AE5" w:rsidRDefault="001A11A9" w:rsidP="00AE1DED">
      <w:pPr>
        <w:jc w:val="both"/>
        <w:rPr>
          <w:color w:val="000000" w:themeColor="text1"/>
        </w:rPr>
      </w:pPr>
      <w:r w:rsidRPr="00F51AE5">
        <w:rPr>
          <w:color w:val="000000" w:themeColor="text1"/>
        </w:rPr>
        <w:t xml:space="preserve">The empirical findings demonstrate </w:t>
      </w:r>
      <w:r w:rsidRPr="00F51AE5">
        <w:rPr>
          <w:b/>
          <w:bCs/>
          <w:color w:val="000000" w:themeColor="text1"/>
        </w:rPr>
        <w:t>high confidence</w:t>
      </w:r>
      <w:r w:rsidRPr="00F51AE5">
        <w:rPr>
          <w:color w:val="000000" w:themeColor="text1"/>
        </w:rPr>
        <w:t xml:space="preserve"> for:</w:t>
      </w:r>
    </w:p>
    <w:p w14:paraId="08627FA5" w14:textId="77777777" w:rsidR="001A11A9" w:rsidRPr="00F51AE5" w:rsidRDefault="001A11A9" w:rsidP="00AE1DED">
      <w:pPr>
        <w:numPr>
          <w:ilvl w:val="0"/>
          <w:numId w:val="273"/>
        </w:numPr>
        <w:jc w:val="both"/>
        <w:textAlignment w:val="center"/>
        <w:rPr>
          <w:color w:val="000000" w:themeColor="text1"/>
        </w:rPr>
      </w:pPr>
      <w:r w:rsidRPr="00F51AE5">
        <w:rPr>
          <w:color w:val="000000" w:themeColor="text1"/>
        </w:rPr>
        <w:t>Directional trends (capital requirements rising, returns compressing, complexity increasing)</w:t>
      </w:r>
    </w:p>
    <w:p w14:paraId="45C78C85" w14:textId="77777777" w:rsidR="001A11A9" w:rsidRPr="00F51AE5" w:rsidRDefault="001A11A9" w:rsidP="00AE1DED">
      <w:pPr>
        <w:numPr>
          <w:ilvl w:val="0"/>
          <w:numId w:val="273"/>
        </w:numPr>
        <w:jc w:val="both"/>
        <w:textAlignment w:val="center"/>
        <w:rPr>
          <w:color w:val="000000" w:themeColor="text1"/>
        </w:rPr>
      </w:pPr>
      <w:r w:rsidRPr="00F51AE5">
        <w:rPr>
          <w:color w:val="000000" w:themeColor="text1"/>
        </w:rPr>
        <w:t>Network-specific viability thresholds for Ethereum ecosystem</w:t>
      </w:r>
    </w:p>
    <w:p w14:paraId="1366B145" w14:textId="77777777" w:rsidR="001A11A9" w:rsidRPr="00F51AE5" w:rsidRDefault="001A11A9" w:rsidP="00AE1DED">
      <w:pPr>
        <w:numPr>
          <w:ilvl w:val="0"/>
          <w:numId w:val="273"/>
        </w:numPr>
        <w:jc w:val="both"/>
        <w:textAlignment w:val="center"/>
        <w:rPr>
          <w:color w:val="000000" w:themeColor="text1"/>
        </w:rPr>
      </w:pPr>
      <w:r w:rsidRPr="00F51AE5">
        <w:rPr>
          <w:color w:val="000000" w:themeColor="text1"/>
        </w:rPr>
        <w:t>Qualitative patterns (anti-inductivity, step-function dynamics, conditional success)</w:t>
      </w:r>
    </w:p>
    <w:p w14:paraId="65AB6D92" w14:textId="77777777" w:rsidR="001A11A9" w:rsidRPr="00F51AE5" w:rsidRDefault="001A11A9" w:rsidP="00AE1DED">
      <w:pPr>
        <w:numPr>
          <w:ilvl w:val="0"/>
          <w:numId w:val="273"/>
        </w:numPr>
        <w:jc w:val="both"/>
        <w:textAlignment w:val="center"/>
        <w:rPr>
          <w:color w:val="000000" w:themeColor="text1"/>
        </w:rPr>
      </w:pPr>
      <w:r w:rsidRPr="00F51AE5">
        <w:rPr>
          <w:color w:val="000000" w:themeColor="text1"/>
        </w:rPr>
        <w:t>Documented failure rates as lower-bound estimates</w:t>
      </w:r>
    </w:p>
    <w:p w14:paraId="00981428" w14:textId="77777777" w:rsidR="00B843AF" w:rsidRDefault="00B843AF" w:rsidP="00AE1DED">
      <w:pPr>
        <w:jc w:val="both"/>
        <w:rPr>
          <w:color w:val="FF0000"/>
        </w:rPr>
      </w:pPr>
    </w:p>
    <w:p w14:paraId="7C975B25" w14:textId="39D6CD8B" w:rsidR="001A11A9" w:rsidRPr="00F51AE5" w:rsidRDefault="001A11A9" w:rsidP="00AE1DED">
      <w:pPr>
        <w:jc w:val="both"/>
        <w:rPr>
          <w:color w:val="000000" w:themeColor="text1"/>
        </w:rPr>
      </w:pPr>
      <w:r w:rsidRPr="00F51AE5">
        <w:rPr>
          <w:color w:val="000000" w:themeColor="text1"/>
        </w:rPr>
        <w:t xml:space="preserve">The findings demonstrate </w:t>
      </w:r>
      <w:r w:rsidRPr="00F51AE5">
        <w:rPr>
          <w:b/>
          <w:bCs/>
          <w:color w:val="000000" w:themeColor="text1"/>
        </w:rPr>
        <w:t>moderate confidence</w:t>
      </w:r>
      <w:r w:rsidRPr="00F51AE5">
        <w:rPr>
          <w:color w:val="000000" w:themeColor="text1"/>
        </w:rPr>
        <w:t xml:space="preserve"> for:</w:t>
      </w:r>
    </w:p>
    <w:p w14:paraId="559083DD" w14:textId="77777777" w:rsidR="001A11A9" w:rsidRPr="00F51AE5" w:rsidRDefault="001A11A9" w:rsidP="00AE1DED">
      <w:pPr>
        <w:numPr>
          <w:ilvl w:val="0"/>
          <w:numId w:val="274"/>
        </w:numPr>
        <w:jc w:val="both"/>
        <w:textAlignment w:val="center"/>
        <w:rPr>
          <w:color w:val="000000" w:themeColor="text1"/>
        </w:rPr>
      </w:pPr>
      <w:r w:rsidRPr="00F51AE5">
        <w:rPr>
          <w:color w:val="000000" w:themeColor="text1"/>
        </w:rPr>
        <w:t>Specific numeric thresholds transferring to future periods</w:t>
      </w:r>
    </w:p>
    <w:p w14:paraId="241FA501" w14:textId="77777777" w:rsidR="001A11A9" w:rsidRPr="00F51AE5" w:rsidRDefault="001A11A9" w:rsidP="00AE1DED">
      <w:pPr>
        <w:numPr>
          <w:ilvl w:val="0"/>
          <w:numId w:val="274"/>
        </w:numPr>
        <w:jc w:val="both"/>
        <w:textAlignment w:val="center"/>
        <w:rPr>
          <w:color w:val="000000" w:themeColor="text1"/>
        </w:rPr>
      </w:pPr>
      <w:r w:rsidRPr="00F51AE5">
        <w:rPr>
          <w:color w:val="000000" w:themeColor="text1"/>
        </w:rPr>
        <w:t>Incident probability ranges holding across different market regimes</w:t>
      </w:r>
    </w:p>
    <w:p w14:paraId="6D09EA88" w14:textId="77777777" w:rsidR="001A11A9" w:rsidRPr="00F51AE5" w:rsidRDefault="001A11A9" w:rsidP="00AE1DED">
      <w:pPr>
        <w:numPr>
          <w:ilvl w:val="0"/>
          <w:numId w:val="274"/>
        </w:numPr>
        <w:jc w:val="both"/>
        <w:textAlignment w:val="center"/>
        <w:rPr>
          <w:color w:val="000000" w:themeColor="text1"/>
        </w:rPr>
      </w:pPr>
      <w:r w:rsidRPr="00F51AE5">
        <w:rPr>
          <w:color w:val="000000" w:themeColor="text1"/>
        </w:rPr>
        <w:t>Accessibility gradient framework applying to alternative networks</w:t>
      </w:r>
    </w:p>
    <w:p w14:paraId="63160963" w14:textId="77777777" w:rsidR="00B843AF" w:rsidRDefault="00B843AF" w:rsidP="00AE1DED">
      <w:pPr>
        <w:jc w:val="both"/>
        <w:rPr>
          <w:color w:val="FF0000"/>
        </w:rPr>
      </w:pPr>
    </w:p>
    <w:p w14:paraId="30775513" w14:textId="654A0105" w:rsidR="001A11A9" w:rsidRPr="00F51AE5" w:rsidRDefault="001A11A9" w:rsidP="00AE1DED">
      <w:pPr>
        <w:jc w:val="both"/>
        <w:rPr>
          <w:color w:val="000000" w:themeColor="text1"/>
        </w:rPr>
      </w:pPr>
      <w:r w:rsidRPr="00F51AE5">
        <w:rPr>
          <w:color w:val="000000" w:themeColor="text1"/>
        </w:rPr>
        <w:t xml:space="preserve">The findings demonstrate </w:t>
      </w:r>
      <w:r w:rsidRPr="00F51AE5">
        <w:rPr>
          <w:b/>
          <w:bCs/>
          <w:color w:val="000000" w:themeColor="text1"/>
        </w:rPr>
        <w:t>low confidence</w:t>
      </w:r>
      <w:r w:rsidRPr="00F51AE5">
        <w:rPr>
          <w:color w:val="000000" w:themeColor="text1"/>
        </w:rPr>
        <w:t xml:space="preserve"> for:</w:t>
      </w:r>
    </w:p>
    <w:p w14:paraId="6D078281" w14:textId="77777777" w:rsidR="001A11A9" w:rsidRPr="00F51AE5" w:rsidRDefault="001A11A9" w:rsidP="00AE1DED">
      <w:pPr>
        <w:numPr>
          <w:ilvl w:val="0"/>
          <w:numId w:val="275"/>
        </w:numPr>
        <w:jc w:val="both"/>
        <w:textAlignment w:val="center"/>
        <w:rPr>
          <w:color w:val="000000" w:themeColor="text1"/>
        </w:rPr>
      </w:pPr>
      <w:r w:rsidRPr="00F51AE5">
        <w:rPr>
          <w:color w:val="000000" w:themeColor="text1"/>
        </w:rPr>
        <w:t>Precise future return projections beyond directional compression</w:t>
      </w:r>
    </w:p>
    <w:p w14:paraId="54268F70" w14:textId="77777777" w:rsidR="001A11A9" w:rsidRPr="00F51AE5" w:rsidRDefault="001A11A9" w:rsidP="00AE1DED">
      <w:pPr>
        <w:numPr>
          <w:ilvl w:val="0"/>
          <w:numId w:val="275"/>
        </w:numPr>
        <w:jc w:val="both"/>
        <w:textAlignment w:val="center"/>
        <w:rPr>
          <w:color w:val="000000" w:themeColor="text1"/>
        </w:rPr>
      </w:pPr>
      <w:r w:rsidRPr="00F51AE5">
        <w:rPr>
          <w:color w:val="000000" w:themeColor="text1"/>
        </w:rPr>
        <w:t xml:space="preserve">Generalization </w:t>
      </w:r>
      <w:proofErr w:type="gramStart"/>
      <w:r w:rsidRPr="00F51AE5">
        <w:rPr>
          <w:color w:val="000000" w:themeColor="text1"/>
        </w:rPr>
        <w:t>to</w:t>
      </w:r>
      <w:proofErr w:type="gramEnd"/>
      <w:r w:rsidRPr="00F51AE5">
        <w:rPr>
          <w:color w:val="000000" w:themeColor="text1"/>
        </w:rPr>
        <w:t xml:space="preserve"> substantially different participant populations</w:t>
      </w:r>
    </w:p>
    <w:p w14:paraId="6659B033" w14:textId="6C790781" w:rsidR="001A11A9" w:rsidRPr="00F51AE5" w:rsidRDefault="001A11A9" w:rsidP="00AE1DED">
      <w:pPr>
        <w:numPr>
          <w:ilvl w:val="0"/>
          <w:numId w:val="275"/>
        </w:numPr>
        <w:jc w:val="both"/>
        <w:textAlignment w:val="center"/>
        <w:rPr>
          <w:color w:val="000000" w:themeColor="text1"/>
        </w:rPr>
      </w:pPr>
      <w:r w:rsidRPr="00F51AE5">
        <w:rPr>
          <w:color w:val="000000" w:themeColor="text1"/>
        </w:rPr>
        <w:t>Applicability to emerging DeFi not analyzed</w:t>
      </w:r>
    </w:p>
    <w:p w14:paraId="19C97FAD" w14:textId="77777777" w:rsidR="001A11A9" w:rsidRPr="00F51AE5" w:rsidRDefault="001A11A9" w:rsidP="00AE1DED">
      <w:pPr>
        <w:numPr>
          <w:ilvl w:val="0"/>
          <w:numId w:val="275"/>
        </w:numPr>
        <w:jc w:val="both"/>
        <w:textAlignment w:val="center"/>
        <w:rPr>
          <w:color w:val="000000" w:themeColor="text1"/>
        </w:rPr>
      </w:pPr>
      <w:r w:rsidRPr="00F51AE5">
        <w:rPr>
          <w:color w:val="000000" w:themeColor="text1"/>
        </w:rPr>
        <w:t>Conclusions for non-developed-market contexts</w:t>
      </w:r>
    </w:p>
    <w:p w14:paraId="5B0073A8" w14:textId="77777777" w:rsidR="00B843AF" w:rsidRDefault="00B843AF" w:rsidP="00AE1DED">
      <w:pPr>
        <w:jc w:val="both"/>
        <w:rPr>
          <w:color w:val="FF0000"/>
        </w:rPr>
      </w:pPr>
    </w:p>
    <w:p w14:paraId="6233DFF2" w14:textId="1532FC93" w:rsidR="001A11A9" w:rsidRPr="00A377A8" w:rsidRDefault="001A11A9" w:rsidP="00AE1DED">
      <w:pPr>
        <w:jc w:val="both"/>
        <w:rPr>
          <w:color w:val="000000" w:themeColor="text1"/>
        </w:rPr>
      </w:pPr>
      <w:r w:rsidRPr="00A377A8">
        <w:rPr>
          <w:color w:val="000000" w:themeColor="text1"/>
        </w:rPr>
        <w:t xml:space="preserve">These limitations do not invalidate </w:t>
      </w:r>
      <w:proofErr w:type="gramStart"/>
      <w:r w:rsidRPr="00A377A8">
        <w:rPr>
          <w:color w:val="000000" w:themeColor="text1"/>
        </w:rPr>
        <w:t>the research</w:t>
      </w:r>
      <w:proofErr w:type="gramEnd"/>
      <w:r w:rsidRPr="00A377A8">
        <w:rPr>
          <w:color w:val="000000" w:themeColor="text1"/>
        </w:rPr>
        <w:t xml:space="preserve"> but </w:t>
      </w:r>
      <w:proofErr w:type="gramStart"/>
      <w:r w:rsidR="00F51AE5" w:rsidRPr="00A377A8">
        <w:rPr>
          <w:color w:val="000000" w:themeColor="text1"/>
        </w:rPr>
        <w:t>point</w:t>
      </w:r>
      <w:proofErr w:type="gramEnd"/>
      <w:r w:rsidR="00F51AE5" w:rsidRPr="00A377A8">
        <w:rPr>
          <w:color w:val="000000" w:themeColor="text1"/>
        </w:rPr>
        <w:t xml:space="preserve"> our shortcomings of this research and areas for future analysis</w:t>
      </w:r>
      <w:r w:rsidRPr="00A377A8">
        <w:rPr>
          <w:color w:val="000000" w:themeColor="text1"/>
        </w:rPr>
        <w:t>. The value</w:t>
      </w:r>
      <w:r w:rsidR="00F51AE5" w:rsidRPr="00A377A8">
        <w:rPr>
          <w:color w:val="000000" w:themeColor="text1"/>
        </w:rPr>
        <w:t xml:space="preserve"> of this research</w:t>
      </w:r>
      <w:r w:rsidRPr="00A377A8">
        <w:rPr>
          <w:color w:val="000000" w:themeColor="text1"/>
        </w:rPr>
        <w:t xml:space="preserve"> lies in revealing </w:t>
      </w:r>
      <w:r w:rsidR="00F51AE5" w:rsidRPr="00A377A8">
        <w:rPr>
          <w:color w:val="000000" w:themeColor="text1"/>
        </w:rPr>
        <w:t xml:space="preserve">the </w:t>
      </w:r>
      <w:r w:rsidRPr="00A377A8">
        <w:rPr>
          <w:color w:val="000000" w:themeColor="text1"/>
        </w:rPr>
        <w:t>structural constraints and mechanisms rather than providing precise predictions</w:t>
      </w:r>
      <w:r w:rsidR="00F51AE5" w:rsidRPr="00A377A8">
        <w:rPr>
          <w:color w:val="000000" w:themeColor="text1"/>
        </w:rPr>
        <w:t xml:space="preserve"> and guidelines</w:t>
      </w:r>
      <w:r w:rsidRPr="00A377A8">
        <w:rPr>
          <w:color w:val="000000" w:themeColor="text1"/>
        </w:rPr>
        <w:t xml:space="preserve">. Future research addressing these limitations would strengthen </w:t>
      </w:r>
      <w:proofErr w:type="gramStart"/>
      <w:r w:rsidR="00F51AE5" w:rsidRPr="00A377A8">
        <w:rPr>
          <w:color w:val="000000" w:themeColor="text1"/>
        </w:rPr>
        <w:t xml:space="preserve">the </w:t>
      </w:r>
      <w:r w:rsidRPr="00A377A8">
        <w:rPr>
          <w:color w:val="000000" w:themeColor="text1"/>
        </w:rPr>
        <w:t>confidence</w:t>
      </w:r>
      <w:proofErr w:type="gramEnd"/>
      <w:r w:rsidRPr="00A377A8">
        <w:rPr>
          <w:color w:val="000000" w:themeColor="text1"/>
        </w:rPr>
        <w:t xml:space="preserve"> in specific </w:t>
      </w:r>
      <w:r w:rsidR="00F51AE5" w:rsidRPr="00A377A8">
        <w:rPr>
          <w:color w:val="000000" w:themeColor="text1"/>
        </w:rPr>
        <w:t>areas.</w:t>
      </w:r>
      <w:r w:rsidRPr="00A377A8">
        <w:rPr>
          <w:color w:val="000000" w:themeColor="text1"/>
        </w:rPr>
        <w:t xml:space="preserve"> </w:t>
      </w:r>
      <w:r w:rsidR="00F51AE5" w:rsidRPr="00A377A8">
        <w:rPr>
          <w:color w:val="000000" w:themeColor="text1"/>
        </w:rPr>
        <w:t>T</w:t>
      </w:r>
      <w:r w:rsidRPr="00A377A8">
        <w:rPr>
          <w:color w:val="000000" w:themeColor="text1"/>
        </w:rPr>
        <w:t xml:space="preserve">he documented directional </w:t>
      </w:r>
      <w:r w:rsidRPr="00A377A8">
        <w:rPr>
          <w:color w:val="000000" w:themeColor="text1"/>
        </w:rPr>
        <w:lastRenderedPageBreak/>
        <w:t xml:space="preserve">patterns and theoretical frameworks </w:t>
      </w:r>
      <w:r w:rsidR="00F51AE5" w:rsidRPr="00A377A8">
        <w:rPr>
          <w:color w:val="000000" w:themeColor="text1"/>
        </w:rPr>
        <w:t xml:space="preserve">of this research </w:t>
      </w:r>
      <w:r w:rsidRPr="00A377A8">
        <w:rPr>
          <w:color w:val="000000" w:themeColor="text1"/>
        </w:rPr>
        <w:t>demonstrate robustness across reasonable parameter variations</w:t>
      </w:r>
      <w:r w:rsidR="00F51AE5" w:rsidRPr="00A377A8">
        <w:rPr>
          <w:color w:val="000000" w:themeColor="text1"/>
        </w:rPr>
        <w:t xml:space="preserve"> that were analyzed and bring </w:t>
      </w:r>
      <w:r w:rsidR="00A377A8" w:rsidRPr="00A377A8">
        <w:rPr>
          <w:color w:val="000000" w:themeColor="text1"/>
        </w:rPr>
        <w:t>in a base foundation for new research in this field.</w:t>
      </w:r>
    </w:p>
    <w:p w14:paraId="15B3766F" w14:textId="77777777" w:rsidR="000B11FE" w:rsidRDefault="000B11FE" w:rsidP="00AE1DED">
      <w:pPr>
        <w:jc w:val="both"/>
        <w:rPr>
          <w:rFonts w:eastAsiaTheme="majorEastAsia"/>
          <w:color w:val="000000" w:themeColor="text1"/>
        </w:rPr>
      </w:pPr>
    </w:p>
    <w:p w14:paraId="270204D2" w14:textId="1505AC66" w:rsidR="0076579E" w:rsidRPr="00E610CD" w:rsidRDefault="0076579E" w:rsidP="00AE1DED">
      <w:pPr>
        <w:jc w:val="both"/>
        <w:rPr>
          <w:rFonts w:eastAsiaTheme="majorEastAsia"/>
          <w:color w:val="000000" w:themeColor="text1"/>
        </w:rPr>
      </w:pPr>
      <w:r w:rsidRPr="00E610CD">
        <w:rPr>
          <w:rFonts w:eastAsiaTheme="majorEastAsia"/>
          <w:color w:val="000000" w:themeColor="text1"/>
        </w:rPr>
        <w:t xml:space="preserve">Future research should </w:t>
      </w:r>
      <w:proofErr w:type="gramStart"/>
      <w:r w:rsidRPr="00E610CD">
        <w:rPr>
          <w:rFonts w:eastAsiaTheme="majorEastAsia"/>
          <w:color w:val="000000" w:themeColor="text1"/>
        </w:rPr>
        <w:t>examine</w:t>
      </w:r>
      <w:proofErr w:type="gramEnd"/>
      <w:r w:rsidRPr="00E610CD">
        <w:rPr>
          <w:rFonts w:eastAsiaTheme="majorEastAsia"/>
          <w:color w:val="000000" w:themeColor="text1"/>
        </w:rPr>
        <w:t>:</w:t>
      </w:r>
    </w:p>
    <w:p w14:paraId="137FA7DC" w14:textId="77777777" w:rsidR="0076579E" w:rsidRPr="000B11FE" w:rsidRDefault="0076579E" w:rsidP="00AE1DED">
      <w:pPr>
        <w:pStyle w:val="ListParagraph"/>
        <w:numPr>
          <w:ilvl w:val="0"/>
          <w:numId w:val="278"/>
        </w:numPr>
        <w:tabs>
          <w:tab w:val="num" w:pos="1440"/>
        </w:tabs>
        <w:jc w:val="both"/>
        <w:rPr>
          <w:rFonts w:eastAsiaTheme="majorEastAsia"/>
          <w:color w:val="000000" w:themeColor="text1"/>
        </w:rPr>
      </w:pPr>
      <w:r w:rsidRPr="000B11FE">
        <w:rPr>
          <w:rFonts w:eastAsiaTheme="majorEastAsia"/>
          <w:color w:val="000000" w:themeColor="text1"/>
        </w:rPr>
        <w:t>Longitudinal studies across complete market cycles</w:t>
      </w:r>
    </w:p>
    <w:p w14:paraId="235765E9" w14:textId="77777777" w:rsidR="0076579E" w:rsidRPr="000B11FE" w:rsidRDefault="0076579E" w:rsidP="00AE1DED">
      <w:pPr>
        <w:pStyle w:val="ListParagraph"/>
        <w:numPr>
          <w:ilvl w:val="0"/>
          <w:numId w:val="278"/>
        </w:numPr>
        <w:tabs>
          <w:tab w:val="num" w:pos="1440"/>
        </w:tabs>
        <w:jc w:val="both"/>
        <w:rPr>
          <w:rFonts w:eastAsiaTheme="majorEastAsia"/>
          <w:color w:val="000000" w:themeColor="text1"/>
        </w:rPr>
      </w:pPr>
      <w:r w:rsidRPr="000B11FE">
        <w:rPr>
          <w:rFonts w:eastAsiaTheme="majorEastAsia"/>
          <w:color w:val="000000" w:themeColor="text1"/>
        </w:rPr>
        <w:t xml:space="preserve">Institutional versus retail dynamics as </w:t>
      </w:r>
      <w:proofErr w:type="spellStart"/>
      <w:r w:rsidRPr="000B11FE">
        <w:rPr>
          <w:rFonts w:eastAsiaTheme="majorEastAsia"/>
          <w:color w:val="000000" w:themeColor="text1"/>
        </w:rPr>
        <w:t>TradFi</w:t>
      </w:r>
      <w:proofErr w:type="spellEnd"/>
      <w:r w:rsidRPr="000B11FE">
        <w:rPr>
          <w:rFonts w:eastAsiaTheme="majorEastAsia"/>
          <w:color w:val="000000" w:themeColor="text1"/>
        </w:rPr>
        <w:t xml:space="preserve"> enters DeFi</w:t>
      </w:r>
    </w:p>
    <w:p w14:paraId="6AED5DF4" w14:textId="77777777" w:rsidR="0076579E" w:rsidRPr="000B11FE" w:rsidRDefault="0076579E" w:rsidP="00AE1DED">
      <w:pPr>
        <w:pStyle w:val="ListParagraph"/>
        <w:numPr>
          <w:ilvl w:val="0"/>
          <w:numId w:val="278"/>
        </w:numPr>
        <w:tabs>
          <w:tab w:val="num" w:pos="1440"/>
        </w:tabs>
        <w:jc w:val="both"/>
        <w:rPr>
          <w:rFonts w:eastAsiaTheme="majorEastAsia"/>
          <w:color w:val="000000" w:themeColor="text1"/>
        </w:rPr>
      </w:pPr>
      <w:r w:rsidRPr="000B11FE">
        <w:rPr>
          <w:rFonts w:eastAsiaTheme="majorEastAsia"/>
          <w:color w:val="000000" w:themeColor="text1"/>
        </w:rPr>
        <w:t>Technological evolution's impact on minimum viable scales</w:t>
      </w:r>
    </w:p>
    <w:p w14:paraId="2F3A5054" w14:textId="77777777" w:rsidR="0076579E" w:rsidRPr="000B11FE" w:rsidRDefault="0076579E" w:rsidP="00AE1DED">
      <w:pPr>
        <w:pStyle w:val="ListParagraph"/>
        <w:numPr>
          <w:ilvl w:val="0"/>
          <w:numId w:val="278"/>
        </w:numPr>
        <w:tabs>
          <w:tab w:val="num" w:pos="1440"/>
        </w:tabs>
        <w:jc w:val="both"/>
        <w:rPr>
          <w:rFonts w:eastAsiaTheme="majorEastAsia"/>
          <w:color w:val="000000" w:themeColor="text1"/>
        </w:rPr>
      </w:pPr>
      <w:r w:rsidRPr="000B11FE">
        <w:rPr>
          <w:rFonts w:eastAsiaTheme="majorEastAsia"/>
          <w:color w:val="000000" w:themeColor="text1"/>
        </w:rPr>
        <w:t>Global accessibility in different economic contexts</w:t>
      </w:r>
    </w:p>
    <w:p w14:paraId="500B965B" w14:textId="77777777" w:rsidR="00281E73" w:rsidRPr="00E610CD" w:rsidRDefault="00281E73" w:rsidP="00AE1DED">
      <w:pPr>
        <w:jc w:val="both"/>
        <w:rPr>
          <w:rFonts w:eastAsiaTheme="majorEastAsia"/>
          <w:b/>
          <w:bCs/>
          <w:color w:val="000000" w:themeColor="text1"/>
        </w:rPr>
      </w:pPr>
    </w:p>
    <w:p w14:paraId="6B287590" w14:textId="1B7EE8B0" w:rsidR="0076579E" w:rsidRPr="00E610CD" w:rsidRDefault="008D6F57" w:rsidP="00AE1DED">
      <w:pPr>
        <w:pStyle w:val="Heading2"/>
        <w:jc w:val="both"/>
        <w:rPr>
          <w:rFonts w:eastAsiaTheme="majorEastAsia"/>
          <w:color w:val="000000" w:themeColor="text1"/>
        </w:rPr>
      </w:pPr>
      <w:bookmarkStart w:id="248" w:name="_Toc214722054"/>
      <w:r w:rsidRPr="00E610CD">
        <w:rPr>
          <w:rFonts w:eastAsiaTheme="majorEastAsia"/>
          <w:color w:val="000000" w:themeColor="text1"/>
        </w:rPr>
        <w:t>11</w:t>
      </w:r>
      <w:r w:rsidR="0076579E" w:rsidRPr="00E610CD">
        <w:rPr>
          <w:rFonts w:eastAsiaTheme="majorEastAsia"/>
          <w:color w:val="000000" w:themeColor="text1"/>
        </w:rPr>
        <w:t>.5 Final Conclusions: Evolution, Not Revolution</w:t>
      </w:r>
      <w:bookmarkEnd w:id="248"/>
    </w:p>
    <w:p w14:paraId="45BA98BD" w14:textId="2258060E" w:rsidR="008629DF" w:rsidRPr="00E610CD" w:rsidRDefault="008629DF" w:rsidP="00AE1DED">
      <w:pPr>
        <w:jc w:val="both"/>
        <w:rPr>
          <w:rFonts w:eastAsiaTheme="majorEastAsia"/>
          <w:color w:val="000000" w:themeColor="text1"/>
        </w:rPr>
      </w:pPr>
      <w:r w:rsidRPr="00E610CD">
        <w:rPr>
          <w:rFonts w:eastAsiaTheme="majorEastAsia"/>
          <w:color w:val="000000" w:themeColor="text1"/>
        </w:rPr>
        <w:t>This research indicated that cryptocurrency’s passive income represents an evolution rather than revolution in finance. Overall, DeFi has genuinely expanded access to financial opportunities creating entry points as low as $500 and that can be considered meaningful progress (based on observed data).</w:t>
      </w:r>
    </w:p>
    <w:p w14:paraId="228269BF" w14:textId="77777777" w:rsidR="008629DF" w:rsidRPr="00E610CD" w:rsidRDefault="008629DF" w:rsidP="00AE1DED">
      <w:pPr>
        <w:jc w:val="both"/>
        <w:rPr>
          <w:rFonts w:eastAsiaTheme="majorEastAsia"/>
          <w:color w:val="000000" w:themeColor="text1"/>
        </w:rPr>
      </w:pPr>
      <w:r w:rsidRPr="00E610CD">
        <w:rPr>
          <w:rFonts w:eastAsiaTheme="majorEastAsia"/>
          <w:color w:val="000000" w:themeColor="text1"/>
        </w:rPr>
        <w:t> </w:t>
      </w:r>
    </w:p>
    <w:p w14:paraId="1A15EC00" w14:textId="7AE58AD1" w:rsidR="00B712E6" w:rsidRPr="00E610CD" w:rsidRDefault="00B712E6" w:rsidP="00AE1DED">
      <w:pPr>
        <w:jc w:val="both"/>
        <w:rPr>
          <w:rFonts w:eastAsiaTheme="majorEastAsia"/>
          <w:color w:val="000000" w:themeColor="text1"/>
        </w:rPr>
      </w:pPr>
      <w:r w:rsidRPr="00E610CD">
        <w:rPr>
          <w:rFonts w:eastAsiaTheme="majorEastAsia"/>
          <w:color w:val="000000" w:themeColor="text1"/>
        </w:rPr>
        <w:t xml:space="preserve">The research evidence reveals that DeFi is not a revolution or a failure, but rather a new way of accessing money that benefits different people than existing financial institutions and methods. The barriers to entry have changed shape instead of going away. This </w:t>
      </w:r>
      <w:proofErr w:type="gramStart"/>
      <w:r w:rsidRPr="00E610CD">
        <w:rPr>
          <w:rFonts w:eastAsiaTheme="majorEastAsia"/>
          <w:color w:val="000000" w:themeColor="text1"/>
        </w:rPr>
        <w:t>change however</w:t>
      </w:r>
      <w:proofErr w:type="gramEnd"/>
      <w:r w:rsidRPr="00E610CD">
        <w:rPr>
          <w:rFonts w:eastAsiaTheme="majorEastAsia"/>
          <w:color w:val="000000" w:themeColor="text1"/>
        </w:rPr>
        <w:t xml:space="preserve"> creates real value for people whose skills match the new needs. This is especially true for participants with technical skills who don't have much money or for those who are not allowed to use traditional banks and want dollar-denominated yields.</w:t>
      </w:r>
    </w:p>
    <w:p w14:paraId="07D5C977" w14:textId="77777777" w:rsidR="00B712E6" w:rsidRPr="00E610CD" w:rsidRDefault="00B712E6" w:rsidP="00AE1DED">
      <w:pPr>
        <w:jc w:val="both"/>
        <w:rPr>
          <w:rFonts w:eastAsiaTheme="majorEastAsia"/>
          <w:color w:val="000000" w:themeColor="text1"/>
        </w:rPr>
      </w:pPr>
    </w:p>
    <w:p w14:paraId="2BD138E0" w14:textId="243DCC7E" w:rsidR="00281E73" w:rsidRPr="00E610CD" w:rsidRDefault="008D6F57" w:rsidP="00AE1DED">
      <w:pPr>
        <w:pStyle w:val="Heading2"/>
        <w:jc w:val="both"/>
        <w:rPr>
          <w:rFonts w:eastAsiaTheme="majorEastAsia"/>
          <w:color w:val="000000" w:themeColor="text1"/>
        </w:rPr>
      </w:pPr>
      <w:bookmarkStart w:id="249" w:name="_Toc214722055"/>
      <w:r w:rsidRPr="00E610CD">
        <w:rPr>
          <w:rFonts w:eastAsiaTheme="majorEastAsia"/>
          <w:color w:val="000000" w:themeColor="text1"/>
        </w:rPr>
        <w:t>11</w:t>
      </w:r>
      <w:r w:rsidR="0076579E" w:rsidRPr="00E610CD">
        <w:rPr>
          <w:rFonts w:eastAsiaTheme="majorEastAsia"/>
          <w:color w:val="000000" w:themeColor="text1"/>
        </w:rPr>
        <w:t>.6 Closing Thoughts</w:t>
      </w:r>
      <w:bookmarkEnd w:id="249"/>
    </w:p>
    <w:p w14:paraId="347C04C2" w14:textId="6C180125" w:rsidR="00DA2E0A" w:rsidRPr="00E610CD" w:rsidRDefault="00A759CB" w:rsidP="00AE1DED">
      <w:pPr>
        <w:jc w:val="both"/>
        <w:rPr>
          <w:rFonts w:eastAsiaTheme="majorEastAsia"/>
          <w:color w:val="000000" w:themeColor="text1"/>
        </w:rPr>
      </w:pPr>
      <w:r w:rsidRPr="00E610CD">
        <w:rPr>
          <w:rFonts w:eastAsiaTheme="majorEastAsia"/>
          <w:color w:val="000000" w:themeColor="text1"/>
        </w:rPr>
        <w:t xml:space="preserve">This study records a period of financial experimentation during which established regulations were briefly lifted. This resulted in unique opportunities that are currently diminishing. The pioneering advantages described here will no longer be available to future participants. They will have to deal with a more mature, institutionalized ecosystem. It is yet unclear whether DeFi will move towards </w:t>
      </w:r>
      <w:proofErr w:type="gramStart"/>
      <w:r w:rsidRPr="00E610CD">
        <w:rPr>
          <w:rFonts w:eastAsiaTheme="majorEastAsia"/>
          <w:color w:val="000000" w:themeColor="text1"/>
        </w:rPr>
        <w:t>a real</w:t>
      </w:r>
      <w:proofErr w:type="gramEnd"/>
      <w:r w:rsidRPr="00E610CD">
        <w:rPr>
          <w:rFonts w:eastAsiaTheme="majorEastAsia"/>
          <w:color w:val="000000" w:themeColor="text1"/>
        </w:rPr>
        <w:t xml:space="preserve"> inclusivity or create new ways to exclude people that are </w:t>
      </w:r>
      <w:proofErr w:type="gramStart"/>
      <w:r w:rsidRPr="00E610CD">
        <w:rPr>
          <w:rFonts w:eastAsiaTheme="majorEastAsia"/>
          <w:color w:val="000000" w:themeColor="text1"/>
        </w:rPr>
        <w:t>similar to</w:t>
      </w:r>
      <w:proofErr w:type="gramEnd"/>
      <w:r w:rsidRPr="00E610CD">
        <w:rPr>
          <w:rFonts w:eastAsiaTheme="majorEastAsia"/>
          <w:color w:val="000000" w:themeColor="text1"/>
        </w:rPr>
        <w:t xml:space="preserve"> old ones. </w:t>
      </w:r>
    </w:p>
    <w:p w14:paraId="0705B75B" w14:textId="77777777" w:rsidR="00A759CB" w:rsidRPr="00E610CD" w:rsidRDefault="00A759CB" w:rsidP="00AE1DED">
      <w:pPr>
        <w:jc w:val="both"/>
        <w:rPr>
          <w:rFonts w:eastAsiaTheme="majorEastAsia"/>
          <w:color w:val="000000" w:themeColor="text1"/>
        </w:rPr>
      </w:pPr>
    </w:p>
    <w:p w14:paraId="0403BC6D" w14:textId="71FC05CF" w:rsidR="00181F22" w:rsidRPr="00E610CD" w:rsidRDefault="008D6F57" w:rsidP="00AE1DED">
      <w:pPr>
        <w:pStyle w:val="Heading2"/>
        <w:jc w:val="both"/>
        <w:rPr>
          <w:rFonts w:eastAsiaTheme="majorEastAsia"/>
          <w:color w:val="000000" w:themeColor="text1"/>
        </w:rPr>
      </w:pPr>
      <w:bookmarkStart w:id="250" w:name="_Toc214722056"/>
      <w:r w:rsidRPr="00E610CD">
        <w:rPr>
          <w:rFonts w:eastAsiaTheme="majorEastAsia"/>
          <w:color w:val="000000" w:themeColor="text1"/>
        </w:rPr>
        <w:t>11</w:t>
      </w:r>
      <w:r w:rsidR="00181F22" w:rsidRPr="00E610CD">
        <w:rPr>
          <w:rFonts w:eastAsiaTheme="majorEastAsia"/>
          <w:color w:val="000000" w:themeColor="text1"/>
        </w:rPr>
        <w:t>.7 Contributions to Theory and Practice</w:t>
      </w:r>
      <w:bookmarkEnd w:id="250"/>
    </w:p>
    <w:p w14:paraId="1E6058AC" w14:textId="77777777" w:rsidR="00181F22" w:rsidRPr="00E610CD" w:rsidRDefault="00181F22" w:rsidP="00AE1DED">
      <w:pPr>
        <w:jc w:val="both"/>
        <w:rPr>
          <w:rFonts w:eastAsiaTheme="majorEastAsia"/>
          <w:color w:val="000000" w:themeColor="text1"/>
        </w:rPr>
      </w:pPr>
      <w:r w:rsidRPr="00E610CD">
        <w:rPr>
          <w:rFonts w:eastAsiaTheme="majorEastAsia"/>
          <w:color w:val="000000" w:themeColor="text1"/>
        </w:rPr>
        <w:t>This research makes specific contributions to both academic understanding and practical application:</w:t>
      </w:r>
    </w:p>
    <w:p w14:paraId="6A568ED4" w14:textId="77777777" w:rsidR="00281E73" w:rsidRPr="00E610CD" w:rsidRDefault="00281E73" w:rsidP="00AE1DED">
      <w:pPr>
        <w:jc w:val="both"/>
        <w:rPr>
          <w:rFonts w:eastAsiaTheme="majorEastAsia"/>
          <w:color w:val="000000" w:themeColor="text1"/>
        </w:rPr>
      </w:pPr>
    </w:p>
    <w:p w14:paraId="17D742A1" w14:textId="77777777" w:rsidR="006F6173" w:rsidRPr="00E610CD" w:rsidRDefault="006F6173" w:rsidP="00AE1DED">
      <w:pPr>
        <w:jc w:val="both"/>
        <w:rPr>
          <w:rFonts w:eastAsiaTheme="majorEastAsia"/>
          <w:color w:val="000000" w:themeColor="text1"/>
        </w:rPr>
      </w:pPr>
      <w:r w:rsidRPr="00E610CD">
        <w:rPr>
          <w:rFonts w:eastAsiaTheme="majorEastAsia"/>
          <w:b/>
          <w:bCs/>
          <w:color w:val="000000" w:themeColor="text1"/>
        </w:rPr>
        <w:t xml:space="preserve">Theoretical Contributions: </w:t>
      </w:r>
      <w:r w:rsidRPr="00E610CD">
        <w:rPr>
          <w:rFonts w:eastAsiaTheme="majorEastAsia"/>
          <w:color w:val="000000" w:themeColor="text1"/>
        </w:rPr>
        <w:t xml:space="preserve">First, the concept of conditional democratization provides a framework for understanding financial innovation that moves beyond binary success/failure narratives. This framework could apply to other fintech innovations where technology promises to eliminate barriers but </w:t>
      </w:r>
      <w:proofErr w:type="gramStart"/>
      <w:r w:rsidRPr="00E610CD">
        <w:rPr>
          <w:rFonts w:eastAsiaTheme="majorEastAsia"/>
          <w:color w:val="000000" w:themeColor="text1"/>
        </w:rPr>
        <w:t>creates</w:t>
      </w:r>
      <w:proofErr w:type="gramEnd"/>
      <w:r w:rsidRPr="00E610CD">
        <w:rPr>
          <w:rFonts w:eastAsiaTheme="majorEastAsia"/>
          <w:color w:val="000000" w:themeColor="text1"/>
        </w:rPr>
        <w:t xml:space="preserve"> new ones.</w:t>
      </w:r>
    </w:p>
    <w:p w14:paraId="3823DB27" w14:textId="77777777" w:rsidR="006F6173" w:rsidRPr="00E610CD" w:rsidRDefault="006F6173" w:rsidP="00AE1DED">
      <w:pPr>
        <w:jc w:val="both"/>
        <w:rPr>
          <w:rFonts w:eastAsiaTheme="majorEastAsia"/>
          <w:color w:val="000000" w:themeColor="text1"/>
        </w:rPr>
      </w:pPr>
      <w:r w:rsidRPr="00E610CD">
        <w:rPr>
          <w:rFonts w:eastAsiaTheme="majorEastAsia"/>
          <w:color w:val="000000" w:themeColor="text1"/>
        </w:rPr>
        <w:t> </w:t>
      </w:r>
    </w:p>
    <w:p w14:paraId="529B37A4" w14:textId="77777777" w:rsidR="006F6173" w:rsidRPr="00E610CD" w:rsidRDefault="006F6173" w:rsidP="00AE1DED">
      <w:pPr>
        <w:jc w:val="both"/>
        <w:rPr>
          <w:rFonts w:eastAsiaTheme="majorEastAsia"/>
          <w:color w:val="000000" w:themeColor="text1"/>
        </w:rPr>
      </w:pPr>
      <w:r w:rsidRPr="00E610CD">
        <w:rPr>
          <w:rFonts w:eastAsiaTheme="majorEastAsia"/>
          <w:color w:val="000000" w:themeColor="text1"/>
        </w:rPr>
        <w:t>Second, the documentation of anti-inductive market dynamics in DeFi provides empirical support for Soros's (1987) reflexivity theory in a new context. The rapid compression of opportunities as They are discovered has implications for understanding innovation cycles in transparent markets.</w:t>
      </w:r>
    </w:p>
    <w:p w14:paraId="0E6A0B08" w14:textId="77777777" w:rsidR="006F6173" w:rsidRPr="00E610CD" w:rsidRDefault="006F6173" w:rsidP="00AE1DED">
      <w:pPr>
        <w:jc w:val="both"/>
        <w:rPr>
          <w:rFonts w:eastAsiaTheme="majorEastAsia"/>
          <w:color w:val="000000" w:themeColor="text1"/>
        </w:rPr>
      </w:pPr>
    </w:p>
    <w:p w14:paraId="27B26B91" w14:textId="5597E5BA" w:rsidR="006F6173" w:rsidRPr="00E610CD" w:rsidRDefault="006F6173" w:rsidP="00AE1DED">
      <w:pPr>
        <w:jc w:val="both"/>
        <w:rPr>
          <w:rFonts w:eastAsiaTheme="majorEastAsia"/>
          <w:color w:val="000000" w:themeColor="text1"/>
        </w:rPr>
      </w:pPr>
      <w:r w:rsidRPr="00E610CD">
        <w:rPr>
          <w:rFonts w:eastAsiaTheme="majorEastAsia"/>
          <w:color w:val="000000" w:themeColor="text1"/>
        </w:rPr>
        <w:t xml:space="preserve">Third, the recognition of multiplicative rather than additive success variables </w:t>
      </w:r>
      <w:r w:rsidR="006B41B5" w:rsidRPr="00E610CD">
        <w:rPr>
          <w:rFonts w:eastAsiaTheme="majorEastAsia"/>
          <w:color w:val="000000" w:themeColor="text1"/>
        </w:rPr>
        <w:t>contest</w:t>
      </w:r>
      <w:r w:rsidRPr="00E610CD">
        <w:rPr>
          <w:rFonts w:eastAsiaTheme="majorEastAsia"/>
          <w:color w:val="000000" w:themeColor="text1"/>
        </w:rPr>
        <w:t xml:space="preserve"> portfolio theory assumptions on diversification. In DeFi, it's more important to get a lot of things perfect at once than to make any one item better. </w:t>
      </w:r>
    </w:p>
    <w:p w14:paraId="02D55D1E" w14:textId="77777777" w:rsidR="006F6173" w:rsidRPr="00E610CD" w:rsidRDefault="006F6173" w:rsidP="00AE1DED">
      <w:pPr>
        <w:jc w:val="both"/>
        <w:rPr>
          <w:rFonts w:eastAsiaTheme="majorEastAsia"/>
          <w:b/>
          <w:bCs/>
          <w:color w:val="000000" w:themeColor="text1"/>
        </w:rPr>
      </w:pPr>
      <w:r w:rsidRPr="00E610CD">
        <w:rPr>
          <w:rFonts w:eastAsiaTheme="majorEastAsia"/>
          <w:b/>
          <w:bCs/>
          <w:color w:val="000000" w:themeColor="text1"/>
        </w:rPr>
        <w:t> </w:t>
      </w:r>
    </w:p>
    <w:p w14:paraId="4E61E74B" w14:textId="77777777" w:rsidR="006F6173" w:rsidRPr="00E610CD" w:rsidRDefault="006F6173" w:rsidP="00AE1DED">
      <w:pPr>
        <w:jc w:val="both"/>
        <w:rPr>
          <w:rFonts w:eastAsiaTheme="majorEastAsia"/>
          <w:color w:val="000000" w:themeColor="text1"/>
        </w:rPr>
      </w:pPr>
      <w:r w:rsidRPr="00E610CD">
        <w:rPr>
          <w:rFonts w:eastAsiaTheme="majorEastAsia"/>
          <w:b/>
          <w:bCs/>
          <w:color w:val="000000" w:themeColor="text1"/>
        </w:rPr>
        <w:lastRenderedPageBreak/>
        <w:t xml:space="preserve">Practical Contributions: </w:t>
      </w:r>
      <w:r w:rsidRPr="00E610CD">
        <w:rPr>
          <w:rFonts w:eastAsiaTheme="majorEastAsia"/>
          <w:color w:val="000000" w:themeColor="text1"/>
        </w:rPr>
        <w:t xml:space="preserve">This research offers evidence-based criteria and success variables that might guide potential participants in their judgments on involvement. The fact that 73% (95% CI: 65%-80%) of jobs failed is not meant to make people less likely to participate, but to make sure they are ready and have realistic expectations. </w:t>
      </w:r>
    </w:p>
    <w:p w14:paraId="1CF30636" w14:textId="77777777" w:rsidR="006F6173" w:rsidRPr="00E610CD" w:rsidRDefault="006F6173" w:rsidP="00AE1DED">
      <w:pPr>
        <w:jc w:val="both"/>
        <w:rPr>
          <w:rFonts w:eastAsiaTheme="majorEastAsia"/>
          <w:color w:val="000000" w:themeColor="text1"/>
        </w:rPr>
      </w:pPr>
      <w:r w:rsidRPr="00E610CD">
        <w:rPr>
          <w:rFonts w:eastAsiaTheme="majorEastAsia"/>
          <w:color w:val="000000" w:themeColor="text1"/>
        </w:rPr>
        <w:t> </w:t>
      </w:r>
    </w:p>
    <w:p w14:paraId="3242078E" w14:textId="324BE7D0" w:rsidR="006F6173" w:rsidRPr="00E610CD" w:rsidRDefault="006F6173" w:rsidP="00AE1DED">
      <w:pPr>
        <w:jc w:val="both"/>
        <w:rPr>
          <w:rFonts w:eastAsiaTheme="majorEastAsia"/>
          <w:color w:val="000000" w:themeColor="text1"/>
        </w:rPr>
      </w:pPr>
      <w:r w:rsidRPr="00E610CD">
        <w:rPr>
          <w:rFonts w:eastAsiaTheme="majorEastAsia"/>
          <w:color w:val="000000" w:themeColor="text1"/>
        </w:rPr>
        <w:t xml:space="preserve">For policymakers, the evidence suggests that DeFi creates both opportunities and risks that do not </w:t>
      </w:r>
      <w:r w:rsidR="006B41B5" w:rsidRPr="00E610CD">
        <w:rPr>
          <w:rFonts w:eastAsiaTheme="majorEastAsia"/>
          <w:color w:val="000000" w:themeColor="text1"/>
        </w:rPr>
        <w:t>align</w:t>
      </w:r>
      <w:r w:rsidRPr="00E610CD">
        <w:rPr>
          <w:rFonts w:eastAsiaTheme="majorEastAsia"/>
          <w:color w:val="000000" w:themeColor="text1"/>
        </w:rPr>
        <w:t xml:space="preserve"> with existing regulatory frameworks. The 41% annual incident probability raises major concerns </w:t>
      </w:r>
      <w:r w:rsidR="006B41B5" w:rsidRPr="00E610CD">
        <w:rPr>
          <w:rFonts w:eastAsiaTheme="majorEastAsia"/>
          <w:color w:val="000000" w:themeColor="text1"/>
        </w:rPr>
        <w:t>around</w:t>
      </w:r>
      <w:r w:rsidRPr="00E610CD">
        <w:rPr>
          <w:rFonts w:eastAsiaTheme="majorEastAsia"/>
          <w:color w:val="000000" w:themeColor="text1"/>
        </w:rPr>
        <w:t xml:space="preserve"> consumer protection, while the genuine opportunities for some participants suggest an overly restrictive regulation which could eliminate real value.</w:t>
      </w:r>
    </w:p>
    <w:p w14:paraId="2A28A66F" w14:textId="77777777" w:rsidR="006F6173" w:rsidRPr="00E610CD" w:rsidRDefault="006F6173" w:rsidP="00AE1DED">
      <w:pPr>
        <w:jc w:val="both"/>
        <w:rPr>
          <w:rFonts w:eastAsiaTheme="majorEastAsia"/>
          <w:color w:val="000000" w:themeColor="text1"/>
        </w:rPr>
      </w:pPr>
      <w:r w:rsidRPr="00E610CD">
        <w:rPr>
          <w:rFonts w:eastAsiaTheme="majorEastAsia"/>
          <w:color w:val="000000" w:themeColor="text1"/>
        </w:rPr>
        <w:t> </w:t>
      </w:r>
    </w:p>
    <w:p w14:paraId="7485AD9D" w14:textId="13824629" w:rsidR="006F6173" w:rsidRPr="00E610CD" w:rsidRDefault="006F6173" w:rsidP="00AE1DED">
      <w:pPr>
        <w:jc w:val="both"/>
        <w:rPr>
          <w:rFonts w:eastAsiaTheme="majorEastAsia"/>
          <w:color w:val="000000" w:themeColor="text1"/>
        </w:rPr>
      </w:pPr>
      <w:r w:rsidRPr="00E610CD">
        <w:rPr>
          <w:rFonts w:eastAsiaTheme="majorEastAsia"/>
          <w:color w:val="000000" w:themeColor="text1"/>
        </w:rPr>
        <w:t xml:space="preserve">The gap between technical accessibility and commercial feasibility for protocol developers shows that there is a lot of potential for new ideas to lower prices and make things easier to use. The fact that basic stablecoin tactics work better than complicated ones suggests that user experience and ease of usage may be more important than advanced features. This is an area that may make Defi more democratized in the future and </w:t>
      </w:r>
      <w:proofErr w:type="gramStart"/>
      <w:r w:rsidRPr="00E610CD">
        <w:rPr>
          <w:rFonts w:eastAsiaTheme="majorEastAsia"/>
          <w:color w:val="000000" w:themeColor="text1"/>
        </w:rPr>
        <w:t>eliminating</w:t>
      </w:r>
      <w:proofErr w:type="gramEnd"/>
      <w:r w:rsidRPr="00E610CD">
        <w:rPr>
          <w:rFonts w:eastAsiaTheme="majorEastAsia"/>
          <w:color w:val="000000" w:themeColor="text1"/>
        </w:rPr>
        <w:t xml:space="preserve"> or </w:t>
      </w:r>
      <w:proofErr w:type="gramStart"/>
      <w:r w:rsidRPr="00E610CD">
        <w:rPr>
          <w:rFonts w:eastAsiaTheme="majorEastAsia"/>
          <w:color w:val="000000" w:themeColor="text1"/>
        </w:rPr>
        <w:t>minimizing</w:t>
      </w:r>
      <w:proofErr w:type="gramEnd"/>
      <w:r w:rsidRPr="00E610CD">
        <w:rPr>
          <w:rFonts w:eastAsiaTheme="majorEastAsia"/>
          <w:color w:val="000000" w:themeColor="text1"/>
        </w:rPr>
        <w:t xml:space="preserve"> the current restrictions.</w:t>
      </w:r>
    </w:p>
    <w:p w14:paraId="130EA5B6" w14:textId="77777777" w:rsidR="00312D96" w:rsidRPr="00E610CD" w:rsidRDefault="00312D96" w:rsidP="00AE1DED">
      <w:pPr>
        <w:jc w:val="both"/>
        <w:rPr>
          <w:rFonts w:eastAsiaTheme="majorEastAsia"/>
          <w:color w:val="000000" w:themeColor="text1"/>
        </w:rPr>
      </w:pPr>
    </w:p>
    <w:p w14:paraId="74B97093" w14:textId="77777777" w:rsidR="006D5D75" w:rsidRPr="00E610CD" w:rsidRDefault="006D5D75" w:rsidP="00AE1DED">
      <w:pPr>
        <w:pStyle w:val="Heading3"/>
        <w:jc w:val="both"/>
        <w:rPr>
          <w:color w:val="000000" w:themeColor="text1"/>
          <w:kern w:val="0"/>
          <w:sz w:val="27"/>
          <w:szCs w:val="27"/>
        </w:rPr>
      </w:pPr>
      <w:bookmarkStart w:id="251" w:name="_Toc214722057"/>
      <w:r w:rsidRPr="00E610CD">
        <w:rPr>
          <w:color w:val="000000" w:themeColor="text1"/>
        </w:rPr>
        <w:t>11.7.1 Theoretical Framework Integration: Connecting Contributions</w:t>
      </w:r>
      <w:bookmarkEnd w:id="251"/>
    </w:p>
    <w:p w14:paraId="0920A613" w14:textId="77777777" w:rsidR="006D5D75" w:rsidRDefault="006D5D75" w:rsidP="00AE1DED">
      <w:pPr>
        <w:pStyle w:val="whitespace-normal"/>
        <w:spacing w:before="0" w:beforeAutospacing="0" w:after="0" w:afterAutospacing="0"/>
        <w:jc w:val="both"/>
        <w:rPr>
          <w:color w:val="000000" w:themeColor="text1"/>
        </w:rPr>
      </w:pPr>
      <w:r w:rsidRPr="00E610CD">
        <w:rPr>
          <w:color w:val="000000" w:themeColor="text1"/>
        </w:rPr>
        <w:t>The four theoretical contributions developed in Sections 11.2.1-11.2.5 form an integrated framework for understanding DeFi's actual versus claimed effects. This section synthesizes how these contributions relate to each other and to the empirical findings documented in Chapters 7-10.</w:t>
      </w:r>
    </w:p>
    <w:p w14:paraId="02B9CFBD" w14:textId="77777777" w:rsidR="002F1BF1" w:rsidRPr="00E610CD" w:rsidRDefault="002F1BF1" w:rsidP="00AE1DED">
      <w:pPr>
        <w:pStyle w:val="whitespace-normal"/>
        <w:spacing w:before="0" w:beforeAutospacing="0" w:after="0" w:afterAutospacing="0"/>
        <w:jc w:val="both"/>
        <w:rPr>
          <w:color w:val="000000" w:themeColor="text1"/>
        </w:rPr>
      </w:pPr>
    </w:p>
    <w:p w14:paraId="68E90047" w14:textId="7F684C54" w:rsidR="00116A0F" w:rsidRDefault="006D5D75" w:rsidP="00AE1DED">
      <w:pPr>
        <w:pStyle w:val="Heading3"/>
        <w:rPr>
          <w:rStyle w:val="Strong"/>
          <w:b/>
          <w:bCs w:val="0"/>
        </w:rPr>
      </w:pPr>
      <w:bookmarkStart w:id="252" w:name="_Toc214722058"/>
      <w:r w:rsidRPr="00201C2B">
        <w:rPr>
          <w:rStyle w:val="Strong"/>
          <w:b/>
          <w:bCs w:val="0"/>
        </w:rPr>
        <w:t>Table 11.</w:t>
      </w:r>
      <w:r w:rsidR="00546ABE">
        <w:rPr>
          <w:rStyle w:val="Strong"/>
          <w:b/>
          <w:bCs w:val="0"/>
        </w:rPr>
        <w:t>D</w:t>
      </w:r>
      <w:r w:rsidRPr="00201C2B">
        <w:rPr>
          <w:rStyle w:val="Strong"/>
          <w:b/>
          <w:bCs w:val="0"/>
        </w:rPr>
        <w:t>: Theoretical Contributions and Empirical Grounding</w:t>
      </w:r>
      <w:bookmarkEnd w:id="252"/>
    </w:p>
    <w:p w14:paraId="0337C34D" w14:textId="77777777" w:rsidR="00201C2B" w:rsidRPr="00201C2B" w:rsidRDefault="00201C2B" w:rsidP="00AE1DED"/>
    <w:tbl>
      <w:tblPr>
        <w:tblW w:w="9355" w:type="dxa"/>
        <w:tblLook w:val="04A0" w:firstRow="1" w:lastRow="0" w:firstColumn="1" w:lastColumn="0" w:noHBand="0" w:noVBand="1"/>
      </w:tblPr>
      <w:tblGrid>
        <w:gridCol w:w="1949"/>
        <w:gridCol w:w="1620"/>
        <w:gridCol w:w="2186"/>
        <w:gridCol w:w="1985"/>
        <w:gridCol w:w="1615"/>
      </w:tblGrid>
      <w:tr w:rsidR="00E610CD" w:rsidRPr="00E610CD" w14:paraId="745B5346" w14:textId="77777777" w:rsidTr="003F1729">
        <w:trPr>
          <w:trHeight w:val="287"/>
        </w:trPr>
        <w:tc>
          <w:tcPr>
            <w:tcW w:w="1949"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vAlign w:val="center"/>
            <w:hideMark/>
          </w:tcPr>
          <w:p w14:paraId="4C65D3CA" w14:textId="77777777" w:rsidR="006D5D75" w:rsidRPr="00E610CD" w:rsidRDefault="006D5D75" w:rsidP="00AE1DED">
            <w:pPr>
              <w:jc w:val="both"/>
              <w:rPr>
                <w:b/>
                <w:bCs/>
                <w:color w:val="000000" w:themeColor="text1"/>
                <w:sz w:val="20"/>
                <w:szCs w:val="20"/>
              </w:rPr>
            </w:pPr>
            <w:r w:rsidRPr="00E610CD">
              <w:rPr>
                <w:b/>
                <w:bCs/>
                <w:color w:val="000000" w:themeColor="text1"/>
                <w:sz w:val="20"/>
                <w:szCs w:val="20"/>
              </w:rPr>
              <w:t>Theoretical Contribution</w:t>
            </w:r>
          </w:p>
        </w:tc>
        <w:tc>
          <w:tcPr>
            <w:tcW w:w="1620" w:type="dxa"/>
            <w:tcBorders>
              <w:top w:val="single" w:sz="4" w:space="0" w:color="BFBFBF"/>
              <w:left w:val="nil"/>
              <w:bottom w:val="single" w:sz="4" w:space="0" w:color="BFBFBF"/>
              <w:right w:val="single" w:sz="4" w:space="0" w:color="BFBFBF"/>
            </w:tcBorders>
            <w:shd w:val="clear" w:color="auto" w:fill="D9D9D9" w:themeFill="background1" w:themeFillShade="D9"/>
            <w:vAlign w:val="center"/>
            <w:hideMark/>
          </w:tcPr>
          <w:p w14:paraId="797ABAE8" w14:textId="77777777" w:rsidR="006D5D75" w:rsidRPr="00E610CD" w:rsidRDefault="006D5D75" w:rsidP="00AE1DED">
            <w:pPr>
              <w:jc w:val="both"/>
              <w:rPr>
                <w:b/>
                <w:bCs/>
                <w:color w:val="000000" w:themeColor="text1"/>
                <w:sz w:val="20"/>
                <w:szCs w:val="20"/>
              </w:rPr>
            </w:pPr>
            <w:r w:rsidRPr="00E610CD">
              <w:rPr>
                <w:b/>
                <w:bCs/>
                <w:color w:val="000000" w:themeColor="text1"/>
                <w:sz w:val="20"/>
                <w:szCs w:val="20"/>
              </w:rPr>
              <w:t>Core Claim</w:t>
            </w:r>
          </w:p>
        </w:tc>
        <w:tc>
          <w:tcPr>
            <w:tcW w:w="2186" w:type="dxa"/>
            <w:tcBorders>
              <w:top w:val="single" w:sz="4" w:space="0" w:color="BFBFBF"/>
              <w:left w:val="nil"/>
              <w:bottom w:val="single" w:sz="4" w:space="0" w:color="BFBFBF"/>
              <w:right w:val="single" w:sz="4" w:space="0" w:color="BFBFBF"/>
            </w:tcBorders>
            <w:shd w:val="clear" w:color="auto" w:fill="D9D9D9" w:themeFill="background1" w:themeFillShade="D9"/>
            <w:vAlign w:val="center"/>
            <w:hideMark/>
          </w:tcPr>
          <w:p w14:paraId="74613DE7" w14:textId="77777777" w:rsidR="006D5D75" w:rsidRPr="00E610CD" w:rsidRDefault="006D5D75" w:rsidP="00AE1DED">
            <w:pPr>
              <w:jc w:val="both"/>
              <w:rPr>
                <w:b/>
                <w:bCs/>
                <w:color w:val="000000" w:themeColor="text1"/>
                <w:sz w:val="20"/>
                <w:szCs w:val="20"/>
              </w:rPr>
            </w:pPr>
            <w:r w:rsidRPr="00E610CD">
              <w:rPr>
                <w:b/>
                <w:bCs/>
                <w:color w:val="000000" w:themeColor="text1"/>
                <w:sz w:val="20"/>
                <w:szCs w:val="20"/>
              </w:rPr>
              <w:t>Empirical Evidence</w:t>
            </w:r>
          </w:p>
        </w:tc>
        <w:tc>
          <w:tcPr>
            <w:tcW w:w="1985" w:type="dxa"/>
            <w:tcBorders>
              <w:top w:val="single" w:sz="4" w:space="0" w:color="BFBFBF"/>
              <w:left w:val="nil"/>
              <w:bottom w:val="single" w:sz="4" w:space="0" w:color="BFBFBF"/>
              <w:right w:val="single" w:sz="4" w:space="0" w:color="BFBFBF"/>
            </w:tcBorders>
            <w:shd w:val="clear" w:color="auto" w:fill="D9D9D9" w:themeFill="background1" w:themeFillShade="D9"/>
            <w:vAlign w:val="center"/>
            <w:hideMark/>
          </w:tcPr>
          <w:p w14:paraId="5190CF36" w14:textId="77777777" w:rsidR="006D5D75" w:rsidRPr="00E610CD" w:rsidRDefault="006D5D75" w:rsidP="00AE1DED">
            <w:pPr>
              <w:jc w:val="both"/>
              <w:rPr>
                <w:b/>
                <w:bCs/>
                <w:color w:val="000000" w:themeColor="text1"/>
                <w:sz w:val="20"/>
                <w:szCs w:val="20"/>
              </w:rPr>
            </w:pPr>
            <w:r w:rsidRPr="00E610CD">
              <w:rPr>
                <w:b/>
                <w:bCs/>
                <w:color w:val="000000" w:themeColor="text1"/>
                <w:sz w:val="20"/>
                <w:szCs w:val="20"/>
              </w:rPr>
              <w:t>Practical Implication</w:t>
            </w:r>
          </w:p>
        </w:tc>
        <w:tc>
          <w:tcPr>
            <w:tcW w:w="1615" w:type="dxa"/>
            <w:tcBorders>
              <w:top w:val="single" w:sz="4" w:space="0" w:color="BFBFBF"/>
              <w:left w:val="nil"/>
              <w:bottom w:val="single" w:sz="4" w:space="0" w:color="BFBFBF"/>
              <w:right w:val="single" w:sz="4" w:space="0" w:color="BFBFBF"/>
            </w:tcBorders>
            <w:shd w:val="clear" w:color="auto" w:fill="D9D9D9" w:themeFill="background1" w:themeFillShade="D9"/>
            <w:vAlign w:val="center"/>
            <w:hideMark/>
          </w:tcPr>
          <w:p w14:paraId="3B6A340B" w14:textId="77777777" w:rsidR="006D5D75" w:rsidRPr="00E610CD" w:rsidRDefault="006D5D75" w:rsidP="00AE1DED">
            <w:pPr>
              <w:jc w:val="both"/>
              <w:rPr>
                <w:b/>
                <w:bCs/>
                <w:color w:val="000000" w:themeColor="text1"/>
                <w:sz w:val="20"/>
                <w:szCs w:val="20"/>
              </w:rPr>
            </w:pPr>
            <w:r w:rsidRPr="00E610CD">
              <w:rPr>
                <w:b/>
                <w:bCs/>
                <w:color w:val="000000" w:themeColor="text1"/>
                <w:sz w:val="20"/>
                <w:szCs w:val="20"/>
              </w:rPr>
              <w:t>Related Concepts</w:t>
            </w:r>
          </w:p>
        </w:tc>
      </w:tr>
      <w:tr w:rsidR="00E610CD" w:rsidRPr="00E610CD" w14:paraId="790EED94" w14:textId="77777777" w:rsidTr="003F1729">
        <w:trPr>
          <w:trHeight w:val="71"/>
        </w:trPr>
        <w:tc>
          <w:tcPr>
            <w:tcW w:w="1949" w:type="dxa"/>
            <w:tcBorders>
              <w:top w:val="nil"/>
              <w:left w:val="single" w:sz="4" w:space="0" w:color="BFBFBF"/>
              <w:bottom w:val="single" w:sz="4" w:space="0" w:color="BFBFBF"/>
              <w:right w:val="single" w:sz="4" w:space="0" w:color="BFBFBF"/>
            </w:tcBorders>
            <w:shd w:val="clear" w:color="auto" w:fill="D9D9D9" w:themeFill="background1" w:themeFillShade="D9"/>
            <w:vAlign w:val="center"/>
            <w:hideMark/>
          </w:tcPr>
          <w:p w14:paraId="6E9696FE" w14:textId="628077FC" w:rsidR="006D5D75" w:rsidRPr="00E610CD" w:rsidRDefault="006D5D75" w:rsidP="00AE1DED">
            <w:pPr>
              <w:jc w:val="both"/>
              <w:rPr>
                <w:b/>
                <w:bCs/>
                <w:color w:val="000000" w:themeColor="text1"/>
                <w:sz w:val="20"/>
                <w:szCs w:val="20"/>
              </w:rPr>
            </w:pPr>
            <w:r w:rsidRPr="00E610CD">
              <w:rPr>
                <w:b/>
                <w:bCs/>
                <w:color w:val="000000" w:themeColor="text1"/>
                <w:sz w:val="20"/>
                <w:szCs w:val="20"/>
              </w:rPr>
              <w:t>Reintermediation</w:t>
            </w:r>
            <w:r w:rsidRPr="00E610CD">
              <w:rPr>
                <w:color w:val="000000" w:themeColor="text1"/>
                <w:sz w:val="20"/>
                <w:szCs w:val="20"/>
              </w:rPr>
              <w:t xml:space="preserve"> </w:t>
            </w:r>
          </w:p>
        </w:tc>
        <w:tc>
          <w:tcPr>
            <w:tcW w:w="1620" w:type="dxa"/>
            <w:tcBorders>
              <w:top w:val="nil"/>
              <w:left w:val="nil"/>
              <w:bottom w:val="single" w:sz="4" w:space="0" w:color="BFBFBF"/>
              <w:right w:val="single" w:sz="4" w:space="0" w:color="BFBFBF"/>
            </w:tcBorders>
            <w:vAlign w:val="center"/>
            <w:hideMark/>
          </w:tcPr>
          <w:p w14:paraId="222B8423" w14:textId="77777777" w:rsidR="006D5D75" w:rsidRPr="00E610CD" w:rsidRDefault="006D5D75" w:rsidP="00AE1DED">
            <w:pPr>
              <w:rPr>
                <w:color w:val="000000" w:themeColor="text1"/>
                <w:sz w:val="20"/>
                <w:szCs w:val="20"/>
              </w:rPr>
            </w:pPr>
            <w:r w:rsidRPr="00E610CD">
              <w:rPr>
                <w:color w:val="000000" w:themeColor="text1"/>
                <w:sz w:val="20"/>
                <w:szCs w:val="20"/>
              </w:rPr>
              <w:t>DeFi disaggregates rather than eliminates intermediation</w:t>
            </w:r>
          </w:p>
        </w:tc>
        <w:tc>
          <w:tcPr>
            <w:tcW w:w="2186" w:type="dxa"/>
            <w:tcBorders>
              <w:top w:val="nil"/>
              <w:left w:val="nil"/>
              <w:bottom w:val="single" w:sz="4" w:space="0" w:color="BFBFBF"/>
              <w:right w:val="single" w:sz="4" w:space="0" w:color="BFBFBF"/>
            </w:tcBorders>
            <w:vAlign w:val="center"/>
            <w:hideMark/>
          </w:tcPr>
          <w:p w14:paraId="7A7901E9" w14:textId="77777777" w:rsidR="006D5D75" w:rsidRPr="00E610CD" w:rsidRDefault="006D5D75" w:rsidP="00AE1DED">
            <w:pPr>
              <w:rPr>
                <w:color w:val="000000" w:themeColor="text1"/>
                <w:sz w:val="20"/>
                <w:szCs w:val="20"/>
              </w:rPr>
            </w:pPr>
            <w:r w:rsidRPr="00E610CD">
              <w:rPr>
                <w:color w:val="000000" w:themeColor="text1"/>
                <w:sz w:val="20"/>
                <w:szCs w:val="20"/>
              </w:rPr>
              <w:t xml:space="preserve">15-20 </w:t>
            </w:r>
            <w:proofErr w:type="spellStart"/>
            <w:r w:rsidRPr="00E610CD">
              <w:rPr>
                <w:color w:val="000000" w:themeColor="text1"/>
                <w:sz w:val="20"/>
                <w:szCs w:val="20"/>
              </w:rPr>
              <w:t>hrs</w:t>
            </w:r>
            <w:proofErr w:type="spellEnd"/>
            <w:r w:rsidRPr="00E610CD">
              <w:rPr>
                <w:color w:val="000000" w:themeColor="text1"/>
                <w:sz w:val="20"/>
                <w:szCs w:val="20"/>
              </w:rPr>
              <w:t>/week management requirement (Section 8.5); Participants perform functions banks bundle</w:t>
            </w:r>
          </w:p>
        </w:tc>
        <w:tc>
          <w:tcPr>
            <w:tcW w:w="1985" w:type="dxa"/>
            <w:tcBorders>
              <w:top w:val="nil"/>
              <w:left w:val="nil"/>
              <w:bottom w:val="single" w:sz="4" w:space="0" w:color="BFBFBF"/>
              <w:right w:val="single" w:sz="4" w:space="0" w:color="BFBFBF"/>
            </w:tcBorders>
            <w:vAlign w:val="center"/>
            <w:hideMark/>
          </w:tcPr>
          <w:p w14:paraId="0F4B47A0" w14:textId="77777777" w:rsidR="006D5D75" w:rsidRPr="00E610CD" w:rsidRDefault="006D5D75" w:rsidP="00AE1DED">
            <w:pPr>
              <w:rPr>
                <w:color w:val="000000" w:themeColor="text1"/>
                <w:sz w:val="20"/>
                <w:szCs w:val="20"/>
              </w:rPr>
            </w:pPr>
            <w:r w:rsidRPr="00E610CD">
              <w:rPr>
                <w:color w:val="000000" w:themeColor="text1"/>
                <w:sz w:val="20"/>
                <w:szCs w:val="20"/>
              </w:rPr>
              <w:t>Participation requires capability to perform unbundled functions</w:t>
            </w:r>
          </w:p>
        </w:tc>
        <w:tc>
          <w:tcPr>
            <w:tcW w:w="1615" w:type="dxa"/>
            <w:tcBorders>
              <w:top w:val="nil"/>
              <w:left w:val="nil"/>
              <w:bottom w:val="single" w:sz="4" w:space="0" w:color="BFBFBF"/>
              <w:right w:val="single" w:sz="4" w:space="0" w:color="BFBFBF"/>
            </w:tcBorders>
            <w:vAlign w:val="center"/>
            <w:hideMark/>
          </w:tcPr>
          <w:p w14:paraId="560781E4" w14:textId="77777777" w:rsidR="006D5D75" w:rsidRPr="00E610CD" w:rsidRDefault="006D5D75" w:rsidP="00AE1DED">
            <w:pPr>
              <w:rPr>
                <w:color w:val="000000" w:themeColor="text1"/>
                <w:sz w:val="20"/>
                <w:szCs w:val="20"/>
              </w:rPr>
            </w:pPr>
            <w:r w:rsidRPr="00E610CD">
              <w:rPr>
                <w:color w:val="000000" w:themeColor="text1"/>
                <w:sz w:val="20"/>
                <w:szCs w:val="20"/>
              </w:rPr>
              <w:t>Transaction cost economics; Institutional theory</w:t>
            </w:r>
          </w:p>
        </w:tc>
      </w:tr>
      <w:tr w:rsidR="00E610CD" w:rsidRPr="00E610CD" w14:paraId="0FFD31E0" w14:textId="77777777" w:rsidTr="003F1729">
        <w:trPr>
          <w:trHeight w:val="521"/>
        </w:trPr>
        <w:tc>
          <w:tcPr>
            <w:tcW w:w="1949" w:type="dxa"/>
            <w:tcBorders>
              <w:top w:val="nil"/>
              <w:left w:val="single" w:sz="4" w:space="0" w:color="BFBFBF"/>
              <w:bottom w:val="single" w:sz="4" w:space="0" w:color="BFBFBF"/>
              <w:right w:val="single" w:sz="4" w:space="0" w:color="BFBFBF"/>
            </w:tcBorders>
            <w:shd w:val="clear" w:color="auto" w:fill="D9D9D9" w:themeFill="background1" w:themeFillShade="D9"/>
            <w:vAlign w:val="center"/>
            <w:hideMark/>
          </w:tcPr>
          <w:p w14:paraId="4CBD3A3B" w14:textId="7587E040" w:rsidR="006D5D75" w:rsidRPr="00E610CD" w:rsidRDefault="006D5D75" w:rsidP="00AE1DED">
            <w:pPr>
              <w:jc w:val="both"/>
              <w:rPr>
                <w:b/>
                <w:bCs/>
                <w:color w:val="000000" w:themeColor="text1"/>
                <w:sz w:val="20"/>
                <w:szCs w:val="20"/>
              </w:rPr>
            </w:pPr>
            <w:r w:rsidRPr="00E610CD">
              <w:rPr>
                <w:b/>
                <w:bCs/>
                <w:color w:val="000000" w:themeColor="text1"/>
                <w:sz w:val="20"/>
                <w:szCs w:val="20"/>
              </w:rPr>
              <w:t>Capital Formation Dynamics</w:t>
            </w:r>
            <w:r w:rsidRPr="00E610CD">
              <w:rPr>
                <w:color w:val="000000" w:themeColor="text1"/>
                <w:sz w:val="20"/>
                <w:szCs w:val="20"/>
              </w:rPr>
              <w:t xml:space="preserve"> </w:t>
            </w:r>
          </w:p>
        </w:tc>
        <w:tc>
          <w:tcPr>
            <w:tcW w:w="1620" w:type="dxa"/>
            <w:tcBorders>
              <w:top w:val="nil"/>
              <w:left w:val="nil"/>
              <w:bottom w:val="single" w:sz="4" w:space="0" w:color="BFBFBF"/>
              <w:right w:val="single" w:sz="4" w:space="0" w:color="BFBFBF"/>
            </w:tcBorders>
            <w:vAlign w:val="center"/>
            <w:hideMark/>
          </w:tcPr>
          <w:p w14:paraId="126FBFD4" w14:textId="77777777" w:rsidR="006D5D75" w:rsidRPr="00E610CD" w:rsidRDefault="006D5D75" w:rsidP="00AE1DED">
            <w:pPr>
              <w:rPr>
                <w:color w:val="000000" w:themeColor="text1"/>
                <w:sz w:val="20"/>
                <w:szCs w:val="20"/>
              </w:rPr>
            </w:pPr>
            <w:r w:rsidRPr="00E610CD">
              <w:rPr>
                <w:color w:val="000000" w:themeColor="text1"/>
                <w:sz w:val="20"/>
                <w:szCs w:val="20"/>
              </w:rPr>
              <w:t>Step-function growth with discontinuous jumps, not smooth compounding</w:t>
            </w:r>
          </w:p>
        </w:tc>
        <w:tc>
          <w:tcPr>
            <w:tcW w:w="2186" w:type="dxa"/>
            <w:tcBorders>
              <w:top w:val="nil"/>
              <w:left w:val="nil"/>
              <w:bottom w:val="single" w:sz="4" w:space="0" w:color="BFBFBF"/>
              <w:right w:val="single" w:sz="4" w:space="0" w:color="BFBFBF"/>
            </w:tcBorders>
            <w:vAlign w:val="center"/>
            <w:hideMark/>
          </w:tcPr>
          <w:p w14:paraId="641EEC0C" w14:textId="77777777" w:rsidR="006D5D75" w:rsidRPr="00E610CD" w:rsidRDefault="006D5D75" w:rsidP="00AE1DED">
            <w:pPr>
              <w:rPr>
                <w:color w:val="000000" w:themeColor="text1"/>
                <w:sz w:val="20"/>
                <w:szCs w:val="20"/>
              </w:rPr>
            </w:pPr>
            <w:r w:rsidRPr="00E610CD">
              <w:rPr>
                <w:color w:val="000000" w:themeColor="text1"/>
                <w:sz w:val="20"/>
                <w:szCs w:val="20"/>
              </w:rPr>
              <w:t>12.2% quarterly incidents causing 67% average losses (Chapter 7); Punctuated returns not continuous</w:t>
            </w:r>
          </w:p>
        </w:tc>
        <w:tc>
          <w:tcPr>
            <w:tcW w:w="1985" w:type="dxa"/>
            <w:tcBorders>
              <w:top w:val="nil"/>
              <w:left w:val="nil"/>
              <w:bottom w:val="single" w:sz="4" w:space="0" w:color="BFBFBF"/>
              <w:right w:val="single" w:sz="4" w:space="0" w:color="BFBFBF"/>
            </w:tcBorders>
            <w:vAlign w:val="center"/>
            <w:hideMark/>
          </w:tcPr>
          <w:p w14:paraId="115285DE" w14:textId="77777777" w:rsidR="006D5D75" w:rsidRPr="00E610CD" w:rsidRDefault="006D5D75" w:rsidP="00AE1DED">
            <w:pPr>
              <w:rPr>
                <w:color w:val="000000" w:themeColor="text1"/>
                <w:sz w:val="20"/>
                <w:szCs w:val="20"/>
              </w:rPr>
            </w:pPr>
            <w:r w:rsidRPr="00E610CD">
              <w:rPr>
                <w:color w:val="000000" w:themeColor="text1"/>
                <w:sz w:val="20"/>
                <w:szCs w:val="20"/>
              </w:rPr>
              <w:t>Position sizing for survival, not optimization</w:t>
            </w:r>
          </w:p>
        </w:tc>
        <w:tc>
          <w:tcPr>
            <w:tcW w:w="1615" w:type="dxa"/>
            <w:tcBorders>
              <w:top w:val="nil"/>
              <w:left w:val="nil"/>
              <w:bottom w:val="single" w:sz="4" w:space="0" w:color="BFBFBF"/>
              <w:right w:val="single" w:sz="4" w:space="0" w:color="BFBFBF"/>
            </w:tcBorders>
            <w:vAlign w:val="center"/>
            <w:hideMark/>
          </w:tcPr>
          <w:p w14:paraId="25E652A4" w14:textId="77777777" w:rsidR="006D5D75" w:rsidRPr="00E610CD" w:rsidRDefault="006D5D75" w:rsidP="00AE1DED">
            <w:pPr>
              <w:rPr>
                <w:color w:val="000000" w:themeColor="text1"/>
                <w:sz w:val="20"/>
                <w:szCs w:val="20"/>
              </w:rPr>
            </w:pPr>
            <w:r w:rsidRPr="00E610CD">
              <w:rPr>
                <w:color w:val="000000" w:themeColor="text1"/>
                <w:sz w:val="20"/>
                <w:szCs w:val="20"/>
              </w:rPr>
              <w:t>Punctuated equilibrium; Fat-tailed distributions</w:t>
            </w:r>
          </w:p>
        </w:tc>
      </w:tr>
      <w:tr w:rsidR="00E610CD" w:rsidRPr="00E610CD" w14:paraId="76782677" w14:textId="77777777" w:rsidTr="003F1729">
        <w:trPr>
          <w:trHeight w:val="548"/>
        </w:trPr>
        <w:tc>
          <w:tcPr>
            <w:tcW w:w="1949" w:type="dxa"/>
            <w:tcBorders>
              <w:top w:val="nil"/>
              <w:left w:val="single" w:sz="4" w:space="0" w:color="BFBFBF"/>
              <w:bottom w:val="single" w:sz="4" w:space="0" w:color="BFBFBF"/>
              <w:right w:val="single" w:sz="4" w:space="0" w:color="BFBFBF"/>
            </w:tcBorders>
            <w:shd w:val="clear" w:color="auto" w:fill="D9D9D9" w:themeFill="background1" w:themeFillShade="D9"/>
            <w:vAlign w:val="center"/>
            <w:hideMark/>
          </w:tcPr>
          <w:p w14:paraId="7F6F1F1C" w14:textId="78B2F20E" w:rsidR="006D5D75" w:rsidRPr="00E610CD" w:rsidRDefault="006D5D75" w:rsidP="00AE1DED">
            <w:pPr>
              <w:jc w:val="both"/>
              <w:rPr>
                <w:b/>
                <w:bCs/>
                <w:color w:val="000000" w:themeColor="text1"/>
                <w:sz w:val="20"/>
                <w:szCs w:val="20"/>
              </w:rPr>
            </w:pPr>
            <w:r w:rsidRPr="00E610CD">
              <w:rPr>
                <w:b/>
                <w:bCs/>
                <w:color w:val="000000" w:themeColor="text1"/>
                <w:sz w:val="20"/>
                <w:szCs w:val="20"/>
              </w:rPr>
              <w:t>Anti-Inductivity</w:t>
            </w:r>
            <w:r w:rsidRPr="00E610CD">
              <w:rPr>
                <w:color w:val="000000" w:themeColor="text1"/>
                <w:sz w:val="20"/>
                <w:szCs w:val="20"/>
              </w:rPr>
              <w:t xml:space="preserve"> </w:t>
            </w:r>
          </w:p>
        </w:tc>
        <w:tc>
          <w:tcPr>
            <w:tcW w:w="1620" w:type="dxa"/>
            <w:tcBorders>
              <w:top w:val="nil"/>
              <w:left w:val="nil"/>
              <w:bottom w:val="single" w:sz="4" w:space="0" w:color="BFBFBF"/>
              <w:right w:val="single" w:sz="4" w:space="0" w:color="BFBFBF"/>
            </w:tcBorders>
            <w:vAlign w:val="center"/>
            <w:hideMark/>
          </w:tcPr>
          <w:p w14:paraId="650972F9" w14:textId="77777777" w:rsidR="006D5D75" w:rsidRPr="00E610CD" w:rsidRDefault="006D5D75" w:rsidP="00AE1DED">
            <w:pPr>
              <w:rPr>
                <w:color w:val="000000" w:themeColor="text1"/>
                <w:sz w:val="20"/>
                <w:szCs w:val="20"/>
              </w:rPr>
            </w:pPr>
            <w:r w:rsidRPr="00E610CD">
              <w:rPr>
                <w:color w:val="000000" w:themeColor="text1"/>
                <w:sz w:val="20"/>
                <w:szCs w:val="20"/>
              </w:rPr>
              <w:t>Markets evolve to invalidate discovered patterns</w:t>
            </w:r>
          </w:p>
        </w:tc>
        <w:tc>
          <w:tcPr>
            <w:tcW w:w="2186" w:type="dxa"/>
            <w:tcBorders>
              <w:top w:val="nil"/>
              <w:left w:val="nil"/>
              <w:bottom w:val="single" w:sz="4" w:space="0" w:color="BFBFBF"/>
              <w:right w:val="single" w:sz="4" w:space="0" w:color="BFBFBF"/>
            </w:tcBorders>
            <w:vAlign w:val="center"/>
            <w:hideMark/>
          </w:tcPr>
          <w:p w14:paraId="368CB9C3" w14:textId="77777777" w:rsidR="006D5D75" w:rsidRPr="00E610CD" w:rsidRDefault="006D5D75" w:rsidP="00AE1DED">
            <w:pPr>
              <w:rPr>
                <w:color w:val="000000" w:themeColor="text1"/>
                <w:sz w:val="20"/>
                <w:szCs w:val="20"/>
              </w:rPr>
            </w:pPr>
            <w:r w:rsidRPr="00E610CD">
              <w:rPr>
                <w:color w:val="000000" w:themeColor="text1"/>
                <w:sz w:val="20"/>
                <w:szCs w:val="20"/>
              </w:rPr>
              <w:t>Yield farming compression from 1000% to 10% APY (Section 8.3); 6-month strategy half-life</w:t>
            </w:r>
          </w:p>
        </w:tc>
        <w:tc>
          <w:tcPr>
            <w:tcW w:w="1985" w:type="dxa"/>
            <w:tcBorders>
              <w:top w:val="nil"/>
              <w:left w:val="nil"/>
              <w:bottom w:val="single" w:sz="4" w:space="0" w:color="BFBFBF"/>
              <w:right w:val="single" w:sz="4" w:space="0" w:color="BFBFBF"/>
            </w:tcBorders>
            <w:vAlign w:val="center"/>
            <w:hideMark/>
          </w:tcPr>
          <w:p w14:paraId="4FBF389E" w14:textId="77777777" w:rsidR="006D5D75" w:rsidRPr="00E610CD" w:rsidRDefault="006D5D75" w:rsidP="00AE1DED">
            <w:pPr>
              <w:rPr>
                <w:color w:val="000000" w:themeColor="text1"/>
                <w:sz w:val="20"/>
                <w:szCs w:val="20"/>
              </w:rPr>
            </w:pPr>
            <w:r w:rsidRPr="00E610CD">
              <w:rPr>
                <w:color w:val="000000" w:themeColor="text1"/>
                <w:sz w:val="20"/>
                <w:szCs w:val="20"/>
              </w:rPr>
              <w:t>Continuous adaptation required, not fixed strategies</w:t>
            </w:r>
          </w:p>
        </w:tc>
        <w:tc>
          <w:tcPr>
            <w:tcW w:w="1615" w:type="dxa"/>
            <w:tcBorders>
              <w:top w:val="nil"/>
              <w:left w:val="nil"/>
              <w:bottom w:val="single" w:sz="4" w:space="0" w:color="BFBFBF"/>
              <w:right w:val="single" w:sz="4" w:space="0" w:color="BFBFBF"/>
            </w:tcBorders>
            <w:vAlign w:val="center"/>
            <w:hideMark/>
          </w:tcPr>
          <w:p w14:paraId="75EBE9E0" w14:textId="77777777" w:rsidR="006D5D75" w:rsidRPr="00E610CD" w:rsidRDefault="006D5D75" w:rsidP="00AE1DED">
            <w:pPr>
              <w:rPr>
                <w:color w:val="000000" w:themeColor="text1"/>
                <w:sz w:val="20"/>
                <w:szCs w:val="20"/>
              </w:rPr>
            </w:pPr>
            <w:r w:rsidRPr="00E610CD">
              <w:rPr>
                <w:color w:val="000000" w:themeColor="text1"/>
                <w:sz w:val="20"/>
                <w:szCs w:val="20"/>
              </w:rPr>
              <w:t>Reflexivity; Complex adaptive systems</w:t>
            </w:r>
          </w:p>
        </w:tc>
      </w:tr>
      <w:tr w:rsidR="00E610CD" w:rsidRPr="00E610CD" w14:paraId="604C630F" w14:textId="77777777" w:rsidTr="003F1729">
        <w:trPr>
          <w:trHeight w:val="962"/>
        </w:trPr>
        <w:tc>
          <w:tcPr>
            <w:tcW w:w="1949" w:type="dxa"/>
            <w:tcBorders>
              <w:top w:val="nil"/>
              <w:left w:val="single" w:sz="4" w:space="0" w:color="BFBFBF"/>
              <w:bottom w:val="single" w:sz="4" w:space="0" w:color="BFBFBF"/>
              <w:right w:val="single" w:sz="4" w:space="0" w:color="BFBFBF"/>
            </w:tcBorders>
            <w:shd w:val="clear" w:color="auto" w:fill="D9D9D9" w:themeFill="background1" w:themeFillShade="D9"/>
            <w:vAlign w:val="center"/>
            <w:hideMark/>
          </w:tcPr>
          <w:p w14:paraId="7A68993D" w14:textId="03FCF834" w:rsidR="006D5D75" w:rsidRPr="00E610CD" w:rsidRDefault="006D5D75" w:rsidP="00AE1DED">
            <w:pPr>
              <w:jc w:val="both"/>
              <w:rPr>
                <w:b/>
                <w:bCs/>
                <w:color w:val="000000" w:themeColor="text1"/>
                <w:sz w:val="20"/>
                <w:szCs w:val="20"/>
              </w:rPr>
            </w:pPr>
            <w:r w:rsidRPr="00E610CD">
              <w:rPr>
                <w:b/>
                <w:bCs/>
                <w:color w:val="000000" w:themeColor="text1"/>
                <w:sz w:val="20"/>
                <w:szCs w:val="20"/>
              </w:rPr>
              <w:t>Accessibility Gradient</w:t>
            </w:r>
            <w:r w:rsidRPr="00E610CD">
              <w:rPr>
                <w:color w:val="000000" w:themeColor="text1"/>
                <w:sz w:val="20"/>
                <w:szCs w:val="20"/>
              </w:rPr>
              <w:t xml:space="preserve"> </w:t>
            </w:r>
          </w:p>
        </w:tc>
        <w:tc>
          <w:tcPr>
            <w:tcW w:w="1620" w:type="dxa"/>
            <w:tcBorders>
              <w:top w:val="nil"/>
              <w:left w:val="nil"/>
              <w:bottom w:val="single" w:sz="4" w:space="0" w:color="BFBFBF"/>
              <w:right w:val="single" w:sz="4" w:space="0" w:color="BFBFBF"/>
            </w:tcBorders>
            <w:vAlign w:val="center"/>
            <w:hideMark/>
          </w:tcPr>
          <w:p w14:paraId="19CBBCA9" w14:textId="77777777" w:rsidR="006D5D75" w:rsidRPr="00E610CD" w:rsidRDefault="006D5D75" w:rsidP="00AE1DED">
            <w:pPr>
              <w:rPr>
                <w:color w:val="000000" w:themeColor="text1"/>
                <w:sz w:val="20"/>
                <w:szCs w:val="20"/>
              </w:rPr>
            </w:pPr>
            <w:r w:rsidRPr="00E610CD">
              <w:rPr>
                <w:color w:val="000000" w:themeColor="text1"/>
                <w:sz w:val="20"/>
                <w:szCs w:val="20"/>
              </w:rPr>
              <w:t>Stratified entry points with capital-dependent viability</w:t>
            </w:r>
          </w:p>
        </w:tc>
        <w:tc>
          <w:tcPr>
            <w:tcW w:w="2186" w:type="dxa"/>
            <w:tcBorders>
              <w:top w:val="nil"/>
              <w:left w:val="nil"/>
              <w:bottom w:val="single" w:sz="4" w:space="0" w:color="BFBFBF"/>
              <w:right w:val="single" w:sz="4" w:space="0" w:color="BFBFBF"/>
            </w:tcBorders>
            <w:vAlign w:val="center"/>
            <w:hideMark/>
          </w:tcPr>
          <w:p w14:paraId="381170D8" w14:textId="77777777" w:rsidR="006D5D75" w:rsidRPr="00E610CD" w:rsidRDefault="006D5D75" w:rsidP="00AE1DED">
            <w:pPr>
              <w:rPr>
                <w:color w:val="000000" w:themeColor="text1"/>
                <w:sz w:val="20"/>
                <w:szCs w:val="20"/>
              </w:rPr>
            </w:pPr>
            <w:r w:rsidRPr="00E610CD">
              <w:rPr>
                <w:color w:val="000000" w:themeColor="text1"/>
                <w:sz w:val="20"/>
                <w:szCs w:val="20"/>
              </w:rPr>
              <w:t>81% failure &lt;$3,500 vs. 38% failure &gt;$25,000 (Chapter 8); Network viability thresholds (Table 1.1A)</w:t>
            </w:r>
          </w:p>
        </w:tc>
        <w:tc>
          <w:tcPr>
            <w:tcW w:w="1985" w:type="dxa"/>
            <w:tcBorders>
              <w:top w:val="nil"/>
              <w:left w:val="nil"/>
              <w:bottom w:val="single" w:sz="4" w:space="0" w:color="BFBFBF"/>
              <w:right w:val="single" w:sz="4" w:space="0" w:color="BFBFBF"/>
            </w:tcBorders>
            <w:vAlign w:val="center"/>
            <w:hideMark/>
          </w:tcPr>
          <w:p w14:paraId="1022D2F5" w14:textId="77777777" w:rsidR="006D5D75" w:rsidRPr="00E610CD" w:rsidRDefault="006D5D75" w:rsidP="00AE1DED">
            <w:pPr>
              <w:rPr>
                <w:color w:val="000000" w:themeColor="text1"/>
                <w:sz w:val="20"/>
                <w:szCs w:val="20"/>
              </w:rPr>
            </w:pPr>
            <w:r w:rsidRPr="00E610CD">
              <w:rPr>
                <w:color w:val="000000" w:themeColor="text1"/>
                <w:sz w:val="20"/>
                <w:szCs w:val="20"/>
              </w:rPr>
              <w:t>Capital-strategy matching determines viability</w:t>
            </w:r>
          </w:p>
        </w:tc>
        <w:tc>
          <w:tcPr>
            <w:tcW w:w="1615" w:type="dxa"/>
            <w:tcBorders>
              <w:top w:val="nil"/>
              <w:left w:val="nil"/>
              <w:bottom w:val="single" w:sz="4" w:space="0" w:color="BFBFBF"/>
              <w:right w:val="single" w:sz="4" w:space="0" w:color="BFBFBF"/>
            </w:tcBorders>
            <w:vAlign w:val="center"/>
            <w:hideMark/>
          </w:tcPr>
          <w:p w14:paraId="2303B53B" w14:textId="77777777" w:rsidR="006D5D75" w:rsidRPr="00E610CD" w:rsidRDefault="006D5D75" w:rsidP="00AE1DED">
            <w:pPr>
              <w:rPr>
                <w:color w:val="000000" w:themeColor="text1"/>
                <w:sz w:val="20"/>
                <w:szCs w:val="20"/>
              </w:rPr>
            </w:pPr>
            <w:r w:rsidRPr="00E610CD">
              <w:rPr>
                <w:color w:val="000000" w:themeColor="text1"/>
                <w:sz w:val="20"/>
                <w:szCs w:val="20"/>
              </w:rPr>
              <w:t>Capability theory; Stratification theory</w:t>
            </w:r>
          </w:p>
        </w:tc>
      </w:tr>
      <w:tr w:rsidR="00426E6E" w:rsidRPr="00E610CD" w14:paraId="3D0CB1BA" w14:textId="77777777" w:rsidTr="003F1729">
        <w:trPr>
          <w:trHeight w:val="107"/>
        </w:trPr>
        <w:tc>
          <w:tcPr>
            <w:tcW w:w="1949" w:type="dxa"/>
            <w:tcBorders>
              <w:top w:val="nil"/>
              <w:left w:val="single" w:sz="4" w:space="0" w:color="BFBFBF"/>
              <w:bottom w:val="single" w:sz="4" w:space="0" w:color="BFBFBF"/>
              <w:right w:val="single" w:sz="4" w:space="0" w:color="BFBFBF"/>
            </w:tcBorders>
            <w:shd w:val="clear" w:color="auto" w:fill="D9D9D9" w:themeFill="background1" w:themeFillShade="D9"/>
            <w:vAlign w:val="center"/>
            <w:hideMark/>
          </w:tcPr>
          <w:p w14:paraId="6D81335A" w14:textId="1ACA92C6" w:rsidR="006D5D75" w:rsidRPr="00E610CD" w:rsidRDefault="006D5D75" w:rsidP="00AE1DED">
            <w:pPr>
              <w:jc w:val="both"/>
              <w:rPr>
                <w:b/>
                <w:bCs/>
                <w:color w:val="000000" w:themeColor="text1"/>
                <w:sz w:val="20"/>
                <w:szCs w:val="20"/>
              </w:rPr>
            </w:pPr>
            <w:r w:rsidRPr="00E610CD">
              <w:rPr>
                <w:b/>
                <w:bCs/>
                <w:color w:val="000000" w:themeColor="text1"/>
                <w:sz w:val="20"/>
                <w:szCs w:val="20"/>
              </w:rPr>
              <w:t>Conditional Democratization</w:t>
            </w:r>
            <w:r w:rsidRPr="00E610CD">
              <w:rPr>
                <w:color w:val="000000" w:themeColor="text1"/>
                <w:sz w:val="20"/>
                <w:szCs w:val="20"/>
              </w:rPr>
              <w:t xml:space="preserve"> </w:t>
            </w:r>
          </w:p>
        </w:tc>
        <w:tc>
          <w:tcPr>
            <w:tcW w:w="1620" w:type="dxa"/>
            <w:tcBorders>
              <w:top w:val="nil"/>
              <w:left w:val="nil"/>
              <w:bottom w:val="single" w:sz="4" w:space="0" w:color="BFBFBF"/>
              <w:right w:val="single" w:sz="4" w:space="0" w:color="BFBFBF"/>
            </w:tcBorders>
            <w:vAlign w:val="center"/>
            <w:hideMark/>
          </w:tcPr>
          <w:p w14:paraId="109BFC09" w14:textId="77777777" w:rsidR="006D5D75" w:rsidRPr="00E610CD" w:rsidRDefault="006D5D75" w:rsidP="00AE1DED">
            <w:pPr>
              <w:rPr>
                <w:color w:val="000000" w:themeColor="text1"/>
                <w:sz w:val="20"/>
                <w:szCs w:val="20"/>
              </w:rPr>
            </w:pPr>
            <w:r w:rsidRPr="00E610CD">
              <w:rPr>
                <w:color w:val="000000" w:themeColor="text1"/>
                <w:sz w:val="20"/>
                <w:szCs w:val="20"/>
              </w:rPr>
              <w:t>Partial expansion with multiple simultaneous requirements</w:t>
            </w:r>
          </w:p>
        </w:tc>
        <w:tc>
          <w:tcPr>
            <w:tcW w:w="2186" w:type="dxa"/>
            <w:tcBorders>
              <w:top w:val="nil"/>
              <w:left w:val="nil"/>
              <w:bottom w:val="single" w:sz="4" w:space="0" w:color="BFBFBF"/>
              <w:right w:val="single" w:sz="4" w:space="0" w:color="BFBFBF"/>
            </w:tcBorders>
            <w:vAlign w:val="center"/>
            <w:hideMark/>
          </w:tcPr>
          <w:p w14:paraId="4B208DCE" w14:textId="77777777" w:rsidR="006D5D75" w:rsidRPr="00E610CD" w:rsidRDefault="006D5D75" w:rsidP="00AE1DED">
            <w:pPr>
              <w:rPr>
                <w:color w:val="000000" w:themeColor="text1"/>
                <w:sz w:val="20"/>
                <w:szCs w:val="20"/>
              </w:rPr>
            </w:pPr>
            <w:r w:rsidRPr="00E610CD">
              <w:rPr>
                <w:color w:val="000000" w:themeColor="text1"/>
                <w:sz w:val="20"/>
                <w:szCs w:val="20"/>
              </w:rPr>
              <w:t xml:space="preserve">73% overall failure despite technical accessibility; Success requires capital AND </w:t>
            </w:r>
            <w:r w:rsidRPr="00E610CD">
              <w:rPr>
                <w:color w:val="000000" w:themeColor="text1"/>
                <w:sz w:val="20"/>
                <w:szCs w:val="20"/>
              </w:rPr>
              <w:lastRenderedPageBreak/>
              <w:t>competence AND time AND risk tolerance</w:t>
            </w:r>
          </w:p>
        </w:tc>
        <w:tc>
          <w:tcPr>
            <w:tcW w:w="1985" w:type="dxa"/>
            <w:tcBorders>
              <w:top w:val="nil"/>
              <w:left w:val="nil"/>
              <w:bottom w:val="single" w:sz="4" w:space="0" w:color="BFBFBF"/>
              <w:right w:val="single" w:sz="4" w:space="0" w:color="BFBFBF"/>
            </w:tcBorders>
            <w:vAlign w:val="center"/>
            <w:hideMark/>
          </w:tcPr>
          <w:p w14:paraId="3AECFBF1" w14:textId="77777777" w:rsidR="006D5D75" w:rsidRPr="00E610CD" w:rsidRDefault="006D5D75" w:rsidP="00AE1DED">
            <w:pPr>
              <w:rPr>
                <w:color w:val="000000" w:themeColor="text1"/>
                <w:sz w:val="20"/>
                <w:szCs w:val="20"/>
              </w:rPr>
            </w:pPr>
            <w:r w:rsidRPr="00E610CD">
              <w:rPr>
                <w:color w:val="000000" w:themeColor="text1"/>
                <w:sz w:val="20"/>
                <w:szCs w:val="20"/>
              </w:rPr>
              <w:lastRenderedPageBreak/>
              <w:t>Democratization exists but narrowly, conditionally</w:t>
            </w:r>
          </w:p>
        </w:tc>
        <w:tc>
          <w:tcPr>
            <w:tcW w:w="1615" w:type="dxa"/>
            <w:tcBorders>
              <w:top w:val="nil"/>
              <w:left w:val="nil"/>
              <w:bottom w:val="single" w:sz="4" w:space="0" w:color="BFBFBF"/>
              <w:right w:val="single" w:sz="4" w:space="0" w:color="BFBFBF"/>
            </w:tcBorders>
            <w:vAlign w:val="center"/>
            <w:hideMark/>
          </w:tcPr>
          <w:p w14:paraId="308A19CE" w14:textId="77777777" w:rsidR="006D5D75" w:rsidRPr="00E610CD" w:rsidRDefault="006D5D75" w:rsidP="00AE1DED">
            <w:pPr>
              <w:rPr>
                <w:color w:val="000000" w:themeColor="text1"/>
                <w:sz w:val="20"/>
                <w:szCs w:val="20"/>
              </w:rPr>
            </w:pPr>
            <w:r w:rsidRPr="00E610CD">
              <w:rPr>
                <w:color w:val="000000" w:themeColor="text1"/>
                <w:sz w:val="20"/>
                <w:szCs w:val="20"/>
              </w:rPr>
              <w:t>Democratization theory; Technology and inequality</w:t>
            </w:r>
          </w:p>
        </w:tc>
      </w:tr>
    </w:tbl>
    <w:p w14:paraId="57F24190" w14:textId="77777777" w:rsidR="00116A0F" w:rsidRPr="00E610CD" w:rsidRDefault="00116A0F" w:rsidP="00AE1DED">
      <w:pPr>
        <w:jc w:val="both"/>
        <w:rPr>
          <w:rFonts w:eastAsiaTheme="majorEastAsia"/>
          <w:color w:val="000000" w:themeColor="text1"/>
        </w:rPr>
      </w:pPr>
    </w:p>
    <w:p w14:paraId="54F3B209" w14:textId="77777777" w:rsidR="00AA2786" w:rsidRPr="00E610CD" w:rsidRDefault="00AA2786" w:rsidP="00AE1DED">
      <w:pPr>
        <w:jc w:val="both"/>
        <w:rPr>
          <w:color w:val="000000" w:themeColor="text1"/>
        </w:rPr>
      </w:pPr>
      <w:r w:rsidRPr="00E610CD">
        <w:rPr>
          <w:b/>
          <w:bCs/>
          <w:color w:val="000000" w:themeColor="text1"/>
        </w:rPr>
        <w:t>Integration Logic: How Contributions Relate</w:t>
      </w:r>
    </w:p>
    <w:p w14:paraId="2401D492" w14:textId="77777777" w:rsidR="00AA2786" w:rsidRDefault="00AA2786" w:rsidP="00AE1DED">
      <w:pPr>
        <w:jc w:val="both"/>
        <w:rPr>
          <w:color w:val="000000" w:themeColor="text1"/>
        </w:rPr>
      </w:pPr>
      <w:r w:rsidRPr="00E610CD">
        <w:rPr>
          <w:color w:val="000000" w:themeColor="text1"/>
        </w:rPr>
        <w:t>These five contributions form a causal chain explaining DeFi's conditional democratization:</w:t>
      </w:r>
    </w:p>
    <w:p w14:paraId="5D9C86AA" w14:textId="77777777" w:rsidR="00EC3418" w:rsidRPr="00E610CD" w:rsidRDefault="00EC3418" w:rsidP="00AE1DED">
      <w:pPr>
        <w:jc w:val="both"/>
        <w:rPr>
          <w:color w:val="000000" w:themeColor="text1"/>
        </w:rPr>
      </w:pPr>
    </w:p>
    <w:p w14:paraId="59959113" w14:textId="4A5B7138" w:rsidR="00EC3418" w:rsidRPr="00EC3418" w:rsidRDefault="00AA2786" w:rsidP="00EC3418">
      <w:pPr>
        <w:numPr>
          <w:ilvl w:val="0"/>
          <w:numId w:val="257"/>
        </w:numPr>
        <w:jc w:val="both"/>
        <w:rPr>
          <w:color w:val="000000" w:themeColor="text1"/>
        </w:rPr>
      </w:pPr>
      <w:r w:rsidRPr="00E610CD">
        <w:rPr>
          <w:b/>
          <w:bCs/>
          <w:color w:val="000000" w:themeColor="text1"/>
        </w:rPr>
        <w:t>Reintermediation</w:t>
      </w:r>
      <w:r w:rsidRPr="00E610CD">
        <w:rPr>
          <w:color w:val="000000" w:themeColor="text1"/>
        </w:rPr>
        <w:t xml:space="preserve"> (11.2.1) establishes the foundational mechanism: DeFi disaggregates banking functions, transferring them to individual participants. This creates technical accessibility (anyone can perform disaggregated functions) but imposes operational burden (participants must perform </w:t>
      </w:r>
      <w:r w:rsidR="00543DDB" w:rsidRPr="00E610CD">
        <w:rPr>
          <w:color w:val="000000" w:themeColor="text1"/>
        </w:rPr>
        <w:t>those by themselves</w:t>
      </w:r>
      <w:r w:rsidRPr="00E610CD">
        <w:rPr>
          <w:color w:val="000000" w:themeColor="text1"/>
        </w:rPr>
        <w:t>).</w:t>
      </w:r>
    </w:p>
    <w:p w14:paraId="6411AC52" w14:textId="77777777" w:rsidR="00AA2786" w:rsidRPr="00E610CD" w:rsidRDefault="00AA2786" w:rsidP="00AE1DED">
      <w:pPr>
        <w:numPr>
          <w:ilvl w:val="0"/>
          <w:numId w:val="257"/>
        </w:numPr>
        <w:jc w:val="both"/>
        <w:rPr>
          <w:color w:val="000000" w:themeColor="text1"/>
        </w:rPr>
      </w:pPr>
      <w:r w:rsidRPr="00E610CD">
        <w:rPr>
          <w:b/>
          <w:bCs/>
          <w:color w:val="000000" w:themeColor="text1"/>
        </w:rPr>
        <w:t>Capital formation dynamics</w:t>
      </w:r>
      <w:r w:rsidRPr="00E610CD">
        <w:rPr>
          <w:color w:val="000000" w:themeColor="text1"/>
        </w:rPr>
        <w:t xml:space="preserve"> (11.2.2) explain why traditional investment strategies fail in DeFi: returns follow step functions with catastrophic drops rather than smooth compounding, requiring different mental models and position sizing approaches than traditional investing.</w:t>
      </w:r>
    </w:p>
    <w:p w14:paraId="150CB61C" w14:textId="63AB2941" w:rsidR="00AA2786" w:rsidRPr="00E610CD" w:rsidRDefault="00AA2786" w:rsidP="00AE1DED">
      <w:pPr>
        <w:numPr>
          <w:ilvl w:val="0"/>
          <w:numId w:val="257"/>
        </w:numPr>
        <w:jc w:val="both"/>
        <w:rPr>
          <w:color w:val="000000" w:themeColor="text1"/>
        </w:rPr>
      </w:pPr>
      <w:r w:rsidRPr="00E610CD">
        <w:rPr>
          <w:b/>
          <w:bCs/>
          <w:color w:val="000000" w:themeColor="text1"/>
        </w:rPr>
        <w:t>Anti-inductivity</w:t>
      </w:r>
      <w:r w:rsidRPr="00E610CD">
        <w:rPr>
          <w:color w:val="000000" w:themeColor="text1"/>
        </w:rPr>
        <w:t xml:space="preserve"> (11.2.3) explains tempor</w:t>
      </w:r>
      <w:r w:rsidR="00543DDB" w:rsidRPr="00E610CD">
        <w:rPr>
          <w:color w:val="000000" w:themeColor="text1"/>
        </w:rPr>
        <w:t>ary</w:t>
      </w:r>
      <w:r w:rsidRPr="00E610CD">
        <w:rPr>
          <w:color w:val="000000" w:themeColor="text1"/>
        </w:rPr>
        <w:t xml:space="preserve"> instability: opportunities cannot be static because </w:t>
      </w:r>
      <w:proofErr w:type="spellStart"/>
      <w:r w:rsidR="00543DDB" w:rsidRPr="00E610CD">
        <w:rPr>
          <w:color w:val="000000" w:themeColor="text1"/>
        </w:rPr>
        <w:t>ther</w:t>
      </w:r>
      <w:proofErr w:type="spellEnd"/>
      <w:r w:rsidR="00543DDB" w:rsidRPr="00E610CD">
        <w:rPr>
          <w:color w:val="000000" w:themeColor="text1"/>
        </w:rPr>
        <w:t xml:space="preserve"> </w:t>
      </w:r>
      <w:r w:rsidRPr="00E610CD">
        <w:rPr>
          <w:color w:val="000000" w:themeColor="text1"/>
        </w:rPr>
        <w:t>discovery triggers competitive entr</w:t>
      </w:r>
      <w:r w:rsidR="00543DDB" w:rsidRPr="00E610CD">
        <w:rPr>
          <w:color w:val="000000" w:themeColor="text1"/>
        </w:rPr>
        <w:t>ies</w:t>
      </w:r>
      <w:r w:rsidRPr="00E610CD">
        <w:rPr>
          <w:color w:val="000000" w:themeColor="text1"/>
        </w:rPr>
        <w:t xml:space="preserve"> that destroy the </w:t>
      </w:r>
      <w:r w:rsidR="00543DDB" w:rsidRPr="00E610CD">
        <w:rPr>
          <w:color w:val="000000" w:themeColor="text1"/>
        </w:rPr>
        <w:t xml:space="preserve">identified </w:t>
      </w:r>
      <w:r w:rsidRPr="00E610CD">
        <w:rPr>
          <w:color w:val="000000" w:themeColor="text1"/>
        </w:rPr>
        <w:t>pattern</w:t>
      </w:r>
      <w:r w:rsidR="00543DDB" w:rsidRPr="00E610CD">
        <w:rPr>
          <w:color w:val="000000" w:themeColor="text1"/>
        </w:rPr>
        <w:t>s</w:t>
      </w:r>
      <w:r w:rsidRPr="00E610CD">
        <w:rPr>
          <w:color w:val="000000" w:themeColor="text1"/>
        </w:rPr>
        <w:t xml:space="preserve">. This necessitates </w:t>
      </w:r>
      <w:proofErr w:type="gramStart"/>
      <w:r w:rsidR="00543DDB" w:rsidRPr="00E610CD">
        <w:rPr>
          <w:color w:val="000000" w:themeColor="text1"/>
        </w:rPr>
        <w:t xml:space="preserve">a </w:t>
      </w:r>
      <w:r w:rsidRPr="00E610CD">
        <w:rPr>
          <w:color w:val="000000" w:themeColor="text1"/>
        </w:rPr>
        <w:t>continuous</w:t>
      </w:r>
      <w:proofErr w:type="gramEnd"/>
      <w:r w:rsidRPr="00E610CD">
        <w:rPr>
          <w:color w:val="000000" w:themeColor="text1"/>
        </w:rPr>
        <w:t xml:space="preserve"> adaptation</w:t>
      </w:r>
      <w:r w:rsidR="00543DDB" w:rsidRPr="00E610CD">
        <w:rPr>
          <w:color w:val="000000" w:themeColor="text1"/>
        </w:rPr>
        <w:t xml:space="preserve"> and flexibility</w:t>
      </w:r>
      <w:r w:rsidRPr="00E610CD">
        <w:rPr>
          <w:color w:val="000000" w:themeColor="text1"/>
        </w:rPr>
        <w:t xml:space="preserve"> rather than optimizing discovered strategies</w:t>
      </w:r>
      <w:r w:rsidR="00543DDB" w:rsidRPr="00E610CD">
        <w:rPr>
          <w:color w:val="000000" w:themeColor="text1"/>
        </w:rPr>
        <w:t>.</w:t>
      </w:r>
    </w:p>
    <w:p w14:paraId="23B30E5D" w14:textId="77777777" w:rsidR="00AA2786" w:rsidRPr="00E610CD" w:rsidRDefault="00AA2786" w:rsidP="00AE1DED">
      <w:pPr>
        <w:numPr>
          <w:ilvl w:val="0"/>
          <w:numId w:val="257"/>
        </w:numPr>
        <w:jc w:val="both"/>
        <w:rPr>
          <w:color w:val="000000" w:themeColor="text1"/>
        </w:rPr>
      </w:pPr>
      <w:r w:rsidRPr="00E610CD">
        <w:rPr>
          <w:b/>
          <w:bCs/>
          <w:color w:val="000000" w:themeColor="text1"/>
        </w:rPr>
        <w:t>Accessibility gradient</w:t>
      </w:r>
      <w:r w:rsidRPr="00E610CD">
        <w:rPr>
          <w:color w:val="000000" w:themeColor="text1"/>
        </w:rPr>
        <w:t xml:space="preserve"> (11.2.4) maps the operational space: capital levels create distinct opportunity structures with different viable strategies, return expectations, and failure risks. This explains stratified outcomes despite uniform technical access.</w:t>
      </w:r>
    </w:p>
    <w:p w14:paraId="273AD67C" w14:textId="08BEA1BE" w:rsidR="00AA2786" w:rsidRDefault="00AA2786" w:rsidP="00AE1DED">
      <w:pPr>
        <w:numPr>
          <w:ilvl w:val="0"/>
          <w:numId w:val="257"/>
        </w:numPr>
        <w:jc w:val="both"/>
        <w:rPr>
          <w:color w:val="000000" w:themeColor="text1"/>
        </w:rPr>
      </w:pPr>
      <w:r w:rsidRPr="00E610CD">
        <w:rPr>
          <w:b/>
          <w:bCs/>
          <w:color w:val="000000" w:themeColor="text1"/>
        </w:rPr>
        <w:t>Conditional democratization</w:t>
      </w:r>
      <w:r w:rsidRPr="00E610CD">
        <w:rPr>
          <w:color w:val="000000" w:themeColor="text1"/>
        </w:rPr>
        <w:t xml:space="preserve"> (11.2.5) synthesizes these mechanisms: technical accessibility (from reintermediation) creates opportunities across capital spectrum (accessibility gradient), but economic viability depends on simultaneous satisfaction of multiple conditions (capital, competence, time, risk tolerance), producing partial expansion </w:t>
      </w:r>
      <w:r w:rsidR="00543DDB" w:rsidRPr="00E610CD">
        <w:rPr>
          <w:color w:val="000000" w:themeColor="text1"/>
        </w:rPr>
        <w:t xml:space="preserve">possibilities </w:t>
      </w:r>
      <w:r w:rsidRPr="00E610CD">
        <w:rPr>
          <w:color w:val="000000" w:themeColor="text1"/>
        </w:rPr>
        <w:t>rather than universal inclusion.</w:t>
      </w:r>
    </w:p>
    <w:p w14:paraId="6C671E87" w14:textId="77777777" w:rsidR="00201C2B" w:rsidRPr="00E610CD" w:rsidRDefault="00201C2B" w:rsidP="00AE1DED">
      <w:pPr>
        <w:ind w:left="360"/>
        <w:jc w:val="both"/>
        <w:rPr>
          <w:color w:val="000000" w:themeColor="text1"/>
        </w:rPr>
      </w:pPr>
    </w:p>
    <w:p w14:paraId="17431E94" w14:textId="05FB6970" w:rsidR="00AA2786" w:rsidRPr="00E610CD" w:rsidRDefault="00AA2786" w:rsidP="00AE1DED">
      <w:pPr>
        <w:jc w:val="both"/>
        <w:rPr>
          <w:color w:val="000000" w:themeColor="text1"/>
        </w:rPr>
      </w:pPr>
      <w:r w:rsidRPr="00E610CD">
        <w:rPr>
          <w:color w:val="000000" w:themeColor="text1"/>
        </w:rPr>
        <w:t xml:space="preserve">The integration </w:t>
      </w:r>
      <w:r w:rsidR="00740E11" w:rsidRPr="00E610CD">
        <w:rPr>
          <w:color w:val="000000" w:themeColor="text1"/>
        </w:rPr>
        <w:t>shows</w:t>
      </w:r>
      <w:r w:rsidRPr="00E610CD">
        <w:rPr>
          <w:color w:val="000000" w:themeColor="text1"/>
        </w:rPr>
        <w:t xml:space="preserve"> why DeFi's democratization promise remains conditional</w:t>
      </w:r>
      <w:r w:rsidR="00740E11" w:rsidRPr="00E610CD">
        <w:rPr>
          <w:color w:val="000000" w:themeColor="text1"/>
        </w:rPr>
        <w:t xml:space="preserve">. It is </w:t>
      </w:r>
      <w:r w:rsidRPr="00E610CD">
        <w:rPr>
          <w:color w:val="000000" w:themeColor="text1"/>
        </w:rPr>
        <w:t xml:space="preserve">not due to </w:t>
      </w:r>
      <w:r w:rsidR="00740E11" w:rsidRPr="00E610CD">
        <w:rPr>
          <w:color w:val="000000" w:themeColor="text1"/>
        </w:rPr>
        <w:t xml:space="preserve">a </w:t>
      </w:r>
      <w:r w:rsidRPr="00E610CD">
        <w:rPr>
          <w:color w:val="000000" w:themeColor="text1"/>
        </w:rPr>
        <w:t xml:space="preserve">single barrier but due to </w:t>
      </w:r>
      <w:r w:rsidR="00740E11" w:rsidRPr="00E610CD">
        <w:rPr>
          <w:color w:val="000000" w:themeColor="text1"/>
        </w:rPr>
        <w:t xml:space="preserve">the </w:t>
      </w:r>
      <w:r w:rsidRPr="00E610CD">
        <w:rPr>
          <w:color w:val="000000" w:themeColor="text1"/>
        </w:rPr>
        <w:t xml:space="preserve">interaction of multiple mechanisms </w:t>
      </w:r>
      <w:r w:rsidR="00740E11" w:rsidRPr="00E610CD">
        <w:rPr>
          <w:color w:val="000000" w:themeColor="text1"/>
        </w:rPr>
        <w:t xml:space="preserve">that </w:t>
      </w:r>
      <w:r w:rsidRPr="00E610CD">
        <w:rPr>
          <w:color w:val="000000" w:themeColor="text1"/>
        </w:rPr>
        <w:t>creat</w:t>
      </w:r>
      <w:r w:rsidR="00740E11" w:rsidRPr="00E610CD">
        <w:rPr>
          <w:color w:val="000000" w:themeColor="text1"/>
        </w:rPr>
        <w:t>e</w:t>
      </w:r>
      <w:r w:rsidRPr="00E610CD">
        <w:rPr>
          <w:color w:val="000000" w:themeColor="text1"/>
        </w:rPr>
        <w:t xml:space="preserve"> opportunity structures (accessibility gradient) that enable </w:t>
      </w:r>
      <w:r w:rsidR="00740E11" w:rsidRPr="00E610CD">
        <w:rPr>
          <w:color w:val="000000" w:themeColor="text1"/>
        </w:rPr>
        <w:t xml:space="preserve">a </w:t>
      </w:r>
      <w:r w:rsidRPr="00E610CD">
        <w:rPr>
          <w:color w:val="000000" w:themeColor="text1"/>
        </w:rPr>
        <w:t xml:space="preserve">viable participation only for specific subsets meeting </w:t>
      </w:r>
      <w:r w:rsidR="00740E11" w:rsidRPr="00E610CD">
        <w:rPr>
          <w:color w:val="000000" w:themeColor="text1"/>
        </w:rPr>
        <w:t xml:space="preserve">the </w:t>
      </w:r>
      <w:r w:rsidRPr="00E610CD">
        <w:rPr>
          <w:color w:val="000000" w:themeColor="text1"/>
        </w:rPr>
        <w:t>compound</w:t>
      </w:r>
      <w:r w:rsidR="00740E11" w:rsidRPr="00E610CD">
        <w:rPr>
          <w:color w:val="000000" w:themeColor="text1"/>
        </w:rPr>
        <w:t xml:space="preserve">ed </w:t>
      </w:r>
      <w:r w:rsidRPr="00E610CD">
        <w:rPr>
          <w:color w:val="000000" w:themeColor="text1"/>
        </w:rPr>
        <w:t>conditions (conditional democratization).</w:t>
      </w:r>
    </w:p>
    <w:p w14:paraId="5E4A01E6" w14:textId="77777777" w:rsidR="00201C2B" w:rsidRDefault="00201C2B" w:rsidP="00AE1DED">
      <w:pPr>
        <w:jc w:val="both"/>
        <w:rPr>
          <w:b/>
          <w:bCs/>
          <w:color w:val="000000" w:themeColor="text1"/>
        </w:rPr>
      </w:pPr>
    </w:p>
    <w:p w14:paraId="5B50E1C6" w14:textId="6AFF46BF" w:rsidR="00AA2786" w:rsidRPr="00E610CD" w:rsidRDefault="00AA2786" w:rsidP="00AE1DED">
      <w:pPr>
        <w:jc w:val="both"/>
        <w:rPr>
          <w:color w:val="000000" w:themeColor="text1"/>
        </w:rPr>
      </w:pPr>
      <w:r w:rsidRPr="00E610CD">
        <w:rPr>
          <w:b/>
          <w:bCs/>
          <w:color w:val="000000" w:themeColor="text1"/>
        </w:rPr>
        <w:t>Connection to Empirical Findings</w:t>
      </w:r>
    </w:p>
    <w:p w14:paraId="48F25966" w14:textId="484B3ECB" w:rsidR="00AA2786" w:rsidRDefault="00AA2786" w:rsidP="00AE1DED">
      <w:pPr>
        <w:jc w:val="both"/>
        <w:rPr>
          <w:color w:val="000000" w:themeColor="text1"/>
        </w:rPr>
      </w:pPr>
      <w:r w:rsidRPr="00E610CD">
        <w:rPr>
          <w:color w:val="000000" w:themeColor="text1"/>
        </w:rPr>
        <w:t>Each theoretical contribution roots in specific empirical patterns documented across Chapters 7-10</w:t>
      </w:r>
      <w:r w:rsidR="00506DB0">
        <w:rPr>
          <w:color w:val="000000" w:themeColor="text1"/>
        </w:rPr>
        <w:t>.</w:t>
      </w:r>
    </w:p>
    <w:p w14:paraId="3B7801CF" w14:textId="05DA5FA3" w:rsidR="00201C2B" w:rsidRDefault="00201C2B" w:rsidP="00AE1DED">
      <w:pPr>
        <w:jc w:val="both"/>
        <w:rPr>
          <w:color w:val="000000" w:themeColor="text1"/>
        </w:rPr>
      </w:pPr>
    </w:p>
    <w:p w14:paraId="2B889426" w14:textId="7BC8F93F" w:rsidR="00201C2B" w:rsidRDefault="00201C2B" w:rsidP="00AE1DED">
      <w:pPr>
        <w:pStyle w:val="Heading3"/>
      </w:pPr>
      <w:bookmarkStart w:id="253" w:name="_Toc214722059"/>
      <w:r>
        <w:t>Table 1</w:t>
      </w:r>
      <w:r w:rsidR="002F1BF1">
        <w:t>1</w:t>
      </w:r>
      <w:r>
        <w:t>.</w:t>
      </w:r>
      <w:r w:rsidR="00546ABE">
        <w:t>E</w:t>
      </w:r>
      <w:r>
        <w:t>: Empirical Finding Overview and Validation</w:t>
      </w:r>
      <w:bookmarkEnd w:id="253"/>
    </w:p>
    <w:p w14:paraId="22F9314A" w14:textId="77777777" w:rsidR="002F1BF1" w:rsidRPr="002F1BF1" w:rsidRDefault="002F1BF1" w:rsidP="00AE1DED"/>
    <w:tbl>
      <w:tblPr>
        <w:tblW w:w="9175" w:type="dxa"/>
        <w:tblLook w:val="04A0" w:firstRow="1" w:lastRow="0" w:firstColumn="1" w:lastColumn="0" w:noHBand="0" w:noVBand="1"/>
      </w:tblPr>
      <w:tblGrid>
        <w:gridCol w:w="2515"/>
        <w:gridCol w:w="3420"/>
        <w:gridCol w:w="3240"/>
      </w:tblGrid>
      <w:tr w:rsidR="00E610CD" w:rsidRPr="00E610CD" w14:paraId="3793F375" w14:textId="77777777" w:rsidTr="00F7365B">
        <w:trPr>
          <w:trHeight w:val="368"/>
        </w:trPr>
        <w:tc>
          <w:tcPr>
            <w:tcW w:w="2515"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vAlign w:val="center"/>
            <w:hideMark/>
          </w:tcPr>
          <w:p w14:paraId="1B529D87" w14:textId="77777777" w:rsidR="00AA2786" w:rsidRPr="00E610CD" w:rsidRDefault="00AA2786" w:rsidP="00AE1DED">
            <w:pPr>
              <w:jc w:val="both"/>
              <w:rPr>
                <w:b/>
                <w:bCs/>
                <w:color w:val="000000" w:themeColor="text1"/>
                <w:sz w:val="20"/>
                <w:szCs w:val="20"/>
              </w:rPr>
            </w:pPr>
            <w:r w:rsidRPr="00E610CD">
              <w:rPr>
                <w:b/>
                <w:bCs/>
                <w:color w:val="000000" w:themeColor="text1"/>
                <w:sz w:val="20"/>
                <w:szCs w:val="20"/>
              </w:rPr>
              <w:t>Chapter</w:t>
            </w:r>
          </w:p>
        </w:tc>
        <w:tc>
          <w:tcPr>
            <w:tcW w:w="3420" w:type="dxa"/>
            <w:tcBorders>
              <w:top w:val="single" w:sz="4" w:space="0" w:color="BFBFBF"/>
              <w:left w:val="nil"/>
              <w:bottom w:val="single" w:sz="4" w:space="0" w:color="BFBFBF"/>
              <w:right w:val="single" w:sz="4" w:space="0" w:color="BFBFBF"/>
            </w:tcBorders>
            <w:shd w:val="clear" w:color="auto" w:fill="D9D9D9" w:themeFill="background1" w:themeFillShade="D9"/>
            <w:vAlign w:val="center"/>
            <w:hideMark/>
          </w:tcPr>
          <w:p w14:paraId="4B721591" w14:textId="77777777" w:rsidR="00AA2786" w:rsidRPr="00E610CD" w:rsidRDefault="00AA2786" w:rsidP="00AE1DED">
            <w:pPr>
              <w:jc w:val="both"/>
              <w:rPr>
                <w:b/>
                <w:bCs/>
                <w:color w:val="000000" w:themeColor="text1"/>
                <w:sz w:val="20"/>
                <w:szCs w:val="20"/>
              </w:rPr>
            </w:pPr>
            <w:r w:rsidRPr="00E610CD">
              <w:rPr>
                <w:b/>
                <w:bCs/>
                <w:color w:val="000000" w:themeColor="text1"/>
                <w:sz w:val="20"/>
                <w:szCs w:val="20"/>
              </w:rPr>
              <w:t>Primary Empirical Finding</w:t>
            </w:r>
          </w:p>
        </w:tc>
        <w:tc>
          <w:tcPr>
            <w:tcW w:w="3240" w:type="dxa"/>
            <w:tcBorders>
              <w:top w:val="single" w:sz="4" w:space="0" w:color="BFBFBF"/>
              <w:left w:val="nil"/>
              <w:bottom w:val="single" w:sz="4" w:space="0" w:color="BFBFBF"/>
              <w:right w:val="single" w:sz="4" w:space="0" w:color="BFBFBF"/>
            </w:tcBorders>
            <w:shd w:val="clear" w:color="auto" w:fill="D9D9D9" w:themeFill="background1" w:themeFillShade="D9"/>
            <w:vAlign w:val="center"/>
            <w:hideMark/>
          </w:tcPr>
          <w:p w14:paraId="72B22720" w14:textId="77777777" w:rsidR="00AA2786" w:rsidRPr="00E610CD" w:rsidRDefault="00AA2786" w:rsidP="00AE1DED">
            <w:pPr>
              <w:jc w:val="both"/>
              <w:rPr>
                <w:b/>
                <w:bCs/>
                <w:color w:val="000000" w:themeColor="text1"/>
                <w:sz w:val="20"/>
                <w:szCs w:val="20"/>
              </w:rPr>
            </w:pPr>
            <w:r w:rsidRPr="00E610CD">
              <w:rPr>
                <w:b/>
                <w:bCs/>
                <w:color w:val="000000" w:themeColor="text1"/>
                <w:sz w:val="20"/>
                <w:szCs w:val="20"/>
              </w:rPr>
              <w:t>Supports Theoretical Contribution</w:t>
            </w:r>
          </w:p>
        </w:tc>
      </w:tr>
      <w:tr w:rsidR="00E610CD" w:rsidRPr="00E610CD" w14:paraId="02AA422D" w14:textId="77777777" w:rsidTr="00772FC7">
        <w:trPr>
          <w:trHeight w:val="71"/>
        </w:trPr>
        <w:tc>
          <w:tcPr>
            <w:tcW w:w="2515" w:type="dxa"/>
            <w:tcBorders>
              <w:top w:val="nil"/>
              <w:left w:val="single" w:sz="4" w:space="0" w:color="BFBFBF"/>
              <w:bottom w:val="single" w:sz="4" w:space="0" w:color="BFBFBF"/>
              <w:right w:val="single" w:sz="4" w:space="0" w:color="BFBFBF"/>
            </w:tcBorders>
            <w:shd w:val="clear" w:color="auto" w:fill="D9D9D9" w:themeFill="background1" w:themeFillShade="D9"/>
            <w:vAlign w:val="center"/>
            <w:hideMark/>
          </w:tcPr>
          <w:p w14:paraId="41EF9A82" w14:textId="77777777" w:rsidR="00AA2786" w:rsidRPr="00E610CD" w:rsidRDefault="00AA2786" w:rsidP="00AE1DED">
            <w:pPr>
              <w:jc w:val="both"/>
              <w:rPr>
                <w:b/>
                <w:bCs/>
                <w:color w:val="000000" w:themeColor="text1"/>
                <w:sz w:val="20"/>
                <w:szCs w:val="20"/>
              </w:rPr>
            </w:pPr>
            <w:r w:rsidRPr="00E610CD">
              <w:rPr>
                <w:b/>
                <w:bCs/>
                <w:color w:val="000000" w:themeColor="text1"/>
                <w:sz w:val="20"/>
                <w:szCs w:val="20"/>
              </w:rPr>
              <w:t>Chapter 7: Risk</w:t>
            </w:r>
          </w:p>
        </w:tc>
        <w:tc>
          <w:tcPr>
            <w:tcW w:w="3420" w:type="dxa"/>
            <w:tcBorders>
              <w:top w:val="nil"/>
              <w:left w:val="nil"/>
              <w:bottom w:val="single" w:sz="4" w:space="0" w:color="BFBFBF"/>
              <w:right w:val="single" w:sz="4" w:space="0" w:color="BFBFBF"/>
            </w:tcBorders>
            <w:vAlign w:val="center"/>
            <w:hideMark/>
          </w:tcPr>
          <w:p w14:paraId="20074040" w14:textId="77777777" w:rsidR="00AA2786" w:rsidRPr="00E610CD" w:rsidRDefault="00AA2786" w:rsidP="00AE1DED">
            <w:pPr>
              <w:rPr>
                <w:color w:val="000000" w:themeColor="text1"/>
                <w:sz w:val="20"/>
                <w:szCs w:val="20"/>
              </w:rPr>
            </w:pPr>
            <w:r w:rsidRPr="00E610CD">
              <w:rPr>
                <w:color w:val="000000" w:themeColor="text1"/>
                <w:sz w:val="20"/>
                <w:szCs w:val="20"/>
              </w:rPr>
              <w:t>35-45% annual incident probability; 12.2% quarterly rate</w:t>
            </w:r>
          </w:p>
        </w:tc>
        <w:tc>
          <w:tcPr>
            <w:tcW w:w="3240" w:type="dxa"/>
            <w:tcBorders>
              <w:top w:val="nil"/>
              <w:left w:val="nil"/>
              <w:bottom w:val="single" w:sz="4" w:space="0" w:color="BFBFBF"/>
              <w:right w:val="single" w:sz="4" w:space="0" w:color="BFBFBF"/>
            </w:tcBorders>
            <w:vAlign w:val="center"/>
            <w:hideMark/>
          </w:tcPr>
          <w:p w14:paraId="5138949E" w14:textId="77777777" w:rsidR="00AA2786" w:rsidRPr="00E610CD" w:rsidRDefault="00AA2786" w:rsidP="00AE1DED">
            <w:pPr>
              <w:rPr>
                <w:color w:val="000000" w:themeColor="text1"/>
                <w:sz w:val="20"/>
                <w:szCs w:val="20"/>
              </w:rPr>
            </w:pPr>
            <w:r w:rsidRPr="00E610CD">
              <w:rPr>
                <w:color w:val="000000" w:themeColor="text1"/>
                <w:sz w:val="20"/>
                <w:szCs w:val="20"/>
              </w:rPr>
              <w:t>Capital formation dynamics (punctuated by catastrophic losses)</w:t>
            </w:r>
          </w:p>
        </w:tc>
      </w:tr>
      <w:tr w:rsidR="00E610CD" w:rsidRPr="00E610CD" w14:paraId="712DF325" w14:textId="77777777" w:rsidTr="00772FC7">
        <w:trPr>
          <w:trHeight w:val="71"/>
        </w:trPr>
        <w:tc>
          <w:tcPr>
            <w:tcW w:w="2515" w:type="dxa"/>
            <w:tcBorders>
              <w:top w:val="nil"/>
              <w:left w:val="single" w:sz="4" w:space="0" w:color="BFBFBF"/>
              <w:bottom w:val="single" w:sz="4" w:space="0" w:color="BFBFBF"/>
              <w:right w:val="single" w:sz="4" w:space="0" w:color="BFBFBF"/>
            </w:tcBorders>
            <w:shd w:val="clear" w:color="auto" w:fill="D9D9D9" w:themeFill="background1" w:themeFillShade="D9"/>
            <w:vAlign w:val="center"/>
            <w:hideMark/>
          </w:tcPr>
          <w:p w14:paraId="58B9647B" w14:textId="77777777" w:rsidR="00AA2786" w:rsidRPr="00E610CD" w:rsidRDefault="00AA2786" w:rsidP="00AE1DED">
            <w:pPr>
              <w:jc w:val="both"/>
              <w:rPr>
                <w:b/>
                <w:bCs/>
                <w:color w:val="000000" w:themeColor="text1"/>
                <w:sz w:val="20"/>
                <w:szCs w:val="20"/>
              </w:rPr>
            </w:pPr>
            <w:r w:rsidRPr="00E610CD">
              <w:rPr>
                <w:b/>
                <w:bCs/>
                <w:color w:val="000000" w:themeColor="text1"/>
                <w:sz w:val="20"/>
                <w:szCs w:val="20"/>
              </w:rPr>
              <w:t>Chapter 8: Returns</w:t>
            </w:r>
          </w:p>
        </w:tc>
        <w:tc>
          <w:tcPr>
            <w:tcW w:w="3420" w:type="dxa"/>
            <w:tcBorders>
              <w:top w:val="nil"/>
              <w:left w:val="nil"/>
              <w:bottom w:val="single" w:sz="4" w:space="0" w:color="BFBFBF"/>
              <w:right w:val="single" w:sz="4" w:space="0" w:color="BFBFBF"/>
            </w:tcBorders>
            <w:vAlign w:val="center"/>
            <w:hideMark/>
          </w:tcPr>
          <w:p w14:paraId="5B509C00" w14:textId="77777777" w:rsidR="00AA2786" w:rsidRPr="00E610CD" w:rsidRDefault="00AA2786" w:rsidP="00AE1DED">
            <w:pPr>
              <w:rPr>
                <w:color w:val="000000" w:themeColor="text1"/>
                <w:sz w:val="20"/>
                <w:szCs w:val="20"/>
              </w:rPr>
            </w:pPr>
            <w:r w:rsidRPr="00E610CD">
              <w:rPr>
                <w:color w:val="000000" w:themeColor="text1"/>
                <w:sz w:val="20"/>
                <w:szCs w:val="20"/>
              </w:rPr>
              <w:t>73% failure rate; 27% success conditional on resources</w:t>
            </w:r>
          </w:p>
        </w:tc>
        <w:tc>
          <w:tcPr>
            <w:tcW w:w="3240" w:type="dxa"/>
            <w:tcBorders>
              <w:top w:val="nil"/>
              <w:left w:val="nil"/>
              <w:bottom w:val="single" w:sz="4" w:space="0" w:color="BFBFBF"/>
              <w:right w:val="single" w:sz="4" w:space="0" w:color="BFBFBF"/>
            </w:tcBorders>
            <w:vAlign w:val="center"/>
            <w:hideMark/>
          </w:tcPr>
          <w:p w14:paraId="3E7D8A43" w14:textId="77777777" w:rsidR="00AA2786" w:rsidRPr="00E610CD" w:rsidRDefault="00AA2786" w:rsidP="00AE1DED">
            <w:pPr>
              <w:rPr>
                <w:color w:val="000000" w:themeColor="text1"/>
                <w:sz w:val="20"/>
                <w:szCs w:val="20"/>
              </w:rPr>
            </w:pPr>
            <w:r w:rsidRPr="00E610CD">
              <w:rPr>
                <w:color w:val="000000" w:themeColor="text1"/>
                <w:sz w:val="20"/>
                <w:szCs w:val="20"/>
              </w:rPr>
              <w:t>Conditional democratization (majority fail despite access)</w:t>
            </w:r>
          </w:p>
        </w:tc>
      </w:tr>
      <w:tr w:rsidR="00E610CD" w:rsidRPr="00E610CD" w14:paraId="248E2C88" w14:textId="77777777" w:rsidTr="00772FC7">
        <w:trPr>
          <w:trHeight w:val="71"/>
        </w:trPr>
        <w:tc>
          <w:tcPr>
            <w:tcW w:w="2515" w:type="dxa"/>
            <w:tcBorders>
              <w:top w:val="nil"/>
              <w:left w:val="single" w:sz="4" w:space="0" w:color="BFBFBF"/>
              <w:bottom w:val="single" w:sz="4" w:space="0" w:color="BFBFBF"/>
              <w:right w:val="single" w:sz="4" w:space="0" w:color="BFBFBF"/>
            </w:tcBorders>
            <w:shd w:val="clear" w:color="auto" w:fill="D9D9D9" w:themeFill="background1" w:themeFillShade="D9"/>
            <w:vAlign w:val="center"/>
            <w:hideMark/>
          </w:tcPr>
          <w:p w14:paraId="0AD5C53C" w14:textId="77777777" w:rsidR="00AA2786" w:rsidRPr="00E610CD" w:rsidRDefault="00AA2786" w:rsidP="00AE1DED">
            <w:pPr>
              <w:jc w:val="both"/>
              <w:rPr>
                <w:b/>
                <w:bCs/>
                <w:color w:val="000000" w:themeColor="text1"/>
                <w:sz w:val="20"/>
                <w:szCs w:val="20"/>
              </w:rPr>
            </w:pPr>
            <w:r w:rsidRPr="00E610CD">
              <w:rPr>
                <w:b/>
                <w:bCs/>
                <w:color w:val="000000" w:themeColor="text1"/>
                <w:sz w:val="20"/>
                <w:szCs w:val="20"/>
              </w:rPr>
              <w:t>Chapter 9: Scenarios</w:t>
            </w:r>
          </w:p>
        </w:tc>
        <w:tc>
          <w:tcPr>
            <w:tcW w:w="3420" w:type="dxa"/>
            <w:tcBorders>
              <w:top w:val="nil"/>
              <w:left w:val="nil"/>
              <w:bottom w:val="single" w:sz="4" w:space="0" w:color="BFBFBF"/>
              <w:right w:val="single" w:sz="4" w:space="0" w:color="BFBFBF"/>
            </w:tcBorders>
            <w:vAlign w:val="center"/>
            <w:hideMark/>
          </w:tcPr>
          <w:p w14:paraId="45FC4CC3" w14:textId="77777777" w:rsidR="00AA2786" w:rsidRPr="00E610CD" w:rsidRDefault="00AA2786" w:rsidP="00AE1DED">
            <w:pPr>
              <w:rPr>
                <w:color w:val="000000" w:themeColor="text1"/>
                <w:sz w:val="20"/>
                <w:szCs w:val="20"/>
              </w:rPr>
            </w:pPr>
            <w:r w:rsidRPr="00E610CD">
              <w:rPr>
                <w:color w:val="000000" w:themeColor="text1"/>
                <w:sz w:val="20"/>
                <w:szCs w:val="20"/>
              </w:rPr>
              <w:t>All current strategies fail in all future scenarios</w:t>
            </w:r>
          </w:p>
        </w:tc>
        <w:tc>
          <w:tcPr>
            <w:tcW w:w="3240" w:type="dxa"/>
            <w:tcBorders>
              <w:top w:val="nil"/>
              <w:left w:val="nil"/>
              <w:bottom w:val="single" w:sz="4" w:space="0" w:color="BFBFBF"/>
              <w:right w:val="single" w:sz="4" w:space="0" w:color="BFBFBF"/>
            </w:tcBorders>
            <w:vAlign w:val="center"/>
            <w:hideMark/>
          </w:tcPr>
          <w:p w14:paraId="7B19B6FE" w14:textId="77777777" w:rsidR="00AA2786" w:rsidRPr="00E610CD" w:rsidRDefault="00AA2786" w:rsidP="00AE1DED">
            <w:pPr>
              <w:rPr>
                <w:color w:val="000000" w:themeColor="text1"/>
                <w:sz w:val="20"/>
                <w:szCs w:val="20"/>
              </w:rPr>
            </w:pPr>
            <w:r w:rsidRPr="00E610CD">
              <w:rPr>
                <w:color w:val="000000" w:themeColor="text1"/>
                <w:sz w:val="20"/>
                <w:szCs w:val="20"/>
              </w:rPr>
              <w:t>Anti-inductivity (discovered patterns become obsolete)</w:t>
            </w:r>
          </w:p>
        </w:tc>
      </w:tr>
      <w:tr w:rsidR="00E610CD" w:rsidRPr="00E610CD" w14:paraId="0051C6EA" w14:textId="77777777" w:rsidTr="00772FC7">
        <w:trPr>
          <w:trHeight w:val="71"/>
        </w:trPr>
        <w:tc>
          <w:tcPr>
            <w:tcW w:w="2515" w:type="dxa"/>
            <w:tcBorders>
              <w:top w:val="nil"/>
              <w:left w:val="single" w:sz="4" w:space="0" w:color="BFBFBF"/>
              <w:bottom w:val="single" w:sz="4" w:space="0" w:color="BFBFBF"/>
              <w:right w:val="single" w:sz="4" w:space="0" w:color="BFBFBF"/>
            </w:tcBorders>
            <w:shd w:val="clear" w:color="auto" w:fill="D9D9D9" w:themeFill="background1" w:themeFillShade="D9"/>
            <w:vAlign w:val="center"/>
            <w:hideMark/>
          </w:tcPr>
          <w:p w14:paraId="7D4F136D" w14:textId="77777777" w:rsidR="00AA2786" w:rsidRPr="00E610CD" w:rsidRDefault="00AA2786" w:rsidP="00AE1DED">
            <w:pPr>
              <w:jc w:val="both"/>
              <w:rPr>
                <w:b/>
                <w:bCs/>
                <w:color w:val="000000" w:themeColor="text1"/>
                <w:sz w:val="20"/>
                <w:szCs w:val="20"/>
              </w:rPr>
            </w:pPr>
            <w:r w:rsidRPr="00E610CD">
              <w:rPr>
                <w:b/>
                <w:bCs/>
                <w:color w:val="000000" w:themeColor="text1"/>
                <w:sz w:val="20"/>
                <w:szCs w:val="20"/>
              </w:rPr>
              <w:t>Chapter 10: Implementation</w:t>
            </w:r>
          </w:p>
        </w:tc>
        <w:tc>
          <w:tcPr>
            <w:tcW w:w="3420" w:type="dxa"/>
            <w:tcBorders>
              <w:top w:val="nil"/>
              <w:left w:val="nil"/>
              <w:bottom w:val="single" w:sz="4" w:space="0" w:color="BFBFBF"/>
              <w:right w:val="single" w:sz="4" w:space="0" w:color="BFBFBF"/>
            </w:tcBorders>
            <w:vAlign w:val="center"/>
            <w:hideMark/>
          </w:tcPr>
          <w:p w14:paraId="5DA93B60" w14:textId="77777777" w:rsidR="00AA2786" w:rsidRPr="00E610CD" w:rsidRDefault="00AA2786" w:rsidP="00AE1DED">
            <w:pPr>
              <w:rPr>
                <w:color w:val="000000" w:themeColor="text1"/>
                <w:sz w:val="20"/>
                <w:szCs w:val="20"/>
              </w:rPr>
            </w:pPr>
            <w:r w:rsidRPr="00E610CD">
              <w:rPr>
                <w:color w:val="000000" w:themeColor="text1"/>
                <w:sz w:val="20"/>
                <w:szCs w:val="20"/>
              </w:rPr>
              <w:t>Optimization often reduces returns; simplicity succeeds</w:t>
            </w:r>
          </w:p>
        </w:tc>
        <w:tc>
          <w:tcPr>
            <w:tcW w:w="3240" w:type="dxa"/>
            <w:tcBorders>
              <w:top w:val="nil"/>
              <w:left w:val="nil"/>
              <w:bottom w:val="single" w:sz="4" w:space="0" w:color="BFBFBF"/>
              <w:right w:val="single" w:sz="4" w:space="0" w:color="BFBFBF"/>
            </w:tcBorders>
            <w:vAlign w:val="center"/>
            <w:hideMark/>
          </w:tcPr>
          <w:p w14:paraId="4057B89A" w14:textId="77777777" w:rsidR="00AA2786" w:rsidRPr="00E610CD" w:rsidRDefault="00AA2786" w:rsidP="00AE1DED">
            <w:pPr>
              <w:rPr>
                <w:color w:val="000000" w:themeColor="text1"/>
                <w:sz w:val="20"/>
                <w:szCs w:val="20"/>
              </w:rPr>
            </w:pPr>
            <w:r w:rsidRPr="00E610CD">
              <w:rPr>
                <w:color w:val="000000" w:themeColor="text1"/>
                <w:sz w:val="20"/>
                <w:szCs w:val="20"/>
              </w:rPr>
              <w:t>Reintermediation (complexity exceeds capability to manage)</w:t>
            </w:r>
          </w:p>
        </w:tc>
      </w:tr>
      <w:tr w:rsidR="00772FC7" w:rsidRPr="00E610CD" w14:paraId="24DF2C80" w14:textId="77777777" w:rsidTr="00772FC7">
        <w:trPr>
          <w:trHeight w:val="278"/>
        </w:trPr>
        <w:tc>
          <w:tcPr>
            <w:tcW w:w="2515" w:type="dxa"/>
            <w:tcBorders>
              <w:top w:val="nil"/>
              <w:left w:val="single" w:sz="4" w:space="0" w:color="BFBFBF"/>
              <w:bottom w:val="single" w:sz="4" w:space="0" w:color="BFBFBF"/>
              <w:right w:val="single" w:sz="4" w:space="0" w:color="BFBFBF"/>
            </w:tcBorders>
            <w:shd w:val="clear" w:color="auto" w:fill="D9D9D9" w:themeFill="background1" w:themeFillShade="D9"/>
            <w:vAlign w:val="center"/>
            <w:hideMark/>
          </w:tcPr>
          <w:p w14:paraId="5C489FC0" w14:textId="77777777" w:rsidR="00AA2786" w:rsidRPr="00E610CD" w:rsidRDefault="00AA2786" w:rsidP="00AE1DED">
            <w:pPr>
              <w:jc w:val="both"/>
              <w:rPr>
                <w:b/>
                <w:bCs/>
                <w:color w:val="000000" w:themeColor="text1"/>
                <w:sz w:val="20"/>
                <w:szCs w:val="20"/>
              </w:rPr>
            </w:pPr>
            <w:r w:rsidRPr="00E610CD">
              <w:rPr>
                <w:b/>
                <w:bCs/>
                <w:color w:val="000000" w:themeColor="text1"/>
                <w:sz w:val="20"/>
                <w:szCs w:val="20"/>
              </w:rPr>
              <w:t>Cross-Chapter</w:t>
            </w:r>
          </w:p>
        </w:tc>
        <w:tc>
          <w:tcPr>
            <w:tcW w:w="3420" w:type="dxa"/>
            <w:tcBorders>
              <w:top w:val="nil"/>
              <w:left w:val="nil"/>
              <w:bottom w:val="single" w:sz="4" w:space="0" w:color="BFBFBF"/>
              <w:right w:val="single" w:sz="4" w:space="0" w:color="BFBFBF"/>
            </w:tcBorders>
            <w:vAlign w:val="center"/>
            <w:hideMark/>
          </w:tcPr>
          <w:p w14:paraId="6925710D" w14:textId="77777777" w:rsidR="00AA2786" w:rsidRPr="00E610CD" w:rsidRDefault="00AA2786" w:rsidP="00AE1DED">
            <w:pPr>
              <w:rPr>
                <w:color w:val="000000" w:themeColor="text1"/>
                <w:sz w:val="20"/>
                <w:szCs w:val="20"/>
              </w:rPr>
            </w:pPr>
            <w:r w:rsidRPr="00E610CD">
              <w:rPr>
                <w:color w:val="000000" w:themeColor="text1"/>
                <w:sz w:val="20"/>
                <w:szCs w:val="20"/>
              </w:rPr>
              <w:t>Capital thresholds: $750, $3,500, $25,000</w:t>
            </w:r>
          </w:p>
        </w:tc>
        <w:tc>
          <w:tcPr>
            <w:tcW w:w="3240" w:type="dxa"/>
            <w:tcBorders>
              <w:top w:val="nil"/>
              <w:left w:val="nil"/>
              <w:bottom w:val="single" w:sz="4" w:space="0" w:color="BFBFBF"/>
              <w:right w:val="single" w:sz="4" w:space="0" w:color="BFBFBF"/>
            </w:tcBorders>
            <w:vAlign w:val="center"/>
            <w:hideMark/>
          </w:tcPr>
          <w:p w14:paraId="5C6EE1F4" w14:textId="77777777" w:rsidR="00AA2786" w:rsidRPr="00E610CD" w:rsidRDefault="00AA2786" w:rsidP="00AE1DED">
            <w:pPr>
              <w:rPr>
                <w:color w:val="000000" w:themeColor="text1"/>
                <w:sz w:val="20"/>
                <w:szCs w:val="20"/>
              </w:rPr>
            </w:pPr>
            <w:r w:rsidRPr="00E610CD">
              <w:rPr>
                <w:color w:val="000000" w:themeColor="text1"/>
                <w:sz w:val="20"/>
                <w:szCs w:val="20"/>
              </w:rPr>
              <w:t>Accessibility gradient (stratified viability by capital)</w:t>
            </w:r>
          </w:p>
        </w:tc>
      </w:tr>
    </w:tbl>
    <w:p w14:paraId="071098E1" w14:textId="77777777" w:rsidR="00926D4B" w:rsidRPr="00E610CD" w:rsidRDefault="00926D4B" w:rsidP="00AE1DED">
      <w:pPr>
        <w:jc w:val="both"/>
        <w:rPr>
          <w:rFonts w:eastAsiaTheme="majorEastAsia"/>
          <w:color w:val="000000" w:themeColor="text1"/>
        </w:rPr>
      </w:pPr>
    </w:p>
    <w:p w14:paraId="55BA9874" w14:textId="77777777" w:rsidR="00926D4B" w:rsidRPr="00E610CD" w:rsidRDefault="00926D4B" w:rsidP="00AE1DED">
      <w:pPr>
        <w:pStyle w:val="Heading3"/>
        <w:jc w:val="both"/>
        <w:rPr>
          <w:color w:val="000000" w:themeColor="text1"/>
        </w:rPr>
      </w:pPr>
      <w:bookmarkStart w:id="254" w:name="_Toc214722060"/>
      <w:r w:rsidRPr="00E610CD">
        <w:rPr>
          <w:color w:val="000000" w:themeColor="text1"/>
        </w:rPr>
        <w:lastRenderedPageBreak/>
        <w:t>Theoretical Implications Beyond DeFi</w:t>
      </w:r>
      <w:bookmarkEnd w:id="254"/>
    </w:p>
    <w:p w14:paraId="727770D4" w14:textId="0B4F6BE6" w:rsidR="00926D4B" w:rsidRPr="00E610CD" w:rsidRDefault="00CC755E" w:rsidP="00AE1DED">
      <w:pPr>
        <w:jc w:val="both"/>
        <w:rPr>
          <w:color w:val="000000" w:themeColor="text1"/>
        </w:rPr>
      </w:pPr>
      <w:r w:rsidRPr="00E610CD">
        <w:rPr>
          <w:color w:val="000000" w:themeColor="text1"/>
        </w:rPr>
        <w:t xml:space="preserve">During the research several limitations of democratizations were identified and although new in the DeFi space, these democratization limitations </w:t>
      </w:r>
      <w:r w:rsidR="00926D4B" w:rsidRPr="00E610CD">
        <w:rPr>
          <w:color w:val="000000" w:themeColor="text1"/>
        </w:rPr>
        <w:t>apply to broader technological and financial contexts:</w:t>
      </w:r>
    </w:p>
    <w:p w14:paraId="1A1D241E" w14:textId="77777777" w:rsidR="00201C2B" w:rsidRDefault="00201C2B" w:rsidP="00AE1DED">
      <w:pPr>
        <w:jc w:val="both"/>
        <w:rPr>
          <w:i/>
          <w:iCs/>
          <w:color w:val="000000" w:themeColor="text1"/>
        </w:rPr>
      </w:pPr>
    </w:p>
    <w:p w14:paraId="6B307B49" w14:textId="4CE8CD69" w:rsidR="00926D4B" w:rsidRPr="00E610CD" w:rsidRDefault="00926D4B" w:rsidP="00AE1DED">
      <w:pPr>
        <w:jc w:val="both"/>
        <w:rPr>
          <w:color w:val="000000" w:themeColor="text1"/>
        </w:rPr>
      </w:pPr>
      <w:r w:rsidRPr="00E610CD">
        <w:rPr>
          <w:i/>
          <w:iCs/>
          <w:color w:val="000000" w:themeColor="text1"/>
        </w:rPr>
        <w:t>Gig economy platforms</w:t>
      </w:r>
      <w:r w:rsidRPr="00E610CD">
        <w:rPr>
          <w:color w:val="000000" w:themeColor="text1"/>
        </w:rPr>
        <w:t xml:space="preserve"> (Uber, TaskRabbit, Fiverr) exhibit similar reintermediation</w:t>
      </w:r>
      <w:r w:rsidR="00CC755E" w:rsidRPr="00E610CD">
        <w:rPr>
          <w:color w:val="000000" w:themeColor="text1"/>
        </w:rPr>
        <w:t xml:space="preserve"> as DeFi. P</w:t>
      </w:r>
      <w:r w:rsidRPr="00E610CD">
        <w:rPr>
          <w:color w:val="000000" w:themeColor="text1"/>
        </w:rPr>
        <w:t xml:space="preserve">latforms eliminate traditional employment relationships but transfer risk and operational burden to individuals, creating </w:t>
      </w:r>
      <w:r w:rsidR="00CC755E" w:rsidRPr="00E610CD">
        <w:rPr>
          <w:color w:val="000000" w:themeColor="text1"/>
        </w:rPr>
        <w:t xml:space="preserve">a </w:t>
      </w:r>
      <w:r w:rsidRPr="00E610CD">
        <w:rPr>
          <w:color w:val="000000" w:themeColor="text1"/>
        </w:rPr>
        <w:t xml:space="preserve">conditional democratization where success depends on resources (vehicle ownership, skill specificity, time flexibility) </w:t>
      </w:r>
      <w:r w:rsidR="00CC755E" w:rsidRPr="00E610CD">
        <w:rPr>
          <w:color w:val="000000" w:themeColor="text1"/>
        </w:rPr>
        <w:t xml:space="preserve">which goes </w:t>
      </w:r>
      <w:r w:rsidRPr="00E610CD">
        <w:rPr>
          <w:color w:val="000000" w:themeColor="text1"/>
        </w:rPr>
        <w:t>beyond platform access.</w:t>
      </w:r>
    </w:p>
    <w:p w14:paraId="372621BB" w14:textId="77777777" w:rsidR="00201C2B" w:rsidRDefault="00201C2B" w:rsidP="00AE1DED">
      <w:pPr>
        <w:jc w:val="both"/>
        <w:rPr>
          <w:i/>
          <w:iCs/>
          <w:color w:val="000000" w:themeColor="text1"/>
        </w:rPr>
      </w:pPr>
    </w:p>
    <w:p w14:paraId="3DF68C8A" w14:textId="22EB4797" w:rsidR="00926D4B" w:rsidRPr="00E610CD" w:rsidRDefault="00926D4B" w:rsidP="00AE1DED">
      <w:pPr>
        <w:jc w:val="both"/>
        <w:rPr>
          <w:color w:val="000000" w:themeColor="text1"/>
        </w:rPr>
      </w:pPr>
      <w:r w:rsidRPr="00E610CD">
        <w:rPr>
          <w:i/>
          <w:iCs/>
          <w:color w:val="000000" w:themeColor="text1"/>
        </w:rPr>
        <w:t>Creator economy</w:t>
      </w:r>
      <w:r w:rsidRPr="00E610CD">
        <w:rPr>
          <w:color w:val="000000" w:themeColor="text1"/>
        </w:rPr>
        <w:t xml:space="preserve"> (YouTube, Substack, Patreon) shows </w:t>
      </w:r>
      <w:r w:rsidR="00CC755E" w:rsidRPr="00E610CD">
        <w:rPr>
          <w:color w:val="000000" w:themeColor="text1"/>
        </w:rPr>
        <w:t xml:space="preserve">various </w:t>
      </w:r>
      <w:r w:rsidRPr="00E610CD">
        <w:rPr>
          <w:color w:val="000000" w:themeColor="text1"/>
        </w:rPr>
        <w:t>accessibility gradients</w:t>
      </w:r>
      <w:r w:rsidR="00D76C74" w:rsidRPr="00E610CD">
        <w:rPr>
          <w:color w:val="000000" w:themeColor="text1"/>
        </w:rPr>
        <w:t xml:space="preserve">. Even though </w:t>
      </w:r>
      <w:proofErr w:type="spellStart"/>
      <w:r w:rsidR="00D76C74" w:rsidRPr="00E610CD">
        <w:rPr>
          <w:color w:val="000000" w:themeColor="text1"/>
        </w:rPr>
        <w:t>rhe</w:t>
      </w:r>
      <w:proofErr w:type="spellEnd"/>
      <w:r w:rsidR="00D76C74" w:rsidRPr="00E610CD">
        <w:rPr>
          <w:color w:val="000000" w:themeColor="text1"/>
        </w:rPr>
        <w:t xml:space="preserve"> </w:t>
      </w:r>
      <w:r w:rsidRPr="00E610CD">
        <w:rPr>
          <w:color w:val="000000" w:themeColor="text1"/>
        </w:rPr>
        <w:t xml:space="preserve">technical barriers to publication disappeared, but economic viability remains conditional </w:t>
      </w:r>
      <w:r w:rsidR="00D76C74" w:rsidRPr="00E610CD">
        <w:rPr>
          <w:color w:val="000000" w:themeColor="text1"/>
        </w:rPr>
        <w:t>focusing on</w:t>
      </w:r>
      <w:r w:rsidRPr="00E610CD">
        <w:rPr>
          <w:color w:val="000000" w:themeColor="text1"/>
        </w:rPr>
        <w:t xml:space="preserve"> audience building, consistent output, and often pre-existing following. Most creators earn &lt;$1,000 annually despite universal technical access.</w:t>
      </w:r>
    </w:p>
    <w:p w14:paraId="4C959E6B" w14:textId="77777777" w:rsidR="00201C2B" w:rsidRDefault="00201C2B" w:rsidP="00AE1DED">
      <w:pPr>
        <w:jc w:val="both"/>
        <w:rPr>
          <w:i/>
          <w:iCs/>
          <w:color w:val="000000" w:themeColor="text1"/>
        </w:rPr>
      </w:pPr>
    </w:p>
    <w:p w14:paraId="367A6F10" w14:textId="25125D64" w:rsidR="00926D4B" w:rsidRPr="00E610CD" w:rsidRDefault="00926D4B" w:rsidP="00AE1DED">
      <w:pPr>
        <w:jc w:val="both"/>
        <w:rPr>
          <w:color w:val="000000" w:themeColor="text1"/>
        </w:rPr>
      </w:pPr>
      <w:r w:rsidRPr="00E610CD">
        <w:rPr>
          <w:i/>
          <w:iCs/>
          <w:color w:val="000000" w:themeColor="text1"/>
        </w:rPr>
        <w:t>Crowdfunding</w:t>
      </w:r>
      <w:r w:rsidRPr="00E610CD">
        <w:rPr>
          <w:color w:val="000000" w:themeColor="text1"/>
        </w:rPr>
        <w:t xml:space="preserve"> (Kickstarter, GoFundMe) demonstrates anti-inductivity</w:t>
      </w:r>
      <w:r w:rsidR="00D76C74" w:rsidRPr="00E610CD">
        <w:rPr>
          <w:color w:val="000000" w:themeColor="text1"/>
        </w:rPr>
        <w:t xml:space="preserve"> where </w:t>
      </w:r>
      <w:r w:rsidRPr="00E610CD">
        <w:rPr>
          <w:color w:val="000000" w:themeColor="text1"/>
        </w:rPr>
        <w:t xml:space="preserve">early campaigns succeeded through novelty, but </w:t>
      </w:r>
      <w:proofErr w:type="gramStart"/>
      <w:r w:rsidR="00D76C74" w:rsidRPr="00E610CD">
        <w:rPr>
          <w:color w:val="000000" w:themeColor="text1"/>
        </w:rPr>
        <w:t xml:space="preserve">a </w:t>
      </w:r>
      <w:r w:rsidRPr="00E610CD">
        <w:rPr>
          <w:color w:val="000000" w:themeColor="text1"/>
        </w:rPr>
        <w:t>saturation</w:t>
      </w:r>
      <w:proofErr w:type="gramEnd"/>
      <w:r w:rsidRPr="00E610CD">
        <w:rPr>
          <w:color w:val="000000" w:themeColor="text1"/>
        </w:rPr>
        <w:t xml:space="preserve"> </w:t>
      </w:r>
      <w:r w:rsidR="00D76C74" w:rsidRPr="00E610CD">
        <w:rPr>
          <w:color w:val="000000" w:themeColor="text1"/>
        </w:rPr>
        <w:t xml:space="preserve">in this space </w:t>
      </w:r>
      <w:r w:rsidRPr="00E610CD">
        <w:rPr>
          <w:color w:val="000000" w:themeColor="text1"/>
        </w:rPr>
        <w:t>reduced success rates from 44% (2012) to 36% (2020) as strategies diffused and competition intensified.</w:t>
      </w:r>
    </w:p>
    <w:p w14:paraId="48FCCB5C" w14:textId="77777777" w:rsidR="00201C2B" w:rsidRDefault="00201C2B" w:rsidP="00AE1DED">
      <w:pPr>
        <w:jc w:val="both"/>
        <w:rPr>
          <w:i/>
          <w:iCs/>
          <w:color w:val="000000" w:themeColor="text1"/>
        </w:rPr>
      </w:pPr>
    </w:p>
    <w:p w14:paraId="120385FE" w14:textId="0A3C5E5D" w:rsidR="00926D4B" w:rsidRDefault="00926D4B" w:rsidP="00AE1DED">
      <w:pPr>
        <w:jc w:val="both"/>
        <w:rPr>
          <w:color w:val="000000" w:themeColor="text1"/>
        </w:rPr>
      </w:pPr>
      <w:r w:rsidRPr="00E610CD">
        <w:rPr>
          <w:i/>
          <w:iCs/>
          <w:color w:val="000000" w:themeColor="text1"/>
        </w:rPr>
        <w:t>Peer-to-peer lending</w:t>
      </w:r>
      <w:r w:rsidRPr="00E610CD">
        <w:rPr>
          <w:color w:val="000000" w:themeColor="text1"/>
        </w:rPr>
        <w:t xml:space="preserve"> (</w:t>
      </w:r>
      <w:proofErr w:type="spellStart"/>
      <w:r w:rsidRPr="00E610CD">
        <w:rPr>
          <w:color w:val="000000" w:themeColor="text1"/>
        </w:rPr>
        <w:t>LendingClub</w:t>
      </w:r>
      <w:proofErr w:type="spellEnd"/>
      <w:r w:rsidRPr="00E610CD">
        <w:rPr>
          <w:color w:val="000000" w:themeColor="text1"/>
        </w:rPr>
        <w:t xml:space="preserve">, Prosper) </w:t>
      </w:r>
      <w:r w:rsidR="000931E1" w:rsidRPr="00E610CD">
        <w:rPr>
          <w:color w:val="000000" w:themeColor="text1"/>
        </w:rPr>
        <w:t>showed</w:t>
      </w:r>
      <w:r w:rsidR="00D76C74" w:rsidRPr="00E610CD">
        <w:rPr>
          <w:color w:val="000000" w:themeColor="text1"/>
        </w:rPr>
        <w:t xml:space="preserve"> </w:t>
      </w:r>
      <w:r w:rsidRPr="00E610CD">
        <w:rPr>
          <w:color w:val="000000" w:themeColor="text1"/>
        </w:rPr>
        <w:t>capital formation dynamics</w:t>
      </w:r>
      <w:r w:rsidR="00D76C74" w:rsidRPr="00E610CD">
        <w:rPr>
          <w:color w:val="000000" w:themeColor="text1"/>
        </w:rPr>
        <w:t xml:space="preserve"> where </w:t>
      </w:r>
      <w:r w:rsidRPr="00E610CD">
        <w:rPr>
          <w:color w:val="000000" w:themeColor="text1"/>
        </w:rPr>
        <w:t>early returns attracted capital, competition compressed returns to near-traditional-banking levels</w:t>
      </w:r>
      <w:r w:rsidR="00D76C74" w:rsidRPr="00E610CD">
        <w:rPr>
          <w:color w:val="000000" w:themeColor="text1"/>
        </w:rPr>
        <w:t xml:space="preserve"> and the </w:t>
      </w:r>
      <w:r w:rsidRPr="00E610CD">
        <w:rPr>
          <w:color w:val="000000" w:themeColor="text1"/>
        </w:rPr>
        <w:t>platforms shifted from democratizing credit to serving institutional investors.</w:t>
      </w:r>
    </w:p>
    <w:p w14:paraId="7A882D6A" w14:textId="77777777" w:rsidR="00506DB0" w:rsidRPr="00E610CD" w:rsidRDefault="00506DB0" w:rsidP="00AE1DED">
      <w:pPr>
        <w:jc w:val="both"/>
        <w:rPr>
          <w:color w:val="000000" w:themeColor="text1"/>
        </w:rPr>
      </w:pPr>
    </w:p>
    <w:p w14:paraId="2C381833" w14:textId="5DEE3A5D" w:rsidR="00926D4B" w:rsidRPr="00E610CD" w:rsidRDefault="00926D4B" w:rsidP="00AE1DED">
      <w:pPr>
        <w:jc w:val="both"/>
        <w:rPr>
          <w:color w:val="000000" w:themeColor="text1"/>
        </w:rPr>
      </w:pPr>
      <w:r w:rsidRPr="00E610CD">
        <w:rPr>
          <w:color w:val="000000" w:themeColor="text1"/>
        </w:rPr>
        <w:t>T</w:t>
      </w:r>
      <w:r w:rsidR="00D76C74" w:rsidRPr="00E610CD">
        <w:rPr>
          <w:color w:val="000000" w:themeColor="text1"/>
        </w:rPr>
        <w:t xml:space="preserve">his shows that the identified </w:t>
      </w:r>
      <w:r w:rsidRPr="00E610CD">
        <w:rPr>
          <w:color w:val="000000" w:themeColor="text1"/>
        </w:rPr>
        <w:t xml:space="preserve">pattern repeats: technical democratization creates accessibility enabling conditional participation for </w:t>
      </w:r>
      <w:r w:rsidR="00D76C74" w:rsidRPr="00E610CD">
        <w:rPr>
          <w:color w:val="000000" w:themeColor="text1"/>
        </w:rPr>
        <w:t>participants that</w:t>
      </w:r>
      <w:r w:rsidRPr="00E610CD">
        <w:rPr>
          <w:color w:val="000000" w:themeColor="text1"/>
        </w:rPr>
        <w:t xml:space="preserve"> meet</w:t>
      </w:r>
      <w:r w:rsidR="00D76C74" w:rsidRPr="00E610CD">
        <w:rPr>
          <w:color w:val="000000" w:themeColor="text1"/>
        </w:rPr>
        <w:t xml:space="preserve"> the necessary</w:t>
      </w:r>
      <w:r w:rsidRPr="00E610CD">
        <w:rPr>
          <w:color w:val="000000" w:themeColor="text1"/>
        </w:rPr>
        <w:t xml:space="preserve"> resource requirements, while competitive dynamics (anti-inductivity) </w:t>
      </w:r>
      <w:r w:rsidR="00D76C74" w:rsidRPr="00E610CD">
        <w:rPr>
          <w:color w:val="000000" w:themeColor="text1"/>
        </w:rPr>
        <w:t>diminishes</w:t>
      </w:r>
      <w:r w:rsidRPr="00E610CD">
        <w:rPr>
          <w:color w:val="000000" w:themeColor="text1"/>
        </w:rPr>
        <w:t xml:space="preserve"> opportunities over time, and operational complexity (reintermediation) transfers </w:t>
      </w:r>
      <w:r w:rsidR="00D76C74" w:rsidRPr="00E610CD">
        <w:rPr>
          <w:color w:val="000000" w:themeColor="text1"/>
        </w:rPr>
        <w:t xml:space="preserve">the </w:t>
      </w:r>
      <w:r w:rsidRPr="00E610CD">
        <w:rPr>
          <w:color w:val="000000" w:themeColor="text1"/>
        </w:rPr>
        <w:t xml:space="preserve">risk from institutions to individuals. </w:t>
      </w:r>
    </w:p>
    <w:p w14:paraId="5737942D" w14:textId="77777777" w:rsidR="00201C2B" w:rsidRDefault="00201C2B" w:rsidP="00AE1DED">
      <w:pPr>
        <w:pStyle w:val="Heading3"/>
        <w:jc w:val="both"/>
        <w:rPr>
          <w:color w:val="000000" w:themeColor="text1"/>
        </w:rPr>
      </w:pPr>
    </w:p>
    <w:p w14:paraId="5BDEC3BE" w14:textId="13F27322" w:rsidR="00926D4B" w:rsidRPr="00E610CD" w:rsidRDefault="00926D4B" w:rsidP="00AE1DED">
      <w:pPr>
        <w:pStyle w:val="Heading3"/>
        <w:jc w:val="both"/>
        <w:rPr>
          <w:color w:val="000000" w:themeColor="text1"/>
        </w:rPr>
      </w:pPr>
      <w:bookmarkStart w:id="255" w:name="_Toc214722061"/>
      <w:r w:rsidRPr="00E610CD">
        <w:rPr>
          <w:color w:val="000000" w:themeColor="text1"/>
        </w:rPr>
        <w:t>Future Theoretical Development</w:t>
      </w:r>
      <w:bookmarkEnd w:id="255"/>
    </w:p>
    <w:p w14:paraId="0C084045" w14:textId="6C06AB54" w:rsidR="00926D4B" w:rsidRPr="00E610CD" w:rsidRDefault="00057E7F" w:rsidP="00AE1DED">
      <w:pPr>
        <w:jc w:val="both"/>
        <w:rPr>
          <w:color w:val="000000" w:themeColor="text1"/>
        </w:rPr>
      </w:pPr>
      <w:r w:rsidRPr="00E610CD">
        <w:rPr>
          <w:color w:val="000000" w:themeColor="text1"/>
        </w:rPr>
        <w:t>There are s</w:t>
      </w:r>
      <w:r w:rsidR="00926D4B" w:rsidRPr="00E610CD">
        <w:rPr>
          <w:color w:val="000000" w:themeColor="text1"/>
        </w:rPr>
        <w:t xml:space="preserve">everal theoretical extensions </w:t>
      </w:r>
      <w:r w:rsidRPr="00E610CD">
        <w:rPr>
          <w:color w:val="000000" w:themeColor="text1"/>
        </w:rPr>
        <w:t>that should be looked at in</w:t>
      </w:r>
      <w:r w:rsidR="00926D4B" w:rsidRPr="00E610CD">
        <w:rPr>
          <w:color w:val="000000" w:themeColor="text1"/>
        </w:rPr>
        <w:t xml:space="preserve"> future research:</w:t>
      </w:r>
    </w:p>
    <w:p w14:paraId="12E91C61" w14:textId="77777777" w:rsidR="00201C2B" w:rsidRDefault="00201C2B" w:rsidP="00AE1DED">
      <w:pPr>
        <w:jc w:val="both"/>
        <w:rPr>
          <w:i/>
          <w:iCs/>
          <w:color w:val="000000" w:themeColor="text1"/>
        </w:rPr>
      </w:pPr>
    </w:p>
    <w:p w14:paraId="33964E4A" w14:textId="5146599F" w:rsidR="00926D4B" w:rsidRPr="00E610CD" w:rsidRDefault="00926D4B" w:rsidP="00AE1DED">
      <w:pPr>
        <w:jc w:val="both"/>
        <w:rPr>
          <w:color w:val="000000" w:themeColor="text1"/>
        </w:rPr>
      </w:pPr>
      <w:r w:rsidRPr="00E610CD">
        <w:rPr>
          <w:i/>
          <w:iCs/>
          <w:color w:val="000000" w:themeColor="text1"/>
        </w:rPr>
        <w:t>Quantifying conditionality:</w:t>
      </w:r>
      <w:r w:rsidRPr="00E610CD">
        <w:rPr>
          <w:color w:val="000000" w:themeColor="text1"/>
        </w:rPr>
        <w:t xml:space="preserve"> The framework identifies conditions (capital, competence, time, risk tolerance) but lacks formal measurement. Future research might develop "conditionality indices" measuring how many potential participants meet conditions individually and jointly, quantifying democratization's actual reach.</w:t>
      </w:r>
    </w:p>
    <w:p w14:paraId="68564949" w14:textId="77777777" w:rsidR="00201C2B" w:rsidRDefault="00201C2B" w:rsidP="00AE1DED">
      <w:pPr>
        <w:jc w:val="both"/>
        <w:rPr>
          <w:i/>
          <w:iCs/>
          <w:color w:val="000000" w:themeColor="text1"/>
        </w:rPr>
      </w:pPr>
    </w:p>
    <w:p w14:paraId="284641B4" w14:textId="0FFC97C0" w:rsidR="00926D4B" w:rsidRPr="00E610CD" w:rsidRDefault="00926D4B" w:rsidP="00AE1DED">
      <w:pPr>
        <w:jc w:val="both"/>
        <w:rPr>
          <w:color w:val="000000" w:themeColor="text1"/>
        </w:rPr>
      </w:pPr>
      <w:r w:rsidRPr="00E610CD">
        <w:rPr>
          <w:i/>
          <w:iCs/>
          <w:color w:val="000000" w:themeColor="text1"/>
        </w:rPr>
        <w:t>Temporal dynamics:</w:t>
      </w:r>
      <w:r w:rsidRPr="00E610CD">
        <w:rPr>
          <w:color w:val="000000" w:themeColor="text1"/>
        </w:rPr>
        <w:t xml:space="preserve"> Current framework treats conditions as </w:t>
      </w:r>
      <w:r w:rsidR="00057E7F" w:rsidRPr="00E610CD">
        <w:rPr>
          <w:color w:val="000000" w:themeColor="text1"/>
        </w:rPr>
        <w:t xml:space="preserve">somewhat </w:t>
      </w:r>
      <w:r w:rsidRPr="00E610CD">
        <w:rPr>
          <w:color w:val="000000" w:themeColor="text1"/>
        </w:rPr>
        <w:t>static, but t</w:t>
      </w:r>
      <w:r w:rsidR="00057E7F" w:rsidRPr="00E610CD">
        <w:rPr>
          <w:color w:val="000000" w:themeColor="text1"/>
        </w:rPr>
        <w:t>hese conditions will</w:t>
      </w:r>
      <w:r w:rsidRPr="00E610CD">
        <w:rPr>
          <w:color w:val="000000" w:themeColor="text1"/>
        </w:rPr>
        <w:t xml:space="preserve"> evolv</w:t>
      </w:r>
      <w:r w:rsidR="00057E7F" w:rsidRPr="00E610CD">
        <w:rPr>
          <w:color w:val="000000" w:themeColor="text1"/>
        </w:rPr>
        <w:t>e. Technical</w:t>
      </w:r>
      <w:r w:rsidRPr="00E610CD">
        <w:rPr>
          <w:color w:val="000000" w:themeColor="text1"/>
        </w:rPr>
        <w:t xml:space="preserve"> knowledge </w:t>
      </w:r>
      <w:r w:rsidR="00057E7F" w:rsidRPr="00E610CD">
        <w:rPr>
          <w:color w:val="000000" w:themeColor="text1"/>
        </w:rPr>
        <w:t>will change, AI usage will increase</w:t>
      </w:r>
      <w:r w:rsidRPr="00E610CD">
        <w:rPr>
          <w:color w:val="000000" w:themeColor="text1"/>
        </w:rPr>
        <w:t xml:space="preserve">, </w:t>
      </w:r>
      <w:r w:rsidR="00057E7F" w:rsidRPr="00E610CD">
        <w:rPr>
          <w:color w:val="000000" w:themeColor="text1"/>
        </w:rPr>
        <w:t xml:space="preserve">gas </w:t>
      </w:r>
      <w:r w:rsidRPr="00E610CD">
        <w:rPr>
          <w:color w:val="000000" w:themeColor="text1"/>
        </w:rPr>
        <w:t xml:space="preserve">costs </w:t>
      </w:r>
      <w:r w:rsidR="00057E7F" w:rsidRPr="00E610CD">
        <w:rPr>
          <w:color w:val="000000" w:themeColor="text1"/>
        </w:rPr>
        <w:t>will change and</w:t>
      </w:r>
      <w:r w:rsidRPr="00E610CD">
        <w:rPr>
          <w:color w:val="000000" w:themeColor="text1"/>
        </w:rPr>
        <w:t xml:space="preserve"> infrastructure </w:t>
      </w:r>
      <w:r w:rsidR="00057E7F" w:rsidRPr="00E610CD">
        <w:rPr>
          <w:color w:val="000000" w:themeColor="text1"/>
        </w:rPr>
        <w:t xml:space="preserve">will </w:t>
      </w:r>
      <w:r w:rsidRPr="00E610CD">
        <w:rPr>
          <w:color w:val="000000" w:themeColor="text1"/>
        </w:rPr>
        <w:t xml:space="preserve">improve. Modeling </w:t>
      </w:r>
      <w:r w:rsidR="00057E7F" w:rsidRPr="00E610CD">
        <w:rPr>
          <w:color w:val="000000" w:themeColor="text1"/>
        </w:rPr>
        <w:t xml:space="preserve">these </w:t>
      </w:r>
      <w:r w:rsidRPr="00E610CD">
        <w:rPr>
          <w:color w:val="000000" w:themeColor="text1"/>
        </w:rPr>
        <w:t>condition</w:t>
      </w:r>
      <w:r w:rsidR="00057E7F" w:rsidRPr="00E610CD">
        <w:rPr>
          <w:color w:val="000000" w:themeColor="text1"/>
        </w:rPr>
        <w:t>s and tracking the</w:t>
      </w:r>
      <w:r w:rsidRPr="00E610CD">
        <w:rPr>
          <w:color w:val="000000" w:themeColor="text1"/>
        </w:rPr>
        <w:t xml:space="preserve"> evolution</w:t>
      </w:r>
      <w:r w:rsidR="00057E7F" w:rsidRPr="00E610CD">
        <w:rPr>
          <w:color w:val="000000" w:themeColor="text1"/>
        </w:rPr>
        <w:t>s</w:t>
      </w:r>
      <w:r w:rsidRPr="00E610CD">
        <w:rPr>
          <w:color w:val="000000" w:themeColor="text1"/>
        </w:rPr>
        <w:t xml:space="preserve"> could predict democratization trajectories over time</w:t>
      </w:r>
      <w:r w:rsidR="00057E7F" w:rsidRPr="00E610CD">
        <w:rPr>
          <w:color w:val="000000" w:themeColor="text1"/>
        </w:rPr>
        <w:t xml:space="preserve"> and allow better </w:t>
      </w:r>
      <w:r w:rsidR="000931E1" w:rsidRPr="00E610CD">
        <w:rPr>
          <w:color w:val="000000" w:themeColor="text1"/>
        </w:rPr>
        <w:t>decision-making</w:t>
      </w:r>
      <w:r w:rsidR="00057E7F" w:rsidRPr="00E610CD">
        <w:rPr>
          <w:color w:val="000000" w:themeColor="text1"/>
        </w:rPr>
        <w:t xml:space="preserve"> frameworks/processes.</w:t>
      </w:r>
    </w:p>
    <w:p w14:paraId="3D70CC48" w14:textId="77777777" w:rsidR="00201C2B" w:rsidRDefault="00201C2B" w:rsidP="00AE1DED">
      <w:pPr>
        <w:jc w:val="both"/>
        <w:rPr>
          <w:i/>
          <w:iCs/>
          <w:color w:val="000000" w:themeColor="text1"/>
        </w:rPr>
      </w:pPr>
    </w:p>
    <w:p w14:paraId="5BD1F274" w14:textId="56BD7650" w:rsidR="00926D4B" w:rsidRDefault="00926D4B" w:rsidP="00AE1DED">
      <w:pPr>
        <w:jc w:val="both"/>
        <w:rPr>
          <w:color w:val="000000" w:themeColor="text1"/>
        </w:rPr>
      </w:pPr>
      <w:r w:rsidRPr="00E610CD">
        <w:rPr>
          <w:i/>
          <w:iCs/>
          <w:color w:val="000000" w:themeColor="text1"/>
        </w:rPr>
        <w:t>Policy intervention mapping:</w:t>
      </w:r>
      <w:r w:rsidRPr="00E610CD">
        <w:rPr>
          <w:color w:val="000000" w:themeColor="text1"/>
        </w:rPr>
        <w:t xml:space="preserve"> Different conditions respond to different interventions</w:t>
      </w:r>
      <w:proofErr w:type="gramStart"/>
      <w:r w:rsidR="000931E1" w:rsidRPr="00E610CD">
        <w:rPr>
          <w:color w:val="000000" w:themeColor="text1"/>
        </w:rPr>
        <w:t xml:space="preserve">:  </w:t>
      </w:r>
      <w:r w:rsidRPr="00E610CD">
        <w:rPr>
          <w:color w:val="000000" w:themeColor="text1"/>
        </w:rPr>
        <w:t>education</w:t>
      </w:r>
      <w:proofErr w:type="gramEnd"/>
      <w:r w:rsidRPr="00E610CD">
        <w:rPr>
          <w:color w:val="000000" w:themeColor="text1"/>
        </w:rPr>
        <w:t xml:space="preserve"> addresses competence, subsidies address capital, automation addresses time. Systematic mapping of condition-intervention relationships could guide policy prioritization.</w:t>
      </w:r>
    </w:p>
    <w:p w14:paraId="22940BA1" w14:textId="77777777" w:rsidR="002F1BF1" w:rsidRDefault="002F1BF1" w:rsidP="00AE1DED">
      <w:pPr>
        <w:jc w:val="both"/>
        <w:rPr>
          <w:color w:val="000000" w:themeColor="text1"/>
        </w:rPr>
      </w:pPr>
    </w:p>
    <w:p w14:paraId="5119CB27" w14:textId="77777777" w:rsidR="002F1BF1" w:rsidRPr="002F1BF1" w:rsidRDefault="002F1BF1" w:rsidP="00AE1DED">
      <w:pPr>
        <w:pStyle w:val="Heading2"/>
      </w:pPr>
      <w:bookmarkStart w:id="256" w:name="_Toc214722062"/>
      <w:r w:rsidRPr="002F1BF1">
        <w:t>11.8 Key Takeaways: Actionable Insights for Stakeholders</w:t>
      </w:r>
      <w:bookmarkEnd w:id="256"/>
    </w:p>
    <w:p w14:paraId="45C938D0" w14:textId="68D24F0C" w:rsidR="007804FD" w:rsidRPr="00A377A8" w:rsidRDefault="00A377A8" w:rsidP="00AE1DED">
      <w:pPr>
        <w:jc w:val="both"/>
        <w:rPr>
          <w:color w:val="000000" w:themeColor="text1"/>
        </w:rPr>
      </w:pPr>
      <w:r w:rsidRPr="00A377A8">
        <w:rPr>
          <w:color w:val="000000" w:themeColor="text1"/>
        </w:rPr>
        <w:lastRenderedPageBreak/>
        <w:t xml:space="preserve">These </w:t>
      </w:r>
      <w:proofErr w:type="gramStart"/>
      <w:r w:rsidRPr="00A377A8">
        <w:rPr>
          <w:color w:val="000000" w:themeColor="text1"/>
        </w:rPr>
        <w:t>findings</w:t>
      </w:r>
      <w:proofErr w:type="gramEnd"/>
      <w:r w:rsidRPr="00A377A8">
        <w:rPr>
          <w:color w:val="000000" w:themeColor="text1"/>
        </w:rPr>
        <w:t xml:space="preserve"> this study produced identified actionable findings for three principal stakeholder groups: potential participants, policymakers, and protocol developers. </w:t>
      </w:r>
      <w:r w:rsidR="002D37FE" w:rsidRPr="002D37FE">
        <w:rPr>
          <w:color w:val="000000" w:themeColor="text1"/>
        </w:rPr>
        <w:t>These conclusions combine scientific data into decision-making frameworks that are suitable for every audience.</w:t>
      </w:r>
    </w:p>
    <w:p w14:paraId="3C23C55B" w14:textId="77777777" w:rsidR="00A377A8" w:rsidRDefault="00A377A8" w:rsidP="00AE1DED">
      <w:pPr>
        <w:jc w:val="both"/>
        <w:rPr>
          <w:b/>
          <w:bCs/>
          <w:color w:val="FF0000"/>
        </w:rPr>
      </w:pPr>
    </w:p>
    <w:p w14:paraId="67A1E605" w14:textId="63977DFD" w:rsidR="002F1BF1" w:rsidRPr="002F1BF1" w:rsidRDefault="002F1BF1" w:rsidP="00AE1DED">
      <w:pPr>
        <w:pStyle w:val="Heading3"/>
      </w:pPr>
      <w:bookmarkStart w:id="257" w:name="_Toc214722063"/>
      <w:r w:rsidRPr="002F1BF1">
        <w:t>11.8.1 For Prospective Participants: Decision Framework</w:t>
      </w:r>
      <w:bookmarkEnd w:id="257"/>
    </w:p>
    <w:p w14:paraId="49024BD8" w14:textId="75F9023A" w:rsidR="002F1BF1" w:rsidRPr="00C54F19" w:rsidRDefault="002F1BF1" w:rsidP="00AE1DED">
      <w:pPr>
        <w:jc w:val="both"/>
        <w:rPr>
          <w:color w:val="000000" w:themeColor="text1"/>
        </w:rPr>
      </w:pPr>
      <w:r w:rsidRPr="00C54F19">
        <w:rPr>
          <w:b/>
          <w:bCs/>
          <w:color w:val="000000" w:themeColor="text1"/>
        </w:rPr>
        <w:t>Capital Assessment:</w:t>
      </w:r>
      <w:r w:rsidRPr="00C54F19">
        <w:rPr>
          <w:color w:val="000000" w:themeColor="text1"/>
        </w:rPr>
        <w:t xml:space="preserve"> </w:t>
      </w:r>
      <w:r w:rsidR="004B5A05" w:rsidRPr="00C54F19">
        <w:rPr>
          <w:color w:val="000000" w:themeColor="text1"/>
        </w:rPr>
        <w:t>Prior to choosing a platform</w:t>
      </w:r>
      <w:r w:rsidR="00BF5073" w:rsidRPr="00C54F19">
        <w:rPr>
          <w:color w:val="000000" w:themeColor="text1"/>
        </w:rPr>
        <w:t xml:space="preserve"> participants need to </w:t>
      </w:r>
      <w:r w:rsidR="004B5A05" w:rsidRPr="00C54F19">
        <w:rPr>
          <w:color w:val="000000" w:themeColor="text1"/>
        </w:rPr>
        <w:t xml:space="preserve">ascertain a feasible level of involvement. Given that operating costs consistently outweigh possible returns at this size, anyone with less than $750 should completely reevaluate their membership in DeFi. Only stablecoin liquidity on inexpensive chains (Polygon, BSC) is available to those having $750–$3,500, yielding 4-6% yearly profits that are significant but not revolutionary. Layer-2 techniques with 6–10% potential returns and psychological safety margins for learning are made possible by capital between $3,500 and $25,000. The Ethereum </w:t>
      </w:r>
      <w:proofErr w:type="spellStart"/>
      <w:r w:rsidR="004B5A05" w:rsidRPr="00C54F19">
        <w:rPr>
          <w:color w:val="000000" w:themeColor="text1"/>
        </w:rPr>
        <w:t>mainnet</w:t>
      </w:r>
      <w:proofErr w:type="spellEnd"/>
      <w:r w:rsidR="004B5A05" w:rsidRPr="00C54F19">
        <w:rPr>
          <w:color w:val="000000" w:themeColor="text1"/>
        </w:rPr>
        <w:t xml:space="preserve"> only becomes economically feasible around $25,000+, allowing for diversification and sustainable yields of 8–14%.</w:t>
      </w:r>
    </w:p>
    <w:p w14:paraId="75A4EA14" w14:textId="77777777" w:rsidR="00462C58" w:rsidRPr="002F1BF1" w:rsidRDefault="00462C58" w:rsidP="00AE1DED">
      <w:pPr>
        <w:jc w:val="both"/>
        <w:rPr>
          <w:color w:val="FF0000"/>
        </w:rPr>
      </w:pPr>
    </w:p>
    <w:p w14:paraId="78248B3C" w14:textId="6D3E8A4C" w:rsidR="002F1BF1" w:rsidRPr="00E600D0" w:rsidRDefault="002F1BF1" w:rsidP="00AE1DED">
      <w:pPr>
        <w:jc w:val="both"/>
        <w:rPr>
          <w:color w:val="000000" w:themeColor="text1"/>
        </w:rPr>
      </w:pPr>
      <w:r w:rsidRPr="00E600D0">
        <w:rPr>
          <w:b/>
          <w:bCs/>
          <w:color w:val="000000" w:themeColor="text1"/>
        </w:rPr>
        <w:t>Competence Matching:</w:t>
      </w:r>
      <w:r w:rsidRPr="00E600D0">
        <w:rPr>
          <w:color w:val="000000" w:themeColor="text1"/>
        </w:rPr>
        <w:t xml:space="preserve"> </w:t>
      </w:r>
      <w:r w:rsidR="00E600D0" w:rsidRPr="00E600D0">
        <w:rPr>
          <w:color w:val="000000" w:themeColor="text1"/>
        </w:rPr>
        <w:t xml:space="preserve">Aligning technical proficiency with strategic complexity is known as competence matching. The empirical data shows that most participants consistently do worse when using complex techniques than when using simple ones. Instead of trying complex concentrated liquidity positions or leveraged farming, successful minimal-capital players used simple </w:t>
      </w:r>
      <w:proofErr w:type="gramStart"/>
      <w:r w:rsidR="00E600D0" w:rsidRPr="00E600D0">
        <w:rPr>
          <w:color w:val="000000" w:themeColor="text1"/>
        </w:rPr>
        <w:t>stablecoin</w:t>
      </w:r>
      <w:proofErr w:type="gramEnd"/>
      <w:r w:rsidR="00E600D0" w:rsidRPr="00E600D0">
        <w:rPr>
          <w:color w:val="000000" w:themeColor="text1"/>
        </w:rPr>
        <w:t xml:space="preserve"> provision. Participants should start with techniques that need little active management and only advance to more complex ones once they have shown consistent profitability at lower levels.</w:t>
      </w:r>
    </w:p>
    <w:p w14:paraId="04BE4D81" w14:textId="77777777" w:rsidR="00462C58" w:rsidRDefault="00462C58" w:rsidP="00AE1DED">
      <w:pPr>
        <w:jc w:val="both"/>
        <w:rPr>
          <w:b/>
          <w:bCs/>
          <w:color w:val="FF0000"/>
        </w:rPr>
      </w:pPr>
    </w:p>
    <w:p w14:paraId="2CFE80F9" w14:textId="2C0E25F2" w:rsidR="002F1BF1" w:rsidRPr="00081576" w:rsidRDefault="002F1BF1" w:rsidP="00AE1DED">
      <w:pPr>
        <w:jc w:val="both"/>
        <w:rPr>
          <w:color w:val="000000" w:themeColor="text1"/>
        </w:rPr>
      </w:pPr>
      <w:r w:rsidRPr="00081576">
        <w:rPr>
          <w:b/>
          <w:bCs/>
          <w:color w:val="000000" w:themeColor="text1"/>
        </w:rPr>
        <w:t>Time Commitment Reality:</w:t>
      </w:r>
      <w:r w:rsidRPr="00081576">
        <w:rPr>
          <w:color w:val="000000" w:themeColor="text1"/>
        </w:rPr>
        <w:t xml:space="preserve"> </w:t>
      </w:r>
      <w:r w:rsidR="00081576" w:rsidRPr="00081576">
        <w:rPr>
          <w:color w:val="000000" w:themeColor="text1"/>
        </w:rPr>
        <w:t xml:space="preserve">Recognizing that the term "passive income" does not accurately reflect the true needs. In terms of position monitoring, rebalancing, gas optimization, and risk management, successful study participants put </w:t>
      </w:r>
      <w:proofErr w:type="gramStart"/>
      <w:r w:rsidR="00081576" w:rsidRPr="00081576">
        <w:rPr>
          <w:color w:val="000000" w:themeColor="text1"/>
        </w:rPr>
        <w:t>in</w:t>
      </w:r>
      <w:proofErr w:type="gramEnd"/>
      <w:r w:rsidR="00081576" w:rsidRPr="00081576">
        <w:rPr>
          <w:color w:val="000000" w:themeColor="text1"/>
        </w:rPr>
        <w:t xml:space="preserve"> an average of 15 to 20 hours per week. Participants who are unable or unwilling to dedicate this time should view DeFi as a speculative exposure rather than a source of income. Acknowledging that inattention can </w:t>
      </w:r>
      <w:proofErr w:type="gramStart"/>
      <w:r w:rsidR="00081576" w:rsidRPr="00081576">
        <w:rPr>
          <w:color w:val="000000" w:themeColor="text1"/>
        </w:rPr>
        <w:t>result</w:t>
      </w:r>
      <w:proofErr w:type="gramEnd"/>
      <w:r w:rsidR="00081576" w:rsidRPr="00081576">
        <w:rPr>
          <w:color w:val="000000" w:themeColor="text1"/>
        </w:rPr>
        <w:t xml:space="preserve"> non catastrophic loss or systemic underperformance is key for these participants.</w:t>
      </w:r>
    </w:p>
    <w:p w14:paraId="60502DE0" w14:textId="77777777" w:rsidR="00462C58" w:rsidRDefault="00462C58" w:rsidP="00AE1DED">
      <w:pPr>
        <w:jc w:val="both"/>
        <w:rPr>
          <w:b/>
          <w:bCs/>
          <w:color w:val="FF0000"/>
        </w:rPr>
      </w:pPr>
    </w:p>
    <w:p w14:paraId="3AA693D1" w14:textId="48F91A73" w:rsidR="002F1BF1" w:rsidRPr="002D37FE" w:rsidRDefault="002F1BF1" w:rsidP="00AE1DED">
      <w:pPr>
        <w:jc w:val="both"/>
        <w:rPr>
          <w:color w:val="000000" w:themeColor="text1"/>
        </w:rPr>
      </w:pPr>
      <w:r w:rsidRPr="002D37FE">
        <w:rPr>
          <w:b/>
          <w:bCs/>
          <w:color w:val="000000" w:themeColor="text1"/>
        </w:rPr>
        <w:t>Risk Acceptance Threshold:</w:t>
      </w:r>
      <w:r w:rsidRPr="002D37FE">
        <w:rPr>
          <w:color w:val="000000" w:themeColor="text1"/>
        </w:rPr>
        <w:t xml:space="preserve"> </w:t>
      </w:r>
      <w:r w:rsidR="00081576">
        <w:rPr>
          <w:color w:val="000000" w:themeColor="text1"/>
        </w:rPr>
        <w:t>T</w:t>
      </w:r>
      <w:r w:rsidR="002D37FE" w:rsidRPr="002D37FE">
        <w:rPr>
          <w:color w:val="000000" w:themeColor="text1"/>
        </w:rPr>
        <w:t xml:space="preserve">he chance of an incident happening each year is between 35% and 45%. Participants should size their positions as if they could lose </w:t>
      </w:r>
      <w:r w:rsidR="00081576" w:rsidRPr="002D37FE">
        <w:rPr>
          <w:color w:val="000000" w:themeColor="text1"/>
        </w:rPr>
        <w:t>everything and</w:t>
      </w:r>
      <w:r w:rsidR="002D37FE" w:rsidRPr="002D37FE">
        <w:rPr>
          <w:color w:val="000000" w:themeColor="text1"/>
        </w:rPr>
        <w:t xml:space="preserve"> should keep their DeFi exposure below levels that would seriously hurt their financial security if their investments dropped to zero value. Finding the right position size is more valuable than trying to get the best return on your investment.</w:t>
      </w:r>
    </w:p>
    <w:p w14:paraId="4195E870" w14:textId="77777777" w:rsidR="00462C58" w:rsidRPr="002A008F" w:rsidRDefault="00462C58" w:rsidP="00AE1DED">
      <w:pPr>
        <w:jc w:val="both"/>
        <w:rPr>
          <w:color w:val="000000" w:themeColor="text1"/>
        </w:rPr>
      </w:pPr>
    </w:p>
    <w:p w14:paraId="23819E15" w14:textId="5D3D63DE" w:rsidR="002F1BF1" w:rsidRPr="002A008F" w:rsidRDefault="002F1BF1" w:rsidP="00AE1DED">
      <w:pPr>
        <w:jc w:val="both"/>
        <w:rPr>
          <w:color w:val="000000" w:themeColor="text1"/>
        </w:rPr>
      </w:pPr>
      <w:r w:rsidRPr="002A008F">
        <w:rPr>
          <w:b/>
          <w:bCs/>
          <w:color w:val="000000" w:themeColor="text1"/>
        </w:rPr>
        <w:t>Expectation Calibration:</w:t>
      </w:r>
      <w:r w:rsidRPr="002A008F">
        <w:rPr>
          <w:color w:val="000000" w:themeColor="text1"/>
        </w:rPr>
        <w:t xml:space="preserve"> </w:t>
      </w:r>
      <w:r w:rsidR="002A008F" w:rsidRPr="002A008F">
        <w:rPr>
          <w:color w:val="000000" w:themeColor="text1"/>
        </w:rPr>
        <w:t xml:space="preserve">Rejecting marketing claims of 50–300% APY as inherently unsustainable </w:t>
      </w:r>
      <w:proofErr w:type="gramStart"/>
      <w:r w:rsidR="002A008F" w:rsidRPr="002A008F">
        <w:rPr>
          <w:color w:val="000000" w:themeColor="text1"/>
        </w:rPr>
        <w:t>in order to</w:t>
      </w:r>
      <w:proofErr w:type="gramEnd"/>
      <w:r w:rsidR="002A008F" w:rsidRPr="002A008F">
        <w:rPr>
          <w:color w:val="000000" w:themeColor="text1"/>
        </w:rPr>
        <w:t xml:space="preserve"> calibrate expectations is important. Depending on the network selection and capital level, realistic sustainable returns fall between 4 and 14%. The reported 73% failure rate is consistently experienced by participants that are drawn in by extravagant yield claims. The success percentages of those who accept bond-like returns with tougher operational criteria are significantly higher.</w:t>
      </w:r>
    </w:p>
    <w:p w14:paraId="1DB8510C" w14:textId="77777777" w:rsidR="00462C58" w:rsidRPr="002F1BF1" w:rsidRDefault="00462C58" w:rsidP="00AE1DED">
      <w:pPr>
        <w:jc w:val="both"/>
        <w:rPr>
          <w:color w:val="FF0000"/>
        </w:rPr>
      </w:pPr>
    </w:p>
    <w:p w14:paraId="3E9A4759" w14:textId="77777777" w:rsidR="002F1BF1" w:rsidRPr="002F1BF1" w:rsidRDefault="002F1BF1" w:rsidP="00AE1DED">
      <w:pPr>
        <w:pStyle w:val="Heading3"/>
      </w:pPr>
      <w:bookmarkStart w:id="258" w:name="_Toc214722064"/>
      <w:r w:rsidRPr="002F1BF1">
        <w:t>11.8.2 For Policymakers: Regulatory Framework Considerations</w:t>
      </w:r>
      <w:bookmarkEnd w:id="258"/>
    </w:p>
    <w:p w14:paraId="3FAFF241" w14:textId="2C1A7DC8" w:rsidR="002F1BF1" w:rsidRPr="00C54F19" w:rsidRDefault="002F1BF1" w:rsidP="00AE1DED">
      <w:pPr>
        <w:jc w:val="both"/>
        <w:rPr>
          <w:color w:val="000000" w:themeColor="text1"/>
        </w:rPr>
      </w:pPr>
      <w:r w:rsidRPr="00C54F19">
        <w:rPr>
          <w:b/>
          <w:bCs/>
          <w:color w:val="000000" w:themeColor="text1"/>
        </w:rPr>
        <w:t>Consumer Protection Adaptation:</w:t>
      </w:r>
      <w:r w:rsidRPr="00C54F19">
        <w:rPr>
          <w:color w:val="000000" w:themeColor="text1"/>
        </w:rPr>
        <w:t xml:space="preserve"> </w:t>
      </w:r>
      <w:r w:rsidR="00C54F19" w:rsidRPr="00C54F19">
        <w:rPr>
          <w:color w:val="000000" w:themeColor="text1"/>
        </w:rPr>
        <w:t>Traditional disclosure frameworks that focus on financial risk are inadequate for the operational intricacies of DeFi. The 73% failure rate arises not mainly from market fluctuations but from operational issues such as gas optimization errors, misconceptions regarding temporary loss, and technical inadequacies. Regulatory frameworks must require disclosures of operational complexity in combination with financial risk statements that clearly indicate that technical accessibility does not guarantee economic viability.</w:t>
      </w:r>
    </w:p>
    <w:p w14:paraId="5B50E044" w14:textId="77777777" w:rsidR="00462C58" w:rsidRPr="002F1BF1" w:rsidRDefault="00462C58" w:rsidP="00AE1DED">
      <w:pPr>
        <w:jc w:val="both"/>
        <w:rPr>
          <w:color w:val="FF0000"/>
        </w:rPr>
      </w:pPr>
    </w:p>
    <w:p w14:paraId="2B83C30D" w14:textId="084684CE" w:rsidR="005B60C4" w:rsidRPr="005B60C4" w:rsidRDefault="002F1BF1" w:rsidP="00AE1DED">
      <w:pPr>
        <w:jc w:val="both"/>
        <w:rPr>
          <w:color w:val="FF0000"/>
        </w:rPr>
      </w:pPr>
      <w:r w:rsidRPr="005B60C4">
        <w:rPr>
          <w:b/>
          <w:bCs/>
          <w:color w:val="000000" w:themeColor="text1"/>
        </w:rPr>
        <w:t>Capital Threshold Recognition:</w:t>
      </w:r>
      <w:r w:rsidRPr="005B60C4">
        <w:rPr>
          <w:color w:val="000000" w:themeColor="text1"/>
        </w:rPr>
        <w:t xml:space="preserve"> </w:t>
      </w:r>
      <w:r w:rsidR="005B60C4" w:rsidRPr="005B60C4">
        <w:rPr>
          <w:color w:val="000000" w:themeColor="text1"/>
        </w:rPr>
        <w:t xml:space="preserve">The documented minimum viable scales for each network - $750 for Polygon, $3,500 for Layer-2, and $25,000 for Ethereum </w:t>
      </w:r>
      <w:proofErr w:type="spellStart"/>
      <w:r w:rsidR="005B60C4" w:rsidRPr="005B60C4">
        <w:rPr>
          <w:color w:val="000000" w:themeColor="text1"/>
        </w:rPr>
        <w:t>mainnet</w:t>
      </w:r>
      <w:proofErr w:type="spellEnd"/>
      <w:r w:rsidR="005B60C4" w:rsidRPr="005B60C4">
        <w:rPr>
          <w:color w:val="000000" w:themeColor="text1"/>
        </w:rPr>
        <w:t xml:space="preserve"> - point to inherent limits on participation that legislation could strengthen. Policies could force platforms to show capital adequacy levels before allowing participation. This would be </w:t>
      </w:r>
      <w:proofErr w:type="gramStart"/>
      <w:r w:rsidR="005B60C4" w:rsidRPr="005B60C4">
        <w:rPr>
          <w:color w:val="000000" w:themeColor="text1"/>
        </w:rPr>
        <w:t>similar to</w:t>
      </w:r>
      <w:proofErr w:type="gramEnd"/>
      <w:r w:rsidR="005B60C4" w:rsidRPr="005B60C4">
        <w:rPr>
          <w:color w:val="000000" w:themeColor="text1"/>
        </w:rPr>
        <w:t xml:space="preserve"> the rules for accredited investors in traditional investments. </w:t>
      </w:r>
      <w:r w:rsidR="00FE47D0" w:rsidRPr="005B60C4">
        <w:rPr>
          <w:color w:val="000000" w:themeColor="text1"/>
        </w:rPr>
        <w:t>However,</w:t>
      </w:r>
      <w:r w:rsidR="005B60C4" w:rsidRPr="005B60C4">
        <w:rPr>
          <w:color w:val="000000" w:themeColor="text1"/>
        </w:rPr>
        <w:t xml:space="preserve"> it may be best to instead of looking at how much money a participant has, looking at position size relative to operational costs.</w:t>
      </w:r>
    </w:p>
    <w:p w14:paraId="6896A8BD" w14:textId="77777777" w:rsidR="00462C58" w:rsidRPr="002F1BF1" w:rsidRDefault="00462C58" w:rsidP="00AE1DED">
      <w:pPr>
        <w:jc w:val="both"/>
        <w:rPr>
          <w:color w:val="FF0000"/>
        </w:rPr>
      </w:pPr>
    </w:p>
    <w:p w14:paraId="4289056F" w14:textId="31F2ABEF" w:rsidR="002F1BF1" w:rsidRPr="001327B6" w:rsidRDefault="002F1BF1" w:rsidP="00AE1DED">
      <w:pPr>
        <w:jc w:val="both"/>
        <w:rPr>
          <w:color w:val="000000" w:themeColor="text1"/>
        </w:rPr>
      </w:pPr>
      <w:r w:rsidRPr="001327B6">
        <w:rPr>
          <w:b/>
          <w:bCs/>
          <w:color w:val="000000" w:themeColor="text1"/>
        </w:rPr>
        <w:t>Jurisdictional Coordination:</w:t>
      </w:r>
      <w:r w:rsidRPr="001327B6">
        <w:rPr>
          <w:color w:val="000000" w:themeColor="text1"/>
        </w:rPr>
        <w:t xml:space="preserve"> The geographic </w:t>
      </w:r>
      <w:r w:rsidR="001327B6" w:rsidRPr="001327B6">
        <w:rPr>
          <w:color w:val="000000" w:themeColor="text1"/>
        </w:rPr>
        <w:t>limitations</w:t>
      </w:r>
      <w:r w:rsidRPr="001327B6">
        <w:rPr>
          <w:color w:val="000000" w:themeColor="text1"/>
        </w:rPr>
        <w:t xml:space="preserve"> documented in </w:t>
      </w:r>
      <w:r w:rsidR="001327B6" w:rsidRPr="001327B6">
        <w:rPr>
          <w:color w:val="000000" w:themeColor="text1"/>
        </w:rPr>
        <w:t xml:space="preserve">the </w:t>
      </w:r>
      <w:r w:rsidRPr="001327B6">
        <w:rPr>
          <w:color w:val="000000" w:themeColor="text1"/>
        </w:rPr>
        <w:t>scenario analysis (</w:t>
      </w:r>
      <w:r w:rsidR="001327B6" w:rsidRPr="001327B6">
        <w:rPr>
          <w:color w:val="000000" w:themeColor="text1"/>
        </w:rPr>
        <w:t>Chapter 9</w:t>
      </w:r>
      <w:r w:rsidRPr="001327B6">
        <w:rPr>
          <w:color w:val="000000" w:themeColor="text1"/>
        </w:rPr>
        <w:t>) creates regulatory arbitrage opportunities. Overly restrictive developed-market regulation may drive activity to less-regulated jurisdictions without eliminating participation</w:t>
      </w:r>
      <w:r w:rsidR="001327B6" w:rsidRPr="001327B6">
        <w:rPr>
          <w:color w:val="000000" w:themeColor="text1"/>
        </w:rPr>
        <w:t xml:space="preserve"> but</w:t>
      </w:r>
      <w:r w:rsidRPr="001327B6">
        <w:rPr>
          <w:color w:val="000000" w:themeColor="text1"/>
        </w:rPr>
        <w:t xml:space="preserve"> reducing consumer protections. Coordinated international frameworks</w:t>
      </w:r>
      <w:r w:rsidR="001327B6" w:rsidRPr="001327B6">
        <w:rPr>
          <w:color w:val="000000" w:themeColor="text1"/>
        </w:rPr>
        <w:t xml:space="preserve"> that</w:t>
      </w:r>
      <w:r w:rsidRPr="001327B6">
        <w:rPr>
          <w:color w:val="000000" w:themeColor="text1"/>
        </w:rPr>
        <w:t xml:space="preserve"> balanc</w:t>
      </w:r>
      <w:r w:rsidR="001327B6" w:rsidRPr="001327B6">
        <w:rPr>
          <w:color w:val="000000" w:themeColor="text1"/>
        </w:rPr>
        <w:t>e</w:t>
      </w:r>
      <w:r w:rsidRPr="001327B6">
        <w:rPr>
          <w:color w:val="000000" w:themeColor="text1"/>
        </w:rPr>
        <w:t xml:space="preserve"> innovation encouragement </w:t>
      </w:r>
      <w:r w:rsidR="001327B6" w:rsidRPr="001327B6">
        <w:rPr>
          <w:color w:val="000000" w:themeColor="text1"/>
        </w:rPr>
        <w:t xml:space="preserve">combined </w:t>
      </w:r>
      <w:r w:rsidRPr="001327B6">
        <w:rPr>
          <w:color w:val="000000" w:themeColor="text1"/>
        </w:rPr>
        <w:t>with consumer protection would prove more effective than unilateral restrictions.</w:t>
      </w:r>
    </w:p>
    <w:p w14:paraId="4B050996" w14:textId="77777777" w:rsidR="00462C58" w:rsidRPr="002F1BF1" w:rsidRDefault="00462C58" w:rsidP="00AE1DED">
      <w:pPr>
        <w:jc w:val="both"/>
        <w:rPr>
          <w:color w:val="FF0000"/>
        </w:rPr>
      </w:pPr>
    </w:p>
    <w:p w14:paraId="1DA23B55" w14:textId="42415847" w:rsidR="002F1BF1" w:rsidRPr="00AE24B4" w:rsidRDefault="002F1BF1" w:rsidP="00AE1DED">
      <w:pPr>
        <w:jc w:val="both"/>
        <w:rPr>
          <w:color w:val="000000" w:themeColor="text1"/>
        </w:rPr>
      </w:pPr>
      <w:r w:rsidRPr="00AE24B4">
        <w:rPr>
          <w:b/>
          <w:bCs/>
          <w:color w:val="000000" w:themeColor="text1"/>
        </w:rPr>
        <w:t>Incident Probability Response:</w:t>
      </w:r>
      <w:r w:rsidRPr="00AE24B4">
        <w:rPr>
          <w:color w:val="000000" w:themeColor="text1"/>
        </w:rPr>
        <w:t xml:space="preserve"> The 35-45% annual loss probability from protocol-level incidents (exploits, abandonment, governance failures) documented in Chapter 7 s</w:t>
      </w:r>
      <w:r w:rsidR="00AE24B4" w:rsidRPr="00AE24B4">
        <w:rPr>
          <w:color w:val="000000" w:themeColor="text1"/>
        </w:rPr>
        <w:t>ignificantly</w:t>
      </w:r>
      <w:r w:rsidRPr="00AE24B4">
        <w:rPr>
          <w:color w:val="000000" w:themeColor="text1"/>
        </w:rPr>
        <w:t xml:space="preserve"> exceeds traditional financial system failure rates. However, blanket prohibition eliminates genuine opportunities for the 27% of participants meeting </w:t>
      </w:r>
      <w:r w:rsidR="00AE24B4" w:rsidRPr="00AE24B4">
        <w:rPr>
          <w:color w:val="000000" w:themeColor="text1"/>
        </w:rPr>
        <w:t xml:space="preserve">the identified </w:t>
      </w:r>
      <w:r w:rsidRPr="00AE24B4">
        <w:rPr>
          <w:color w:val="000000" w:themeColor="text1"/>
        </w:rPr>
        <w:t>viability conditions. Risk-based approaches might require platforms to maintain insurance funds proportional to total value locked</w:t>
      </w:r>
      <w:r w:rsidR="00AE24B4" w:rsidRPr="00AE24B4">
        <w:rPr>
          <w:color w:val="000000" w:themeColor="text1"/>
        </w:rPr>
        <w:t xml:space="preserve">. This could </w:t>
      </w:r>
      <w:r w:rsidRPr="00AE24B4">
        <w:rPr>
          <w:color w:val="000000" w:themeColor="text1"/>
        </w:rPr>
        <w:t>creat</w:t>
      </w:r>
      <w:r w:rsidR="00AE24B4" w:rsidRPr="00AE24B4">
        <w:rPr>
          <w:color w:val="000000" w:themeColor="text1"/>
        </w:rPr>
        <w:t>e</w:t>
      </w:r>
      <w:r w:rsidRPr="00AE24B4">
        <w:rPr>
          <w:color w:val="000000" w:themeColor="text1"/>
        </w:rPr>
        <w:t xml:space="preserve"> incentives for security investment while permitting continued innovation.</w:t>
      </w:r>
    </w:p>
    <w:p w14:paraId="0CE30DD4" w14:textId="77777777" w:rsidR="00462C58" w:rsidRPr="002F1BF1" w:rsidRDefault="00462C58" w:rsidP="00AE1DED">
      <w:pPr>
        <w:jc w:val="both"/>
        <w:rPr>
          <w:color w:val="FF0000"/>
        </w:rPr>
      </w:pPr>
    </w:p>
    <w:p w14:paraId="73CAF4B5" w14:textId="77777777" w:rsidR="002F1BF1" w:rsidRPr="001E59FF" w:rsidRDefault="002F1BF1" w:rsidP="00AE1DED">
      <w:pPr>
        <w:jc w:val="both"/>
        <w:rPr>
          <w:color w:val="000000" w:themeColor="text1"/>
        </w:rPr>
      </w:pPr>
      <w:r w:rsidRPr="001E59FF">
        <w:rPr>
          <w:b/>
          <w:bCs/>
          <w:color w:val="000000" w:themeColor="text1"/>
        </w:rPr>
        <w:t>Innovation Encouragement:</w:t>
      </w:r>
      <w:r w:rsidRPr="001E59FF">
        <w:rPr>
          <w:color w:val="000000" w:themeColor="text1"/>
        </w:rPr>
        <w:t xml:space="preserve"> The finding that simple stablecoin strategies outperform complex approaches suggests that user experience improvements and operational simplification may democratize access more effectively than technical sophistication increases. Policies encouraging infrastructure development (lower transaction costs, improved interfaces, automated risk management) could expand viable participation without compromising consumer protection.</w:t>
      </w:r>
    </w:p>
    <w:p w14:paraId="059F4454" w14:textId="77777777" w:rsidR="00462C58" w:rsidRPr="002F1BF1" w:rsidRDefault="00462C58" w:rsidP="00AE1DED">
      <w:pPr>
        <w:jc w:val="both"/>
        <w:rPr>
          <w:color w:val="FF0000"/>
        </w:rPr>
      </w:pPr>
    </w:p>
    <w:p w14:paraId="4C1AB2DF" w14:textId="77777777" w:rsidR="002F1BF1" w:rsidRPr="002F1BF1" w:rsidRDefault="002F1BF1" w:rsidP="00AE1DED">
      <w:pPr>
        <w:pStyle w:val="Heading3"/>
      </w:pPr>
      <w:bookmarkStart w:id="259" w:name="_Toc214722065"/>
      <w:r w:rsidRPr="002F1BF1">
        <w:t>11.8.3 For Protocol Developers: Design Implications</w:t>
      </w:r>
      <w:bookmarkEnd w:id="259"/>
    </w:p>
    <w:p w14:paraId="374CFD3D" w14:textId="36994C6E" w:rsidR="002F1BF1" w:rsidRPr="008632E9" w:rsidRDefault="002F1BF1" w:rsidP="00AE1DED">
      <w:pPr>
        <w:jc w:val="both"/>
        <w:rPr>
          <w:color w:val="000000" w:themeColor="text1"/>
        </w:rPr>
      </w:pPr>
      <w:r w:rsidRPr="008632E9">
        <w:rPr>
          <w:b/>
          <w:bCs/>
          <w:color w:val="000000" w:themeColor="text1"/>
        </w:rPr>
        <w:t>Cost Structure Optimization:</w:t>
      </w:r>
      <w:r w:rsidRPr="008632E9">
        <w:rPr>
          <w:color w:val="000000" w:themeColor="text1"/>
        </w:rPr>
        <w:t xml:space="preserve"> The dominance of operational costs over return generation at small scales indicates that </w:t>
      </w:r>
      <w:r w:rsidR="008632E9" w:rsidRPr="008632E9">
        <w:rPr>
          <w:color w:val="000000" w:themeColor="text1"/>
        </w:rPr>
        <w:t xml:space="preserve">a </w:t>
      </w:r>
      <w:r w:rsidRPr="008632E9">
        <w:rPr>
          <w:color w:val="000000" w:themeColor="text1"/>
        </w:rPr>
        <w:t xml:space="preserve">transaction cost reduction represents the primary path toward democratization expansion. Protocols </w:t>
      </w:r>
      <w:r w:rsidR="008632E9" w:rsidRPr="008632E9">
        <w:rPr>
          <w:color w:val="000000" w:themeColor="text1"/>
        </w:rPr>
        <w:t xml:space="preserve">that are </w:t>
      </w:r>
      <w:r w:rsidRPr="008632E9">
        <w:rPr>
          <w:color w:val="000000" w:themeColor="text1"/>
        </w:rPr>
        <w:t>achieving sub-cent transaction costs would lower viable participation thresholds from $750 to potentially $100-200</w:t>
      </w:r>
      <w:r w:rsidR="008632E9" w:rsidRPr="008632E9">
        <w:rPr>
          <w:color w:val="000000" w:themeColor="text1"/>
        </w:rPr>
        <w:t xml:space="preserve"> and</w:t>
      </w:r>
      <w:r w:rsidRPr="008632E9">
        <w:rPr>
          <w:color w:val="000000" w:themeColor="text1"/>
        </w:rPr>
        <w:t xml:space="preserve"> </w:t>
      </w:r>
      <w:proofErr w:type="gramStart"/>
      <w:r w:rsidRPr="008632E9">
        <w:rPr>
          <w:color w:val="000000" w:themeColor="text1"/>
        </w:rPr>
        <w:t>expanding</w:t>
      </w:r>
      <w:proofErr w:type="gramEnd"/>
      <w:r w:rsidRPr="008632E9">
        <w:rPr>
          <w:color w:val="000000" w:themeColor="text1"/>
        </w:rPr>
        <w:t xml:space="preserve"> addressable markets substantially. Development priorities should </w:t>
      </w:r>
      <w:proofErr w:type="gramStart"/>
      <w:r w:rsidRPr="008632E9">
        <w:rPr>
          <w:color w:val="000000" w:themeColor="text1"/>
        </w:rPr>
        <w:t xml:space="preserve">emphasize </w:t>
      </w:r>
      <w:r w:rsidR="008632E9" w:rsidRPr="008632E9">
        <w:rPr>
          <w:color w:val="000000" w:themeColor="text1"/>
        </w:rPr>
        <w:t>on</w:t>
      </w:r>
      <w:proofErr w:type="gramEnd"/>
      <w:r w:rsidR="008632E9">
        <w:rPr>
          <w:color w:val="000000" w:themeColor="text1"/>
        </w:rPr>
        <w:t xml:space="preserve"> </w:t>
      </w:r>
      <w:r w:rsidRPr="008632E9">
        <w:rPr>
          <w:color w:val="000000" w:themeColor="text1"/>
        </w:rPr>
        <w:t xml:space="preserve">infrastructure efficiency </w:t>
      </w:r>
      <w:r w:rsidR="008632E9">
        <w:rPr>
          <w:color w:val="000000" w:themeColor="text1"/>
        </w:rPr>
        <w:t xml:space="preserve">equally to </w:t>
      </w:r>
      <w:r w:rsidRPr="008632E9">
        <w:rPr>
          <w:color w:val="000000" w:themeColor="text1"/>
        </w:rPr>
        <w:t>feature sophistication.</w:t>
      </w:r>
    </w:p>
    <w:p w14:paraId="468E4EB3" w14:textId="77777777" w:rsidR="00462C58" w:rsidRPr="002F1BF1" w:rsidRDefault="00462C58" w:rsidP="00AE1DED">
      <w:pPr>
        <w:jc w:val="both"/>
        <w:rPr>
          <w:color w:val="FF0000"/>
        </w:rPr>
      </w:pPr>
    </w:p>
    <w:p w14:paraId="1F9BDA0A" w14:textId="2C708FE5" w:rsidR="002F1BF1" w:rsidRPr="00B22ACC" w:rsidRDefault="002F1BF1" w:rsidP="00AE1DED">
      <w:pPr>
        <w:jc w:val="both"/>
        <w:rPr>
          <w:color w:val="000000" w:themeColor="text1"/>
        </w:rPr>
      </w:pPr>
      <w:r w:rsidRPr="00B22ACC">
        <w:rPr>
          <w:b/>
          <w:bCs/>
          <w:color w:val="000000" w:themeColor="text1"/>
        </w:rPr>
        <w:t>Complexity Reduction:</w:t>
      </w:r>
      <w:r w:rsidRPr="00B22ACC">
        <w:rPr>
          <w:color w:val="000000" w:themeColor="text1"/>
        </w:rPr>
        <w:t xml:space="preserve"> </w:t>
      </w:r>
      <w:r w:rsidR="00B22ACC" w:rsidRPr="00B22ACC">
        <w:rPr>
          <w:color w:val="000000" w:themeColor="text1"/>
        </w:rPr>
        <w:t xml:space="preserve">The consistent superiority of basic tactics defies the tendency in protocol development towards </w:t>
      </w:r>
      <w:r w:rsidR="00B22ACC">
        <w:rPr>
          <w:color w:val="000000" w:themeColor="text1"/>
        </w:rPr>
        <w:t xml:space="preserve">increased </w:t>
      </w:r>
      <w:r w:rsidR="00B22ACC" w:rsidRPr="00B22ACC">
        <w:rPr>
          <w:color w:val="000000" w:themeColor="text1"/>
        </w:rPr>
        <w:t xml:space="preserve">sophistication. Concentrated liquidity systems (Uniswap v3) enhanced </w:t>
      </w:r>
      <w:proofErr w:type="gramStart"/>
      <w:r w:rsidR="00B22ACC">
        <w:rPr>
          <w:color w:val="000000" w:themeColor="text1"/>
        </w:rPr>
        <w:t>its</w:t>
      </w:r>
      <w:proofErr w:type="gramEnd"/>
      <w:r w:rsidR="00B22ACC">
        <w:rPr>
          <w:color w:val="000000" w:themeColor="text1"/>
        </w:rPr>
        <w:t xml:space="preserve"> </w:t>
      </w:r>
      <w:r w:rsidR="00B22ACC" w:rsidRPr="00B22ACC">
        <w:rPr>
          <w:color w:val="000000" w:themeColor="text1"/>
        </w:rPr>
        <w:t xml:space="preserve">capital efficiency for advanced participants </w:t>
      </w:r>
      <w:r w:rsidR="00B22ACC">
        <w:rPr>
          <w:color w:val="000000" w:themeColor="text1"/>
        </w:rPr>
        <w:t>and at the same time</w:t>
      </w:r>
      <w:r w:rsidR="00B22ACC" w:rsidRPr="00B22ACC">
        <w:rPr>
          <w:color w:val="000000" w:themeColor="text1"/>
        </w:rPr>
        <w:t xml:space="preserve"> diminish</w:t>
      </w:r>
      <w:r w:rsidR="00B22ACC">
        <w:rPr>
          <w:color w:val="000000" w:themeColor="text1"/>
        </w:rPr>
        <w:t xml:space="preserve">ed </w:t>
      </w:r>
      <w:r w:rsidR="00B22ACC" w:rsidRPr="00B22ACC">
        <w:rPr>
          <w:color w:val="000000" w:themeColor="text1"/>
        </w:rPr>
        <w:t xml:space="preserve">accessibility for average users. </w:t>
      </w:r>
      <w:r w:rsidR="00B22ACC">
        <w:rPr>
          <w:color w:val="000000" w:themeColor="text1"/>
        </w:rPr>
        <w:t>The d</w:t>
      </w:r>
      <w:r w:rsidR="00B22ACC" w:rsidRPr="00B22ACC">
        <w:rPr>
          <w:color w:val="000000" w:themeColor="text1"/>
        </w:rPr>
        <w:t>esign p</w:t>
      </w:r>
      <w:r w:rsidR="00B22ACC">
        <w:rPr>
          <w:color w:val="000000" w:themeColor="text1"/>
        </w:rPr>
        <w:t>ath forward should</w:t>
      </w:r>
      <w:r w:rsidR="00B22ACC" w:rsidRPr="00B22ACC">
        <w:rPr>
          <w:color w:val="000000" w:themeColor="text1"/>
        </w:rPr>
        <w:t xml:space="preserve"> favor simplicity and operational convenience rather than optimizing for capital efficiency</w:t>
      </w:r>
      <w:r w:rsidR="00B22ACC">
        <w:rPr>
          <w:color w:val="000000" w:themeColor="text1"/>
        </w:rPr>
        <w:t xml:space="preserve">. Especially as </w:t>
      </w:r>
      <w:proofErr w:type="gramStart"/>
      <w:r w:rsidR="00B22ACC">
        <w:rPr>
          <w:color w:val="000000" w:themeColor="text1"/>
        </w:rPr>
        <w:t>the</w:t>
      </w:r>
      <w:r w:rsidR="00B22ACC" w:rsidRPr="00B22ACC">
        <w:rPr>
          <w:color w:val="000000" w:themeColor="text1"/>
        </w:rPr>
        <w:t xml:space="preserve"> majority of</w:t>
      </w:r>
      <w:proofErr w:type="gramEnd"/>
      <w:r w:rsidR="00B22ACC" w:rsidRPr="00B22ACC">
        <w:rPr>
          <w:color w:val="000000" w:themeColor="text1"/>
        </w:rPr>
        <w:t xml:space="preserve"> users are </w:t>
      </w:r>
      <w:r w:rsidR="00B22ACC">
        <w:rPr>
          <w:color w:val="000000" w:themeColor="text1"/>
        </w:rPr>
        <w:t xml:space="preserve">and probably will be </w:t>
      </w:r>
      <w:r w:rsidR="00B22ACC" w:rsidRPr="00B22ACC">
        <w:rPr>
          <w:color w:val="000000" w:themeColor="text1"/>
        </w:rPr>
        <w:t>unable to utilize advanced capabilities.</w:t>
      </w:r>
    </w:p>
    <w:p w14:paraId="056D996F" w14:textId="77777777" w:rsidR="00462C58" w:rsidRPr="002F1BF1" w:rsidRDefault="00462C58" w:rsidP="00AE1DED">
      <w:pPr>
        <w:jc w:val="both"/>
        <w:rPr>
          <w:color w:val="FF0000"/>
        </w:rPr>
      </w:pPr>
    </w:p>
    <w:p w14:paraId="3908730C" w14:textId="4F26DF6B" w:rsidR="002F1BF1" w:rsidRPr="000C0892" w:rsidRDefault="002F1BF1" w:rsidP="00AE1DED">
      <w:pPr>
        <w:jc w:val="both"/>
        <w:rPr>
          <w:color w:val="000000" w:themeColor="text1"/>
        </w:rPr>
      </w:pPr>
      <w:r w:rsidRPr="000C0892">
        <w:rPr>
          <w:b/>
          <w:bCs/>
          <w:color w:val="000000" w:themeColor="text1"/>
        </w:rPr>
        <w:t>Default Safety Parameters:</w:t>
      </w:r>
      <w:r w:rsidRPr="000C0892">
        <w:rPr>
          <w:color w:val="000000" w:themeColor="text1"/>
        </w:rPr>
        <w:t xml:space="preserve"> The 73% failure rate partially reflects participants selecting inappropriate strategies or parameters. Protocols could implement intelligent defaults that match strategy complexity to position size and user experience level. New participants with minimal capital should face </w:t>
      </w:r>
      <w:r w:rsidR="000C0892" w:rsidRPr="000C0892">
        <w:rPr>
          <w:color w:val="000000" w:themeColor="text1"/>
        </w:rPr>
        <w:t>additional checks</w:t>
      </w:r>
      <w:r w:rsidRPr="000C0892">
        <w:rPr>
          <w:color w:val="000000" w:themeColor="text1"/>
        </w:rPr>
        <w:t xml:space="preserve"> when attempting complex strategies</w:t>
      </w:r>
      <w:r w:rsidR="000C0892" w:rsidRPr="000C0892">
        <w:rPr>
          <w:color w:val="000000" w:themeColor="text1"/>
        </w:rPr>
        <w:t>.</w:t>
      </w:r>
      <w:r w:rsidRPr="000C0892">
        <w:rPr>
          <w:color w:val="000000" w:themeColor="text1"/>
        </w:rPr>
        <w:t xml:space="preserve"> </w:t>
      </w:r>
      <w:r w:rsidR="000C0892" w:rsidRPr="000C0892">
        <w:rPr>
          <w:color w:val="000000" w:themeColor="text1"/>
        </w:rPr>
        <w:t>P</w:t>
      </w:r>
      <w:r w:rsidRPr="000C0892">
        <w:rPr>
          <w:color w:val="000000" w:themeColor="text1"/>
        </w:rPr>
        <w:t xml:space="preserve">rotocols </w:t>
      </w:r>
      <w:r w:rsidR="000C0892" w:rsidRPr="000C0892">
        <w:rPr>
          <w:color w:val="000000" w:themeColor="text1"/>
        </w:rPr>
        <w:t xml:space="preserve">- with </w:t>
      </w:r>
      <w:r w:rsidR="000C0892" w:rsidRPr="000C0892">
        <w:rPr>
          <w:color w:val="000000" w:themeColor="text1"/>
        </w:rPr>
        <w:lastRenderedPageBreak/>
        <w:t xml:space="preserve">assistance of AI, may be able to </w:t>
      </w:r>
      <w:r w:rsidRPr="000C0892">
        <w:rPr>
          <w:color w:val="000000" w:themeColor="text1"/>
        </w:rPr>
        <w:t xml:space="preserve">recommend simpler approaches </w:t>
      </w:r>
      <w:r w:rsidR="000C0892" w:rsidRPr="000C0892">
        <w:rPr>
          <w:color w:val="000000" w:themeColor="text1"/>
        </w:rPr>
        <w:t xml:space="preserve">that are </w:t>
      </w:r>
      <w:r w:rsidRPr="000C0892">
        <w:rPr>
          <w:color w:val="000000" w:themeColor="text1"/>
        </w:rPr>
        <w:t xml:space="preserve">appropriate to resources and </w:t>
      </w:r>
      <w:proofErr w:type="gramStart"/>
      <w:r w:rsidRPr="000C0892">
        <w:rPr>
          <w:color w:val="000000" w:themeColor="text1"/>
        </w:rPr>
        <w:t>demonstrated</w:t>
      </w:r>
      <w:proofErr w:type="gramEnd"/>
      <w:r w:rsidRPr="000C0892">
        <w:rPr>
          <w:color w:val="000000" w:themeColor="text1"/>
        </w:rPr>
        <w:t xml:space="preserve"> competence.</w:t>
      </w:r>
    </w:p>
    <w:p w14:paraId="234E2DD4" w14:textId="77777777" w:rsidR="00462C58" w:rsidRPr="002F1BF1" w:rsidRDefault="00462C58" w:rsidP="00AE1DED">
      <w:pPr>
        <w:jc w:val="both"/>
        <w:rPr>
          <w:color w:val="FF0000"/>
        </w:rPr>
      </w:pPr>
    </w:p>
    <w:p w14:paraId="14325CCB" w14:textId="65A1CA4D" w:rsidR="002F1BF1" w:rsidRPr="00482163" w:rsidRDefault="002F1BF1" w:rsidP="00AE1DED">
      <w:pPr>
        <w:jc w:val="both"/>
        <w:rPr>
          <w:color w:val="000000" w:themeColor="text1"/>
        </w:rPr>
      </w:pPr>
      <w:r w:rsidRPr="00482163">
        <w:rPr>
          <w:b/>
          <w:bCs/>
          <w:color w:val="000000" w:themeColor="text1"/>
        </w:rPr>
        <w:t>Transparent Cost Disclosure:</w:t>
      </w:r>
      <w:r w:rsidRPr="00482163">
        <w:rPr>
          <w:color w:val="000000" w:themeColor="text1"/>
        </w:rPr>
        <w:t xml:space="preserve"> Many participants systematically underestimate</w:t>
      </w:r>
      <w:r w:rsidR="00482163" w:rsidRPr="00482163">
        <w:rPr>
          <w:color w:val="000000" w:themeColor="text1"/>
        </w:rPr>
        <w:t>d the</w:t>
      </w:r>
      <w:r w:rsidRPr="00482163">
        <w:rPr>
          <w:color w:val="000000" w:themeColor="text1"/>
        </w:rPr>
        <w:t xml:space="preserve"> total operational costs, focusing on advertised APY while neglecting gas fees, impermanent loss, and opportunity costs. Protocols should display </w:t>
      </w:r>
      <w:r w:rsidR="00482163" w:rsidRPr="00482163">
        <w:rPr>
          <w:color w:val="000000" w:themeColor="text1"/>
        </w:rPr>
        <w:t xml:space="preserve">a </w:t>
      </w:r>
      <w:r w:rsidRPr="00482163">
        <w:rPr>
          <w:color w:val="000000" w:themeColor="text1"/>
        </w:rPr>
        <w:t xml:space="preserve">comprehensive cost projection alongside yield estimates, showing net returns after all expenses at various capital levels. </w:t>
      </w:r>
      <w:r w:rsidR="00482163" w:rsidRPr="00482163">
        <w:rPr>
          <w:color w:val="000000" w:themeColor="text1"/>
        </w:rPr>
        <w:t>Although it will not include the time commitment costs, t</w:t>
      </w:r>
      <w:r w:rsidRPr="00482163">
        <w:rPr>
          <w:color w:val="000000" w:themeColor="text1"/>
        </w:rPr>
        <w:t>his transparency would enable informed participation decisions rather than discover</w:t>
      </w:r>
      <w:r w:rsidR="00482163" w:rsidRPr="00482163">
        <w:rPr>
          <w:color w:val="000000" w:themeColor="text1"/>
        </w:rPr>
        <w:t>ies</w:t>
      </w:r>
      <w:r w:rsidRPr="00482163">
        <w:rPr>
          <w:color w:val="000000" w:themeColor="text1"/>
        </w:rPr>
        <w:t xml:space="preserve"> through capital loss.</w:t>
      </w:r>
    </w:p>
    <w:p w14:paraId="18E7E6F9" w14:textId="77777777" w:rsidR="00462C58" w:rsidRPr="008632E9" w:rsidRDefault="00462C58" w:rsidP="00AE1DED">
      <w:pPr>
        <w:jc w:val="both"/>
        <w:rPr>
          <w:color w:val="000000" w:themeColor="text1"/>
        </w:rPr>
      </w:pPr>
    </w:p>
    <w:p w14:paraId="6B1E8B85" w14:textId="7DAFD833" w:rsidR="002F1BF1" w:rsidRPr="008632E9" w:rsidRDefault="002F1BF1" w:rsidP="00AE1DED">
      <w:pPr>
        <w:jc w:val="both"/>
        <w:rPr>
          <w:color w:val="000000" w:themeColor="text1"/>
        </w:rPr>
      </w:pPr>
      <w:r w:rsidRPr="008632E9">
        <w:rPr>
          <w:b/>
          <w:bCs/>
          <w:color w:val="000000" w:themeColor="text1"/>
        </w:rPr>
        <w:t>Educational Infrastructure:</w:t>
      </w:r>
      <w:r w:rsidRPr="008632E9">
        <w:rPr>
          <w:color w:val="000000" w:themeColor="text1"/>
        </w:rPr>
        <w:t xml:space="preserve"> The documented importance of continuous learning suggests that protocols should invest in education as core infrastructure rather than auxiliary marketing. Comprehensive documentation explaining not merely how mechanisms </w:t>
      </w:r>
      <w:r w:rsidR="008632E9" w:rsidRPr="008632E9">
        <w:rPr>
          <w:color w:val="000000" w:themeColor="text1"/>
        </w:rPr>
        <w:t>function,</w:t>
      </w:r>
      <w:r w:rsidRPr="008632E9">
        <w:rPr>
          <w:color w:val="000000" w:themeColor="text1"/>
        </w:rPr>
        <w:t xml:space="preserve"> but when they prove economically </w:t>
      </w:r>
      <w:proofErr w:type="gramStart"/>
      <w:r w:rsidRPr="008632E9">
        <w:rPr>
          <w:color w:val="000000" w:themeColor="text1"/>
        </w:rPr>
        <w:t>viable</w:t>
      </w:r>
      <w:proofErr w:type="gramEnd"/>
      <w:r w:rsidRPr="008632E9">
        <w:rPr>
          <w:color w:val="000000" w:themeColor="text1"/>
        </w:rPr>
        <w:t xml:space="preserve"> would improve participant decision-making. Protocols might require completion of educational modules before enabling access to complex strategies.</w:t>
      </w:r>
      <w:r w:rsidR="008632E9" w:rsidRPr="008632E9">
        <w:rPr>
          <w:color w:val="000000" w:themeColor="text1"/>
        </w:rPr>
        <w:t xml:space="preserve"> Participants will also need to partake in continuous education to understand how infrastructure </w:t>
      </w:r>
      <w:proofErr w:type="gramStart"/>
      <w:r w:rsidR="008632E9" w:rsidRPr="008632E9">
        <w:rPr>
          <w:color w:val="000000" w:themeColor="text1"/>
        </w:rPr>
        <w:t>work</w:t>
      </w:r>
      <w:proofErr w:type="gramEnd"/>
      <w:r w:rsidR="008632E9" w:rsidRPr="008632E9">
        <w:rPr>
          <w:color w:val="000000" w:themeColor="text1"/>
        </w:rPr>
        <w:t xml:space="preserve"> and the different strategies associated with it.</w:t>
      </w:r>
    </w:p>
    <w:p w14:paraId="44AF7B02" w14:textId="77777777" w:rsidR="00462C58" w:rsidRPr="002F1BF1" w:rsidRDefault="00462C58" w:rsidP="00AE1DED">
      <w:pPr>
        <w:jc w:val="both"/>
        <w:rPr>
          <w:color w:val="FF0000"/>
        </w:rPr>
      </w:pPr>
    </w:p>
    <w:p w14:paraId="0DDB5ADD" w14:textId="77777777" w:rsidR="002F1BF1" w:rsidRPr="002F1BF1" w:rsidRDefault="002F1BF1" w:rsidP="00AE1DED">
      <w:pPr>
        <w:pStyle w:val="Heading3"/>
      </w:pPr>
      <w:bookmarkStart w:id="260" w:name="_Toc214722066"/>
      <w:r w:rsidRPr="002F1BF1">
        <w:t>11.8.4 Cross-Cutting Insight: Conditional Viability Recognition</w:t>
      </w:r>
      <w:bookmarkEnd w:id="260"/>
    </w:p>
    <w:p w14:paraId="2433B09F" w14:textId="77777777" w:rsidR="000E17EB" w:rsidRPr="000E17EB" w:rsidRDefault="000E17EB" w:rsidP="00AE1DED">
      <w:pPr>
        <w:jc w:val="both"/>
        <w:rPr>
          <w:color w:val="000000" w:themeColor="text1"/>
        </w:rPr>
      </w:pPr>
      <w:r w:rsidRPr="000E17EB">
        <w:rPr>
          <w:color w:val="000000" w:themeColor="text1"/>
        </w:rPr>
        <w:t>The essential conclusion across all stakeholder groups acknowledges that the feasibility of DeFi is conditional rather than universal. Technical accessibility does not equate to economic opportunity.</w:t>
      </w:r>
    </w:p>
    <w:p w14:paraId="33399931" w14:textId="42F1E685" w:rsidR="002F1BF1" w:rsidRPr="000C0892" w:rsidRDefault="002F1BF1" w:rsidP="00AE1DED">
      <w:pPr>
        <w:jc w:val="both"/>
        <w:rPr>
          <w:color w:val="000000" w:themeColor="text1"/>
        </w:rPr>
      </w:pPr>
      <w:r w:rsidRPr="000E17EB">
        <w:rPr>
          <w:color w:val="000000" w:themeColor="text1"/>
        </w:rPr>
        <w:t xml:space="preserve">Prospective participants should evaluate </w:t>
      </w:r>
      <w:r w:rsidR="000E17EB" w:rsidRPr="000E17EB">
        <w:rPr>
          <w:color w:val="000000" w:themeColor="text1"/>
        </w:rPr>
        <w:t>if</w:t>
      </w:r>
      <w:r w:rsidRPr="000E17EB">
        <w:rPr>
          <w:color w:val="000000" w:themeColor="text1"/>
        </w:rPr>
        <w:t xml:space="preserve"> they meet all necessary conditions</w:t>
      </w:r>
      <w:r w:rsidR="000E17EB" w:rsidRPr="000E17EB">
        <w:rPr>
          <w:color w:val="000000" w:themeColor="text1"/>
        </w:rPr>
        <w:t xml:space="preserve"> which consist of </w:t>
      </w:r>
      <w:r w:rsidRPr="000E17EB">
        <w:rPr>
          <w:color w:val="000000" w:themeColor="text1"/>
        </w:rPr>
        <w:t>capital, competence, time, risk tolerance</w:t>
      </w:r>
      <w:r w:rsidR="000E17EB" w:rsidRPr="000E17EB">
        <w:rPr>
          <w:color w:val="000000" w:themeColor="text1"/>
        </w:rPr>
        <w:t xml:space="preserve">, </w:t>
      </w:r>
      <w:r w:rsidRPr="000E17EB">
        <w:rPr>
          <w:color w:val="000000" w:themeColor="text1"/>
        </w:rPr>
        <w:t xml:space="preserve">before </w:t>
      </w:r>
      <w:r w:rsidR="000E17EB" w:rsidRPr="000E17EB">
        <w:rPr>
          <w:color w:val="000000" w:themeColor="text1"/>
        </w:rPr>
        <w:t xml:space="preserve">engaging in </w:t>
      </w:r>
      <w:r w:rsidRPr="000E17EB">
        <w:rPr>
          <w:color w:val="000000" w:themeColor="text1"/>
        </w:rPr>
        <w:t>participation. Policymakers should design frameworks acknowledging that DeFi benefits specific populations while posing risks to others</w:t>
      </w:r>
      <w:r w:rsidR="000E17EB" w:rsidRPr="000E17EB">
        <w:rPr>
          <w:color w:val="000000" w:themeColor="text1"/>
        </w:rPr>
        <w:t xml:space="preserve">. This would </w:t>
      </w:r>
      <w:r w:rsidRPr="000E17EB">
        <w:rPr>
          <w:color w:val="000000" w:themeColor="text1"/>
        </w:rPr>
        <w:t>avoid</w:t>
      </w:r>
      <w:r w:rsidR="000E17EB" w:rsidRPr="000E17EB">
        <w:rPr>
          <w:color w:val="000000" w:themeColor="text1"/>
        </w:rPr>
        <w:t xml:space="preserve"> </w:t>
      </w:r>
      <w:r w:rsidRPr="000E17EB">
        <w:rPr>
          <w:color w:val="000000" w:themeColor="text1"/>
        </w:rPr>
        <w:t xml:space="preserve">both blanket prohibition and unrestricted access. Protocol developers should design for realistic user capabilities rather than idealized technically sophisticated </w:t>
      </w:r>
      <w:r w:rsidRPr="000C0892">
        <w:rPr>
          <w:color w:val="000000" w:themeColor="text1"/>
        </w:rPr>
        <w:t>participants.</w:t>
      </w:r>
    </w:p>
    <w:p w14:paraId="5CEAF342" w14:textId="77777777" w:rsidR="00462C58" w:rsidRPr="000C0892" w:rsidRDefault="00462C58" w:rsidP="00AE1DED">
      <w:pPr>
        <w:jc w:val="both"/>
        <w:rPr>
          <w:color w:val="000000" w:themeColor="text1"/>
        </w:rPr>
      </w:pPr>
    </w:p>
    <w:p w14:paraId="43B6BC86" w14:textId="4FEF7352" w:rsidR="002F1BF1" w:rsidRPr="000C0892" w:rsidRDefault="002F1BF1" w:rsidP="00AE1DED">
      <w:pPr>
        <w:jc w:val="both"/>
        <w:rPr>
          <w:color w:val="000000" w:themeColor="text1"/>
        </w:rPr>
      </w:pPr>
      <w:r w:rsidRPr="000C0892">
        <w:rPr>
          <w:color w:val="000000" w:themeColor="text1"/>
        </w:rPr>
        <w:t xml:space="preserve">The </w:t>
      </w:r>
      <w:r w:rsidR="000C0892" w:rsidRPr="000C0892">
        <w:rPr>
          <w:color w:val="000000" w:themeColor="text1"/>
        </w:rPr>
        <w:t xml:space="preserve">observed </w:t>
      </w:r>
      <w:r w:rsidRPr="000C0892">
        <w:rPr>
          <w:color w:val="000000" w:themeColor="text1"/>
        </w:rPr>
        <w:t xml:space="preserve">73% failure rate in this research </w:t>
      </w:r>
      <w:r w:rsidR="000C0892" w:rsidRPr="000C0892">
        <w:rPr>
          <w:color w:val="000000" w:themeColor="text1"/>
        </w:rPr>
        <w:t>should</w:t>
      </w:r>
      <w:r w:rsidRPr="000C0892">
        <w:rPr>
          <w:color w:val="000000" w:themeColor="text1"/>
        </w:rPr>
        <w:t xml:space="preserve"> not discourage participation but should inform realistic expectations</w:t>
      </w:r>
      <w:r w:rsidR="000C0892" w:rsidRPr="000C0892">
        <w:rPr>
          <w:color w:val="000000" w:themeColor="text1"/>
        </w:rPr>
        <w:t>, while the</w:t>
      </w:r>
      <w:r w:rsidRPr="000C0892">
        <w:rPr>
          <w:color w:val="000000" w:themeColor="text1"/>
        </w:rPr>
        <w:t xml:space="preserve"> 27% success rate demonstrates genuine opportunities for appropriately resourced participants. </w:t>
      </w:r>
      <w:r w:rsidR="000C0892" w:rsidRPr="000C0892">
        <w:rPr>
          <w:color w:val="000000" w:themeColor="text1"/>
        </w:rPr>
        <w:t>The r</w:t>
      </w:r>
      <w:r w:rsidRPr="000C0892">
        <w:rPr>
          <w:color w:val="000000" w:themeColor="text1"/>
        </w:rPr>
        <w:t>ecognition of conditional viability</w:t>
      </w:r>
      <w:r w:rsidR="000C0892" w:rsidRPr="000C0892">
        <w:rPr>
          <w:color w:val="000000" w:themeColor="text1"/>
        </w:rPr>
        <w:t xml:space="preserve"> - </w:t>
      </w:r>
      <w:r w:rsidRPr="000C0892">
        <w:rPr>
          <w:color w:val="000000" w:themeColor="text1"/>
        </w:rPr>
        <w:t>understanding who succeeds under what circumstances</w:t>
      </w:r>
      <w:r w:rsidR="000C0892" w:rsidRPr="000C0892">
        <w:rPr>
          <w:color w:val="000000" w:themeColor="text1"/>
        </w:rPr>
        <w:t xml:space="preserve"> – certainly </w:t>
      </w:r>
      <w:r w:rsidRPr="000C0892">
        <w:rPr>
          <w:color w:val="000000" w:themeColor="text1"/>
        </w:rPr>
        <w:t xml:space="preserve">enables informed decision-making that aligns participation with </w:t>
      </w:r>
      <w:r w:rsidR="000C0892" w:rsidRPr="000C0892">
        <w:rPr>
          <w:color w:val="000000" w:themeColor="text1"/>
        </w:rPr>
        <w:t xml:space="preserve">their </w:t>
      </w:r>
      <w:r w:rsidRPr="000C0892">
        <w:rPr>
          <w:color w:val="000000" w:themeColor="text1"/>
        </w:rPr>
        <w:t>capability.</w:t>
      </w:r>
    </w:p>
    <w:p w14:paraId="1908FF55" w14:textId="77777777" w:rsidR="002F1BF1" w:rsidRPr="00E610CD" w:rsidRDefault="002F1BF1" w:rsidP="00AE1DED">
      <w:pPr>
        <w:jc w:val="both"/>
        <w:rPr>
          <w:color w:val="000000" w:themeColor="text1"/>
        </w:rPr>
      </w:pPr>
    </w:p>
    <w:p w14:paraId="4BC32B66" w14:textId="0EDB1DBD" w:rsidR="0076579E" w:rsidRPr="00E610CD" w:rsidRDefault="0076579E" w:rsidP="00AE1DED">
      <w:pPr>
        <w:jc w:val="both"/>
        <w:rPr>
          <w:rFonts w:eastAsiaTheme="majorEastAsia"/>
          <w:color w:val="000000" w:themeColor="text1"/>
        </w:rPr>
      </w:pPr>
      <w:r w:rsidRPr="00E610CD">
        <w:rPr>
          <w:rFonts w:eastAsiaTheme="majorEastAsia"/>
          <w:color w:val="000000" w:themeColor="text1"/>
        </w:rPr>
        <w:br w:type="page"/>
      </w:r>
    </w:p>
    <w:p w14:paraId="48A05652" w14:textId="3729703A" w:rsidR="00627B91" w:rsidRDefault="003274B9" w:rsidP="00AE1DED">
      <w:pPr>
        <w:pStyle w:val="Heading1"/>
        <w:jc w:val="center"/>
        <w:rPr>
          <w:rFonts w:eastAsiaTheme="majorEastAsia"/>
        </w:rPr>
      </w:pPr>
      <w:bookmarkStart w:id="261" w:name="_Toc214722067"/>
      <w:r w:rsidRPr="00004620">
        <w:rPr>
          <w:rFonts w:eastAsiaTheme="majorEastAsia"/>
        </w:rPr>
        <w:lastRenderedPageBreak/>
        <w:t>Appendix</w:t>
      </w:r>
      <w:bookmarkEnd w:id="261"/>
    </w:p>
    <w:p w14:paraId="3924F9DD" w14:textId="77777777" w:rsidR="00582C44" w:rsidRPr="00582C44" w:rsidRDefault="00582C44" w:rsidP="00AE1DED">
      <w:pPr>
        <w:rPr>
          <w:rFonts w:eastAsiaTheme="majorEastAsia"/>
        </w:rPr>
      </w:pPr>
    </w:p>
    <w:p w14:paraId="6356D4F7" w14:textId="77777777" w:rsidR="003274B9" w:rsidRPr="003C66A0" w:rsidRDefault="003274B9" w:rsidP="00AE1DED">
      <w:pPr>
        <w:jc w:val="both"/>
        <w:rPr>
          <w:rFonts w:eastAsiaTheme="majorEastAsia"/>
          <w:bCs/>
          <w:color w:val="000000" w:themeColor="text1"/>
        </w:rPr>
      </w:pPr>
    </w:p>
    <w:p w14:paraId="7E5B49B5" w14:textId="77777777" w:rsidR="003274B9" w:rsidRPr="003C66A0" w:rsidRDefault="003274B9" w:rsidP="00AE1DED">
      <w:pPr>
        <w:pStyle w:val="Heading2"/>
        <w:rPr>
          <w:rFonts w:eastAsiaTheme="majorEastAsia"/>
        </w:rPr>
      </w:pPr>
      <w:bookmarkStart w:id="262" w:name="_Toc214722068"/>
      <w:r w:rsidRPr="003C66A0">
        <w:rPr>
          <w:rFonts w:eastAsiaTheme="majorEastAsia"/>
        </w:rPr>
        <w:t>APPENDIX A: Complete List of Tracked Protocols and Positions</w:t>
      </w:r>
      <w:bookmarkEnd w:id="262"/>
    </w:p>
    <w:p w14:paraId="7F111561" w14:textId="77777777" w:rsidR="004E10FD" w:rsidRDefault="004E10FD" w:rsidP="00AE1DED">
      <w:pPr>
        <w:pStyle w:val="Heading3"/>
        <w:rPr>
          <w:rFonts w:eastAsiaTheme="majorEastAsia"/>
        </w:rPr>
      </w:pPr>
    </w:p>
    <w:p w14:paraId="0F27B119" w14:textId="7F79CF42" w:rsidR="003274B9" w:rsidRPr="003C66A0" w:rsidRDefault="003274B9" w:rsidP="00AE1DED">
      <w:pPr>
        <w:pStyle w:val="Heading3"/>
        <w:rPr>
          <w:rFonts w:eastAsiaTheme="majorEastAsia"/>
        </w:rPr>
      </w:pPr>
      <w:bookmarkStart w:id="263" w:name="_Toc214722069"/>
      <w:r w:rsidRPr="003C66A0">
        <w:rPr>
          <w:rFonts w:eastAsiaTheme="majorEastAsia"/>
        </w:rPr>
        <w:t>Table A.1: Distribution of 156 Tracked Positions by Protocol and Network</w:t>
      </w:r>
      <w:bookmarkEnd w:id="263"/>
    </w:p>
    <w:p w14:paraId="7317E019" w14:textId="77777777" w:rsidR="003274B9" w:rsidRPr="003C66A0" w:rsidRDefault="003274B9" w:rsidP="00AE1DED">
      <w:pPr>
        <w:jc w:val="both"/>
        <w:rPr>
          <w:rFonts w:eastAsiaTheme="majorEastAsia"/>
          <w:bCs/>
          <w:color w:val="000000" w:themeColor="text1"/>
        </w:rPr>
      </w:pPr>
    </w:p>
    <w:tbl>
      <w:tblPr>
        <w:tblW w:w="9530" w:type="dxa"/>
        <w:tblLook w:val="04A0" w:firstRow="1" w:lastRow="0" w:firstColumn="1" w:lastColumn="0" w:noHBand="0" w:noVBand="1"/>
      </w:tblPr>
      <w:tblGrid>
        <w:gridCol w:w="1723"/>
        <w:gridCol w:w="1243"/>
        <w:gridCol w:w="1216"/>
        <w:gridCol w:w="1243"/>
        <w:gridCol w:w="1133"/>
        <w:gridCol w:w="991"/>
        <w:gridCol w:w="1042"/>
        <w:gridCol w:w="939"/>
      </w:tblGrid>
      <w:tr w:rsidR="00FC334A" w:rsidRPr="00506DB0" w14:paraId="4B85686F" w14:textId="77777777" w:rsidTr="003A5B25">
        <w:trPr>
          <w:trHeight w:val="700"/>
        </w:trPr>
        <w:tc>
          <w:tcPr>
            <w:tcW w:w="1745"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1C6CE4C1" w14:textId="77777777" w:rsidR="003A5B25" w:rsidRPr="00506DB0" w:rsidRDefault="003A5B25" w:rsidP="00AE1DED">
            <w:pPr>
              <w:jc w:val="center"/>
              <w:rPr>
                <w:b/>
                <w:bCs/>
                <w:color w:val="000000" w:themeColor="text1"/>
              </w:rPr>
            </w:pPr>
            <w:r w:rsidRPr="00506DB0">
              <w:rPr>
                <w:b/>
                <w:bCs/>
                <w:color w:val="000000" w:themeColor="text1"/>
              </w:rPr>
              <w:t>Protocol</w:t>
            </w:r>
          </w:p>
        </w:tc>
        <w:tc>
          <w:tcPr>
            <w:tcW w:w="1186" w:type="dxa"/>
            <w:tcBorders>
              <w:top w:val="single" w:sz="8" w:space="0" w:color="auto"/>
              <w:left w:val="nil"/>
              <w:bottom w:val="single" w:sz="8" w:space="0" w:color="auto"/>
              <w:right w:val="single" w:sz="4" w:space="0" w:color="auto"/>
            </w:tcBorders>
            <w:shd w:val="clear" w:color="000000" w:fill="D9D9D9"/>
            <w:vAlign w:val="center"/>
            <w:hideMark/>
          </w:tcPr>
          <w:p w14:paraId="18907B9C" w14:textId="77777777" w:rsidR="003A5B25" w:rsidRPr="00506DB0" w:rsidRDefault="003A5B25" w:rsidP="00AE1DED">
            <w:pPr>
              <w:jc w:val="center"/>
              <w:rPr>
                <w:b/>
                <w:bCs/>
                <w:color w:val="000000" w:themeColor="text1"/>
              </w:rPr>
            </w:pPr>
            <w:r w:rsidRPr="00506DB0">
              <w:rPr>
                <w:b/>
                <w:bCs/>
                <w:color w:val="000000" w:themeColor="text1"/>
              </w:rPr>
              <w:t xml:space="preserve">Ethereum </w:t>
            </w:r>
            <w:proofErr w:type="spellStart"/>
            <w:r w:rsidRPr="00506DB0">
              <w:rPr>
                <w:b/>
                <w:bCs/>
                <w:color w:val="000000" w:themeColor="text1"/>
              </w:rPr>
              <w:t>Mainnet</w:t>
            </w:r>
            <w:proofErr w:type="spellEnd"/>
          </w:p>
        </w:tc>
        <w:tc>
          <w:tcPr>
            <w:tcW w:w="1094" w:type="dxa"/>
            <w:tcBorders>
              <w:top w:val="single" w:sz="8" w:space="0" w:color="auto"/>
              <w:left w:val="nil"/>
              <w:bottom w:val="single" w:sz="8" w:space="0" w:color="auto"/>
              <w:right w:val="single" w:sz="4" w:space="0" w:color="auto"/>
            </w:tcBorders>
            <w:shd w:val="clear" w:color="000000" w:fill="D9D9D9"/>
            <w:vAlign w:val="center"/>
            <w:hideMark/>
          </w:tcPr>
          <w:p w14:paraId="79E2CBB0" w14:textId="77777777" w:rsidR="003A5B25" w:rsidRPr="00506DB0" w:rsidRDefault="003A5B25" w:rsidP="00AE1DED">
            <w:pPr>
              <w:jc w:val="center"/>
              <w:rPr>
                <w:b/>
                <w:bCs/>
                <w:color w:val="000000" w:themeColor="text1"/>
              </w:rPr>
            </w:pPr>
            <w:proofErr w:type="spellStart"/>
            <w:r w:rsidRPr="00506DB0">
              <w:rPr>
                <w:b/>
                <w:bCs/>
                <w:color w:val="000000" w:themeColor="text1"/>
              </w:rPr>
              <w:t>Arbitrum</w:t>
            </w:r>
            <w:proofErr w:type="spellEnd"/>
          </w:p>
        </w:tc>
        <w:tc>
          <w:tcPr>
            <w:tcW w:w="1196" w:type="dxa"/>
            <w:tcBorders>
              <w:top w:val="single" w:sz="8" w:space="0" w:color="auto"/>
              <w:left w:val="nil"/>
              <w:bottom w:val="single" w:sz="8" w:space="0" w:color="auto"/>
              <w:right w:val="single" w:sz="4" w:space="0" w:color="auto"/>
            </w:tcBorders>
            <w:shd w:val="clear" w:color="000000" w:fill="D9D9D9"/>
            <w:vAlign w:val="center"/>
            <w:hideMark/>
          </w:tcPr>
          <w:p w14:paraId="0CAD0BBD" w14:textId="77777777" w:rsidR="003A5B25" w:rsidRPr="00506DB0" w:rsidRDefault="003A5B25" w:rsidP="00AE1DED">
            <w:pPr>
              <w:jc w:val="center"/>
              <w:rPr>
                <w:b/>
                <w:bCs/>
                <w:color w:val="000000" w:themeColor="text1"/>
              </w:rPr>
            </w:pPr>
            <w:r w:rsidRPr="00506DB0">
              <w:rPr>
                <w:b/>
                <w:bCs/>
                <w:color w:val="000000" w:themeColor="text1"/>
              </w:rPr>
              <w:t>Optimism</w:t>
            </w:r>
          </w:p>
        </w:tc>
        <w:tc>
          <w:tcPr>
            <w:tcW w:w="1159" w:type="dxa"/>
            <w:tcBorders>
              <w:top w:val="single" w:sz="8" w:space="0" w:color="auto"/>
              <w:left w:val="nil"/>
              <w:bottom w:val="single" w:sz="8" w:space="0" w:color="auto"/>
              <w:right w:val="single" w:sz="4" w:space="0" w:color="auto"/>
            </w:tcBorders>
            <w:shd w:val="clear" w:color="000000" w:fill="D9D9D9"/>
            <w:vAlign w:val="center"/>
            <w:hideMark/>
          </w:tcPr>
          <w:p w14:paraId="65A7FB3E" w14:textId="77777777" w:rsidR="003A5B25" w:rsidRPr="00506DB0" w:rsidRDefault="003A5B25" w:rsidP="00AE1DED">
            <w:pPr>
              <w:jc w:val="center"/>
              <w:rPr>
                <w:b/>
                <w:bCs/>
                <w:color w:val="000000" w:themeColor="text1"/>
              </w:rPr>
            </w:pPr>
            <w:r w:rsidRPr="00506DB0">
              <w:rPr>
                <w:b/>
                <w:bCs/>
                <w:color w:val="000000" w:themeColor="text1"/>
              </w:rPr>
              <w:t>Polygon</w:t>
            </w:r>
          </w:p>
        </w:tc>
        <w:tc>
          <w:tcPr>
            <w:tcW w:w="1080" w:type="dxa"/>
            <w:tcBorders>
              <w:top w:val="single" w:sz="8" w:space="0" w:color="auto"/>
              <w:left w:val="nil"/>
              <w:bottom w:val="single" w:sz="8" w:space="0" w:color="auto"/>
              <w:right w:val="single" w:sz="4" w:space="0" w:color="auto"/>
            </w:tcBorders>
            <w:shd w:val="clear" w:color="000000" w:fill="D9D9D9"/>
            <w:vAlign w:val="center"/>
            <w:hideMark/>
          </w:tcPr>
          <w:p w14:paraId="785E7274" w14:textId="77777777" w:rsidR="003A5B25" w:rsidRPr="00506DB0" w:rsidRDefault="003A5B25" w:rsidP="00AE1DED">
            <w:pPr>
              <w:jc w:val="center"/>
              <w:rPr>
                <w:b/>
                <w:bCs/>
                <w:color w:val="000000" w:themeColor="text1"/>
              </w:rPr>
            </w:pPr>
            <w:r w:rsidRPr="00506DB0">
              <w:rPr>
                <w:b/>
                <w:bCs/>
                <w:color w:val="000000" w:themeColor="text1"/>
              </w:rPr>
              <w:t>BSC</w:t>
            </w:r>
          </w:p>
        </w:tc>
        <w:tc>
          <w:tcPr>
            <w:tcW w:w="1080" w:type="dxa"/>
            <w:tcBorders>
              <w:top w:val="single" w:sz="8" w:space="0" w:color="auto"/>
              <w:left w:val="nil"/>
              <w:bottom w:val="single" w:sz="8" w:space="0" w:color="auto"/>
              <w:right w:val="single" w:sz="4" w:space="0" w:color="auto"/>
            </w:tcBorders>
            <w:shd w:val="clear" w:color="000000" w:fill="D9D9D9"/>
            <w:vAlign w:val="center"/>
            <w:hideMark/>
          </w:tcPr>
          <w:p w14:paraId="5A59D2C9" w14:textId="77777777" w:rsidR="003A5B25" w:rsidRPr="00506DB0" w:rsidRDefault="003A5B25" w:rsidP="00AE1DED">
            <w:pPr>
              <w:jc w:val="center"/>
              <w:rPr>
                <w:b/>
                <w:bCs/>
                <w:color w:val="000000" w:themeColor="text1"/>
              </w:rPr>
            </w:pPr>
            <w:r w:rsidRPr="00506DB0">
              <w:rPr>
                <w:b/>
                <w:bCs/>
                <w:color w:val="000000" w:themeColor="text1"/>
              </w:rPr>
              <w:t>Solana</w:t>
            </w:r>
          </w:p>
        </w:tc>
        <w:tc>
          <w:tcPr>
            <w:tcW w:w="990" w:type="dxa"/>
            <w:tcBorders>
              <w:top w:val="single" w:sz="8" w:space="0" w:color="auto"/>
              <w:left w:val="nil"/>
              <w:bottom w:val="single" w:sz="8" w:space="0" w:color="auto"/>
              <w:right w:val="single" w:sz="8" w:space="0" w:color="auto"/>
            </w:tcBorders>
            <w:shd w:val="clear" w:color="000000" w:fill="D9D9D9"/>
            <w:vAlign w:val="center"/>
            <w:hideMark/>
          </w:tcPr>
          <w:p w14:paraId="42F85298" w14:textId="77777777" w:rsidR="003A5B25" w:rsidRPr="00506DB0" w:rsidRDefault="003A5B25" w:rsidP="00AE1DED">
            <w:pPr>
              <w:jc w:val="center"/>
              <w:rPr>
                <w:b/>
                <w:bCs/>
                <w:color w:val="000000" w:themeColor="text1"/>
              </w:rPr>
            </w:pPr>
            <w:r w:rsidRPr="00506DB0">
              <w:rPr>
                <w:b/>
                <w:bCs/>
                <w:color w:val="000000" w:themeColor="text1"/>
              </w:rPr>
              <w:t>Total</w:t>
            </w:r>
          </w:p>
        </w:tc>
      </w:tr>
      <w:tr w:rsidR="00FC334A" w:rsidRPr="00506DB0" w14:paraId="77396224" w14:textId="77777777" w:rsidTr="003A5B25">
        <w:trPr>
          <w:trHeight w:val="340"/>
        </w:trPr>
        <w:tc>
          <w:tcPr>
            <w:tcW w:w="1745" w:type="dxa"/>
            <w:tcBorders>
              <w:top w:val="nil"/>
              <w:left w:val="single" w:sz="8" w:space="0" w:color="auto"/>
              <w:bottom w:val="single" w:sz="4" w:space="0" w:color="auto"/>
              <w:right w:val="single" w:sz="8" w:space="0" w:color="auto"/>
            </w:tcBorders>
            <w:shd w:val="clear" w:color="000000" w:fill="D9D9D9"/>
            <w:vAlign w:val="center"/>
            <w:hideMark/>
          </w:tcPr>
          <w:p w14:paraId="580454A5" w14:textId="77777777" w:rsidR="003A5B25" w:rsidRPr="00506DB0" w:rsidRDefault="003A5B25" w:rsidP="00AE1DED">
            <w:pPr>
              <w:rPr>
                <w:b/>
                <w:bCs/>
                <w:color w:val="000000" w:themeColor="text1"/>
              </w:rPr>
            </w:pPr>
            <w:r w:rsidRPr="00506DB0">
              <w:rPr>
                <w:b/>
                <w:bCs/>
                <w:color w:val="000000" w:themeColor="text1"/>
              </w:rPr>
              <w:t>Uniswap v2</w:t>
            </w:r>
          </w:p>
        </w:tc>
        <w:tc>
          <w:tcPr>
            <w:tcW w:w="1186" w:type="dxa"/>
            <w:tcBorders>
              <w:top w:val="nil"/>
              <w:left w:val="nil"/>
              <w:bottom w:val="single" w:sz="4" w:space="0" w:color="auto"/>
              <w:right w:val="single" w:sz="4" w:space="0" w:color="auto"/>
            </w:tcBorders>
            <w:vAlign w:val="center"/>
            <w:hideMark/>
          </w:tcPr>
          <w:p w14:paraId="3930347B" w14:textId="77777777" w:rsidR="003A5B25" w:rsidRPr="00506DB0" w:rsidRDefault="003A5B25" w:rsidP="00AE1DED">
            <w:pPr>
              <w:jc w:val="right"/>
              <w:rPr>
                <w:color w:val="000000" w:themeColor="text1"/>
              </w:rPr>
            </w:pPr>
            <w:r w:rsidRPr="00506DB0">
              <w:rPr>
                <w:color w:val="000000" w:themeColor="text1"/>
              </w:rPr>
              <w:t>8</w:t>
            </w:r>
          </w:p>
        </w:tc>
        <w:tc>
          <w:tcPr>
            <w:tcW w:w="1094" w:type="dxa"/>
            <w:tcBorders>
              <w:top w:val="nil"/>
              <w:left w:val="nil"/>
              <w:bottom w:val="single" w:sz="4" w:space="0" w:color="auto"/>
              <w:right w:val="single" w:sz="4" w:space="0" w:color="auto"/>
            </w:tcBorders>
            <w:vAlign w:val="center"/>
            <w:hideMark/>
          </w:tcPr>
          <w:p w14:paraId="095A13CD" w14:textId="77777777" w:rsidR="003A5B25" w:rsidRPr="00506DB0" w:rsidRDefault="003A5B25" w:rsidP="00AE1DED">
            <w:pPr>
              <w:jc w:val="right"/>
              <w:rPr>
                <w:color w:val="000000" w:themeColor="text1"/>
              </w:rPr>
            </w:pPr>
            <w:r w:rsidRPr="00506DB0">
              <w:rPr>
                <w:color w:val="000000" w:themeColor="text1"/>
              </w:rPr>
              <w:t>5</w:t>
            </w:r>
          </w:p>
        </w:tc>
        <w:tc>
          <w:tcPr>
            <w:tcW w:w="1196" w:type="dxa"/>
            <w:tcBorders>
              <w:top w:val="nil"/>
              <w:left w:val="nil"/>
              <w:bottom w:val="single" w:sz="4" w:space="0" w:color="auto"/>
              <w:right w:val="single" w:sz="4" w:space="0" w:color="auto"/>
            </w:tcBorders>
            <w:vAlign w:val="center"/>
            <w:hideMark/>
          </w:tcPr>
          <w:p w14:paraId="5FB64D07" w14:textId="77777777" w:rsidR="003A5B25" w:rsidRPr="00506DB0" w:rsidRDefault="003A5B25" w:rsidP="00AE1DED">
            <w:pPr>
              <w:jc w:val="right"/>
              <w:rPr>
                <w:color w:val="000000" w:themeColor="text1"/>
              </w:rPr>
            </w:pPr>
            <w:r w:rsidRPr="00506DB0">
              <w:rPr>
                <w:color w:val="000000" w:themeColor="text1"/>
              </w:rPr>
              <w:t>4</w:t>
            </w:r>
          </w:p>
        </w:tc>
        <w:tc>
          <w:tcPr>
            <w:tcW w:w="1159" w:type="dxa"/>
            <w:tcBorders>
              <w:top w:val="nil"/>
              <w:left w:val="nil"/>
              <w:bottom w:val="single" w:sz="4" w:space="0" w:color="auto"/>
              <w:right w:val="single" w:sz="4" w:space="0" w:color="auto"/>
            </w:tcBorders>
            <w:vAlign w:val="center"/>
            <w:hideMark/>
          </w:tcPr>
          <w:p w14:paraId="6FB5F02A" w14:textId="77777777" w:rsidR="003A5B25" w:rsidRPr="00506DB0" w:rsidRDefault="003A5B25" w:rsidP="00AE1DED">
            <w:pPr>
              <w:jc w:val="right"/>
              <w:rPr>
                <w:color w:val="000000" w:themeColor="text1"/>
              </w:rPr>
            </w:pPr>
            <w:r w:rsidRPr="00506DB0">
              <w:rPr>
                <w:color w:val="000000" w:themeColor="text1"/>
              </w:rPr>
              <w:t>6</w:t>
            </w:r>
          </w:p>
        </w:tc>
        <w:tc>
          <w:tcPr>
            <w:tcW w:w="1080" w:type="dxa"/>
            <w:tcBorders>
              <w:top w:val="nil"/>
              <w:left w:val="nil"/>
              <w:bottom w:val="single" w:sz="4" w:space="0" w:color="auto"/>
              <w:right w:val="single" w:sz="4" w:space="0" w:color="auto"/>
            </w:tcBorders>
            <w:vAlign w:val="center"/>
            <w:hideMark/>
          </w:tcPr>
          <w:p w14:paraId="31CB674E" w14:textId="77777777" w:rsidR="003A5B25" w:rsidRPr="00506DB0" w:rsidRDefault="003A5B25" w:rsidP="00AE1DED">
            <w:pPr>
              <w:rPr>
                <w:color w:val="000000" w:themeColor="text1"/>
              </w:rPr>
            </w:pPr>
            <w:r w:rsidRPr="00506DB0">
              <w:rPr>
                <w:color w:val="000000" w:themeColor="text1"/>
              </w:rPr>
              <w:t>-</w:t>
            </w:r>
          </w:p>
        </w:tc>
        <w:tc>
          <w:tcPr>
            <w:tcW w:w="1080" w:type="dxa"/>
            <w:tcBorders>
              <w:top w:val="nil"/>
              <w:left w:val="nil"/>
              <w:bottom w:val="single" w:sz="4" w:space="0" w:color="auto"/>
              <w:right w:val="single" w:sz="4" w:space="0" w:color="auto"/>
            </w:tcBorders>
            <w:vAlign w:val="center"/>
            <w:hideMark/>
          </w:tcPr>
          <w:p w14:paraId="6346F27A" w14:textId="77777777" w:rsidR="003A5B25" w:rsidRPr="00506DB0" w:rsidRDefault="003A5B25" w:rsidP="00AE1DED">
            <w:pPr>
              <w:rPr>
                <w:color w:val="000000" w:themeColor="text1"/>
              </w:rPr>
            </w:pPr>
            <w:r w:rsidRPr="00506DB0">
              <w:rPr>
                <w:color w:val="000000" w:themeColor="text1"/>
              </w:rPr>
              <w:t>-</w:t>
            </w:r>
          </w:p>
        </w:tc>
        <w:tc>
          <w:tcPr>
            <w:tcW w:w="990" w:type="dxa"/>
            <w:tcBorders>
              <w:top w:val="nil"/>
              <w:left w:val="nil"/>
              <w:bottom w:val="single" w:sz="4" w:space="0" w:color="auto"/>
              <w:right w:val="single" w:sz="8" w:space="0" w:color="auto"/>
            </w:tcBorders>
            <w:vAlign w:val="center"/>
            <w:hideMark/>
          </w:tcPr>
          <w:p w14:paraId="33D115AD" w14:textId="77777777" w:rsidR="003A5B25" w:rsidRPr="00506DB0" w:rsidRDefault="003A5B25" w:rsidP="00AE1DED">
            <w:pPr>
              <w:jc w:val="right"/>
              <w:rPr>
                <w:color w:val="000000" w:themeColor="text1"/>
              </w:rPr>
            </w:pPr>
            <w:r w:rsidRPr="00506DB0">
              <w:rPr>
                <w:color w:val="000000" w:themeColor="text1"/>
              </w:rPr>
              <w:t>23</w:t>
            </w:r>
          </w:p>
        </w:tc>
      </w:tr>
      <w:tr w:rsidR="00FC334A" w:rsidRPr="00506DB0" w14:paraId="041E81CC" w14:textId="77777777" w:rsidTr="003A5B25">
        <w:trPr>
          <w:trHeight w:val="340"/>
        </w:trPr>
        <w:tc>
          <w:tcPr>
            <w:tcW w:w="1745" w:type="dxa"/>
            <w:tcBorders>
              <w:top w:val="nil"/>
              <w:left w:val="single" w:sz="8" w:space="0" w:color="auto"/>
              <w:bottom w:val="single" w:sz="4" w:space="0" w:color="auto"/>
              <w:right w:val="single" w:sz="8" w:space="0" w:color="auto"/>
            </w:tcBorders>
            <w:shd w:val="clear" w:color="000000" w:fill="D9D9D9"/>
            <w:vAlign w:val="center"/>
            <w:hideMark/>
          </w:tcPr>
          <w:p w14:paraId="6F76E62D" w14:textId="77777777" w:rsidR="003A5B25" w:rsidRPr="00506DB0" w:rsidRDefault="003A5B25" w:rsidP="00AE1DED">
            <w:pPr>
              <w:rPr>
                <w:b/>
                <w:bCs/>
                <w:color w:val="000000" w:themeColor="text1"/>
              </w:rPr>
            </w:pPr>
            <w:r w:rsidRPr="00506DB0">
              <w:rPr>
                <w:b/>
                <w:bCs/>
                <w:color w:val="000000" w:themeColor="text1"/>
              </w:rPr>
              <w:t>Uniswap v3</w:t>
            </w:r>
          </w:p>
        </w:tc>
        <w:tc>
          <w:tcPr>
            <w:tcW w:w="1186" w:type="dxa"/>
            <w:tcBorders>
              <w:top w:val="nil"/>
              <w:left w:val="nil"/>
              <w:bottom w:val="single" w:sz="4" w:space="0" w:color="auto"/>
              <w:right w:val="single" w:sz="4" w:space="0" w:color="auto"/>
            </w:tcBorders>
            <w:vAlign w:val="center"/>
            <w:hideMark/>
          </w:tcPr>
          <w:p w14:paraId="3F694A27" w14:textId="77777777" w:rsidR="003A5B25" w:rsidRPr="00506DB0" w:rsidRDefault="003A5B25" w:rsidP="00AE1DED">
            <w:pPr>
              <w:jc w:val="right"/>
              <w:rPr>
                <w:color w:val="000000" w:themeColor="text1"/>
              </w:rPr>
            </w:pPr>
            <w:r w:rsidRPr="00506DB0">
              <w:rPr>
                <w:color w:val="000000" w:themeColor="text1"/>
              </w:rPr>
              <w:t>12</w:t>
            </w:r>
          </w:p>
        </w:tc>
        <w:tc>
          <w:tcPr>
            <w:tcW w:w="1094" w:type="dxa"/>
            <w:tcBorders>
              <w:top w:val="nil"/>
              <w:left w:val="nil"/>
              <w:bottom w:val="single" w:sz="4" w:space="0" w:color="auto"/>
              <w:right w:val="single" w:sz="4" w:space="0" w:color="auto"/>
            </w:tcBorders>
            <w:vAlign w:val="center"/>
            <w:hideMark/>
          </w:tcPr>
          <w:p w14:paraId="454E931C" w14:textId="77777777" w:rsidR="003A5B25" w:rsidRPr="00506DB0" w:rsidRDefault="003A5B25" w:rsidP="00AE1DED">
            <w:pPr>
              <w:jc w:val="right"/>
              <w:rPr>
                <w:color w:val="000000" w:themeColor="text1"/>
              </w:rPr>
            </w:pPr>
            <w:r w:rsidRPr="00506DB0">
              <w:rPr>
                <w:color w:val="000000" w:themeColor="text1"/>
              </w:rPr>
              <w:t>7</w:t>
            </w:r>
          </w:p>
        </w:tc>
        <w:tc>
          <w:tcPr>
            <w:tcW w:w="1196" w:type="dxa"/>
            <w:tcBorders>
              <w:top w:val="nil"/>
              <w:left w:val="nil"/>
              <w:bottom w:val="single" w:sz="4" w:space="0" w:color="auto"/>
              <w:right w:val="single" w:sz="4" w:space="0" w:color="auto"/>
            </w:tcBorders>
            <w:vAlign w:val="center"/>
            <w:hideMark/>
          </w:tcPr>
          <w:p w14:paraId="726E63F3" w14:textId="77777777" w:rsidR="003A5B25" w:rsidRPr="00506DB0" w:rsidRDefault="003A5B25" w:rsidP="00AE1DED">
            <w:pPr>
              <w:jc w:val="right"/>
              <w:rPr>
                <w:color w:val="000000" w:themeColor="text1"/>
              </w:rPr>
            </w:pPr>
            <w:r w:rsidRPr="00506DB0">
              <w:rPr>
                <w:color w:val="000000" w:themeColor="text1"/>
              </w:rPr>
              <w:t>6</w:t>
            </w:r>
          </w:p>
        </w:tc>
        <w:tc>
          <w:tcPr>
            <w:tcW w:w="1159" w:type="dxa"/>
            <w:tcBorders>
              <w:top w:val="nil"/>
              <w:left w:val="nil"/>
              <w:bottom w:val="single" w:sz="4" w:space="0" w:color="auto"/>
              <w:right w:val="single" w:sz="4" w:space="0" w:color="auto"/>
            </w:tcBorders>
            <w:vAlign w:val="center"/>
            <w:hideMark/>
          </w:tcPr>
          <w:p w14:paraId="0FFD45C2" w14:textId="77777777" w:rsidR="003A5B25" w:rsidRPr="00506DB0" w:rsidRDefault="003A5B25" w:rsidP="00AE1DED">
            <w:pPr>
              <w:jc w:val="right"/>
              <w:rPr>
                <w:color w:val="000000" w:themeColor="text1"/>
              </w:rPr>
            </w:pPr>
            <w:r w:rsidRPr="00506DB0">
              <w:rPr>
                <w:color w:val="000000" w:themeColor="text1"/>
              </w:rPr>
              <w:t>8</w:t>
            </w:r>
          </w:p>
        </w:tc>
        <w:tc>
          <w:tcPr>
            <w:tcW w:w="1080" w:type="dxa"/>
            <w:tcBorders>
              <w:top w:val="nil"/>
              <w:left w:val="nil"/>
              <w:bottom w:val="single" w:sz="4" w:space="0" w:color="auto"/>
              <w:right w:val="single" w:sz="4" w:space="0" w:color="auto"/>
            </w:tcBorders>
            <w:vAlign w:val="center"/>
            <w:hideMark/>
          </w:tcPr>
          <w:p w14:paraId="0269ED49" w14:textId="77777777" w:rsidR="003A5B25" w:rsidRPr="00506DB0" w:rsidRDefault="003A5B25" w:rsidP="00AE1DED">
            <w:pPr>
              <w:rPr>
                <w:color w:val="000000" w:themeColor="text1"/>
              </w:rPr>
            </w:pPr>
            <w:r w:rsidRPr="00506DB0">
              <w:rPr>
                <w:color w:val="000000" w:themeColor="text1"/>
              </w:rPr>
              <w:t>-</w:t>
            </w:r>
          </w:p>
        </w:tc>
        <w:tc>
          <w:tcPr>
            <w:tcW w:w="1080" w:type="dxa"/>
            <w:tcBorders>
              <w:top w:val="nil"/>
              <w:left w:val="nil"/>
              <w:bottom w:val="single" w:sz="4" w:space="0" w:color="auto"/>
              <w:right w:val="single" w:sz="4" w:space="0" w:color="auto"/>
            </w:tcBorders>
            <w:vAlign w:val="center"/>
            <w:hideMark/>
          </w:tcPr>
          <w:p w14:paraId="34C0B9C6" w14:textId="77777777" w:rsidR="003A5B25" w:rsidRPr="00506DB0" w:rsidRDefault="003A5B25" w:rsidP="00AE1DED">
            <w:pPr>
              <w:rPr>
                <w:color w:val="000000" w:themeColor="text1"/>
              </w:rPr>
            </w:pPr>
            <w:r w:rsidRPr="00506DB0">
              <w:rPr>
                <w:color w:val="000000" w:themeColor="text1"/>
              </w:rPr>
              <w:t>-</w:t>
            </w:r>
          </w:p>
        </w:tc>
        <w:tc>
          <w:tcPr>
            <w:tcW w:w="990" w:type="dxa"/>
            <w:tcBorders>
              <w:top w:val="nil"/>
              <w:left w:val="nil"/>
              <w:bottom w:val="single" w:sz="4" w:space="0" w:color="auto"/>
              <w:right w:val="single" w:sz="8" w:space="0" w:color="auto"/>
            </w:tcBorders>
            <w:vAlign w:val="center"/>
            <w:hideMark/>
          </w:tcPr>
          <w:p w14:paraId="60A3B9DF" w14:textId="77777777" w:rsidR="003A5B25" w:rsidRPr="00506DB0" w:rsidRDefault="003A5B25" w:rsidP="00AE1DED">
            <w:pPr>
              <w:jc w:val="right"/>
              <w:rPr>
                <w:color w:val="000000" w:themeColor="text1"/>
              </w:rPr>
            </w:pPr>
            <w:r w:rsidRPr="00506DB0">
              <w:rPr>
                <w:color w:val="000000" w:themeColor="text1"/>
              </w:rPr>
              <w:t>33</w:t>
            </w:r>
          </w:p>
        </w:tc>
      </w:tr>
      <w:tr w:rsidR="00FC334A" w:rsidRPr="00506DB0" w14:paraId="4C39EE84" w14:textId="77777777" w:rsidTr="003A5B25">
        <w:trPr>
          <w:trHeight w:val="340"/>
        </w:trPr>
        <w:tc>
          <w:tcPr>
            <w:tcW w:w="1745" w:type="dxa"/>
            <w:tcBorders>
              <w:top w:val="nil"/>
              <w:left w:val="single" w:sz="8" w:space="0" w:color="auto"/>
              <w:bottom w:val="single" w:sz="4" w:space="0" w:color="auto"/>
              <w:right w:val="single" w:sz="8" w:space="0" w:color="auto"/>
            </w:tcBorders>
            <w:shd w:val="clear" w:color="000000" w:fill="D9D9D9"/>
            <w:vAlign w:val="center"/>
            <w:hideMark/>
          </w:tcPr>
          <w:p w14:paraId="21662429" w14:textId="77777777" w:rsidR="003A5B25" w:rsidRPr="00506DB0" w:rsidRDefault="003A5B25" w:rsidP="00AE1DED">
            <w:pPr>
              <w:rPr>
                <w:b/>
                <w:bCs/>
                <w:color w:val="000000" w:themeColor="text1"/>
              </w:rPr>
            </w:pPr>
            <w:r w:rsidRPr="00506DB0">
              <w:rPr>
                <w:b/>
                <w:bCs/>
                <w:color w:val="000000" w:themeColor="text1"/>
              </w:rPr>
              <w:t>Curve Finance</w:t>
            </w:r>
          </w:p>
        </w:tc>
        <w:tc>
          <w:tcPr>
            <w:tcW w:w="1186" w:type="dxa"/>
            <w:tcBorders>
              <w:top w:val="nil"/>
              <w:left w:val="nil"/>
              <w:bottom w:val="single" w:sz="4" w:space="0" w:color="auto"/>
              <w:right w:val="single" w:sz="4" w:space="0" w:color="auto"/>
            </w:tcBorders>
            <w:vAlign w:val="center"/>
            <w:hideMark/>
          </w:tcPr>
          <w:p w14:paraId="66860372" w14:textId="77777777" w:rsidR="003A5B25" w:rsidRPr="00506DB0" w:rsidRDefault="003A5B25" w:rsidP="00AE1DED">
            <w:pPr>
              <w:jc w:val="right"/>
              <w:rPr>
                <w:color w:val="000000" w:themeColor="text1"/>
              </w:rPr>
            </w:pPr>
            <w:r w:rsidRPr="00506DB0">
              <w:rPr>
                <w:color w:val="000000" w:themeColor="text1"/>
              </w:rPr>
              <w:t>14</w:t>
            </w:r>
          </w:p>
        </w:tc>
        <w:tc>
          <w:tcPr>
            <w:tcW w:w="1094" w:type="dxa"/>
            <w:tcBorders>
              <w:top w:val="nil"/>
              <w:left w:val="nil"/>
              <w:bottom w:val="single" w:sz="4" w:space="0" w:color="auto"/>
              <w:right w:val="single" w:sz="4" w:space="0" w:color="auto"/>
            </w:tcBorders>
            <w:vAlign w:val="center"/>
            <w:hideMark/>
          </w:tcPr>
          <w:p w14:paraId="3E3F225A" w14:textId="77777777" w:rsidR="003A5B25" w:rsidRPr="00506DB0" w:rsidRDefault="003A5B25" w:rsidP="00AE1DED">
            <w:pPr>
              <w:jc w:val="right"/>
              <w:rPr>
                <w:color w:val="000000" w:themeColor="text1"/>
              </w:rPr>
            </w:pPr>
            <w:r w:rsidRPr="00506DB0">
              <w:rPr>
                <w:color w:val="000000" w:themeColor="text1"/>
              </w:rPr>
              <w:t>6</w:t>
            </w:r>
          </w:p>
        </w:tc>
        <w:tc>
          <w:tcPr>
            <w:tcW w:w="1196" w:type="dxa"/>
            <w:tcBorders>
              <w:top w:val="nil"/>
              <w:left w:val="nil"/>
              <w:bottom w:val="single" w:sz="4" w:space="0" w:color="auto"/>
              <w:right w:val="single" w:sz="4" w:space="0" w:color="auto"/>
            </w:tcBorders>
            <w:vAlign w:val="center"/>
            <w:hideMark/>
          </w:tcPr>
          <w:p w14:paraId="1715ACCA" w14:textId="77777777" w:rsidR="003A5B25" w:rsidRPr="00506DB0" w:rsidRDefault="003A5B25" w:rsidP="00AE1DED">
            <w:pPr>
              <w:jc w:val="right"/>
              <w:rPr>
                <w:color w:val="000000" w:themeColor="text1"/>
              </w:rPr>
            </w:pPr>
            <w:r w:rsidRPr="00506DB0">
              <w:rPr>
                <w:color w:val="000000" w:themeColor="text1"/>
              </w:rPr>
              <w:t>3</w:t>
            </w:r>
          </w:p>
        </w:tc>
        <w:tc>
          <w:tcPr>
            <w:tcW w:w="1159" w:type="dxa"/>
            <w:tcBorders>
              <w:top w:val="nil"/>
              <w:left w:val="nil"/>
              <w:bottom w:val="single" w:sz="4" w:space="0" w:color="auto"/>
              <w:right w:val="single" w:sz="4" w:space="0" w:color="auto"/>
            </w:tcBorders>
            <w:vAlign w:val="center"/>
            <w:hideMark/>
          </w:tcPr>
          <w:p w14:paraId="35928FE9" w14:textId="77777777" w:rsidR="003A5B25" w:rsidRPr="00506DB0" w:rsidRDefault="003A5B25" w:rsidP="00AE1DED">
            <w:pPr>
              <w:jc w:val="right"/>
              <w:rPr>
                <w:color w:val="000000" w:themeColor="text1"/>
              </w:rPr>
            </w:pPr>
            <w:r w:rsidRPr="00506DB0">
              <w:rPr>
                <w:color w:val="000000" w:themeColor="text1"/>
              </w:rPr>
              <w:t>5</w:t>
            </w:r>
          </w:p>
        </w:tc>
        <w:tc>
          <w:tcPr>
            <w:tcW w:w="1080" w:type="dxa"/>
            <w:tcBorders>
              <w:top w:val="nil"/>
              <w:left w:val="nil"/>
              <w:bottom w:val="single" w:sz="4" w:space="0" w:color="auto"/>
              <w:right w:val="single" w:sz="4" w:space="0" w:color="auto"/>
            </w:tcBorders>
            <w:vAlign w:val="center"/>
            <w:hideMark/>
          </w:tcPr>
          <w:p w14:paraId="52A79EE8" w14:textId="77777777" w:rsidR="003A5B25" w:rsidRPr="00506DB0" w:rsidRDefault="003A5B25" w:rsidP="00AE1DED">
            <w:pPr>
              <w:rPr>
                <w:color w:val="000000" w:themeColor="text1"/>
              </w:rPr>
            </w:pPr>
            <w:r w:rsidRPr="00506DB0">
              <w:rPr>
                <w:color w:val="000000" w:themeColor="text1"/>
              </w:rPr>
              <w:t>-</w:t>
            </w:r>
          </w:p>
        </w:tc>
        <w:tc>
          <w:tcPr>
            <w:tcW w:w="1080" w:type="dxa"/>
            <w:tcBorders>
              <w:top w:val="nil"/>
              <w:left w:val="nil"/>
              <w:bottom w:val="single" w:sz="4" w:space="0" w:color="auto"/>
              <w:right w:val="single" w:sz="4" w:space="0" w:color="auto"/>
            </w:tcBorders>
            <w:vAlign w:val="center"/>
            <w:hideMark/>
          </w:tcPr>
          <w:p w14:paraId="03880C24" w14:textId="77777777" w:rsidR="003A5B25" w:rsidRPr="00506DB0" w:rsidRDefault="003A5B25" w:rsidP="00AE1DED">
            <w:pPr>
              <w:rPr>
                <w:color w:val="000000" w:themeColor="text1"/>
              </w:rPr>
            </w:pPr>
            <w:r w:rsidRPr="00506DB0">
              <w:rPr>
                <w:color w:val="000000" w:themeColor="text1"/>
              </w:rPr>
              <w:t>-</w:t>
            </w:r>
          </w:p>
        </w:tc>
        <w:tc>
          <w:tcPr>
            <w:tcW w:w="990" w:type="dxa"/>
            <w:tcBorders>
              <w:top w:val="nil"/>
              <w:left w:val="nil"/>
              <w:bottom w:val="single" w:sz="4" w:space="0" w:color="auto"/>
              <w:right w:val="single" w:sz="8" w:space="0" w:color="auto"/>
            </w:tcBorders>
            <w:vAlign w:val="center"/>
            <w:hideMark/>
          </w:tcPr>
          <w:p w14:paraId="15467D19" w14:textId="77777777" w:rsidR="003A5B25" w:rsidRPr="00506DB0" w:rsidRDefault="003A5B25" w:rsidP="00AE1DED">
            <w:pPr>
              <w:jc w:val="right"/>
              <w:rPr>
                <w:color w:val="000000" w:themeColor="text1"/>
              </w:rPr>
            </w:pPr>
            <w:r w:rsidRPr="00506DB0">
              <w:rPr>
                <w:color w:val="000000" w:themeColor="text1"/>
              </w:rPr>
              <w:t>28</w:t>
            </w:r>
          </w:p>
        </w:tc>
      </w:tr>
      <w:tr w:rsidR="00FC334A" w:rsidRPr="00506DB0" w14:paraId="7160A00D" w14:textId="77777777" w:rsidTr="003A5B25">
        <w:trPr>
          <w:trHeight w:val="340"/>
        </w:trPr>
        <w:tc>
          <w:tcPr>
            <w:tcW w:w="1745" w:type="dxa"/>
            <w:tcBorders>
              <w:top w:val="nil"/>
              <w:left w:val="single" w:sz="8" w:space="0" w:color="auto"/>
              <w:bottom w:val="single" w:sz="4" w:space="0" w:color="auto"/>
              <w:right w:val="single" w:sz="8" w:space="0" w:color="auto"/>
            </w:tcBorders>
            <w:shd w:val="clear" w:color="000000" w:fill="D9D9D9"/>
            <w:vAlign w:val="center"/>
            <w:hideMark/>
          </w:tcPr>
          <w:p w14:paraId="65800DE6" w14:textId="77777777" w:rsidR="003A5B25" w:rsidRPr="00506DB0" w:rsidRDefault="003A5B25" w:rsidP="00AE1DED">
            <w:pPr>
              <w:rPr>
                <w:b/>
                <w:bCs/>
                <w:color w:val="000000" w:themeColor="text1"/>
              </w:rPr>
            </w:pPr>
            <w:r w:rsidRPr="00506DB0">
              <w:rPr>
                <w:b/>
                <w:bCs/>
                <w:color w:val="000000" w:themeColor="text1"/>
              </w:rPr>
              <w:t>Balancer</w:t>
            </w:r>
          </w:p>
        </w:tc>
        <w:tc>
          <w:tcPr>
            <w:tcW w:w="1186" w:type="dxa"/>
            <w:tcBorders>
              <w:top w:val="nil"/>
              <w:left w:val="nil"/>
              <w:bottom w:val="single" w:sz="4" w:space="0" w:color="auto"/>
              <w:right w:val="single" w:sz="4" w:space="0" w:color="auto"/>
            </w:tcBorders>
            <w:vAlign w:val="center"/>
            <w:hideMark/>
          </w:tcPr>
          <w:p w14:paraId="7CA2297C" w14:textId="77777777" w:rsidR="003A5B25" w:rsidRPr="00506DB0" w:rsidRDefault="003A5B25" w:rsidP="00AE1DED">
            <w:pPr>
              <w:jc w:val="right"/>
              <w:rPr>
                <w:color w:val="000000" w:themeColor="text1"/>
              </w:rPr>
            </w:pPr>
            <w:r w:rsidRPr="00506DB0">
              <w:rPr>
                <w:color w:val="000000" w:themeColor="text1"/>
              </w:rPr>
              <w:t>9</w:t>
            </w:r>
          </w:p>
        </w:tc>
        <w:tc>
          <w:tcPr>
            <w:tcW w:w="1094" w:type="dxa"/>
            <w:tcBorders>
              <w:top w:val="nil"/>
              <w:left w:val="nil"/>
              <w:bottom w:val="single" w:sz="4" w:space="0" w:color="auto"/>
              <w:right w:val="single" w:sz="4" w:space="0" w:color="auto"/>
            </w:tcBorders>
            <w:vAlign w:val="center"/>
            <w:hideMark/>
          </w:tcPr>
          <w:p w14:paraId="741E80B1" w14:textId="77777777" w:rsidR="003A5B25" w:rsidRPr="00506DB0" w:rsidRDefault="003A5B25" w:rsidP="00AE1DED">
            <w:pPr>
              <w:jc w:val="right"/>
              <w:rPr>
                <w:color w:val="000000" w:themeColor="text1"/>
              </w:rPr>
            </w:pPr>
            <w:r w:rsidRPr="00506DB0">
              <w:rPr>
                <w:color w:val="000000" w:themeColor="text1"/>
              </w:rPr>
              <w:t>4</w:t>
            </w:r>
          </w:p>
        </w:tc>
        <w:tc>
          <w:tcPr>
            <w:tcW w:w="1196" w:type="dxa"/>
            <w:tcBorders>
              <w:top w:val="nil"/>
              <w:left w:val="nil"/>
              <w:bottom w:val="single" w:sz="4" w:space="0" w:color="auto"/>
              <w:right w:val="single" w:sz="4" w:space="0" w:color="auto"/>
            </w:tcBorders>
            <w:vAlign w:val="center"/>
            <w:hideMark/>
          </w:tcPr>
          <w:p w14:paraId="513BEFE0" w14:textId="77777777" w:rsidR="003A5B25" w:rsidRPr="00506DB0" w:rsidRDefault="003A5B25" w:rsidP="00AE1DED">
            <w:pPr>
              <w:jc w:val="right"/>
              <w:rPr>
                <w:color w:val="000000" w:themeColor="text1"/>
              </w:rPr>
            </w:pPr>
            <w:r w:rsidRPr="00506DB0">
              <w:rPr>
                <w:color w:val="000000" w:themeColor="text1"/>
              </w:rPr>
              <w:t>3</w:t>
            </w:r>
          </w:p>
        </w:tc>
        <w:tc>
          <w:tcPr>
            <w:tcW w:w="1159" w:type="dxa"/>
            <w:tcBorders>
              <w:top w:val="nil"/>
              <w:left w:val="nil"/>
              <w:bottom w:val="single" w:sz="4" w:space="0" w:color="auto"/>
              <w:right w:val="single" w:sz="4" w:space="0" w:color="auto"/>
            </w:tcBorders>
            <w:vAlign w:val="center"/>
            <w:hideMark/>
          </w:tcPr>
          <w:p w14:paraId="036E3BAC" w14:textId="77777777" w:rsidR="003A5B25" w:rsidRPr="00506DB0" w:rsidRDefault="003A5B25" w:rsidP="00AE1DED">
            <w:pPr>
              <w:jc w:val="right"/>
              <w:rPr>
                <w:color w:val="000000" w:themeColor="text1"/>
              </w:rPr>
            </w:pPr>
            <w:r w:rsidRPr="00506DB0">
              <w:rPr>
                <w:color w:val="000000" w:themeColor="text1"/>
              </w:rPr>
              <w:t>4</w:t>
            </w:r>
          </w:p>
        </w:tc>
        <w:tc>
          <w:tcPr>
            <w:tcW w:w="1080" w:type="dxa"/>
            <w:tcBorders>
              <w:top w:val="nil"/>
              <w:left w:val="nil"/>
              <w:bottom w:val="single" w:sz="4" w:space="0" w:color="auto"/>
              <w:right w:val="single" w:sz="4" w:space="0" w:color="auto"/>
            </w:tcBorders>
            <w:vAlign w:val="center"/>
            <w:hideMark/>
          </w:tcPr>
          <w:p w14:paraId="36F3DA0D" w14:textId="77777777" w:rsidR="003A5B25" w:rsidRPr="00506DB0" w:rsidRDefault="003A5B25" w:rsidP="00AE1DED">
            <w:pPr>
              <w:jc w:val="right"/>
              <w:rPr>
                <w:color w:val="000000" w:themeColor="text1"/>
              </w:rPr>
            </w:pPr>
            <w:r w:rsidRPr="00506DB0">
              <w:rPr>
                <w:color w:val="000000" w:themeColor="text1"/>
              </w:rPr>
              <w:t>3</w:t>
            </w:r>
          </w:p>
        </w:tc>
        <w:tc>
          <w:tcPr>
            <w:tcW w:w="1080" w:type="dxa"/>
            <w:tcBorders>
              <w:top w:val="nil"/>
              <w:left w:val="nil"/>
              <w:bottom w:val="single" w:sz="4" w:space="0" w:color="auto"/>
              <w:right w:val="single" w:sz="4" w:space="0" w:color="auto"/>
            </w:tcBorders>
            <w:vAlign w:val="center"/>
            <w:hideMark/>
          </w:tcPr>
          <w:p w14:paraId="4400F0C6" w14:textId="77777777" w:rsidR="003A5B25" w:rsidRPr="00506DB0" w:rsidRDefault="003A5B25" w:rsidP="00AE1DED">
            <w:pPr>
              <w:rPr>
                <w:color w:val="000000" w:themeColor="text1"/>
              </w:rPr>
            </w:pPr>
            <w:r w:rsidRPr="00506DB0">
              <w:rPr>
                <w:color w:val="000000" w:themeColor="text1"/>
              </w:rPr>
              <w:t>-</w:t>
            </w:r>
          </w:p>
        </w:tc>
        <w:tc>
          <w:tcPr>
            <w:tcW w:w="990" w:type="dxa"/>
            <w:tcBorders>
              <w:top w:val="nil"/>
              <w:left w:val="nil"/>
              <w:bottom w:val="single" w:sz="4" w:space="0" w:color="auto"/>
              <w:right w:val="single" w:sz="8" w:space="0" w:color="auto"/>
            </w:tcBorders>
            <w:vAlign w:val="center"/>
            <w:hideMark/>
          </w:tcPr>
          <w:p w14:paraId="7321C3C7" w14:textId="77777777" w:rsidR="003A5B25" w:rsidRPr="00506DB0" w:rsidRDefault="003A5B25" w:rsidP="00AE1DED">
            <w:pPr>
              <w:jc w:val="right"/>
              <w:rPr>
                <w:color w:val="000000" w:themeColor="text1"/>
              </w:rPr>
            </w:pPr>
            <w:r w:rsidRPr="00506DB0">
              <w:rPr>
                <w:color w:val="000000" w:themeColor="text1"/>
              </w:rPr>
              <w:t>23</w:t>
            </w:r>
          </w:p>
        </w:tc>
      </w:tr>
      <w:tr w:rsidR="00FC334A" w:rsidRPr="00506DB0" w14:paraId="5AE76E81" w14:textId="77777777" w:rsidTr="003A5B25">
        <w:trPr>
          <w:trHeight w:val="340"/>
        </w:trPr>
        <w:tc>
          <w:tcPr>
            <w:tcW w:w="1745" w:type="dxa"/>
            <w:tcBorders>
              <w:top w:val="nil"/>
              <w:left w:val="single" w:sz="8" w:space="0" w:color="auto"/>
              <w:bottom w:val="single" w:sz="4" w:space="0" w:color="auto"/>
              <w:right w:val="single" w:sz="8" w:space="0" w:color="auto"/>
            </w:tcBorders>
            <w:shd w:val="clear" w:color="000000" w:fill="D9D9D9"/>
            <w:vAlign w:val="center"/>
            <w:hideMark/>
          </w:tcPr>
          <w:p w14:paraId="22E90F2E" w14:textId="77777777" w:rsidR="003A5B25" w:rsidRPr="00506DB0" w:rsidRDefault="003A5B25" w:rsidP="00AE1DED">
            <w:pPr>
              <w:rPr>
                <w:b/>
                <w:bCs/>
                <w:color w:val="000000" w:themeColor="text1"/>
              </w:rPr>
            </w:pPr>
            <w:proofErr w:type="spellStart"/>
            <w:r w:rsidRPr="00506DB0">
              <w:rPr>
                <w:b/>
                <w:bCs/>
                <w:color w:val="000000" w:themeColor="text1"/>
              </w:rPr>
              <w:t>PancakeSwap</w:t>
            </w:r>
            <w:proofErr w:type="spellEnd"/>
          </w:p>
        </w:tc>
        <w:tc>
          <w:tcPr>
            <w:tcW w:w="1186" w:type="dxa"/>
            <w:tcBorders>
              <w:top w:val="nil"/>
              <w:left w:val="nil"/>
              <w:bottom w:val="single" w:sz="4" w:space="0" w:color="auto"/>
              <w:right w:val="single" w:sz="4" w:space="0" w:color="auto"/>
            </w:tcBorders>
            <w:vAlign w:val="center"/>
            <w:hideMark/>
          </w:tcPr>
          <w:p w14:paraId="61F8264F" w14:textId="77777777" w:rsidR="003A5B25" w:rsidRPr="00506DB0" w:rsidRDefault="003A5B25" w:rsidP="00AE1DED">
            <w:pPr>
              <w:rPr>
                <w:color w:val="000000" w:themeColor="text1"/>
              </w:rPr>
            </w:pPr>
            <w:r w:rsidRPr="00506DB0">
              <w:rPr>
                <w:color w:val="000000" w:themeColor="text1"/>
              </w:rPr>
              <w:t>-</w:t>
            </w:r>
          </w:p>
        </w:tc>
        <w:tc>
          <w:tcPr>
            <w:tcW w:w="1094" w:type="dxa"/>
            <w:tcBorders>
              <w:top w:val="nil"/>
              <w:left w:val="nil"/>
              <w:bottom w:val="single" w:sz="4" w:space="0" w:color="auto"/>
              <w:right w:val="single" w:sz="4" w:space="0" w:color="auto"/>
            </w:tcBorders>
            <w:vAlign w:val="center"/>
            <w:hideMark/>
          </w:tcPr>
          <w:p w14:paraId="07E2934C" w14:textId="77777777" w:rsidR="003A5B25" w:rsidRPr="00506DB0" w:rsidRDefault="003A5B25" w:rsidP="00AE1DED">
            <w:pPr>
              <w:rPr>
                <w:color w:val="000000" w:themeColor="text1"/>
              </w:rPr>
            </w:pPr>
            <w:r w:rsidRPr="00506DB0">
              <w:rPr>
                <w:color w:val="000000" w:themeColor="text1"/>
              </w:rPr>
              <w:t>-</w:t>
            </w:r>
          </w:p>
        </w:tc>
        <w:tc>
          <w:tcPr>
            <w:tcW w:w="1196" w:type="dxa"/>
            <w:tcBorders>
              <w:top w:val="nil"/>
              <w:left w:val="nil"/>
              <w:bottom w:val="single" w:sz="4" w:space="0" w:color="auto"/>
              <w:right w:val="single" w:sz="4" w:space="0" w:color="auto"/>
            </w:tcBorders>
            <w:vAlign w:val="center"/>
            <w:hideMark/>
          </w:tcPr>
          <w:p w14:paraId="1A3981FC" w14:textId="77777777" w:rsidR="003A5B25" w:rsidRPr="00506DB0" w:rsidRDefault="003A5B25" w:rsidP="00AE1DED">
            <w:pPr>
              <w:rPr>
                <w:color w:val="000000" w:themeColor="text1"/>
              </w:rPr>
            </w:pPr>
            <w:r w:rsidRPr="00506DB0">
              <w:rPr>
                <w:color w:val="000000" w:themeColor="text1"/>
              </w:rPr>
              <w:t>-</w:t>
            </w:r>
          </w:p>
        </w:tc>
        <w:tc>
          <w:tcPr>
            <w:tcW w:w="1159" w:type="dxa"/>
            <w:tcBorders>
              <w:top w:val="nil"/>
              <w:left w:val="nil"/>
              <w:bottom w:val="single" w:sz="4" w:space="0" w:color="auto"/>
              <w:right w:val="single" w:sz="4" w:space="0" w:color="auto"/>
            </w:tcBorders>
            <w:vAlign w:val="center"/>
            <w:hideMark/>
          </w:tcPr>
          <w:p w14:paraId="2B3C5CF1" w14:textId="77777777" w:rsidR="003A5B25" w:rsidRPr="00506DB0" w:rsidRDefault="003A5B25" w:rsidP="00AE1DED">
            <w:pPr>
              <w:rPr>
                <w:color w:val="000000" w:themeColor="text1"/>
              </w:rPr>
            </w:pPr>
            <w:r w:rsidRPr="00506DB0">
              <w:rPr>
                <w:color w:val="000000" w:themeColor="text1"/>
              </w:rPr>
              <w:t>-</w:t>
            </w:r>
          </w:p>
        </w:tc>
        <w:tc>
          <w:tcPr>
            <w:tcW w:w="1080" w:type="dxa"/>
            <w:tcBorders>
              <w:top w:val="nil"/>
              <w:left w:val="nil"/>
              <w:bottom w:val="single" w:sz="4" w:space="0" w:color="auto"/>
              <w:right w:val="single" w:sz="4" w:space="0" w:color="auto"/>
            </w:tcBorders>
            <w:vAlign w:val="center"/>
            <w:hideMark/>
          </w:tcPr>
          <w:p w14:paraId="45C64C76" w14:textId="77777777" w:rsidR="003A5B25" w:rsidRPr="00506DB0" w:rsidRDefault="003A5B25" w:rsidP="00AE1DED">
            <w:pPr>
              <w:jc w:val="right"/>
              <w:rPr>
                <w:color w:val="000000" w:themeColor="text1"/>
              </w:rPr>
            </w:pPr>
            <w:r w:rsidRPr="00506DB0">
              <w:rPr>
                <w:color w:val="000000" w:themeColor="text1"/>
              </w:rPr>
              <w:t>12</w:t>
            </w:r>
          </w:p>
        </w:tc>
        <w:tc>
          <w:tcPr>
            <w:tcW w:w="1080" w:type="dxa"/>
            <w:tcBorders>
              <w:top w:val="nil"/>
              <w:left w:val="nil"/>
              <w:bottom w:val="single" w:sz="4" w:space="0" w:color="auto"/>
              <w:right w:val="single" w:sz="4" w:space="0" w:color="auto"/>
            </w:tcBorders>
            <w:vAlign w:val="center"/>
            <w:hideMark/>
          </w:tcPr>
          <w:p w14:paraId="63702C92" w14:textId="77777777" w:rsidR="003A5B25" w:rsidRPr="00506DB0" w:rsidRDefault="003A5B25" w:rsidP="00AE1DED">
            <w:pPr>
              <w:rPr>
                <w:color w:val="000000" w:themeColor="text1"/>
              </w:rPr>
            </w:pPr>
            <w:r w:rsidRPr="00506DB0">
              <w:rPr>
                <w:color w:val="000000" w:themeColor="text1"/>
              </w:rPr>
              <w:t>-</w:t>
            </w:r>
          </w:p>
        </w:tc>
        <w:tc>
          <w:tcPr>
            <w:tcW w:w="990" w:type="dxa"/>
            <w:tcBorders>
              <w:top w:val="nil"/>
              <w:left w:val="nil"/>
              <w:bottom w:val="single" w:sz="4" w:space="0" w:color="auto"/>
              <w:right w:val="single" w:sz="8" w:space="0" w:color="auto"/>
            </w:tcBorders>
            <w:vAlign w:val="center"/>
            <w:hideMark/>
          </w:tcPr>
          <w:p w14:paraId="616AD7D8" w14:textId="77777777" w:rsidR="003A5B25" w:rsidRPr="00506DB0" w:rsidRDefault="003A5B25" w:rsidP="00AE1DED">
            <w:pPr>
              <w:jc w:val="right"/>
              <w:rPr>
                <w:color w:val="000000" w:themeColor="text1"/>
              </w:rPr>
            </w:pPr>
            <w:r w:rsidRPr="00506DB0">
              <w:rPr>
                <w:color w:val="000000" w:themeColor="text1"/>
              </w:rPr>
              <w:t>12</w:t>
            </w:r>
          </w:p>
        </w:tc>
      </w:tr>
      <w:tr w:rsidR="00FC334A" w:rsidRPr="00506DB0" w14:paraId="69D8DAF9" w14:textId="77777777" w:rsidTr="003A5B25">
        <w:trPr>
          <w:trHeight w:val="340"/>
        </w:trPr>
        <w:tc>
          <w:tcPr>
            <w:tcW w:w="1745" w:type="dxa"/>
            <w:tcBorders>
              <w:top w:val="nil"/>
              <w:left w:val="single" w:sz="8" w:space="0" w:color="auto"/>
              <w:bottom w:val="single" w:sz="4" w:space="0" w:color="auto"/>
              <w:right w:val="single" w:sz="8" w:space="0" w:color="auto"/>
            </w:tcBorders>
            <w:shd w:val="clear" w:color="000000" w:fill="D9D9D9"/>
            <w:vAlign w:val="center"/>
            <w:hideMark/>
          </w:tcPr>
          <w:p w14:paraId="7B87406C" w14:textId="77777777" w:rsidR="003A5B25" w:rsidRPr="00506DB0" w:rsidRDefault="003A5B25" w:rsidP="00AE1DED">
            <w:pPr>
              <w:rPr>
                <w:b/>
                <w:bCs/>
                <w:color w:val="000000" w:themeColor="text1"/>
              </w:rPr>
            </w:pPr>
            <w:proofErr w:type="spellStart"/>
            <w:r w:rsidRPr="00506DB0">
              <w:rPr>
                <w:b/>
                <w:bCs/>
                <w:color w:val="000000" w:themeColor="text1"/>
              </w:rPr>
              <w:t>Raydium</w:t>
            </w:r>
            <w:proofErr w:type="spellEnd"/>
          </w:p>
        </w:tc>
        <w:tc>
          <w:tcPr>
            <w:tcW w:w="1186" w:type="dxa"/>
            <w:tcBorders>
              <w:top w:val="nil"/>
              <w:left w:val="nil"/>
              <w:bottom w:val="single" w:sz="4" w:space="0" w:color="auto"/>
              <w:right w:val="single" w:sz="4" w:space="0" w:color="auto"/>
            </w:tcBorders>
            <w:vAlign w:val="center"/>
            <w:hideMark/>
          </w:tcPr>
          <w:p w14:paraId="0EBF6F37" w14:textId="77777777" w:rsidR="003A5B25" w:rsidRPr="00506DB0" w:rsidRDefault="003A5B25" w:rsidP="00AE1DED">
            <w:pPr>
              <w:rPr>
                <w:color w:val="000000" w:themeColor="text1"/>
              </w:rPr>
            </w:pPr>
            <w:r w:rsidRPr="00506DB0">
              <w:rPr>
                <w:color w:val="000000" w:themeColor="text1"/>
              </w:rPr>
              <w:t>-</w:t>
            </w:r>
          </w:p>
        </w:tc>
        <w:tc>
          <w:tcPr>
            <w:tcW w:w="1094" w:type="dxa"/>
            <w:tcBorders>
              <w:top w:val="nil"/>
              <w:left w:val="nil"/>
              <w:bottom w:val="single" w:sz="4" w:space="0" w:color="auto"/>
              <w:right w:val="single" w:sz="4" w:space="0" w:color="auto"/>
            </w:tcBorders>
            <w:vAlign w:val="center"/>
            <w:hideMark/>
          </w:tcPr>
          <w:p w14:paraId="611A4DBF" w14:textId="77777777" w:rsidR="003A5B25" w:rsidRPr="00506DB0" w:rsidRDefault="003A5B25" w:rsidP="00AE1DED">
            <w:pPr>
              <w:rPr>
                <w:color w:val="000000" w:themeColor="text1"/>
              </w:rPr>
            </w:pPr>
            <w:r w:rsidRPr="00506DB0">
              <w:rPr>
                <w:color w:val="000000" w:themeColor="text1"/>
              </w:rPr>
              <w:t>-</w:t>
            </w:r>
          </w:p>
        </w:tc>
        <w:tc>
          <w:tcPr>
            <w:tcW w:w="1196" w:type="dxa"/>
            <w:tcBorders>
              <w:top w:val="nil"/>
              <w:left w:val="nil"/>
              <w:bottom w:val="single" w:sz="4" w:space="0" w:color="auto"/>
              <w:right w:val="single" w:sz="4" w:space="0" w:color="auto"/>
            </w:tcBorders>
            <w:vAlign w:val="center"/>
            <w:hideMark/>
          </w:tcPr>
          <w:p w14:paraId="49257E24" w14:textId="77777777" w:rsidR="003A5B25" w:rsidRPr="00506DB0" w:rsidRDefault="003A5B25" w:rsidP="00AE1DED">
            <w:pPr>
              <w:rPr>
                <w:color w:val="000000" w:themeColor="text1"/>
              </w:rPr>
            </w:pPr>
            <w:r w:rsidRPr="00506DB0">
              <w:rPr>
                <w:color w:val="000000" w:themeColor="text1"/>
              </w:rPr>
              <w:t>-</w:t>
            </w:r>
          </w:p>
        </w:tc>
        <w:tc>
          <w:tcPr>
            <w:tcW w:w="1159" w:type="dxa"/>
            <w:tcBorders>
              <w:top w:val="nil"/>
              <w:left w:val="nil"/>
              <w:bottom w:val="single" w:sz="4" w:space="0" w:color="auto"/>
              <w:right w:val="single" w:sz="4" w:space="0" w:color="auto"/>
            </w:tcBorders>
            <w:vAlign w:val="center"/>
            <w:hideMark/>
          </w:tcPr>
          <w:p w14:paraId="3E64F82E" w14:textId="77777777" w:rsidR="003A5B25" w:rsidRPr="00506DB0" w:rsidRDefault="003A5B25" w:rsidP="00AE1DED">
            <w:pPr>
              <w:rPr>
                <w:color w:val="000000" w:themeColor="text1"/>
              </w:rPr>
            </w:pPr>
            <w:r w:rsidRPr="00506DB0">
              <w:rPr>
                <w:color w:val="000000" w:themeColor="text1"/>
              </w:rPr>
              <w:t>-</w:t>
            </w:r>
          </w:p>
        </w:tc>
        <w:tc>
          <w:tcPr>
            <w:tcW w:w="1080" w:type="dxa"/>
            <w:tcBorders>
              <w:top w:val="nil"/>
              <w:left w:val="nil"/>
              <w:bottom w:val="single" w:sz="4" w:space="0" w:color="auto"/>
              <w:right w:val="single" w:sz="4" w:space="0" w:color="auto"/>
            </w:tcBorders>
            <w:vAlign w:val="center"/>
            <w:hideMark/>
          </w:tcPr>
          <w:p w14:paraId="4291D307" w14:textId="77777777" w:rsidR="003A5B25" w:rsidRPr="00506DB0" w:rsidRDefault="003A5B25" w:rsidP="00AE1DED">
            <w:pPr>
              <w:rPr>
                <w:color w:val="000000" w:themeColor="text1"/>
              </w:rPr>
            </w:pPr>
            <w:r w:rsidRPr="00506DB0">
              <w:rPr>
                <w:color w:val="000000" w:themeColor="text1"/>
              </w:rPr>
              <w:t>-</w:t>
            </w:r>
          </w:p>
        </w:tc>
        <w:tc>
          <w:tcPr>
            <w:tcW w:w="1080" w:type="dxa"/>
            <w:tcBorders>
              <w:top w:val="nil"/>
              <w:left w:val="nil"/>
              <w:bottom w:val="single" w:sz="4" w:space="0" w:color="auto"/>
              <w:right w:val="single" w:sz="4" w:space="0" w:color="auto"/>
            </w:tcBorders>
            <w:vAlign w:val="center"/>
            <w:hideMark/>
          </w:tcPr>
          <w:p w14:paraId="6F5996F8" w14:textId="77777777" w:rsidR="003A5B25" w:rsidRPr="00506DB0" w:rsidRDefault="003A5B25" w:rsidP="00AE1DED">
            <w:pPr>
              <w:jc w:val="right"/>
              <w:rPr>
                <w:color w:val="000000" w:themeColor="text1"/>
              </w:rPr>
            </w:pPr>
            <w:r w:rsidRPr="00506DB0">
              <w:rPr>
                <w:color w:val="000000" w:themeColor="text1"/>
              </w:rPr>
              <w:t>9</w:t>
            </w:r>
          </w:p>
        </w:tc>
        <w:tc>
          <w:tcPr>
            <w:tcW w:w="990" w:type="dxa"/>
            <w:tcBorders>
              <w:top w:val="nil"/>
              <w:left w:val="nil"/>
              <w:bottom w:val="single" w:sz="4" w:space="0" w:color="auto"/>
              <w:right w:val="single" w:sz="8" w:space="0" w:color="auto"/>
            </w:tcBorders>
            <w:vAlign w:val="center"/>
            <w:hideMark/>
          </w:tcPr>
          <w:p w14:paraId="5B01A9B8" w14:textId="77777777" w:rsidR="003A5B25" w:rsidRPr="00506DB0" w:rsidRDefault="003A5B25" w:rsidP="00AE1DED">
            <w:pPr>
              <w:jc w:val="right"/>
              <w:rPr>
                <w:color w:val="000000" w:themeColor="text1"/>
              </w:rPr>
            </w:pPr>
            <w:r w:rsidRPr="00506DB0">
              <w:rPr>
                <w:color w:val="000000" w:themeColor="text1"/>
              </w:rPr>
              <w:t>9</w:t>
            </w:r>
          </w:p>
        </w:tc>
      </w:tr>
      <w:tr w:rsidR="00FC334A" w:rsidRPr="00506DB0" w14:paraId="3EA5D1A6" w14:textId="77777777" w:rsidTr="003A5B25">
        <w:trPr>
          <w:trHeight w:val="340"/>
        </w:trPr>
        <w:tc>
          <w:tcPr>
            <w:tcW w:w="1745" w:type="dxa"/>
            <w:tcBorders>
              <w:top w:val="nil"/>
              <w:left w:val="single" w:sz="8" w:space="0" w:color="auto"/>
              <w:bottom w:val="single" w:sz="4" w:space="0" w:color="auto"/>
              <w:right w:val="single" w:sz="8" w:space="0" w:color="auto"/>
            </w:tcBorders>
            <w:shd w:val="clear" w:color="000000" w:fill="D9D9D9"/>
            <w:vAlign w:val="center"/>
            <w:hideMark/>
          </w:tcPr>
          <w:p w14:paraId="3F556836" w14:textId="77777777" w:rsidR="003A5B25" w:rsidRPr="00506DB0" w:rsidRDefault="003A5B25" w:rsidP="00AE1DED">
            <w:pPr>
              <w:rPr>
                <w:b/>
                <w:bCs/>
                <w:color w:val="000000" w:themeColor="text1"/>
              </w:rPr>
            </w:pPr>
            <w:r w:rsidRPr="00506DB0">
              <w:rPr>
                <w:b/>
                <w:bCs/>
                <w:color w:val="000000" w:themeColor="text1"/>
              </w:rPr>
              <w:t>Orca</w:t>
            </w:r>
          </w:p>
        </w:tc>
        <w:tc>
          <w:tcPr>
            <w:tcW w:w="1186" w:type="dxa"/>
            <w:tcBorders>
              <w:top w:val="nil"/>
              <w:left w:val="nil"/>
              <w:bottom w:val="single" w:sz="4" w:space="0" w:color="auto"/>
              <w:right w:val="single" w:sz="4" w:space="0" w:color="auto"/>
            </w:tcBorders>
            <w:vAlign w:val="center"/>
            <w:hideMark/>
          </w:tcPr>
          <w:p w14:paraId="4A8BACB8" w14:textId="77777777" w:rsidR="003A5B25" w:rsidRPr="00506DB0" w:rsidRDefault="003A5B25" w:rsidP="00AE1DED">
            <w:pPr>
              <w:rPr>
                <w:color w:val="000000" w:themeColor="text1"/>
              </w:rPr>
            </w:pPr>
            <w:r w:rsidRPr="00506DB0">
              <w:rPr>
                <w:color w:val="000000" w:themeColor="text1"/>
              </w:rPr>
              <w:t>-</w:t>
            </w:r>
          </w:p>
        </w:tc>
        <w:tc>
          <w:tcPr>
            <w:tcW w:w="1094" w:type="dxa"/>
            <w:tcBorders>
              <w:top w:val="nil"/>
              <w:left w:val="nil"/>
              <w:bottom w:val="single" w:sz="4" w:space="0" w:color="auto"/>
              <w:right w:val="single" w:sz="4" w:space="0" w:color="auto"/>
            </w:tcBorders>
            <w:vAlign w:val="center"/>
            <w:hideMark/>
          </w:tcPr>
          <w:p w14:paraId="6B6DE529" w14:textId="77777777" w:rsidR="003A5B25" w:rsidRPr="00506DB0" w:rsidRDefault="003A5B25" w:rsidP="00AE1DED">
            <w:pPr>
              <w:rPr>
                <w:color w:val="000000" w:themeColor="text1"/>
              </w:rPr>
            </w:pPr>
            <w:r w:rsidRPr="00506DB0">
              <w:rPr>
                <w:color w:val="000000" w:themeColor="text1"/>
              </w:rPr>
              <w:t>-</w:t>
            </w:r>
          </w:p>
        </w:tc>
        <w:tc>
          <w:tcPr>
            <w:tcW w:w="1196" w:type="dxa"/>
            <w:tcBorders>
              <w:top w:val="nil"/>
              <w:left w:val="nil"/>
              <w:bottom w:val="single" w:sz="4" w:space="0" w:color="auto"/>
              <w:right w:val="single" w:sz="4" w:space="0" w:color="auto"/>
            </w:tcBorders>
            <w:vAlign w:val="center"/>
            <w:hideMark/>
          </w:tcPr>
          <w:p w14:paraId="71FD3952" w14:textId="77777777" w:rsidR="003A5B25" w:rsidRPr="00506DB0" w:rsidRDefault="003A5B25" w:rsidP="00AE1DED">
            <w:pPr>
              <w:rPr>
                <w:color w:val="000000" w:themeColor="text1"/>
              </w:rPr>
            </w:pPr>
            <w:r w:rsidRPr="00506DB0">
              <w:rPr>
                <w:color w:val="000000" w:themeColor="text1"/>
              </w:rPr>
              <w:t>-</w:t>
            </w:r>
          </w:p>
        </w:tc>
        <w:tc>
          <w:tcPr>
            <w:tcW w:w="1159" w:type="dxa"/>
            <w:tcBorders>
              <w:top w:val="nil"/>
              <w:left w:val="nil"/>
              <w:bottom w:val="single" w:sz="4" w:space="0" w:color="auto"/>
              <w:right w:val="single" w:sz="4" w:space="0" w:color="auto"/>
            </w:tcBorders>
            <w:vAlign w:val="center"/>
            <w:hideMark/>
          </w:tcPr>
          <w:p w14:paraId="1A8D007E" w14:textId="77777777" w:rsidR="003A5B25" w:rsidRPr="00506DB0" w:rsidRDefault="003A5B25" w:rsidP="00AE1DED">
            <w:pPr>
              <w:rPr>
                <w:color w:val="000000" w:themeColor="text1"/>
              </w:rPr>
            </w:pPr>
            <w:r w:rsidRPr="00506DB0">
              <w:rPr>
                <w:color w:val="000000" w:themeColor="text1"/>
              </w:rPr>
              <w:t>-</w:t>
            </w:r>
          </w:p>
        </w:tc>
        <w:tc>
          <w:tcPr>
            <w:tcW w:w="1080" w:type="dxa"/>
            <w:tcBorders>
              <w:top w:val="nil"/>
              <w:left w:val="nil"/>
              <w:bottom w:val="single" w:sz="4" w:space="0" w:color="auto"/>
              <w:right w:val="single" w:sz="4" w:space="0" w:color="auto"/>
            </w:tcBorders>
            <w:vAlign w:val="center"/>
            <w:hideMark/>
          </w:tcPr>
          <w:p w14:paraId="2E58A56F" w14:textId="77777777" w:rsidR="003A5B25" w:rsidRPr="00506DB0" w:rsidRDefault="003A5B25" w:rsidP="00AE1DED">
            <w:pPr>
              <w:rPr>
                <w:color w:val="000000" w:themeColor="text1"/>
              </w:rPr>
            </w:pPr>
            <w:r w:rsidRPr="00506DB0">
              <w:rPr>
                <w:color w:val="000000" w:themeColor="text1"/>
              </w:rPr>
              <w:t>-</w:t>
            </w:r>
          </w:p>
        </w:tc>
        <w:tc>
          <w:tcPr>
            <w:tcW w:w="1080" w:type="dxa"/>
            <w:tcBorders>
              <w:top w:val="nil"/>
              <w:left w:val="nil"/>
              <w:bottom w:val="single" w:sz="4" w:space="0" w:color="auto"/>
              <w:right w:val="single" w:sz="4" w:space="0" w:color="auto"/>
            </w:tcBorders>
            <w:vAlign w:val="center"/>
            <w:hideMark/>
          </w:tcPr>
          <w:p w14:paraId="19CF6DFD" w14:textId="77777777" w:rsidR="003A5B25" w:rsidRPr="00506DB0" w:rsidRDefault="003A5B25" w:rsidP="00AE1DED">
            <w:pPr>
              <w:jc w:val="right"/>
              <w:rPr>
                <w:color w:val="000000" w:themeColor="text1"/>
              </w:rPr>
            </w:pPr>
            <w:r w:rsidRPr="00506DB0">
              <w:rPr>
                <w:color w:val="000000" w:themeColor="text1"/>
              </w:rPr>
              <w:t>7</w:t>
            </w:r>
          </w:p>
        </w:tc>
        <w:tc>
          <w:tcPr>
            <w:tcW w:w="990" w:type="dxa"/>
            <w:tcBorders>
              <w:top w:val="nil"/>
              <w:left w:val="nil"/>
              <w:bottom w:val="single" w:sz="4" w:space="0" w:color="auto"/>
              <w:right w:val="single" w:sz="8" w:space="0" w:color="auto"/>
            </w:tcBorders>
            <w:vAlign w:val="center"/>
            <w:hideMark/>
          </w:tcPr>
          <w:p w14:paraId="45BB5482" w14:textId="77777777" w:rsidR="003A5B25" w:rsidRPr="00506DB0" w:rsidRDefault="003A5B25" w:rsidP="00AE1DED">
            <w:pPr>
              <w:jc w:val="right"/>
              <w:rPr>
                <w:color w:val="000000" w:themeColor="text1"/>
              </w:rPr>
            </w:pPr>
            <w:r w:rsidRPr="00506DB0">
              <w:rPr>
                <w:color w:val="000000" w:themeColor="text1"/>
              </w:rPr>
              <w:t>7</w:t>
            </w:r>
          </w:p>
        </w:tc>
      </w:tr>
      <w:tr w:rsidR="00FC334A" w:rsidRPr="00506DB0" w14:paraId="3F9FD75F" w14:textId="77777777" w:rsidTr="003A5B25">
        <w:trPr>
          <w:trHeight w:val="340"/>
        </w:trPr>
        <w:tc>
          <w:tcPr>
            <w:tcW w:w="1745" w:type="dxa"/>
            <w:tcBorders>
              <w:top w:val="nil"/>
              <w:left w:val="single" w:sz="8" w:space="0" w:color="auto"/>
              <w:bottom w:val="single" w:sz="4" w:space="0" w:color="auto"/>
              <w:right w:val="single" w:sz="8" w:space="0" w:color="auto"/>
            </w:tcBorders>
            <w:shd w:val="clear" w:color="000000" w:fill="D9D9D9"/>
            <w:vAlign w:val="center"/>
            <w:hideMark/>
          </w:tcPr>
          <w:p w14:paraId="7A689FA6" w14:textId="77777777" w:rsidR="003A5B25" w:rsidRPr="00506DB0" w:rsidRDefault="003A5B25" w:rsidP="00AE1DED">
            <w:pPr>
              <w:rPr>
                <w:b/>
                <w:bCs/>
                <w:color w:val="000000" w:themeColor="text1"/>
              </w:rPr>
            </w:pPr>
            <w:proofErr w:type="spellStart"/>
            <w:r w:rsidRPr="00506DB0">
              <w:rPr>
                <w:b/>
                <w:bCs/>
                <w:color w:val="000000" w:themeColor="text1"/>
              </w:rPr>
              <w:t>SushiSwap</w:t>
            </w:r>
            <w:proofErr w:type="spellEnd"/>
          </w:p>
        </w:tc>
        <w:tc>
          <w:tcPr>
            <w:tcW w:w="1186" w:type="dxa"/>
            <w:tcBorders>
              <w:top w:val="nil"/>
              <w:left w:val="nil"/>
              <w:bottom w:val="single" w:sz="4" w:space="0" w:color="auto"/>
              <w:right w:val="single" w:sz="4" w:space="0" w:color="auto"/>
            </w:tcBorders>
            <w:vAlign w:val="center"/>
            <w:hideMark/>
          </w:tcPr>
          <w:p w14:paraId="1AC1950C" w14:textId="77777777" w:rsidR="003A5B25" w:rsidRPr="00506DB0" w:rsidRDefault="003A5B25" w:rsidP="00AE1DED">
            <w:pPr>
              <w:jc w:val="right"/>
              <w:rPr>
                <w:color w:val="000000" w:themeColor="text1"/>
              </w:rPr>
            </w:pPr>
            <w:r w:rsidRPr="00506DB0">
              <w:rPr>
                <w:color w:val="000000" w:themeColor="text1"/>
              </w:rPr>
              <w:t>5</w:t>
            </w:r>
          </w:p>
        </w:tc>
        <w:tc>
          <w:tcPr>
            <w:tcW w:w="1094" w:type="dxa"/>
            <w:tcBorders>
              <w:top w:val="nil"/>
              <w:left w:val="nil"/>
              <w:bottom w:val="single" w:sz="4" w:space="0" w:color="auto"/>
              <w:right w:val="single" w:sz="4" w:space="0" w:color="auto"/>
            </w:tcBorders>
            <w:vAlign w:val="center"/>
            <w:hideMark/>
          </w:tcPr>
          <w:p w14:paraId="0F7FBD03" w14:textId="77777777" w:rsidR="003A5B25" w:rsidRPr="00506DB0" w:rsidRDefault="003A5B25" w:rsidP="00AE1DED">
            <w:pPr>
              <w:jc w:val="right"/>
              <w:rPr>
                <w:color w:val="000000" w:themeColor="text1"/>
              </w:rPr>
            </w:pPr>
            <w:r w:rsidRPr="00506DB0">
              <w:rPr>
                <w:color w:val="000000" w:themeColor="text1"/>
              </w:rPr>
              <w:t>3</w:t>
            </w:r>
          </w:p>
        </w:tc>
        <w:tc>
          <w:tcPr>
            <w:tcW w:w="1196" w:type="dxa"/>
            <w:tcBorders>
              <w:top w:val="nil"/>
              <w:left w:val="nil"/>
              <w:bottom w:val="single" w:sz="4" w:space="0" w:color="auto"/>
              <w:right w:val="single" w:sz="4" w:space="0" w:color="auto"/>
            </w:tcBorders>
            <w:vAlign w:val="center"/>
            <w:hideMark/>
          </w:tcPr>
          <w:p w14:paraId="3282D2CA" w14:textId="77777777" w:rsidR="003A5B25" w:rsidRPr="00506DB0" w:rsidRDefault="003A5B25" w:rsidP="00AE1DED">
            <w:pPr>
              <w:jc w:val="right"/>
              <w:rPr>
                <w:color w:val="000000" w:themeColor="text1"/>
              </w:rPr>
            </w:pPr>
            <w:r w:rsidRPr="00506DB0">
              <w:rPr>
                <w:color w:val="000000" w:themeColor="text1"/>
              </w:rPr>
              <w:t>2</w:t>
            </w:r>
          </w:p>
        </w:tc>
        <w:tc>
          <w:tcPr>
            <w:tcW w:w="1159" w:type="dxa"/>
            <w:tcBorders>
              <w:top w:val="nil"/>
              <w:left w:val="nil"/>
              <w:bottom w:val="single" w:sz="4" w:space="0" w:color="auto"/>
              <w:right w:val="single" w:sz="4" w:space="0" w:color="auto"/>
            </w:tcBorders>
            <w:vAlign w:val="center"/>
            <w:hideMark/>
          </w:tcPr>
          <w:p w14:paraId="5FDD59C9" w14:textId="77777777" w:rsidR="003A5B25" w:rsidRPr="00506DB0" w:rsidRDefault="003A5B25" w:rsidP="00AE1DED">
            <w:pPr>
              <w:jc w:val="right"/>
              <w:rPr>
                <w:color w:val="000000" w:themeColor="text1"/>
              </w:rPr>
            </w:pPr>
            <w:r w:rsidRPr="00506DB0">
              <w:rPr>
                <w:color w:val="000000" w:themeColor="text1"/>
              </w:rPr>
              <w:t>3</w:t>
            </w:r>
          </w:p>
        </w:tc>
        <w:tc>
          <w:tcPr>
            <w:tcW w:w="1080" w:type="dxa"/>
            <w:tcBorders>
              <w:top w:val="nil"/>
              <w:left w:val="nil"/>
              <w:bottom w:val="single" w:sz="4" w:space="0" w:color="auto"/>
              <w:right w:val="single" w:sz="4" w:space="0" w:color="auto"/>
            </w:tcBorders>
            <w:vAlign w:val="center"/>
            <w:hideMark/>
          </w:tcPr>
          <w:p w14:paraId="49CA5C05" w14:textId="77777777" w:rsidR="003A5B25" w:rsidRPr="00506DB0" w:rsidRDefault="003A5B25" w:rsidP="00AE1DED">
            <w:pPr>
              <w:jc w:val="right"/>
              <w:rPr>
                <w:color w:val="000000" w:themeColor="text1"/>
              </w:rPr>
            </w:pPr>
            <w:r w:rsidRPr="00506DB0">
              <w:rPr>
                <w:color w:val="000000" w:themeColor="text1"/>
              </w:rPr>
              <w:t>2</w:t>
            </w:r>
          </w:p>
        </w:tc>
        <w:tc>
          <w:tcPr>
            <w:tcW w:w="1080" w:type="dxa"/>
            <w:tcBorders>
              <w:top w:val="nil"/>
              <w:left w:val="nil"/>
              <w:bottom w:val="single" w:sz="4" w:space="0" w:color="auto"/>
              <w:right w:val="single" w:sz="4" w:space="0" w:color="auto"/>
            </w:tcBorders>
            <w:vAlign w:val="center"/>
            <w:hideMark/>
          </w:tcPr>
          <w:p w14:paraId="73390A26" w14:textId="77777777" w:rsidR="003A5B25" w:rsidRPr="00506DB0" w:rsidRDefault="003A5B25" w:rsidP="00AE1DED">
            <w:pPr>
              <w:rPr>
                <w:color w:val="000000" w:themeColor="text1"/>
              </w:rPr>
            </w:pPr>
            <w:r w:rsidRPr="00506DB0">
              <w:rPr>
                <w:color w:val="000000" w:themeColor="text1"/>
              </w:rPr>
              <w:t>-</w:t>
            </w:r>
          </w:p>
        </w:tc>
        <w:tc>
          <w:tcPr>
            <w:tcW w:w="990" w:type="dxa"/>
            <w:tcBorders>
              <w:top w:val="nil"/>
              <w:left w:val="nil"/>
              <w:bottom w:val="single" w:sz="4" w:space="0" w:color="auto"/>
              <w:right w:val="single" w:sz="8" w:space="0" w:color="auto"/>
            </w:tcBorders>
            <w:vAlign w:val="center"/>
            <w:hideMark/>
          </w:tcPr>
          <w:p w14:paraId="6E4747F1" w14:textId="77777777" w:rsidR="003A5B25" w:rsidRPr="00506DB0" w:rsidRDefault="003A5B25" w:rsidP="00AE1DED">
            <w:pPr>
              <w:jc w:val="right"/>
              <w:rPr>
                <w:color w:val="000000" w:themeColor="text1"/>
              </w:rPr>
            </w:pPr>
            <w:r w:rsidRPr="00506DB0">
              <w:rPr>
                <w:color w:val="000000" w:themeColor="text1"/>
              </w:rPr>
              <w:t>15</w:t>
            </w:r>
          </w:p>
        </w:tc>
      </w:tr>
      <w:tr w:rsidR="00FC334A" w:rsidRPr="00506DB0" w14:paraId="4E11FAEE" w14:textId="77777777" w:rsidTr="003A5B25">
        <w:trPr>
          <w:trHeight w:val="340"/>
        </w:trPr>
        <w:tc>
          <w:tcPr>
            <w:tcW w:w="1745" w:type="dxa"/>
            <w:tcBorders>
              <w:top w:val="nil"/>
              <w:left w:val="single" w:sz="8" w:space="0" w:color="auto"/>
              <w:bottom w:val="single" w:sz="4" w:space="0" w:color="auto"/>
              <w:right w:val="single" w:sz="8" w:space="0" w:color="auto"/>
            </w:tcBorders>
            <w:shd w:val="clear" w:color="000000" w:fill="D9D9D9"/>
            <w:vAlign w:val="center"/>
            <w:hideMark/>
          </w:tcPr>
          <w:p w14:paraId="721623DC" w14:textId="77777777" w:rsidR="003A5B25" w:rsidRPr="00506DB0" w:rsidRDefault="003A5B25" w:rsidP="00AE1DED">
            <w:pPr>
              <w:rPr>
                <w:b/>
                <w:bCs/>
                <w:color w:val="000000" w:themeColor="text1"/>
              </w:rPr>
            </w:pPr>
            <w:proofErr w:type="spellStart"/>
            <w:r w:rsidRPr="00506DB0">
              <w:rPr>
                <w:b/>
                <w:bCs/>
                <w:color w:val="000000" w:themeColor="text1"/>
              </w:rPr>
              <w:t>QuickSwap</w:t>
            </w:r>
            <w:proofErr w:type="spellEnd"/>
          </w:p>
        </w:tc>
        <w:tc>
          <w:tcPr>
            <w:tcW w:w="1186" w:type="dxa"/>
            <w:tcBorders>
              <w:top w:val="nil"/>
              <w:left w:val="nil"/>
              <w:bottom w:val="single" w:sz="4" w:space="0" w:color="auto"/>
              <w:right w:val="single" w:sz="4" w:space="0" w:color="auto"/>
            </w:tcBorders>
            <w:vAlign w:val="center"/>
            <w:hideMark/>
          </w:tcPr>
          <w:p w14:paraId="566AB2A5" w14:textId="77777777" w:rsidR="003A5B25" w:rsidRPr="00506DB0" w:rsidRDefault="003A5B25" w:rsidP="00AE1DED">
            <w:pPr>
              <w:rPr>
                <w:color w:val="000000" w:themeColor="text1"/>
              </w:rPr>
            </w:pPr>
            <w:r w:rsidRPr="00506DB0">
              <w:rPr>
                <w:color w:val="000000" w:themeColor="text1"/>
              </w:rPr>
              <w:t>-</w:t>
            </w:r>
          </w:p>
        </w:tc>
        <w:tc>
          <w:tcPr>
            <w:tcW w:w="1094" w:type="dxa"/>
            <w:tcBorders>
              <w:top w:val="nil"/>
              <w:left w:val="nil"/>
              <w:bottom w:val="single" w:sz="4" w:space="0" w:color="auto"/>
              <w:right w:val="single" w:sz="4" w:space="0" w:color="auto"/>
            </w:tcBorders>
            <w:vAlign w:val="center"/>
            <w:hideMark/>
          </w:tcPr>
          <w:p w14:paraId="56544A5E" w14:textId="77777777" w:rsidR="003A5B25" w:rsidRPr="00506DB0" w:rsidRDefault="003A5B25" w:rsidP="00AE1DED">
            <w:pPr>
              <w:rPr>
                <w:color w:val="000000" w:themeColor="text1"/>
              </w:rPr>
            </w:pPr>
            <w:r w:rsidRPr="00506DB0">
              <w:rPr>
                <w:color w:val="000000" w:themeColor="text1"/>
              </w:rPr>
              <w:t>-</w:t>
            </w:r>
          </w:p>
        </w:tc>
        <w:tc>
          <w:tcPr>
            <w:tcW w:w="1196" w:type="dxa"/>
            <w:tcBorders>
              <w:top w:val="nil"/>
              <w:left w:val="nil"/>
              <w:bottom w:val="single" w:sz="4" w:space="0" w:color="auto"/>
              <w:right w:val="single" w:sz="4" w:space="0" w:color="auto"/>
            </w:tcBorders>
            <w:vAlign w:val="center"/>
            <w:hideMark/>
          </w:tcPr>
          <w:p w14:paraId="7AB5DD99" w14:textId="77777777" w:rsidR="003A5B25" w:rsidRPr="00506DB0" w:rsidRDefault="003A5B25" w:rsidP="00AE1DED">
            <w:pPr>
              <w:rPr>
                <w:color w:val="000000" w:themeColor="text1"/>
              </w:rPr>
            </w:pPr>
            <w:r w:rsidRPr="00506DB0">
              <w:rPr>
                <w:color w:val="000000" w:themeColor="text1"/>
              </w:rPr>
              <w:t>-</w:t>
            </w:r>
          </w:p>
        </w:tc>
        <w:tc>
          <w:tcPr>
            <w:tcW w:w="1159" w:type="dxa"/>
            <w:tcBorders>
              <w:top w:val="nil"/>
              <w:left w:val="nil"/>
              <w:bottom w:val="single" w:sz="4" w:space="0" w:color="auto"/>
              <w:right w:val="single" w:sz="4" w:space="0" w:color="auto"/>
            </w:tcBorders>
            <w:vAlign w:val="center"/>
            <w:hideMark/>
          </w:tcPr>
          <w:p w14:paraId="2E03348A" w14:textId="77777777" w:rsidR="003A5B25" w:rsidRPr="00506DB0" w:rsidRDefault="003A5B25" w:rsidP="00AE1DED">
            <w:pPr>
              <w:jc w:val="right"/>
              <w:rPr>
                <w:color w:val="000000" w:themeColor="text1"/>
              </w:rPr>
            </w:pPr>
            <w:r w:rsidRPr="00506DB0">
              <w:rPr>
                <w:color w:val="000000" w:themeColor="text1"/>
              </w:rPr>
              <w:t>6</w:t>
            </w:r>
          </w:p>
        </w:tc>
        <w:tc>
          <w:tcPr>
            <w:tcW w:w="1080" w:type="dxa"/>
            <w:tcBorders>
              <w:top w:val="nil"/>
              <w:left w:val="nil"/>
              <w:bottom w:val="single" w:sz="4" w:space="0" w:color="auto"/>
              <w:right w:val="single" w:sz="4" w:space="0" w:color="auto"/>
            </w:tcBorders>
            <w:vAlign w:val="center"/>
            <w:hideMark/>
          </w:tcPr>
          <w:p w14:paraId="4C0352A5" w14:textId="77777777" w:rsidR="003A5B25" w:rsidRPr="00506DB0" w:rsidRDefault="003A5B25" w:rsidP="00AE1DED">
            <w:pPr>
              <w:rPr>
                <w:color w:val="000000" w:themeColor="text1"/>
              </w:rPr>
            </w:pPr>
            <w:r w:rsidRPr="00506DB0">
              <w:rPr>
                <w:color w:val="000000" w:themeColor="text1"/>
              </w:rPr>
              <w:t>-</w:t>
            </w:r>
          </w:p>
        </w:tc>
        <w:tc>
          <w:tcPr>
            <w:tcW w:w="1080" w:type="dxa"/>
            <w:tcBorders>
              <w:top w:val="nil"/>
              <w:left w:val="nil"/>
              <w:bottom w:val="single" w:sz="4" w:space="0" w:color="auto"/>
              <w:right w:val="single" w:sz="4" w:space="0" w:color="auto"/>
            </w:tcBorders>
            <w:vAlign w:val="center"/>
            <w:hideMark/>
          </w:tcPr>
          <w:p w14:paraId="36866CD8" w14:textId="77777777" w:rsidR="003A5B25" w:rsidRPr="00506DB0" w:rsidRDefault="003A5B25" w:rsidP="00AE1DED">
            <w:pPr>
              <w:rPr>
                <w:color w:val="000000" w:themeColor="text1"/>
              </w:rPr>
            </w:pPr>
            <w:r w:rsidRPr="00506DB0">
              <w:rPr>
                <w:color w:val="000000" w:themeColor="text1"/>
              </w:rPr>
              <w:t>-</w:t>
            </w:r>
          </w:p>
        </w:tc>
        <w:tc>
          <w:tcPr>
            <w:tcW w:w="990" w:type="dxa"/>
            <w:tcBorders>
              <w:top w:val="nil"/>
              <w:left w:val="nil"/>
              <w:bottom w:val="single" w:sz="4" w:space="0" w:color="auto"/>
              <w:right w:val="single" w:sz="8" w:space="0" w:color="auto"/>
            </w:tcBorders>
            <w:vAlign w:val="center"/>
            <w:hideMark/>
          </w:tcPr>
          <w:p w14:paraId="5E0A5955" w14:textId="77777777" w:rsidR="003A5B25" w:rsidRPr="00506DB0" w:rsidRDefault="003A5B25" w:rsidP="00AE1DED">
            <w:pPr>
              <w:jc w:val="right"/>
              <w:rPr>
                <w:color w:val="000000" w:themeColor="text1"/>
              </w:rPr>
            </w:pPr>
            <w:r w:rsidRPr="00506DB0">
              <w:rPr>
                <w:color w:val="000000" w:themeColor="text1"/>
              </w:rPr>
              <w:t>6</w:t>
            </w:r>
          </w:p>
        </w:tc>
      </w:tr>
      <w:tr w:rsidR="003A5B25" w:rsidRPr="00506DB0" w14:paraId="4306D207" w14:textId="77777777" w:rsidTr="003A5B25">
        <w:trPr>
          <w:trHeight w:val="360"/>
        </w:trPr>
        <w:tc>
          <w:tcPr>
            <w:tcW w:w="1745" w:type="dxa"/>
            <w:tcBorders>
              <w:top w:val="nil"/>
              <w:left w:val="single" w:sz="8" w:space="0" w:color="auto"/>
              <w:bottom w:val="single" w:sz="8" w:space="0" w:color="auto"/>
              <w:right w:val="single" w:sz="8" w:space="0" w:color="auto"/>
            </w:tcBorders>
            <w:shd w:val="clear" w:color="000000" w:fill="D9D9D9"/>
            <w:vAlign w:val="center"/>
            <w:hideMark/>
          </w:tcPr>
          <w:p w14:paraId="22D44944" w14:textId="77777777" w:rsidR="003A5B25" w:rsidRPr="00506DB0" w:rsidRDefault="003A5B25" w:rsidP="00AE1DED">
            <w:pPr>
              <w:rPr>
                <w:b/>
                <w:bCs/>
                <w:color w:val="000000" w:themeColor="text1"/>
              </w:rPr>
            </w:pPr>
            <w:r w:rsidRPr="00506DB0">
              <w:rPr>
                <w:b/>
                <w:bCs/>
                <w:color w:val="000000" w:themeColor="text1"/>
              </w:rPr>
              <w:t>Total</w:t>
            </w:r>
          </w:p>
        </w:tc>
        <w:tc>
          <w:tcPr>
            <w:tcW w:w="1186" w:type="dxa"/>
            <w:tcBorders>
              <w:top w:val="nil"/>
              <w:left w:val="nil"/>
              <w:bottom w:val="single" w:sz="8" w:space="0" w:color="auto"/>
              <w:right w:val="single" w:sz="4" w:space="0" w:color="auto"/>
            </w:tcBorders>
            <w:vAlign w:val="center"/>
            <w:hideMark/>
          </w:tcPr>
          <w:p w14:paraId="450B7026" w14:textId="77777777" w:rsidR="003A5B25" w:rsidRPr="00506DB0" w:rsidRDefault="003A5B25" w:rsidP="00AE1DED">
            <w:pPr>
              <w:jc w:val="right"/>
              <w:rPr>
                <w:color w:val="000000" w:themeColor="text1"/>
              </w:rPr>
            </w:pPr>
            <w:r w:rsidRPr="00506DB0">
              <w:rPr>
                <w:color w:val="000000" w:themeColor="text1"/>
              </w:rPr>
              <w:t>48</w:t>
            </w:r>
          </w:p>
        </w:tc>
        <w:tc>
          <w:tcPr>
            <w:tcW w:w="1094" w:type="dxa"/>
            <w:tcBorders>
              <w:top w:val="nil"/>
              <w:left w:val="nil"/>
              <w:bottom w:val="single" w:sz="8" w:space="0" w:color="auto"/>
              <w:right w:val="single" w:sz="4" w:space="0" w:color="auto"/>
            </w:tcBorders>
            <w:vAlign w:val="center"/>
            <w:hideMark/>
          </w:tcPr>
          <w:p w14:paraId="62DA2F5B" w14:textId="77777777" w:rsidR="003A5B25" w:rsidRPr="00506DB0" w:rsidRDefault="003A5B25" w:rsidP="00AE1DED">
            <w:pPr>
              <w:jc w:val="right"/>
              <w:rPr>
                <w:color w:val="000000" w:themeColor="text1"/>
              </w:rPr>
            </w:pPr>
            <w:r w:rsidRPr="00506DB0">
              <w:rPr>
                <w:color w:val="000000" w:themeColor="text1"/>
              </w:rPr>
              <w:t>25</w:t>
            </w:r>
          </w:p>
        </w:tc>
        <w:tc>
          <w:tcPr>
            <w:tcW w:w="1196" w:type="dxa"/>
            <w:tcBorders>
              <w:top w:val="nil"/>
              <w:left w:val="nil"/>
              <w:bottom w:val="single" w:sz="8" w:space="0" w:color="auto"/>
              <w:right w:val="single" w:sz="4" w:space="0" w:color="auto"/>
            </w:tcBorders>
            <w:vAlign w:val="center"/>
            <w:hideMark/>
          </w:tcPr>
          <w:p w14:paraId="67578FD2" w14:textId="77777777" w:rsidR="003A5B25" w:rsidRPr="00506DB0" w:rsidRDefault="003A5B25" w:rsidP="00AE1DED">
            <w:pPr>
              <w:jc w:val="right"/>
              <w:rPr>
                <w:color w:val="000000" w:themeColor="text1"/>
              </w:rPr>
            </w:pPr>
            <w:r w:rsidRPr="00506DB0">
              <w:rPr>
                <w:color w:val="000000" w:themeColor="text1"/>
              </w:rPr>
              <w:t>18</w:t>
            </w:r>
          </w:p>
        </w:tc>
        <w:tc>
          <w:tcPr>
            <w:tcW w:w="1159" w:type="dxa"/>
            <w:tcBorders>
              <w:top w:val="nil"/>
              <w:left w:val="nil"/>
              <w:bottom w:val="single" w:sz="8" w:space="0" w:color="auto"/>
              <w:right w:val="single" w:sz="4" w:space="0" w:color="auto"/>
            </w:tcBorders>
            <w:vAlign w:val="center"/>
            <w:hideMark/>
          </w:tcPr>
          <w:p w14:paraId="25355C5C" w14:textId="77777777" w:rsidR="003A5B25" w:rsidRPr="00506DB0" w:rsidRDefault="003A5B25" w:rsidP="00AE1DED">
            <w:pPr>
              <w:jc w:val="right"/>
              <w:rPr>
                <w:color w:val="000000" w:themeColor="text1"/>
              </w:rPr>
            </w:pPr>
            <w:r w:rsidRPr="00506DB0">
              <w:rPr>
                <w:color w:val="000000" w:themeColor="text1"/>
              </w:rPr>
              <w:t>32</w:t>
            </w:r>
          </w:p>
        </w:tc>
        <w:tc>
          <w:tcPr>
            <w:tcW w:w="1080" w:type="dxa"/>
            <w:tcBorders>
              <w:top w:val="nil"/>
              <w:left w:val="nil"/>
              <w:bottom w:val="single" w:sz="8" w:space="0" w:color="auto"/>
              <w:right w:val="single" w:sz="4" w:space="0" w:color="auto"/>
            </w:tcBorders>
            <w:vAlign w:val="center"/>
            <w:hideMark/>
          </w:tcPr>
          <w:p w14:paraId="0B24EC93" w14:textId="77777777" w:rsidR="003A5B25" w:rsidRPr="00506DB0" w:rsidRDefault="003A5B25" w:rsidP="00AE1DED">
            <w:pPr>
              <w:jc w:val="right"/>
              <w:rPr>
                <w:color w:val="000000" w:themeColor="text1"/>
              </w:rPr>
            </w:pPr>
            <w:r w:rsidRPr="00506DB0">
              <w:rPr>
                <w:color w:val="000000" w:themeColor="text1"/>
              </w:rPr>
              <w:t>17</w:t>
            </w:r>
          </w:p>
        </w:tc>
        <w:tc>
          <w:tcPr>
            <w:tcW w:w="1080" w:type="dxa"/>
            <w:tcBorders>
              <w:top w:val="nil"/>
              <w:left w:val="nil"/>
              <w:bottom w:val="single" w:sz="8" w:space="0" w:color="auto"/>
              <w:right w:val="single" w:sz="4" w:space="0" w:color="auto"/>
            </w:tcBorders>
            <w:vAlign w:val="center"/>
            <w:hideMark/>
          </w:tcPr>
          <w:p w14:paraId="22946AE4" w14:textId="77777777" w:rsidR="003A5B25" w:rsidRPr="00506DB0" w:rsidRDefault="003A5B25" w:rsidP="00AE1DED">
            <w:pPr>
              <w:jc w:val="right"/>
              <w:rPr>
                <w:color w:val="000000" w:themeColor="text1"/>
              </w:rPr>
            </w:pPr>
            <w:r w:rsidRPr="00506DB0">
              <w:rPr>
                <w:color w:val="000000" w:themeColor="text1"/>
              </w:rPr>
              <w:t>16</w:t>
            </w:r>
          </w:p>
        </w:tc>
        <w:tc>
          <w:tcPr>
            <w:tcW w:w="990" w:type="dxa"/>
            <w:tcBorders>
              <w:top w:val="nil"/>
              <w:left w:val="nil"/>
              <w:bottom w:val="single" w:sz="8" w:space="0" w:color="auto"/>
              <w:right w:val="single" w:sz="8" w:space="0" w:color="auto"/>
            </w:tcBorders>
            <w:vAlign w:val="center"/>
            <w:hideMark/>
          </w:tcPr>
          <w:p w14:paraId="32D57C1A" w14:textId="77777777" w:rsidR="003A5B25" w:rsidRPr="00506DB0" w:rsidRDefault="003A5B25" w:rsidP="00AE1DED">
            <w:pPr>
              <w:jc w:val="right"/>
              <w:rPr>
                <w:color w:val="000000" w:themeColor="text1"/>
              </w:rPr>
            </w:pPr>
            <w:r w:rsidRPr="00506DB0">
              <w:rPr>
                <w:color w:val="000000" w:themeColor="text1"/>
              </w:rPr>
              <w:t>156</w:t>
            </w:r>
          </w:p>
        </w:tc>
      </w:tr>
    </w:tbl>
    <w:p w14:paraId="2AD237CA" w14:textId="7A1D71D8" w:rsidR="003274B9" w:rsidRPr="003C66A0" w:rsidRDefault="003274B9" w:rsidP="00AE1DED">
      <w:pPr>
        <w:jc w:val="both"/>
        <w:rPr>
          <w:rFonts w:eastAsiaTheme="majorEastAsia"/>
          <w:b/>
          <w:bCs/>
          <w:color w:val="000000" w:themeColor="text1"/>
        </w:rPr>
      </w:pPr>
    </w:p>
    <w:p w14:paraId="7471D574" w14:textId="77777777" w:rsidR="00004620" w:rsidRPr="003C66A0" w:rsidRDefault="00004620" w:rsidP="00AE1DED">
      <w:pPr>
        <w:jc w:val="both"/>
        <w:rPr>
          <w:rFonts w:eastAsiaTheme="majorEastAsia"/>
          <w:b/>
          <w:bCs/>
          <w:color w:val="000000" w:themeColor="text1"/>
        </w:rPr>
      </w:pPr>
    </w:p>
    <w:p w14:paraId="27AAF8CC" w14:textId="77777777" w:rsidR="003274B9" w:rsidRDefault="003274B9" w:rsidP="00AE1DED">
      <w:pPr>
        <w:pStyle w:val="Heading3"/>
        <w:rPr>
          <w:rFonts w:eastAsiaTheme="majorEastAsia"/>
        </w:rPr>
      </w:pPr>
      <w:bookmarkStart w:id="264" w:name="_Toc214722070"/>
      <w:r w:rsidRPr="003C66A0">
        <w:rPr>
          <w:rFonts w:eastAsiaTheme="majorEastAsia"/>
        </w:rPr>
        <w:t>Table A.2: Position Characteristics</w:t>
      </w:r>
      <w:bookmarkEnd w:id="264"/>
    </w:p>
    <w:p w14:paraId="1317A890" w14:textId="77777777" w:rsidR="004E10FD" w:rsidRPr="004E10FD" w:rsidRDefault="004E10FD" w:rsidP="00AE1DED">
      <w:pPr>
        <w:rPr>
          <w:rFonts w:eastAsiaTheme="majorEastAsia"/>
        </w:rPr>
      </w:pPr>
    </w:p>
    <w:tbl>
      <w:tblPr>
        <w:tblW w:w="9620" w:type="dxa"/>
        <w:tblLook w:val="04A0" w:firstRow="1" w:lastRow="0" w:firstColumn="1" w:lastColumn="0" w:noHBand="0" w:noVBand="1"/>
      </w:tblPr>
      <w:tblGrid>
        <w:gridCol w:w="5390"/>
        <w:gridCol w:w="4230"/>
      </w:tblGrid>
      <w:tr w:rsidR="00FC334A" w:rsidRPr="00004620" w14:paraId="1BD6BE9E" w14:textId="77777777" w:rsidTr="00602970">
        <w:trPr>
          <w:trHeight w:val="340"/>
        </w:trPr>
        <w:tc>
          <w:tcPr>
            <w:tcW w:w="5390" w:type="dxa"/>
            <w:tcBorders>
              <w:top w:val="single" w:sz="8" w:space="0" w:color="auto"/>
              <w:left w:val="single" w:sz="8" w:space="0" w:color="auto"/>
              <w:bottom w:val="single" w:sz="4" w:space="0" w:color="auto"/>
              <w:right w:val="single" w:sz="4" w:space="0" w:color="auto"/>
            </w:tcBorders>
            <w:shd w:val="clear" w:color="000000" w:fill="D9D9D9"/>
            <w:vAlign w:val="center"/>
            <w:hideMark/>
          </w:tcPr>
          <w:p w14:paraId="7F5D1C5E" w14:textId="77777777" w:rsidR="003250F8" w:rsidRPr="00004620" w:rsidRDefault="003250F8" w:rsidP="00AE1DED">
            <w:pPr>
              <w:jc w:val="center"/>
              <w:rPr>
                <w:b/>
                <w:bCs/>
                <w:color w:val="000000" w:themeColor="text1"/>
              </w:rPr>
            </w:pPr>
            <w:r w:rsidRPr="00004620">
              <w:rPr>
                <w:b/>
                <w:bCs/>
                <w:color w:val="000000" w:themeColor="text1"/>
              </w:rPr>
              <w:t>Characteristic</w:t>
            </w:r>
          </w:p>
        </w:tc>
        <w:tc>
          <w:tcPr>
            <w:tcW w:w="4230" w:type="dxa"/>
            <w:tcBorders>
              <w:top w:val="single" w:sz="8" w:space="0" w:color="auto"/>
              <w:left w:val="nil"/>
              <w:bottom w:val="single" w:sz="4" w:space="0" w:color="auto"/>
              <w:right w:val="single" w:sz="8" w:space="0" w:color="auto"/>
            </w:tcBorders>
            <w:shd w:val="clear" w:color="000000" w:fill="D9D9D9"/>
            <w:vAlign w:val="center"/>
            <w:hideMark/>
          </w:tcPr>
          <w:p w14:paraId="3216480C" w14:textId="77777777" w:rsidR="003250F8" w:rsidRPr="00004620" w:rsidRDefault="003250F8" w:rsidP="00AE1DED">
            <w:pPr>
              <w:jc w:val="center"/>
              <w:rPr>
                <w:b/>
                <w:bCs/>
                <w:color w:val="000000" w:themeColor="text1"/>
              </w:rPr>
            </w:pPr>
            <w:r w:rsidRPr="00004620">
              <w:rPr>
                <w:b/>
                <w:bCs/>
                <w:color w:val="000000" w:themeColor="text1"/>
              </w:rPr>
              <w:t>Distribution</w:t>
            </w:r>
          </w:p>
        </w:tc>
      </w:tr>
      <w:tr w:rsidR="00FC334A" w:rsidRPr="00004620" w14:paraId="5C7EF06B" w14:textId="77777777" w:rsidTr="00602970">
        <w:trPr>
          <w:trHeight w:val="340"/>
        </w:trPr>
        <w:tc>
          <w:tcPr>
            <w:tcW w:w="5390" w:type="dxa"/>
            <w:tcBorders>
              <w:top w:val="nil"/>
              <w:left w:val="single" w:sz="8" w:space="0" w:color="auto"/>
              <w:bottom w:val="single" w:sz="4" w:space="0" w:color="auto"/>
              <w:right w:val="single" w:sz="4" w:space="0" w:color="auto"/>
            </w:tcBorders>
            <w:shd w:val="clear" w:color="000000" w:fill="D9D9D9"/>
            <w:vAlign w:val="center"/>
            <w:hideMark/>
          </w:tcPr>
          <w:p w14:paraId="185B671A" w14:textId="77777777" w:rsidR="003250F8" w:rsidRPr="00004620" w:rsidRDefault="003250F8" w:rsidP="00AE1DED">
            <w:pPr>
              <w:rPr>
                <w:b/>
                <w:bCs/>
                <w:color w:val="000000" w:themeColor="text1"/>
              </w:rPr>
            </w:pPr>
            <w:r w:rsidRPr="00004620">
              <w:rPr>
                <w:b/>
                <w:bCs/>
                <w:color w:val="000000" w:themeColor="text1"/>
              </w:rPr>
              <w:t>Capital Range</w:t>
            </w:r>
          </w:p>
        </w:tc>
        <w:tc>
          <w:tcPr>
            <w:tcW w:w="4230" w:type="dxa"/>
            <w:tcBorders>
              <w:top w:val="nil"/>
              <w:left w:val="nil"/>
              <w:bottom w:val="single" w:sz="4" w:space="0" w:color="auto"/>
              <w:right w:val="single" w:sz="8" w:space="0" w:color="auto"/>
            </w:tcBorders>
            <w:shd w:val="clear" w:color="000000" w:fill="D9D9D9"/>
            <w:vAlign w:val="center"/>
            <w:hideMark/>
          </w:tcPr>
          <w:p w14:paraId="058F10AA" w14:textId="77777777" w:rsidR="003250F8" w:rsidRPr="00004620" w:rsidRDefault="003250F8" w:rsidP="00AE1DED">
            <w:pPr>
              <w:rPr>
                <w:color w:val="000000" w:themeColor="text1"/>
              </w:rPr>
            </w:pPr>
            <w:r w:rsidRPr="00004620">
              <w:rPr>
                <w:color w:val="000000" w:themeColor="text1"/>
              </w:rPr>
              <w:t> </w:t>
            </w:r>
          </w:p>
        </w:tc>
      </w:tr>
      <w:tr w:rsidR="00FC334A" w:rsidRPr="00004620" w14:paraId="2EF97B1A" w14:textId="77777777" w:rsidTr="00602970">
        <w:trPr>
          <w:trHeight w:val="340"/>
        </w:trPr>
        <w:tc>
          <w:tcPr>
            <w:tcW w:w="5390" w:type="dxa"/>
            <w:tcBorders>
              <w:top w:val="nil"/>
              <w:left w:val="single" w:sz="8" w:space="0" w:color="auto"/>
              <w:bottom w:val="single" w:sz="4" w:space="0" w:color="auto"/>
              <w:right w:val="single" w:sz="4" w:space="0" w:color="auto"/>
            </w:tcBorders>
            <w:vAlign w:val="center"/>
            <w:hideMark/>
          </w:tcPr>
          <w:p w14:paraId="0CDA2E96" w14:textId="77777777" w:rsidR="003250F8" w:rsidRPr="00004620" w:rsidRDefault="003250F8" w:rsidP="00AE1DED">
            <w:pPr>
              <w:rPr>
                <w:color w:val="000000" w:themeColor="text1"/>
              </w:rPr>
            </w:pPr>
            <w:r w:rsidRPr="00004620">
              <w:rPr>
                <w:color w:val="000000" w:themeColor="text1"/>
              </w:rPr>
              <w:t>$500-$5,000</w:t>
            </w:r>
          </w:p>
        </w:tc>
        <w:tc>
          <w:tcPr>
            <w:tcW w:w="4230" w:type="dxa"/>
            <w:tcBorders>
              <w:top w:val="nil"/>
              <w:left w:val="nil"/>
              <w:bottom w:val="single" w:sz="4" w:space="0" w:color="auto"/>
              <w:right w:val="single" w:sz="8" w:space="0" w:color="auto"/>
            </w:tcBorders>
            <w:vAlign w:val="center"/>
            <w:hideMark/>
          </w:tcPr>
          <w:p w14:paraId="2939F1AE" w14:textId="77777777" w:rsidR="003250F8" w:rsidRPr="00004620" w:rsidRDefault="003250F8" w:rsidP="00AE1DED">
            <w:pPr>
              <w:rPr>
                <w:color w:val="000000" w:themeColor="text1"/>
              </w:rPr>
            </w:pPr>
            <w:r w:rsidRPr="00004620">
              <w:rPr>
                <w:color w:val="000000" w:themeColor="text1"/>
              </w:rPr>
              <w:t>52 positions (33.3%)</w:t>
            </w:r>
          </w:p>
        </w:tc>
      </w:tr>
      <w:tr w:rsidR="00FC334A" w:rsidRPr="00004620" w14:paraId="0B4A28B2" w14:textId="77777777" w:rsidTr="00602970">
        <w:trPr>
          <w:trHeight w:val="340"/>
        </w:trPr>
        <w:tc>
          <w:tcPr>
            <w:tcW w:w="5390" w:type="dxa"/>
            <w:tcBorders>
              <w:top w:val="nil"/>
              <w:left w:val="single" w:sz="8" w:space="0" w:color="auto"/>
              <w:bottom w:val="single" w:sz="4" w:space="0" w:color="auto"/>
              <w:right w:val="single" w:sz="4" w:space="0" w:color="auto"/>
            </w:tcBorders>
            <w:vAlign w:val="center"/>
            <w:hideMark/>
          </w:tcPr>
          <w:p w14:paraId="33F45496" w14:textId="77777777" w:rsidR="003250F8" w:rsidRPr="00004620" w:rsidRDefault="003250F8" w:rsidP="00AE1DED">
            <w:pPr>
              <w:rPr>
                <w:color w:val="000000" w:themeColor="text1"/>
              </w:rPr>
            </w:pPr>
            <w:r w:rsidRPr="00004620">
              <w:rPr>
                <w:color w:val="000000" w:themeColor="text1"/>
              </w:rPr>
              <w:t>$5,001-$25,000</w:t>
            </w:r>
          </w:p>
        </w:tc>
        <w:tc>
          <w:tcPr>
            <w:tcW w:w="4230" w:type="dxa"/>
            <w:tcBorders>
              <w:top w:val="nil"/>
              <w:left w:val="nil"/>
              <w:bottom w:val="single" w:sz="4" w:space="0" w:color="auto"/>
              <w:right w:val="single" w:sz="8" w:space="0" w:color="auto"/>
            </w:tcBorders>
            <w:vAlign w:val="center"/>
            <w:hideMark/>
          </w:tcPr>
          <w:p w14:paraId="3F5DC48D" w14:textId="77777777" w:rsidR="003250F8" w:rsidRPr="00004620" w:rsidRDefault="003250F8" w:rsidP="00AE1DED">
            <w:pPr>
              <w:rPr>
                <w:color w:val="000000" w:themeColor="text1"/>
              </w:rPr>
            </w:pPr>
            <w:r w:rsidRPr="00004620">
              <w:rPr>
                <w:color w:val="000000" w:themeColor="text1"/>
              </w:rPr>
              <w:t>59 positions (37.8%)</w:t>
            </w:r>
          </w:p>
        </w:tc>
      </w:tr>
      <w:tr w:rsidR="00FC334A" w:rsidRPr="00004620" w14:paraId="753E05AD" w14:textId="77777777" w:rsidTr="00602970">
        <w:trPr>
          <w:trHeight w:val="340"/>
        </w:trPr>
        <w:tc>
          <w:tcPr>
            <w:tcW w:w="5390" w:type="dxa"/>
            <w:tcBorders>
              <w:top w:val="nil"/>
              <w:left w:val="single" w:sz="8" w:space="0" w:color="auto"/>
              <w:bottom w:val="single" w:sz="4" w:space="0" w:color="auto"/>
              <w:right w:val="single" w:sz="4" w:space="0" w:color="auto"/>
            </w:tcBorders>
            <w:vAlign w:val="center"/>
            <w:hideMark/>
          </w:tcPr>
          <w:p w14:paraId="3707F57A" w14:textId="77777777" w:rsidR="003250F8" w:rsidRPr="00004620" w:rsidRDefault="003250F8" w:rsidP="00AE1DED">
            <w:pPr>
              <w:rPr>
                <w:color w:val="000000" w:themeColor="text1"/>
              </w:rPr>
            </w:pPr>
            <w:r w:rsidRPr="00004620">
              <w:rPr>
                <w:color w:val="000000" w:themeColor="text1"/>
              </w:rPr>
              <w:t>$25,001-$100,000</w:t>
            </w:r>
          </w:p>
        </w:tc>
        <w:tc>
          <w:tcPr>
            <w:tcW w:w="4230" w:type="dxa"/>
            <w:tcBorders>
              <w:top w:val="nil"/>
              <w:left w:val="nil"/>
              <w:bottom w:val="single" w:sz="4" w:space="0" w:color="auto"/>
              <w:right w:val="single" w:sz="8" w:space="0" w:color="auto"/>
            </w:tcBorders>
            <w:vAlign w:val="center"/>
            <w:hideMark/>
          </w:tcPr>
          <w:p w14:paraId="476127BB" w14:textId="77777777" w:rsidR="003250F8" w:rsidRPr="00004620" w:rsidRDefault="003250F8" w:rsidP="00AE1DED">
            <w:pPr>
              <w:rPr>
                <w:color w:val="000000" w:themeColor="text1"/>
              </w:rPr>
            </w:pPr>
            <w:r w:rsidRPr="00004620">
              <w:rPr>
                <w:color w:val="000000" w:themeColor="text1"/>
              </w:rPr>
              <w:t>45 positions (28.9%)</w:t>
            </w:r>
          </w:p>
        </w:tc>
      </w:tr>
      <w:tr w:rsidR="00FC334A" w:rsidRPr="00004620" w14:paraId="61C0936B" w14:textId="77777777" w:rsidTr="00602970">
        <w:trPr>
          <w:trHeight w:val="340"/>
        </w:trPr>
        <w:tc>
          <w:tcPr>
            <w:tcW w:w="5390" w:type="dxa"/>
            <w:tcBorders>
              <w:top w:val="nil"/>
              <w:left w:val="single" w:sz="8" w:space="0" w:color="auto"/>
              <w:bottom w:val="single" w:sz="4" w:space="0" w:color="auto"/>
              <w:right w:val="single" w:sz="4" w:space="0" w:color="auto"/>
            </w:tcBorders>
            <w:shd w:val="clear" w:color="000000" w:fill="D9D9D9"/>
            <w:vAlign w:val="center"/>
            <w:hideMark/>
          </w:tcPr>
          <w:p w14:paraId="676CA865" w14:textId="77777777" w:rsidR="003250F8" w:rsidRPr="00004620" w:rsidRDefault="003250F8" w:rsidP="00AE1DED">
            <w:pPr>
              <w:rPr>
                <w:b/>
                <w:bCs/>
                <w:color w:val="000000" w:themeColor="text1"/>
              </w:rPr>
            </w:pPr>
            <w:r w:rsidRPr="00004620">
              <w:rPr>
                <w:b/>
                <w:bCs/>
                <w:color w:val="000000" w:themeColor="text1"/>
              </w:rPr>
              <w:t>Asset Type</w:t>
            </w:r>
          </w:p>
        </w:tc>
        <w:tc>
          <w:tcPr>
            <w:tcW w:w="4230" w:type="dxa"/>
            <w:tcBorders>
              <w:top w:val="nil"/>
              <w:left w:val="nil"/>
              <w:bottom w:val="single" w:sz="4" w:space="0" w:color="auto"/>
              <w:right w:val="single" w:sz="8" w:space="0" w:color="auto"/>
            </w:tcBorders>
            <w:shd w:val="clear" w:color="000000" w:fill="D9D9D9"/>
            <w:vAlign w:val="center"/>
            <w:hideMark/>
          </w:tcPr>
          <w:p w14:paraId="4E850FEB" w14:textId="77777777" w:rsidR="003250F8" w:rsidRPr="00004620" w:rsidRDefault="003250F8" w:rsidP="00AE1DED">
            <w:pPr>
              <w:rPr>
                <w:color w:val="000000" w:themeColor="text1"/>
              </w:rPr>
            </w:pPr>
            <w:r w:rsidRPr="00004620">
              <w:rPr>
                <w:color w:val="000000" w:themeColor="text1"/>
              </w:rPr>
              <w:t> </w:t>
            </w:r>
          </w:p>
        </w:tc>
      </w:tr>
      <w:tr w:rsidR="00FC334A" w:rsidRPr="00004620" w14:paraId="443F99D1" w14:textId="77777777" w:rsidTr="00602970">
        <w:trPr>
          <w:trHeight w:val="340"/>
        </w:trPr>
        <w:tc>
          <w:tcPr>
            <w:tcW w:w="5390" w:type="dxa"/>
            <w:tcBorders>
              <w:top w:val="nil"/>
              <w:left w:val="single" w:sz="8" w:space="0" w:color="auto"/>
              <w:bottom w:val="single" w:sz="4" w:space="0" w:color="auto"/>
              <w:right w:val="single" w:sz="4" w:space="0" w:color="auto"/>
            </w:tcBorders>
            <w:vAlign w:val="center"/>
            <w:hideMark/>
          </w:tcPr>
          <w:p w14:paraId="33E46309" w14:textId="77777777" w:rsidR="003250F8" w:rsidRPr="00004620" w:rsidRDefault="003250F8" w:rsidP="00AE1DED">
            <w:pPr>
              <w:rPr>
                <w:color w:val="000000" w:themeColor="text1"/>
              </w:rPr>
            </w:pPr>
            <w:r w:rsidRPr="00004620">
              <w:rPr>
                <w:color w:val="000000" w:themeColor="text1"/>
              </w:rPr>
              <w:t>Stablecoin pairs</w:t>
            </w:r>
          </w:p>
        </w:tc>
        <w:tc>
          <w:tcPr>
            <w:tcW w:w="4230" w:type="dxa"/>
            <w:tcBorders>
              <w:top w:val="nil"/>
              <w:left w:val="nil"/>
              <w:bottom w:val="single" w:sz="4" w:space="0" w:color="auto"/>
              <w:right w:val="single" w:sz="8" w:space="0" w:color="auto"/>
            </w:tcBorders>
            <w:vAlign w:val="center"/>
            <w:hideMark/>
          </w:tcPr>
          <w:p w14:paraId="5BB83113" w14:textId="77777777" w:rsidR="003250F8" w:rsidRPr="00004620" w:rsidRDefault="003250F8" w:rsidP="00AE1DED">
            <w:pPr>
              <w:rPr>
                <w:color w:val="000000" w:themeColor="text1"/>
              </w:rPr>
            </w:pPr>
            <w:r w:rsidRPr="00004620">
              <w:rPr>
                <w:color w:val="000000" w:themeColor="text1"/>
              </w:rPr>
              <w:t>48 positions (30.8%)</w:t>
            </w:r>
          </w:p>
        </w:tc>
      </w:tr>
      <w:tr w:rsidR="00FC334A" w:rsidRPr="00004620" w14:paraId="748E30DF" w14:textId="77777777" w:rsidTr="00602970">
        <w:trPr>
          <w:trHeight w:val="340"/>
        </w:trPr>
        <w:tc>
          <w:tcPr>
            <w:tcW w:w="5390" w:type="dxa"/>
            <w:tcBorders>
              <w:top w:val="nil"/>
              <w:left w:val="single" w:sz="8" w:space="0" w:color="auto"/>
              <w:bottom w:val="single" w:sz="4" w:space="0" w:color="auto"/>
              <w:right w:val="single" w:sz="4" w:space="0" w:color="auto"/>
            </w:tcBorders>
            <w:vAlign w:val="center"/>
            <w:hideMark/>
          </w:tcPr>
          <w:p w14:paraId="56FCC0B0" w14:textId="77777777" w:rsidR="003250F8" w:rsidRPr="00004620" w:rsidRDefault="003250F8" w:rsidP="00AE1DED">
            <w:pPr>
              <w:rPr>
                <w:color w:val="000000" w:themeColor="text1"/>
              </w:rPr>
            </w:pPr>
            <w:r w:rsidRPr="00004620">
              <w:rPr>
                <w:color w:val="000000" w:themeColor="text1"/>
              </w:rPr>
              <w:t>Correlated assets (ETH/</w:t>
            </w:r>
            <w:proofErr w:type="spellStart"/>
            <w:r w:rsidRPr="00004620">
              <w:rPr>
                <w:color w:val="000000" w:themeColor="text1"/>
              </w:rPr>
              <w:t>stETH</w:t>
            </w:r>
            <w:proofErr w:type="spellEnd"/>
            <w:r w:rsidRPr="00004620">
              <w:rPr>
                <w:color w:val="000000" w:themeColor="text1"/>
              </w:rPr>
              <w:t>, WBTC/BTC)</w:t>
            </w:r>
          </w:p>
        </w:tc>
        <w:tc>
          <w:tcPr>
            <w:tcW w:w="4230" w:type="dxa"/>
            <w:tcBorders>
              <w:top w:val="nil"/>
              <w:left w:val="nil"/>
              <w:bottom w:val="single" w:sz="4" w:space="0" w:color="auto"/>
              <w:right w:val="single" w:sz="8" w:space="0" w:color="auto"/>
            </w:tcBorders>
            <w:vAlign w:val="center"/>
            <w:hideMark/>
          </w:tcPr>
          <w:p w14:paraId="39791101" w14:textId="77777777" w:rsidR="003250F8" w:rsidRPr="00004620" w:rsidRDefault="003250F8" w:rsidP="00AE1DED">
            <w:pPr>
              <w:rPr>
                <w:color w:val="000000" w:themeColor="text1"/>
              </w:rPr>
            </w:pPr>
            <w:r w:rsidRPr="00004620">
              <w:rPr>
                <w:color w:val="000000" w:themeColor="text1"/>
              </w:rPr>
              <w:t>54 positions (34.6%)</w:t>
            </w:r>
          </w:p>
        </w:tc>
      </w:tr>
      <w:tr w:rsidR="00FC334A" w:rsidRPr="00004620" w14:paraId="03BEF76D" w14:textId="77777777" w:rsidTr="00602970">
        <w:trPr>
          <w:trHeight w:val="340"/>
        </w:trPr>
        <w:tc>
          <w:tcPr>
            <w:tcW w:w="5390" w:type="dxa"/>
            <w:tcBorders>
              <w:top w:val="nil"/>
              <w:left w:val="single" w:sz="8" w:space="0" w:color="auto"/>
              <w:bottom w:val="single" w:sz="4" w:space="0" w:color="auto"/>
              <w:right w:val="single" w:sz="4" w:space="0" w:color="auto"/>
            </w:tcBorders>
            <w:vAlign w:val="center"/>
            <w:hideMark/>
          </w:tcPr>
          <w:p w14:paraId="0DF5CF3B" w14:textId="77777777" w:rsidR="003250F8" w:rsidRPr="00004620" w:rsidRDefault="003250F8" w:rsidP="00AE1DED">
            <w:pPr>
              <w:rPr>
                <w:color w:val="000000" w:themeColor="text1"/>
              </w:rPr>
            </w:pPr>
            <w:r w:rsidRPr="00004620">
              <w:rPr>
                <w:color w:val="000000" w:themeColor="text1"/>
              </w:rPr>
              <w:t>Volatile pairs</w:t>
            </w:r>
          </w:p>
        </w:tc>
        <w:tc>
          <w:tcPr>
            <w:tcW w:w="4230" w:type="dxa"/>
            <w:tcBorders>
              <w:top w:val="nil"/>
              <w:left w:val="nil"/>
              <w:bottom w:val="single" w:sz="4" w:space="0" w:color="auto"/>
              <w:right w:val="single" w:sz="8" w:space="0" w:color="auto"/>
            </w:tcBorders>
            <w:vAlign w:val="center"/>
            <w:hideMark/>
          </w:tcPr>
          <w:p w14:paraId="2A1BB36C" w14:textId="77777777" w:rsidR="003250F8" w:rsidRPr="00004620" w:rsidRDefault="003250F8" w:rsidP="00AE1DED">
            <w:pPr>
              <w:rPr>
                <w:color w:val="000000" w:themeColor="text1"/>
              </w:rPr>
            </w:pPr>
            <w:r w:rsidRPr="00004620">
              <w:rPr>
                <w:color w:val="000000" w:themeColor="text1"/>
              </w:rPr>
              <w:t>54 positions (34.6%)</w:t>
            </w:r>
          </w:p>
        </w:tc>
      </w:tr>
      <w:tr w:rsidR="00FC334A" w:rsidRPr="00004620" w14:paraId="140D5144" w14:textId="77777777" w:rsidTr="00602970">
        <w:trPr>
          <w:trHeight w:val="340"/>
        </w:trPr>
        <w:tc>
          <w:tcPr>
            <w:tcW w:w="5390" w:type="dxa"/>
            <w:tcBorders>
              <w:top w:val="nil"/>
              <w:left w:val="single" w:sz="8" w:space="0" w:color="auto"/>
              <w:bottom w:val="single" w:sz="4" w:space="0" w:color="auto"/>
              <w:right w:val="single" w:sz="4" w:space="0" w:color="auto"/>
            </w:tcBorders>
            <w:shd w:val="clear" w:color="000000" w:fill="D9D9D9"/>
            <w:vAlign w:val="center"/>
            <w:hideMark/>
          </w:tcPr>
          <w:p w14:paraId="5026C51F" w14:textId="77777777" w:rsidR="003250F8" w:rsidRPr="00004620" w:rsidRDefault="003250F8" w:rsidP="00AE1DED">
            <w:pPr>
              <w:rPr>
                <w:b/>
                <w:bCs/>
                <w:color w:val="000000" w:themeColor="text1"/>
              </w:rPr>
            </w:pPr>
            <w:r w:rsidRPr="00004620">
              <w:rPr>
                <w:b/>
                <w:bCs/>
                <w:color w:val="000000" w:themeColor="text1"/>
              </w:rPr>
              <w:t>Management Approach</w:t>
            </w:r>
          </w:p>
        </w:tc>
        <w:tc>
          <w:tcPr>
            <w:tcW w:w="4230" w:type="dxa"/>
            <w:tcBorders>
              <w:top w:val="nil"/>
              <w:left w:val="nil"/>
              <w:bottom w:val="single" w:sz="4" w:space="0" w:color="auto"/>
              <w:right w:val="single" w:sz="8" w:space="0" w:color="auto"/>
            </w:tcBorders>
            <w:shd w:val="clear" w:color="000000" w:fill="D9D9D9"/>
            <w:vAlign w:val="center"/>
            <w:hideMark/>
          </w:tcPr>
          <w:p w14:paraId="7A651CC3" w14:textId="77777777" w:rsidR="003250F8" w:rsidRPr="00004620" w:rsidRDefault="003250F8" w:rsidP="00AE1DED">
            <w:pPr>
              <w:rPr>
                <w:color w:val="000000" w:themeColor="text1"/>
              </w:rPr>
            </w:pPr>
            <w:r w:rsidRPr="00004620">
              <w:rPr>
                <w:color w:val="000000" w:themeColor="text1"/>
              </w:rPr>
              <w:t> </w:t>
            </w:r>
          </w:p>
        </w:tc>
      </w:tr>
      <w:tr w:rsidR="00FC334A" w:rsidRPr="00004620" w14:paraId="0505812E" w14:textId="77777777" w:rsidTr="00602970">
        <w:trPr>
          <w:trHeight w:val="340"/>
        </w:trPr>
        <w:tc>
          <w:tcPr>
            <w:tcW w:w="5390" w:type="dxa"/>
            <w:tcBorders>
              <w:top w:val="nil"/>
              <w:left w:val="single" w:sz="8" w:space="0" w:color="auto"/>
              <w:bottom w:val="single" w:sz="4" w:space="0" w:color="auto"/>
              <w:right w:val="single" w:sz="4" w:space="0" w:color="auto"/>
            </w:tcBorders>
            <w:vAlign w:val="center"/>
            <w:hideMark/>
          </w:tcPr>
          <w:p w14:paraId="5DF34AE2" w14:textId="77777777" w:rsidR="003250F8" w:rsidRPr="00004620" w:rsidRDefault="003250F8" w:rsidP="00AE1DED">
            <w:pPr>
              <w:rPr>
                <w:color w:val="000000" w:themeColor="text1"/>
              </w:rPr>
            </w:pPr>
            <w:r w:rsidRPr="00004620">
              <w:rPr>
                <w:color w:val="000000" w:themeColor="text1"/>
              </w:rPr>
              <w:t>Passive (</w:t>
            </w:r>
            <w:proofErr w:type="gramStart"/>
            <w:r w:rsidRPr="00004620">
              <w:rPr>
                <w:color w:val="000000" w:themeColor="text1"/>
              </w:rPr>
              <w:t>wide-range</w:t>
            </w:r>
            <w:proofErr w:type="gramEnd"/>
            <w:r w:rsidRPr="00004620">
              <w:rPr>
                <w:color w:val="000000" w:themeColor="text1"/>
              </w:rPr>
              <w:t>, no rebalancing)</w:t>
            </w:r>
          </w:p>
        </w:tc>
        <w:tc>
          <w:tcPr>
            <w:tcW w:w="4230" w:type="dxa"/>
            <w:tcBorders>
              <w:top w:val="nil"/>
              <w:left w:val="nil"/>
              <w:bottom w:val="single" w:sz="4" w:space="0" w:color="auto"/>
              <w:right w:val="single" w:sz="8" w:space="0" w:color="auto"/>
            </w:tcBorders>
            <w:vAlign w:val="center"/>
            <w:hideMark/>
          </w:tcPr>
          <w:p w14:paraId="598CAE3F" w14:textId="77777777" w:rsidR="003250F8" w:rsidRPr="00004620" w:rsidRDefault="003250F8" w:rsidP="00AE1DED">
            <w:pPr>
              <w:rPr>
                <w:color w:val="000000" w:themeColor="text1"/>
              </w:rPr>
            </w:pPr>
            <w:r w:rsidRPr="00004620">
              <w:rPr>
                <w:color w:val="000000" w:themeColor="text1"/>
              </w:rPr>
              <w:t>39 positions (25.0%)</w:t>
            </w:r>
          </w:p>
        </w:tc>
      </w:tr>
      <w:tr w:rsidR="00FC334A" w:rsidRPr="00004620" w14:paraId="20F1F074" w14:textId="77777777" w:rsidTr="00602970">
        <w:trPr>
          <w:trHeight w:val="340"/>
        </w:trPr>
        <w:tc>
          <w:tcPr>
            <w:tcW w:w="5390" w:type="dxa"/>
            <w:tcBorders>
              <w:top w:val="nil"/>
              <w:left w:val="single" w:sz="8" w:space="0" w:color="auto"/>
              <w:bottom w:val="single" w:sz="4" w:space="0" w:color="auto"/>
              <w:right w:val="single" w:sz="4" w:space="0" w:color="auto"/>
            </w:tcBorders>
            <w:vAlign w:val="center"/>
            <w:hideMark/>
          </w:tcPr>
          <w:p w14:paraId="3F397077" w14:textId="77777777" w:rsidR="003250F8" w:rsidRPr="00004620" w:rsidRDefault="003250F8" w:rsidP="00AE1DED">
            <w:pPr>
              <w:rPr>
                <w:color w:val="000000" w:themeColor="text1"/>
              </w:rPr>
            </w:pPr>
            <w:r w:rsidRPr="00004620">
              <w:rPr>
                <w:color w:val="000000" w:themeColor="text1"/>
              </w:rPr>
              <w:t>Semi-active (weekly rebalancing)</w:t>
            </w:r>
          </w:p>
        </w:tc>
        <w:tc>
          <w:tcPr>
            <w:tcW w:w="4230" w:type="dxa"/>
            <w:tcBorders>
              <w:top w:val="nil"/>
              <w:left w:val="nil"/>
              <w:bottom w:val="single" w:sz="4" w:space="0" w:color="auto"/>
              <w:right w:val="single" w:sz="8" w:space="0" w:color="auto"/>
            </w:tcBorders>
            <w:vAlign w:val="center"/>
            <w:hideMark/>
          </w:tcPr>
          <w:p w14:paraId="199C6C42" w14:textId="77777777" w:rsidR="003250F8" w:rsidRPr="00004620" w:rsidRDefault="003250F8" w:rsidP="00AE1DED">
            <w:pPr>
              <w:rPr>
                <w:color w:val="000000" w:themeColor="text1"/>
              </w:rPr>
            </w:pPr>
            <w:r w:rsidRPr="00004620">
              <w:rPr>
                <w:color w:val="000000" w:themeColor="text1"/>
              </w:rPr>
              <w:t>62 positions (39.7%)</w:t>
            </w:r>
          </w:p>
        </w:tc>
      </w:tr>
      <w:tr w:rsidR="003250F8" w:rsidRPr="00004620" w14:paraId="1D123B57" w14:textId="77777777" w:rsidTr="00602970">
        <w:trPr>
          <w:trHeight w:val="360"/>
        </w:trPr>
        <w:tc>
          <w:tcPr>
            <w:tcW w:w="5390" w:type="dxa"/>
            <w:tcBorders>
              <w:top w:val="nil"/>
              <w:left w:val="single" w:sz="8" w:space="0" w:color="auto"/>
              <w:bottom w:val="single" w:sz="8" w:space="0" w:color="auto"/>
              <w:right w:val="single" w:sz="4" w:space="0" w:color="auto"/>
            </w:tcBorders>
            <w:vAlign w:val="center"/>
            <w:hideMark/>
          </w:tcPr>
          <w:p w14:paraId="7CA248C3" w14:textId="77777777" w:rsidR="003250F8" w:rsidRPr="00004620" w:rsidRDefault="003250F8" w:rsidP="00AE1DED">
            <w:pPr>
              <w:rPr>
                <w:color w:val="000000" w:themeColor="text1"/>
              </w:rPr>
            </w:pPr>
            <w:r w:rsidRPr="00004620">
              <w:rPr>
                <w:color w:val="000000" w:themeColor="text1"/>
              </w:rPr>
              <w:t>Active (daily monitoring/rebalancing)</w:t>
            </w:r>
          </w:p>
        </w:tc>
        <w:tc>
          <w:tcPr>
            <w:tcW w:w="4230" w:type="dxa"/>
            <w:tcBorders>
              <w:top w:val="nil"/>
              <w:left w:val="nil"/>
              <w:bottom w:val="single" w:sz="8" w:space="0" w:color="auto"/>
              <w:right w:val="single" w:sz="8" w:space="0" w:color="auto"/>
            </w:tcBorders>
            <w:vAlign w:val="center"/>
            <w:hideMark/>
          </w:tcPr>
          <w:p w14:paraId="78CE4AA3" w14:textId="77777777" w:rsidR="003250F8" w:rsidRPr="00004620" w:rsidRDefault="003250F8" w:rsidP="00AE1DED">
            <w:pPr>
              <w:rPr>
                <w:color w:val="000000" w:themeColor="text1"/>
              </w:rPr>
            </w:pPr>
            <w:r w:rsidRPr="00004620">
              <w:rPr>
                <w:color w:val="000000" w:themeColor="text1"/>
              </w:rPr>
              <w:t>55 positions (35.3%)</w:t>
            </w:r>
          </w:p>
        </w:tc>
      </w:tr>
    </w:tbl>
    <w:p w14:paraId="242A99F1" w14:textId="28E8A0EB" w:rsidR="00123B4F" w:rsidRPr="003C66A0" w:rsidRDefault="00123B4F" w:rsidP="00AE1DED">
      <w:pPr>
        <w:jc w:val="both"/>
        <w:rPr>
          <w:rFonts w:eastAsiaTheme="majorEastAsia"/>
          <w:b/>
          <w:bCs/>
          <w:color w:val="000000" w:themeColor="text1"/>
        </w:rPr>
      </w:pPr>
    </w:p>
    <w:p w14:paraId="16A7E3E9" w14:textId="77777777" w:rsidR="0008479C" w:rsidRPr="003C66A0" w:rsidRDefault="0008479C" w:rsidP="00AE1DED">
      <w:pPr>
        <w:jc w:val="both"/>
        <w:rPr>
          <w:rFonts w:eastAsiaTheme="majorEastAsia"/>
          <w:b/>
          <w:bCs/>
          <w:color w:val="000000" w:themeColor="text1"/>
        </w:rPr>
      </w:pPr>
    </w:p>
    <w:p w14:paraId="5A87762F" w14:textId="77777777" w:rsidR="00004620" w:rsidRDefault="00004620" w:rsidP="00AE1DED">
      <w:pPr>
        <w:jc w:val="both"/>
        <w:rPr>
          <w:rFonts w:eastAsiaTheme="majorEastAsia"/>
          <w:b/>
          <w:bCs/>
          <w:color w:val="000000" w:themeColor="text1"/>
        </w:rPr>
      </w:pPr>
    </w:p>
    <w:p w14:paraId="0691F519" w14:textId="4E16C4C4" w:rsidR="003274B9" w:rsidRPr="003C66A0" w:rsidRDefault="003274B9" w:rsidP="00AE1DED">
      <w:pPr>
        <w:jc w:val="both"/>
        <w:rPr>
          <w:rFonts w:eastAsiaTheme="majorEastAsia"/>
          <w:bCs/>
          <w:color w:val="000000" w:themeColor="text1"/>
        </w:rPr>
      </w:pPr>
      <w:r w:rsidRPr="003C66A0">
        <w:rPr>
          <w:rFonts w:eastAsiaTheme="majorEastAsia"/>
          <w:b/>
          <w:bCs/>
          <w:color w:val="000000" w:themeColor="text1"/>
        </w:rPr>
        <w:lastRenderedPageBreak/>
        <w:t>Tracking Period</w:t>
      </w:r>
      <w:r w:rsidRPr="003C66A0">
        <w:rPr>
          <w:rFonts w:eastAsiaTheme="majorEastAsia"/>
          <w:bCs/>
          <w:color w:val="000000" w:themeColor="text1"/>
        </w:rPr>
        <w:t xml:space="preserve">: </w:t>
      </w:r>
      <w:r w:rsidR="0005139E" w:rsidRPr="003C66A0">
        <w:rPr>
          <w:rFonts w:eastAsiaTheme="majorEastAsia"/>
          <w:bCs/>
          <w:color w:val="000000" w:themeColor="text1"/>
        </w:rPr>
        <w:t xml:space="preserve">In </w:t>
      </w:r>
      <w:r w:rsidR="00231D5B" w:rsidRPr="003C66A0">
        <w:rPr>
          <w:rFonts w:eastAsiaTheme="majorEastAsia"/>
          <w:bCs/>
          <w:color w:val="000000" w:themeColor="text1"/>
        </w:rPr>
        <w:t xml:space="preserve">my </w:t>
      </w:r>
      <w:r w:rsidR="0005139E" w:rsidRPr="003C66A0">
        <w:rPr>
          <w:rFonts w:eastAsiaTheme="majorEastAsia"/>
          <w:bCs/>
          <w:color w:val="000000" w:themeColor="text1"/>
        </w:rPr>
        <w:t>sample</w:t>
      </w:r>
      <w:r w:rsidRPr="003C66A0">
        <w:rPr>
          <w:rFonts w:eastAsiaTheme="majorEastAsia"/>
          <w:bCs/>
          <w:color w:val="000000" w:themeColor="text1"/>
        </w:rPr>
        <w:t xml:space="preserve"> positions were tracked for a minimum of 90 days, with the following distribution:</w:t>
      </w:r>
    </w:p>
    <w:p w14:paraId="28748458" w14:textId="77777777" w:rsidR="003274B9" w:rsidRPr="003C66A0" w:rsidRDefault="003274B9" w:rsidP="00AE1DED">
      <w:pPr>
        <w:numPr>
          <w:ilvl w:val="0"/>
          <w:numId w:val="30"/>
        </w:numPr>
        <w:jc w:val="both"/>
        <w:rPr>
          <w:rFonts w:eastAsiaTheme="majorEastAsia"/>
          <w:bCs/>
          <w:color w:val="000000" w:themeColor="text1"/>
        </w:rPr>
      </w:pPr>
      <w:r w:rsidRPr="003C66A0">
        <w:rPr>
          <w:rFonts w:eastAsiaTheme="majorEastAsia"/>
          <w:bCs/>
          <w:color w:val="000000" w:themeColor="text1"/>
        </w:rPr>
        <w:t>90-180 days: 87 positions (55.8%)</w:t>
      </w:r>
    </w:p>
    <w:p w14:paraId="1905E9A8" w14:textId="77777777" w:rsidR="003274B9" w:rsidRPr="003C66A0" w:rsidRDefault="003274B9" w:rsidP="00AE1DED">
      <w:pPr>
        <w:numPr>
          <w:ilvl w:val="0"/>
          <w:numId w:val="30"/>
        </w:numPr>
        <w:jc w:val="both"/>
        <w:rPr>
          <w:rFonts w:eastAsiaTheme="majorEastAsia"/>
          <w:bCs/>
          <w:color w:val="000000" w:themeColor="text1"/>
        </w:rPr>
      </w:pPr>
      <w:r w:rsidRPr="003C66A0">
        <w:rPr>
          <w:rFonts w:eastAsiaTheme="majorEastAsia"/>
          <w:bCs/>
          <w:color w:val="000000" w:themeColor="text1"/>
        </w:rPr>
        <w:t>181-365 days: 51 positions (32.7%)</w:t>
      </w:r>
    </w:p>
    <w:p w14:paraId="12E182AA" w14:textId="77777777" w:rsidR="003274B9" w:rsidRPr="003C66A0" w:rsidRDefault="003274B9" w:rsidP="00AE1DED">
      <w:pPr>
        <w:numPr>
          <w:ilvl w:val="0"/>
          <w:numId w:val="30"/>
        </w:numPr>
        <w:jc w:val="both"/>
        <w:rPr>
          <w:rFonts w:eastAsiaTheme="majorEastAsia"/>
          <w:bCs/>
          <w:color w:val="000000" w:themeColor="text1"/>
        </w:rPr>
      </w:pPr>
      <w:r w:rsidRPr="003C66A0">
        <w:rPr>
          <w:rFonts w:eastAsiaTheme="majorEastAsia"/>
          <w:bCs/>
          <w:color w:val="000000" w:themeColor="text1"/>
        </w:rPr>
        <w:t>365+ days: 18 positions (11.5%)</w:t>
      </w:r>
    </w:p>
    <w:p w14:paraId="1A11956A" w14:textId="77777777" w:rsidR="00B36B04" w:rsidRPr="003C66A0" w:rsidRDefault="00B36B04" w:rsidP="00AE1DED">
      <w:pPr>
        <w:jc w:val="both"/>
        <w:rPr>
          <w:rFonts w:eastAsiaTheme="majorEastAsia"/>
          <w:b/>
          <w:bCs/>
          <w:color w:val="000000" w:themeColor="text1"/>
        </w:rPr>
      </w:pPr>
    </w:p>
    <w:p w14:paraId="5CDA467D" w14:textId="77777777" w:rsidR="004E10FD" w:rsidRDefault="004E10FD" w:rsidP="00AE1DED">
      <w:pPr>
        <w:pStyle w:val="Heading2"/>
        <w:rPr>
          <w:rFonts w:eastAsiaTheme="majorEastAsia"/>
        </w:rPr>
      </w:pPr>
    </w:p>
    <w:p w14:paraId="55A7A41D" w14:textId="77777777" w:rsidR="004E10FD" w:rsidRDefault="004E10FD" w:rsidP="00AE1DED">
      <w:pPr>
        <w:rPr>
          <w:rFonts w:eastAsiaTheme="majorEastAsia"/>
          <w:b/>
          <w:sz w:val="28"/>
        </w:rPr>
      </w:pPr>
      <w:r>
        <w:rPr>
          <w:rFonts w:eastAsiaTheme="majorEastAsia"/>
        </w:rPr>
        <w:br w:type="page"/>
      </w:r>
    </w:p>
    <w:p w14:paraId="1BB405A7" w14:textId="070E9646" w:rsidR="003274B9" w:rsidRPr="003C66A0" w:rsidRDefault="003274B9" w:rsidP="00AE1DED">
      <w:pPr>
        <w:pStyle w:val="Heading2"/>
        <w:rPr>
          <w:rFonts w:eastAsiaTheme="majorEastAsia"/>
        </w:rPr>
      </w:pPr>
      <w:bookmarkStart w:id="265" w:name="_Toc214722071"/>
      <w:r w:rsidRPr="003C66A0">
        <w:rPr>
          <w:rFonts w:eastAsiaTheme="majorEastAsia"/>
        </w:rPr>
        <w:lastRenderedPageBreak/>
        <w:t xml:space="preserve">APPENDIX B: </w:t>
      </w:r>
      <w:r w:rsidR="00B216F7" w:rsidRPr="003C66A0">
        <w:rPr>
          <w:rFonts w:eastAsiaTheme="majorEastAsia"/>
        </w:rPr>
        <w:t xml:space="preserve">Interview </w:t>
      </w:r>
      <w:r w:rsidRPr="003C66A0">
        <w:rPr>
          <w:rFonts w:eastAsiaTheme="majorEastAsia"/>
        </w:rPr>
        <w:t>Protocol</w:t>
      </w:r>
      <w:bookmarkEnd w:id="265"/>
    </w:p>
    <w:p w14:paraId="31C2C54A" w14:textId="77777777" w:rsidR="00B216F7" w:rsidRPr="003C66A0" w:rsidRDefault="00B216F7" w:rsidP="00AE1DED">
      <w:pPr>
        <w:jc w:val="both"/>
        <w:rPr>
          <w:rFonts w:eastAsiaTheme="majorEastAsia"/>
          <w:b/>
          <w:bCs/>
          <w:color w:val="000000" w:themeColor="text1"/>
        </w:rPr>
      </w:pPr>
    </w:p>
    <w:p w14:paraId="69334714" w14:textId="77777777" w:rsidR="00B216F7" w:rsidRDefault="00B216F7" w:rsidP="00AE1DED">
      <w:pPr>
        <w:rPr>
          <w:rFonts w:eastAsiaTheme="majorEastAsia"/>
          <w:b/>
          <w:bCs/>
          <w:color w:val="000000" w:themeColor="text1"/>
        </w:rPr>
      </w:pPr>
      <w:r w:rsidRPr="003C66A0">
        <w:rPr>
          <w:rFonts w:eastAsiaTheme="majorEastAsia"/>
          <w:b/>
          <w:bCs/>
          <w:color w:val="000000" w:themeColor="text1"/>
        </w:rPr>
        <w:t>Core Interview Themes (n=27 participants):</w:t>
      </w:r>
    </w:p>
    <w:p w14:paraId="056DC02D" w14:textId="77777777" w:rsidR="00004620" w:rsidRPr="003C66A0" w:rsidRDefault="00004620" w:rsidP="00AE1DED">
      <w:pPr>
        <w:rPr>
          <w:rFonts w:eastAsiaTheme="majorEastAsia"/>
          <w:b/>
          <w:bCs/>
          <w:color w:val="000000" w:themeColor="text1"/>
        </w:rPr>
      </w:pPr>
    </w:p>
    <w:p w14:paraId="6F3ABDA7" w14:textId="77777777" w:rsidR="00B216F7" w:rsidRPr="003C66A0" w:rsidRDefault="00B216F7" w:rsidP="00AE1DED">
      <w:pPr>
        <w:numPr>
          <w:ilvl w:val="0"/>
          <w:numId w:val="87"/>
        </w:numPr>
        <w:rPr>
          <w:rFonts w:eastAsiaTheme="majorEastAsia"/>
          <w:color w:val="000000" w:themeColor="text1"/>
        </w:rPr>
      </w:pPr>
      <w:r w:rsidRPr="003C66A0">
        <w:rPr>
          <w:rFonts w:eastAsiaTheme="majorEastAsia"/>
          <w:color w:val="000000" w:themeColor="text1"/>
        </w:rPr>
        <w:t xml:space="preserve">Background and Entry (5-10 minutes) </w:t>
      </w:r>
    </w:p>
    <w:p w14:paraId="3B8AA562" w14:textId="77777777" w:rsidR="00B216F7" w:rsidRPr="003C66A0" w:rsidRDefault="00B216F7" w:rsidP="00AE1DED">
      <w:pPr>
        <w:numPr>
          <w:ilvl w:val="1"/>
          <w:numId w:val="87"/>
        </w:numPr>
        <w:rPr>
          <w:rFonts w:eastAsiaTheme="majorEastAsia"/>
          <w:color w:val="000000" w:themeColor="text1"/>
        </w:rPr>
      </w:pPr>
      <w:r w:rsidRPr="003C66A0">
        <w:rPr>
          <w:rFonts w:eastAsiaTheme="majorEastAsia"/>
          <w:color w:val="000000" w:themeColor="text1"/>
        </w:rPr>
        <w:t>Prior experience and initial capital commitment</w:t>
      </w:r>
    </w:p>
    <w:p w14:paraId="50F761DD" w14:textId="77777777" w:rsidR="00B216F7" w:rsidRPr="003C66A0" w:rsidRDefault="00B216F7" w:rsidP="00AE1DED">
      <w:pPr>
        <w:numPr>
          <w:ilvl w:val="1"/>
          <w:numId w:val="87"/>
        </w:numPr>
        <w:rPr>
          <w:rFonts w:eastAsiaTheme="majorEastAsia"/>
          <w:color w:val="000000" w:themeColor="text1"/>
        </w:rPr>
      </w:pPr>
      <w:r w:rsidRPr="003C66A0">
        <w:rPr>
          <w:rFonts w:eastAsiaTheme="majorEastAsia"/>
          <w:color w:val="000000" w:themeColor="text1"/>
        </w:rPr>
        <w:t>Motivation for entering DeFi</w:t>
      </w:r>
    </w:p>
    <w:p w14:paraId="510267F7" w14:textId="77777777" w:rsidR="00CC16FC" w:rsidRPr="003C66A0" w:rsidRDefault="00CC16FC" w:rsidP="00AE1DED">
      <w:pPr>
        <w:ind w:left="1440"/>
        <w:rPr>
          <w:rFonts w:eastAsiaTheme="majorEastAsia"/>
          <w:color w:val="000000" w:themeColor="text1"/>
        </w:rPr>
      </w:pPr>
    </w:p>
    <w:p w14:paraId="3D723D24" w14:textId="77777777" w:rsidR="00B216F7" w:rsidRPr="003C66A0" w:rsidRDefault="00B216F7" w:rsidP="00AE1DED">
      <w:pPr>
        <w:numPr>
          <w:ilvl w:val="0"/>
          <w:numId w:val="87"/>
        </w:numPr>
        <w:rPr>
          <w:rFonts w:eastAsiaTheme="majorEastAsia"/>
          <w:color w:val="000000" w:themeColor="text1"/>
        </w:rPr>
      </w:pPr>
      <w:r w:rsidRPr="003C66A0">
        <w:rPr>
          <w:rFonts w:eastAsiaTheme="majorEastAsia"/>
          <w:color w:val="000000" w:themeColor="text1"/>
        </w:rPr>
        <w:t xml:space="preserve">Strategy Implementation (15-20 minutes) </w:t>
      </w:r>
    </w:p>
    <w:p w14:paraId="62A07075" w14:textId="77777777" w:rsidR="00B216F7" w:rsidRPr="003C66A0" w:rsidRDefault="00B216F7" w:rsidP="00AE1DED">
      <w:pPr>
        <w:numPr>
          <w:ilvl w:val="1"/>
          <w:numId w:val="87"/>
        </w:numPr>
        <w:rPr>
          <w:rFonts w:eastAsiaTheme="majorEastAsia"/>
          <w:color w:val="000000" w:themeColor="text1"/>
        </w:rPr>
      </w:pPr>
      <w:r w:rsidRPr="003C66A0">
        <w:rPr>
          <w:rFonts w:eastAsiaTheme="majorEastAsia"/>
          <w:color w:val="000000" w:themeColor="text1"/>
        </w:rPr>
        <w:t>Protocol selection criteria</w:t>
      </w:r>
    </w:p>
    <w:p w14:paraId="4007254D" w14:textId="77777777" w:rsidR="00B216F7" w:rsidRPr="003C66A0" w:rsidRDefault="00B216F7" w:rsidP="00AE1DED">
      <w:pPr>
        <w:numPr>
          <w:ilvl w:val="1"/>
          <w:numId w:val="87"/>
        </w:numPr>
        <w:rPr>
          <w:rFonts w:eastAsiaTheme="majorEastAsia"/>
          <w:color w:val="000000" w:themeColor="text1"/>
        </w:rPr>
      </w:pPr>
      <w:r w:rsidRPr="003C66A0">
        <w:rPr>
          <w:rFonts w:eastAsiaTheme="majorEastAsia"/>
          <w:color w:val="000000" w:themeColor="text1"/>
        </w:rPr>
        <w:t>Evolution of approach over time</w:t>
      </w:r>
    </w:p>
    <w:p w14:paraId="6D2ECAEB" w14:textId="77777777" w:rsidR="00B216F7" w:rsidRPr="003C66A0" w:rsidRDefault="00B216F7" w:rsidP="00AE1DED">
      <w:pPr>
        <w:numPr>
          <w:ilvl w:val="1"/>
          <w:numId w:val="87"/>
        </w:numPr>
        <w:rPr>
          <w:rFonts w:eastAsiaTheme="majorEastAsia"/>
          <w:color w:val="000000" w:themeColor="text1"/>
        </w:rPr>
      </w:pPr>
      <w:r w:rsidRPr="003C66A0">
        <w:rPr>
          <w:rFonts w:eastAsiaTheme="majorEastAsia"/>
          <w:color w:val="000000" w:themeColor="text1"/>
        </w:rPr>
        <w:t>Tools and resources used</w:t>
      </w:r>
    </w:p>
    <w:p w14:paraId="1F999C95" w14:textId="77777777" w:rsidR="00CC16FC" w:rsidRPr="003C66A0" w:rsidRDefault="00CC16FC" w:rsidP="00AE1DED">
      <w:pPr>
        <w:ind w:left="1440"/>
        <w:rPr>
          <w:rFonts w:eastAsiaTheme="majorEastAsia"/>
          <w:color w:val="000000" w:themeColor="text1"/>
        </w:rPr>
      </w:pPr>
    </w:p>
    <w:p w14:paraId="372B924E" w14:textId="77777777" w:rsidR="00B216F7" w:rsidRPr="003C66A0" w:rsidRDefault="00B216F7" w:rsidP="00AE1DED">
      <w:pPr>
        <w:numPr>
          <w:ilvl w:val="0"/>
          <w:numId w:val="87"/>
        </w:numPr>
        <w:rPr>
          <w:rFonts w:eastAsiaTheme="majorEastAsia"/>
          <w:color w:val="000000" w:themeColor="text1"/>
        </w:rPr>
      </w:pPr>
      <w:r w:rsidRPr="003C66A0">
        <w:rPr>
          <w:rFonts w:eastAsiaTheme="majorEastAsia"/>
          <w:color w:val="000000" w:themeColor="text1"/>
        </w:rPr>
        <w:t xml:space="preserve">Risk and Losses (10-15 minutes) </w:t>
      </w:r>
    </w:p>
    <w:p w14:paraId="1D989AC5" w14:textId="77777777" w:rsidR="00B216F7" w:rsidRPr="003C66A0" w:rsidRDefault="00B216F7" w:rsidP="00AE1DED">
      <w:pPr>
        <w:numPr>
          <w:ilvl w:val="1"/>
          <w:numId w:val="87"/>
        </w:numPr>
        <w:rPr>
          <w:rFonts w:eastAsiaTheme="majorEastAsia"/>
          <w:color w:val="000000" w:themeColor="text1"/>
        </w:rPr>
      </w:pPr>
      <w:r w:rsidRPr="003C66A0">
        <w:rPr>
          <w:rFonts w:eastAsiaTheme="majorEastAsia"/>
          <w:color w:val="000000" w:themeColor="text1"/>
        </w:rPr>
        <w:t>Biggest losses and recovery</w:t>
      </w:r>
    </w:p>
    <w:p w14:paraId="027648A5" w14:textId="77777777" w:rsidR="00B216F7" w:rsidRPr="003C66A0" w:rsidRDefault="00B216F7" w:rsidP="00AE1DED">
      <w:pPr>
        <w:numPr>
          <w:ilvl w:val="1"/>
          <w:numId w:val="87"/>
        </w:numPr>
        <w:rPr>
          <w:rFonts w:eastAsiaTheme="majorEastAsia"/>
          <w:color w:val="000000" w:themeColor="text1"/>
        </w:rPr>
      </w:pPr>
      <w:r w:rsidRPr="003C66A0">
        <w:rPr>
          <w:rFonts w:eastAsiaTheme="majorEastAsia"/>
          <w:color w:val="000000" w:themeColor="text1"/>
        </w:rPr>
        <w:t>Risk management approaches</w:t>
      </w:r>
    </w:p>
    <w:p w14:paraId="4572B5B2" w14:textId="77777777" w:rsidR="00CC16FC" w:rsidRPr="003C66A0" w:rsidRDefault="00CC16FC" w:rsidP="00AE1DED">
      <w:pPr>
        <w:ind w:left="1440"/>
        <w:rPr>
          <w:rFonts w:eastAsiaTheme="majorEastAsia"/>
          <w:color w:val="000000" w:themeColor="text1"/>
        </w:rPr>
      </w:pPr>
    </w:p>
    <w:p w14:paraId="0ECD8396" w14:textId="77777777" w:rsidR="00B216F7" w:rsidRPr="003C66A0" w:rsidRDefault="00B216F7" w:rsidP="00AE1DED">
      <w:pPr>
        <w:numPr>
          <w:ilvl w:val="0"/>
          <w:numId w:val="87"/>
        </w:numPr>
        <w:rPr>
          <w:rFonts w:eastAsiaTheme="majorEastAsia"/>
          <w:color w:val="000000" w:themeColor="text1"/>
        </w:rPr>
      </w:pPr>
      <w:r w:rsidRPr="003C66A0">
        <w:rPr>
          <w:rFonts w:eastAsiaTheme="majorEastAsia"/>
          <w:color w:val="000000" w:themeColor="text1"/>
        </w:rPr>
        <w:t xml:space="preserve">Operational Reality (10-15 minutes) </w:t>
      </w:r>
    </w:p>
    <w:p w14:paraId="7D3DDA52" w14:textId="77777777" w:rsidR="00B216F7" w:rsidRPr="003C66A0" w:rsidRDefault="00B216F7" w:rsidP="00AE1DED">
      <w:pPr>
        <w:numPr>
          <w:ilvl w:val="1"/>
          <w:numId w:val="87"/>
        </w:numPr>
        <w:rPr>
          <w:rFonts w:eastAsiaTheme="majorEastAsia"/>
          <w:color w:val="000000" w:themeColor="text1"/>
        </w:rPr>
      </w:pPr>
      <w:r w:rsidRPr="003C66A0">
        <w:rPr>
          <w:rFonts w:eastAsiaTheme="majorEastAsia"/>
          <w:color w:val="000000" w:themeColor="text1"/>
        </w:rPr>
        <w:t>Time investment (hours/week)</w:t>
      </w:r>
    </w:p>
    <w:p w14:paraId="48ED81E9" w14:textId="77777777" w:rsidR="00B216F7" w:rsidRPr="003C66A0" w:rsidRDefault="00B216F7" w:rsidP="00AE1DED">
      <w:pPr>
        <w:numPr>
          <w:ilvl w:val="1"/>
          <w:numId w:val="87"/>
        </w:numPr>
        <w:rPr>
          <w:rFonts w:eastAsiaTheme="majorEastAsia"/>
          <w:color w:val="000000" w:themeColor="text1"/>
        </w:rPr>
      </w:pPr>
      <w:r w:rsidRPr="003C66A0">
        <w:rPr>
          <w:rFonts w:eastAsiaTheme="majorEastAsia"/>
          <w:color w:val="000000" w:themeColor="text1"/>
        </w:rPr>
        <w:t>Hidden costs discovered</w:t>
      </w:r>
    </w:p>
    <w:p w14:paraId="5A9DA6E1" w14:textId="77777777" w:rsidR="00B216F7" w:rsidRPr="003C66A0" w:rsidRDefault="00B216F7" w:rsidP="00AE1DED">
      <w:pPr>
        <w:numPr>
          <w:ilvl w:val="1"/>
          <w:numId w:val="87"/>
        </w:numPr>
        <w:rPr>
          <w:rFonts w:eastAsiaTheme="majorEastAsia"/>
          <w:color w:val="000000" w:themeColor="text1"/>
        </w:rPr>
      </w:pPr>
      <w:r w:rsidRPr="003C66A0">
        <w:rPr>
          <w:rFonts w:eastAsiaTheme="majorEastAsia"/>
          <w:color w:val="000000" w:themeColor="text1"/>
        </w:rPr>
        <w:t>Tax/compliance handling</w:t>
      </w:r>
    </w:p>
    <w:p w14:paraId="1978415F" w14:textId="77777777" w:rsidR="00CC16FC" w:rsidRPr="003C66A0" w:rsidRDefault="00CC16FC" w:rsidP="00AE1DED">
      <w:pPr>
        <w:ind w:left="1440"/>
        <w:rPr>
          <w:rFonts w:eastAsiaTheme="majorEastAsia"/>
          <w:color w:val="000000" w:themeColor="text1"/>
        </w:rPr>
      </w:pPr>
    </w:p>
    <w:p w14:paraId="6D17DA68" w14:textId="77777777" w:rsidR="00B216F7" w:rsidRPr="003C66A0" w:rsidRDefault="00B216F7" w:rsidP="00AE1DED">
      <w:pPr>
        <w:numPr>
          <w:ilvl w:val="0"/>
          <w:numId w:val="87"/>
        </w:numPr>
        <w:rPr>
          <w:rFonts w:eastAsiaTheme="majorEastAsia"/>
          <w:color w:val="000000" w:themeColor="text1"/>
        </w:rPr>
      </w:pPr>
      <w:r w:rsidRPr="003C66A0">
        <w:rPr>
          <w:rFonts w:eastAsiaTheme="majorEastAsia"/>
          <w:color w:val="000000" w:themeColor="text1"/>
        </w:rPr>
        <w:t xml:space="preserve">Performance Assessment (10-15 minutes) </w:t>
      </w:r>
    </w:p>
    <w:p w14:paraId="4722AB5C" w14:textId="77777777" w:rsidR="00B216F7" w:rsidRPr="003C66A0" w:rsidRDefault="00B216F7" w:rsidP="00AE1DED">
      <w:pPr>
        <w:numPr>
          <w:ilvl w:val="1"/>
          <w:numId w:val="87"/>
        </w:numPr>
        <w:rPr>
          <w:rFonts w:eastAsiaTheme="majorEastAsia"/>
          <w:color w:val="000000" w:themeColor="text1"/>
        </w:rPr>
      </w:pPr>
      <w:r w:rsidRPr="003C66A0">
        <w:rPr>
          <w:rFonts w:eastAsiaTheme="majorEastAsia"/>
          <w:color w:val="000000" w:themeColor="text1"/>
        </w:rPr>
        <w:t>Actual returns vs. expectations</w:t>
      </w:r>
    </w:p>
    <w:p w14:paraId="1814D1B3" w14:textId="77777777" w:rsidR="00B216F7" w:rsidRPr="003C66A0" w:rsidRDefault="00B216F7" w:rsidP="00AE1DED">
      <w:pPr>
        <w:numPr>
          <w:ilvl w:val="1"/>
          <w:numId w:val="87"/>
        </w:numPr>
        <w:rPr>
          <w:rFonts w:eastAsiaTheme="majorEastAsia"/>
          <w:color w:val="000000" w:themeColor="text1"/>
        </w:rPr>
      </w:pPr>
      <w:r w:rsidRPr="003C66A0">
        <w:rPr>
          <w:rFonts w:eastAsiaTheme="majorEastAsia"/>
          <w:color w:val="000000" w:themeColor="text1"/>
        </w:rPr>
        <w:t>Sustainability evaluation</w:t>
      </w:r>
    </w:p>
    <w:p w14:paraId="3D169277" w14:textId="77777777" w:rsidR="00CC16FC" w:rsidRPr="003C66A0" w:rsidRDefault="00CC16FC" w:rsidP="00AE1DED">
      <w:pPr>
        <w:ind w:left="1440"/>
        <w:rPr>
          <w:rFonts w:eastAsiaTheme="majorEastAsia"/>
          <w:color w:val="000000" w:themeColor="text1"/>
        </w:rPr>
      </w:pPr>
    </w:p>
    <w:p w14:paraId="71BD7B5E" w14:textId="77777777" w:rsidR="00B216F7" w:rsidRPr="003C66A0" w:rsidRDefault="00B216F7" w:rsidP="00AE1DED">
      <w:pPr>
        <w:numPr>
          <w:ilvl w:val="0"/>
          <w:numId w:val="87"/>
        </w:numPr>
        <w:rPr>
          <w:rFonts w:eastAsiaTheme="majorEastAsia"/>
          <w:color w:val="000000" w:themeColor="text1"/>
        </w:rPr>
      </w:pPr>
      <w:r w:rsidRPr="003C66A0">
        <w:rPr>
          <w:rFonts w:eastAsiaTheme="majorEastAsia"/>
          <w:color w:val="000000" w:themeColor="text1"/>
        </w:rPr>
        <w:t xml:space="preserve">Reflections (5-10 minutes) </w:t>
      </w:r>
    </w:p>
    <w:p w14:paraId="0D32BFF6" w14:textId="77777777" w:rsidR="00B216F7" w:rsidRPr="003C66A0" w:rsidRDefault="00B216F7" w:rsidP="00AE1DED">
      <w:pPr>
        <w:numPr>
          <w:ilvl w:val="1"/>
          <w:numId w:val="87"/>
        </w:numPr>
        <w:rPr>
          <w:rFonts w:eastAsiaTheme="majorEastAsia"/>
          <w:color w:val="000000" w:themeColor="text1"/>
        </w:rPr>
      </w:pPr>
      <w:r w:rsidRPr="003C66A0">
        <w:rPr>
          <w:rFonts w:eastAsiaTheme="majorEastAsia"/>
          <w:color w:val="000000" w:themeColor="text1"/>
        </w:rPr>
        <w:t>Key learnings and advice</w:t>
      </w:r>
    </w:p>
    <w:p w14:paraId="6EFAE8C0" w14:textId="77777777" w:rsidR="00B216F7" w:rsidRPr="003C66A0" w:rsidRDefault="00B216F7" w:rsidP="00AE1DED">
      <w:pPr>
        <w:numPr>
          <w:ilvl w:val="1"/>
          <w:numId w:val="87"/>
        </w:numPr>
        <w:rPr>
          <w:rFonts w:eastAsiaTheme="majorEastAsia"/>
          <w:color w:val="000000" w:themeColor="text1"/>
        </w:rPr>
      </w:pPr>
      <w:r w:rsidRPr="003C66A0">
        <w:rPr>
          <w:rFonts w:eastAsiaTheme="majorEastAsia"/>
          <w:color w:val="000000" w:themeColor="text1"/>
        </w:rPr>
        <w:t>What would be done differently</w:t>
      </w:r>
    </w:p>
    <w:p w14:paraId="457119B9" w14:textId="77777777" w:rsidR="00B216F7" w:rsidRPr="003C66A0" w:rsidRDefault="00B216F7" w:rsidP="00AE1DED">
      <w:pPr>
        <w:rPr>
          <w:rFonts w:eastAsiaTheme="majorEastAsia"/>
          <w:b/>
          <w:bCs/>
          <w:color w:val="000000" w:themeColor="text1"/>
        </w:rPr>
      </w:pPr>
      <w:r w:rsidRPr="003C66A0">
        <w:rPr>
          <w:rFonts w:eastAsiaTheme="majorEastAsia"/>
          <w:b/>
          <w:bCs/>
          <w:color w:val="000000" w:themeColor="text1"/>
        </w:rPr>
        <w:br w:type="page"/>
      </w:r>
    </w:p>
    <w:p w14:paraId="716E04B8" w14:textId="7CB8F4EA" w:rsidR="008750EF" w:rsidRDefault="008750EF" w:rsidP="00AE1DED">
      <w:pPr>
        <w:pStyle w:val="Heading2"/>
        <w:rPr>
          <w:rFonts w:eastAsiaTheme="majorEastAsia"/>
        </w:rPr>
      </w:pPr>
      <w:bookmarkStart w:id="266" w:name="_Toc214722072"/>
      <w:r w:rsidRPr="003C66A0">
        <w:rPr>
          <w:rFonts w:eastAsiaTheme="majorEastAsia"/>
        </w:rPr>
        <w:lastRenderedPageBreak/>
        <w:t xml:space="preserve">APPENDIX </w:t>
      </w:r>
      <w:r w:rsidR="00E26ED1" w:rsidRPr="003C66A0">
        <w:rPr>
          <w:rFonts w:eastAsiaTheme="majorEastAsia"/>
        </w:rPr>
        <w:t>C</w:t>
      </w:r>
      <w:r w:rsidRPr="003C66A0">
        <w:rPr>
          <w:rFonts w:eastAsiaTheme="majorEastAsia"/>
        </w:rPr>
        <w:t>: Statistical Tests and Assumptions</w:t>
      </w:r>
      <w:bookmarkEnd w:id="266"/>
    </w:p>
    <w:p w14:paraId="6F4EC24E" w14:textId="77777777" w:rsidR="004E10FD" w:rsidRPr="004E10FD" w:rsidRDefault="004E10FD" w:rsidP="00AE1DED">
      <w:pPr>
        <w:rPr>
          <w:rFonts w:eastAsiaTheme="majorEastAsia"/>
        </w:rPr>
      </w:pPr>
    </w:p>
    <w:p w14:paraId="24B7F3DE" w14:textId="24837DBF" w:rsidR="008750EF" w:rsidRDefault="008750EF" w:rsidP="00AE1DED">
      <w:pPr>
        <w:pStyle w:val="Heading3"/>
        <w:rPr>
          <w:rFonts w:eastAsiaTheme="majorEastAsia"/>
        </w:rPr>
      </w:pPr>
      <w:bookmarkStart w:id="267" w:name="_Toc214722073"/>
      <w:r w:rsidRPr="003C66A0">
        <w:rPr>
          <w:rFonts w:eastAsiaTheme="majorEastAsia"/>
        </w:rPr>
        <w:t xml:space="preserve">Table </w:t>
      </w:r>
      <w:r w:rsidR="00E26ED1" w:rsidRPr="003C66A0">
        <w:rPr>
          <w:rFonts w:eastAsiaTheme="majorEastAsia"/>
        </w:rPr>
        <w:t>C</w:t>
      </w:r>
      <w:r w:rsidRPr="003C66A0">
        <w:rPr>
          <w:rFonts w:eastAsiaTheme="majorEastAsia"/>
        </w:rPr>
        <w:t>.1: Primary Statistical Tests Employed</w:t>
      </w:r>
      <w:bookmarkEnd w:id="267"/>
    </w:p>
    <w:p w14:paraId="621A98C6" w14:textId="77777777" w:rsidR="004E10FD" w:rsidRPr="004E10FD" w:rsidRDefault="004E10FD" w:rsidP="00AE1DED">
      <w:pPr>
        <w:rPr>
          <w:rFonts w:eastAsiaTheme="majorEastAsia"/>
        </w:rPr>
      </w:pPr>
    </w:p>
    <w:tbl>
      <w:tblPr>
        <w:tblW w:w="9350" w:type="dxa"/>
        <w:tblLook w:val="04A0" w:firstRow="1" w:lastRow="0" w:firstColumn="1" w:lastColumn="0" w:noHBand="0" w:noVBand="1"/>
      </w:tblPr>
      <w:tblGrid>
        <w:gridCol w:w="2150"/>
        <w:gridCol w:w="1890"/>
        <w:gridCol w:w="2430"/>
        <w:gridCol w:w="2880"/>
      </w:tblGrid>
      <w:tr w:rsidR="00FC334A" w:rsidRPr="003C66A0" w14:paraId="41A52DB7" w14:textId="77777777" w:rsidTr="002708E6">
        <w:trPr>
          <w:trHeight w:val="360"/>
        </w:trPr>
        <w:tc>
          <w:tcPr>
            <w:tcW w:w="215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0CAC2585" w14:textId="77777777" w:rsidR="002708E6" w:rsidRPr="003C66A0" w:rsidRDefault="002708E6" w:rsidP="00AE1DED">
            <w:pPr>
              <w:jc w:val="center"/>
              <w:rPr>
                <w:b/>
                <w:bCs/>
                <w:color w:val="000000" w:themeColor="text1"/>
              </w:rPr>
            </w:pPr>
            <w:r w:rsidRPr="003C66A0">
              <w:rPr>
                <w:b/>
                <w:bCs/>
                <w:color w:val="000000" w:themeColor="text1"/>
              </w:rPr>
              <w:t>Analysis Type</w:t>
            </w:r>
          </w:p>
        </w:tc>
        <w:tc>
          <w:tcPr>
            <w:tcW w:w="1890" w:type="dxa"/>
            <w:tcBorders>
              <w:top w:val="single" w:sz="8" w:space="0" w:color="auto"/>
              <w:left w:val="nil"/>
              <w:bottom w:val="single" w:sz="8" w:space="0" w:color="auto"/>
              <w:right w:val="single" w:sz="4" w:space="0" w:color="auto"/>
            </w:tcBorders>
            <w:shd w:val="clear" w:color="000000" w:fill="D9D9D9"/>
            <w:vAlign w:val="center"/>
            <w:hideMark/>
          </w:tcPr>
          <w:p w14:paraId="4328230D" w14:textId="77777777" w:rsidR="002708E6" w:rsidRPr="003C66A0" w:rsidRDefault="002708E6" w:rsidP="00AE1DED">
            <w:pPr>
              <w:jc w:val="center"/>
              <w:rPr>
                <w:b/>
                <w:bCs/>
                <w:color w:val="000000" w:themeColor="text1"/>
              </w:rPr>
            </w:pPr>
            <w:r w:rsidRPr="003C66A0">
              <w:rPr>
                <w:b/>
                <w:bCs/>
                <w:color w:val="000000" w:themeColor="text1"/>
              </w:rPr>
              <w:t>Test Used</w:t>
            </w:r>
          </w:p>
        </w:tc>
        <w:tc>
          <w:tcPr>
            <w:tcW w:w="2430" w:type="dxa"/>
            <w:tcBorders>
              <w:top w:val="single" w:sz="8" w:space="0" w:color="auto"/>
              <w:left w:val="nil"/>
              <w:bottom w:val="single" w:sz="8" w:space="0" w:color="auto"/>
              <w:right w:val="single" w:sz="4" w:space="0" w:color="auto"/>
            </w:tcBorders>
            <w:shd w:val="clear" w:color="000000" w:fill="D9D9D9"/>
            <w:vAlign w:val="center"/>
            <w:hideMark/>
          </w:tcPr>
          <w:p w14:paraId="75D58B5A" w14:textId="77777777" w:rsidR="002708E6" w:rsidRPr="003C66A0" w:rsidRDefault="002708E6" w:rsidP="00AE1DED">
            <w:pPr>
              <w:jc w:val="center"/>
              <w:rPr>
                <w:b/>
                <w:bCs/>
                <w:color w:val="000000" w:themeColor="text1"/>
              </w:rPr>
            </w:pPr>
            <w:r w:rsidRPr="003C66A0">
              <w:rPr>
                <w:b/>
                <w:bCs/>
                <w:color w:val="000000" w:themeColor="text1"/>
              </w:rPr>
              <w:t>Assumptions Tested</w:t>
            </w:r>
          </w:p>
        </w:tc>
        <w:tc>
          <w:tcPr>
            <w:tcW w:w="2880" w:type="dxa"/>
            <w:tcBorders>
              <w:top w:val="single" w:sz="8" w:space="0" w:color="auto"/>
              <w:left w:val="nil"/>
              <w:bottom w:val="single" w:sz="8" w:space="0" w:color="auto"/>
              <w:right w:val="single" w:sz="8" w:space="0" w:color="auto"/>
            </w:tcBorders>
            <w:shd w:val="clear" w:color="000000" w:fill="D9D9D9"/>
            <w:vAlign w:val="center"/>
            <w:hideMark/>
          </w:tcPr>
          <w:p w14:paraId="1C4FEF89" w14:textId="77777777" w:rsidR="002708E6" w:rsidRPr="003C66A0" w:rsidRDefault="002708E6" w:rsidP="00AE1DED">
            <w:pPr>
              <w:jc w:val="center"/>
              <w:rPr>
                <w:b/>
                <w:bCs/>
                <w:color w:val="000000" w:themeColor="text1"/>
              </w:rPr>
            </w:pPr>
            <w:r w:rsidRPr="003C66A0">
              <w:rPr>
                <w:b/>
                <w:bCs/>
                <w:color w:val="000000" w:themeColor="text1"/>
              </w:rPr>
              <w:t>Violations Handled</w:t>
            </w:r>
          </w:p>
        </w:tc>
      </w:tr>
      <w:tr w:rsidR="00FC334A" w:rsidRPr="003C66A0" w14:paraId="3D7E97ED" w14:textId="77777777" w:rsidTr="002708E6">
        <w:trPr>
          <w:trHeight w:val="340"/>
        </w:trPr>
        <w:tc>
          <w:tcPr>
            <w:tcW w:w="2150" w:type="dxa"/>
            <w:tcBorders>
              <w:top w:val="nil"/>
              <w:left w:val="single" w:sz="8" w:space="0" w:color="auto"/>
              <w:bottom w:val="single" w:sz="4" w:space="0" w:color="auto"/>
              <w:right w:val="single" w:sz="8" w:space="0" w:color="auto"/>
            </w:tcBorders>
            <w:shd w:val="clear" w:color="000000" w:fill="D9D9D9"/>
            <w:vAlign w:val="center"/>
            <w:hideMark/>
          </w:tcPr>
          <w:p w14:paraId="78D7A23D" w14:textId="77777777" w:rsidR="002708E6" w:rsidRPr="003C66A0" w:rsidRDefault="002708E6" w:rsidP="00AE1DED">
            <w:pPr>
              <w:rPr>
                <w:b/>
                <w:bCs/>
                <w:color w:val="000000" w:themeColor="text1"/>
              </w:rPr>
            </w:pPr>
            <w:r w:rsidRPr="003C66A0">
              <w:rPr>
                <w:b/>
                <w:bCs/>
                <w:color w:val="000000" w:themeColor="text1"/>
              </w:rPr>
              <w:t>Return Distributions</w:t>
            </w:r>
          </w:p>
        </w:tc>
        <w:tc>
          <w:tcPr>
            <w:tcW w:w="1890" w:type="dxa"/>
            <w:tcBorders>
              <w:top w:val="nil"/>
              <w:left w:val="nil"/>
              <w:bottom w:val="single" w:sz="4" w:space="0" w:color="auto"/>
              <w:right w:val="single" w:sz="4" w:space="0" w:color="auto"/>
            </w:tcBorders>
            <w:vAlign w:val="center"/>
            <w:hideMark/>
          </w:tcPr>
          <w:p w14:paraId="0377F96C" w14:textId="77777777" w:rsidR="002708E6" w:rsidRPr="003C66A0" w:rsidRDefault="002708E6" w:rsidP="00AE1DED">
            <w:pPr>
              <w:rPr>
                <w:color w:val="000000" w:themeColor="text1"/>
              </w:rPr>
            </w:pPr>
            <w:r w:rsidRPr="003C66A0">
              <w:rPr>
                <w:color w:val="000000" w:themeColor="text1"/>
              </w:rPr>
              <w:t> </w:t>
            </w:r>
          </w:p>
        </w:tc>
        <w:tc>
          <w:tcPr>
            <w:tcW w:w="2430" w:type="dxa"/>
            <w:tcBorders>
              <w:top w:val="nil"/>
              <w:left w:val="nil"/>
              <w:bottom w:val="single" w:sz="4" w:space="0" w:color="auto"/>
              <w:right w:val="single" w:sz="4" w:space="0" w:color="auto"/>
            </w:tcBorders>
            <w:vAlign w:val="center"/>
            <w:hideMark/>
          </w:tcPr>
          <w:p w14:paraId="2CA85012" w14:textId="77777777" w:rsidR="002708E6" w:rsidRPr="003C66A0" w:rsidRDefault="002708E6" w:rsidP="00AE1DED">
            <w:pPr>
              <w:rPr>
                <w:color w:val="000000" w:themeColor="text1"/>
              </w:rPr>
            </w:pPr>
            <w:r w:rsidRPr="003C66A0">
              <w:rPr>
                <w:color w:val="000000" w:themeColor="text1"/>
              </w:rPr>
              <w:t> </w:t>
            </w:r>
          </w:p>
        </w:tc>
        <w:tc>
          <w:tcPr>
            <w:tcW w:w="2880" w:type="dxa"/>
            <w:tcBorders>
              <w:top w:val="nil"/>
              <w:left w:val="nil"/>
              <w:bottom w:val="single" w:sz="4" w:space="0" w:color="auto"/>
              <w:right w:val="single" w:sz="8" w:space="0" w:color="auto"/>
            </w:tcBorders>
            <w:vAlign w:val="center"/>
            <w:hideMark/>
          </w:tcPr>
          <w:p w14:paraId="50147FFB" w14:textId="77777777" w:rsidR="002708E6" w:rsidRPr="003C66A0" w:rsidRDefault="002708E6" w:rsidP="00AE1DED">
            <w:pPr>
              <w:rPr>
                <w:color w:val="000000" w:themeColor="text1"/>
              </w:rPr>
            </w:pPr>
            <w:r w:rsidRPr="003C66A0">
              <w:rPr>
                <w:color w:val="000000" w:themeColor="text1"/>
              </w:rPr>
              <w:t> </w:t>
            </w:r>
          </w:p>
        </w:tc>
      </w:tr>
      <w:tr w:rsidR="00FC334A" w:rsidRPr="003C66A0" w14:paraId="0F91A32F" w14:textId="77777777" w:rsidTr="002708E6">
        <w:trPr>
          <w:trHeight w:val="340"/>
        </w:trPr>
        <w:tc>
          <w:tcPr>
            <w:tcW w:w="2150" w:type="dxa"/>
            <w:tcBorders>
              <w:top w:val="nil"/>
              <w:left w:val="single" w:sz="8" w:space="0" w:color="auto"/>
              <w:bottom w:val="single" w:sz="4" w:space="0" w:color="auto"/>
              <w:right w:val="single" w:sz="8" w:space="0" w:color="auto"/>
            </w:tcBorders>
            <w:shd w:val="clear" w:color="000000" w:fill="D9D9D9"/>
            <w:vAlign w:val="center"/>
            <w:hideMark/>
          </w:tcPr>
          <w:p w14:paraId="3C972D79" w14:textId="77777777" w:rsidR="002708E6" w:rsidRPr="003C66A0" w:rsidRDefault="002708E6" w:rsidP="00AE1DED">
            <w:pPr>
              <w:rPr>
                <w:color w:val="000000" w:themeColor="text1"/>
              </w:rPr>
            </w:pPr>
            <w:r w:rsidRPr="003C66A0">
              <w:rPr>
                <w:color w:val="000000" w:themeColor="text1"/>
              </w:rPr>
              <w:t>Normality</w:t>
            </w:r>
          </w:p>
        </w:tc>
        <w:tc>
          <w:tcPr>
            <w:tcW w:w="1890" w:type="dxa"/>
            <w:tcBorders>
              <w:top w:val="nil"/>
              <w:left w:val="nil"/>
              <w:bottom w:val="single" w:sz="4" w:space="0" w:color="auto"/>
              <w:right w:val="single" w:sz="4" w:space="0" w:color="auto"/>
            </w:tcBorders>
            <w:vAlign w:val="center"/>
            <w:hideMark/>
          </w:tcPr>
          <w:p w14:paraId="0EB854A6" w14:textId="77777777" w:rsidR="002708E6" w:rsidRPr="003C66A0" w:rsidRDefault="002708E6" w:rsidP="00AE1DED">
            <w:pPr>
              <w:rPr>
                <w:color w:val="000000" w:themeColor="text1"/>
              </w:rPr>
            </w:pPr>
            <w:r w:rsidRPr="003C66A0">
              <w:rPr>
                <w:color w:val="000000" w:themeColor="text1"/>
              </w:rPr>
              <w:t>Shapiro-Wilk</w:t>
            </w:r>
          </w:p>
        </w:tc>
        <w:tc>
          <w:tcPr>
            <w:tcW w:w="2430" w:type="dxa"/>
            <w:tcBorders>
              <w:top w:val="nil"/>
              <w:left w:val="nil"/>
              <w:bottom w:val="single" w:sz="4" w:space="0" w:color="auto"/>
              <w:right w:val="single" w:sz="4" w:space="0" w:color="auto"/>
            </w:tcBorders>
            <w:vAlign w:val="center"/>
            <w:hideMark/>
          </w:tcPr>
          <w:p w14:paraId="5094280A" w14:textId="77777777" w:rsidR="002708E6" w:rsidRPr="003C66A0" w:rsidRDefault="002708E6" w:rsidP="00AE1DED">
            <w:pPr>
              <w:rPr>
                <w:color w:val="000000" w:themeColor="text1"/>
              </w:rPr>
            </w:pPr>
            <w:r w:rsidRPr="003C66A0">
              <w:rPr>
                <w:color w:val="000000" w:themeColor="text1"/>
              </w:rPr>
              <w:t>p &lt; 0.001 (rejected)</w:t>
            </w:r>
          </w:p>
        </w:tc>
        <w:tc>
          <w:tcPr>
            <w:tcW w:w="2880" w:type="dxa"/>
            <w:tcBorders>
              <w:top w:val="nil"/>
              <w:left w:val="nil"/>
              <w:bottom w:val="single" w:sz="4" w:space="0" w:color="auto"/>
              <w:right w:val="single" w:sz="8" w:space="0" w:color="auto"/>
            </w:tcBorders>
            <w:vAlign w:val="center"/>
            <w:hideMark/>
          </w:tcPr>
          <w:p w14:paraId="5ED0E943" w14:textId="77777777" w:rsidR="002708E6" w:rsidRPr="003C66A0" w:rsidRDefault="002708E6" w:rsidP="00AE1DED">
            <w:pPr>
              <w:rPr>
                <w:color w:val="000000" w:themeColor="text1"/>
              </w:rPr>
            </w:pPr>
            <w:r w:rsidRPr="003C66A0">
              <w:rPr>
                <w:color w:val="000000" w:themeColor="text1"/>
              </w:rPr>
              <w:t>Used non-parametric methods</w:t>
            </w:r>
          </w:p>
        </w:tc>
      </w:tr>
      <w:tr w:rsidR="00FC334A" w:rsidRPr="003C66A0" w14:paraId="35B66D20" w14:textId="77777777" w:rsidTr="002708E6">
        <w:trPr>
          <w:trHeight w:val="340"/>
        </w:trPr>
        <w:tc>
          <w:tcPr>
            <w:tcW w:w="2150" w:type="dxa"/>
            <w:tcBorders>
              <w:top w:val="nil"/>
              <w:left w:val="single" w:sz="8" w:space="0" w:color="auto"/>
              <w:bottom w:val="single" w:sz="4" w:space="0" w:color="auto"/>
              <w:right w:val="single" w:sz="8" w:space="0" w:color="auto"/>
            </w:tcBorders>
            <w:shd w:val="clear" w:color="000000" w:fill="D9D9D9"/>
            <w:vAlign w:val="center"/>
            <w:hideMark/>
          </w:tcPr>
          <w:p w14:paraId="612DEE81" w14:textId="77777777" w:rsidR="002708E6" w:rsidRPr="003C66A0" w:rsidRDefault="002708E6" w:rsidP="00AE1DED">
            <w:pPr>
              <w:rPr>
                <w:color w:val="000000" w:themeColor="text1"/>
              </w:rPr>
            </w:pPr>
            <w:r w:rsidRPr="003C66A0">
              <w:rPr>
                <w:color w:val="000000" w:themeColor="text1"/>
              </w:rPr>
              <w:t>Skewness</w:t>
            </w:r>
          </w:p>
        </w:tc>
        <w:tc>
          <w:tcPr>
            <w:tcW w:w="1890" w:type="dxa"/>
            <w:tcBorders>
              <w:top w:val="nil"/>
              <w:left w:val="nil"/>
              <w:bottom w:val="single" w:sz="4" w:space="0" w:color="auto"/>
              <w:right w:val="single" w:sz="4" w:space="0" w:color="auto"/>
            </w:tcBorders>
            <w:vAlign w:val="center"/>
            <w:hideMark/>
          </w:tcPr>
          <w:p w14:paraId="3A23C00D" w14:textId="77777777" w:rsidR="002708E6" w:rsidRPr="003C66A0" w:rsidRDefault="002708E6" w:rsidP="00AE1DED">
            <w:pPr>
              <w:rPr>
                <w:color w:val="000000" w:themeColor="text1"/>
              </w:rPr>
            </w:pPr>
            <w:r w:rsidRPr="003C66A0">
              <w:rPr>
                <w:color w:val="000000" w:themeColor="text1"/>
              </w:rPr>
              <w:t>D'Agostino</w:t>
            </w:r>
          </w:p>
        </w:tc>
        <w:tc>
          <w:tcPr>
            <w:tcW w:w="2430" w:type="dxa"/>
            <w:tcBorders>
              <w:top w:val="nil"/>
              <w:left w:val="nil"/>
              <w:bottom w:val="single" w:sz="4" w:space="0" w:color="auto"/>
              <w:right w:val="single" w:sz="4" w:space="0" w:color="auto"/>
            </w:tcBorders>
            <w:vAlign w:val="center"/>
            <w:hideMark/>
          </w:tcPr>
          <w:p w14:paraId="088B8FDD" w14:textId="77777777" w:rsidR="002708E6" w:rsidRPr="003C66A0" w:rsidRDefault="002708E6" w:rsidP="00AE1DED">
            <w:pPr>
              <w:rPr>
                <w:color w:val="000000" w:themeColor="text1"/>
              </w:rPr>
            </w:pPr>
            <w:r w:rsidRPr="003C66A0">
              <w:rPr>
                <w:color w:val="000000" w:themeColor="text1"/>
              </w:rPr>
              <w:t>γ₁ = 2.3 (positive)</w:t>
            </w:r>
          </w:p>
        </w:tc>
        <w:tc>
          <w:tcPr>
            <w:tcW w:w="2880" w:type="dxa"/>
            <w:tcBorders>
              <w:top w:val="nil"/>
              <w:left w:val="nil"/>
              <w:bottom w:val="single" w:sz="4" w:space="0" w:color="auto"/>
              <w:right w:val="single" w:sz="8" w:space="0" w:color="auto"/>
            </w:tcBorders>
            <w:vAlign w:val="center"/>
            <w:hideMark/>
          </w:tcPr>
          <w:p w14:paraId="6D1ABC4B" w14:textId="77777777" w:rsidR="002708E6" w:rsidRPr="003C66A0" w:rsidRDefault="002708E6" w:rsidP="00AE1DED">
            <w:pPr>
              <w:rPr>
                <w:color w:val="000000" w:themeColor="text1"/>
              </w:rPr>
            </w:pPr>
            <w:r w:rsidRPr="003C66A0">
              <w:rPr>
                <w:color w:val="000000" w:themeColor="text1"/>
              </w:rPr>
              <w:t>Log transformation where appropriate</w:t>
            </w:r>
          </w:p>
        </w:tc>
      </w:tr>
      <w:tr w:rsidR="00FC334A" w:rsidRPr="003C66A0" w14:paraId="6315B534" w14:textId="77777777" w:rsidTr="002708E6">
        <w:trPr>
          <w:trHeight w:val="340"/>
        </w:trPr>
        <w:tc>
          <w:tcPr>
            <w:tcW w:w="2150" w:type="dxa"/>
            <w:tcBorders>
              <w:top w:val="nil"/>
              <w:left w:val="single" w:sz="8" w:space="0" w:color="auto"/>
              <w:bottom w:val="single" w:sz="4" w:space="0" w:color="auto"/>
              <w:right w:val="single" w:sz="8" w:space="0" w:color="auto"/>
            </w:tcBorders>
            <w:shd w:val="clear" w:color="000000" w:fill="D9D9D9"/>
            <w:vAlign w:val="center"/>
            <w:hideMark/>
          </w:tcPr>
          <w:p w14:paraId="32854369" w14:textId="77777777" w:rsidR="002708E6" w:rsidRPr="003C66A0" w:rsidRDefault="002708E6" w:rsidP="00AE1DED">
            <w:pPr>
              <w:rPr>
                <w:color w:val="000000" w:themeColor="text1"/>
              </w:rPr>
            </w:pPr>
            <w:r w:rsidRPr="003C66A0">
              <w:rPr>
                <w:color w:val="000000" w:themeColor="text1"/>
              </w:rPr>
              <w:t>Kurtosis</w:t>
            </w:r>
          </w:p>
        </w:tc>
        <w:tc>
          <w:tcPr>
            <w:tcW w:w="1890" w:type="dxa"/>
            <w:tcBorders>
              <w:top w:val="nil"/>
              <w:left w:val="nil"/>
              <w:bottom w:val="single" w:sz="4" w:space="0" w:color="auto"/>
              <w:right w:val="single" w:sz="4" w:space="0" w:color="auto"/>
            </w:tcBorders>
            <w:vAlign w:val="center"/>
            <w:hideMark/>
          </w:tcPr>
          <w:p w14:paraId="3D77E45E" w14:textId="77777777" w:rsidR="002708E6" w:rsidRPr="003C66A0" w:rsidRDefault="002708E6" w:rsidP="00AE1DED">
            <w:pPr>
              <w:rPr>
                <w:color w:val="000000" w:themeColor="text1"/>
              </w:rPr>
            </w:pPr>
            <w:r w:rsidRPr="003C66A0">
              <w:rPr>
                <w:color w:val="000000" w:themeColor="text1"/>
              </w:rPr>
              <w:t>Anscombe-Glynn</w:t>
            </w:r>
          </w:p>
        </w:tc>
        <w:tc>
          <w:tcPr>
            <w:tcW w:w="2430" w:type="dxa"/>
            <w:tcBorders>
              <w:top w:val="nil"/>
              <w:left w:val="nil"/>
              <w:bottom w:val="single" w:sz="4" w:space="0" w:color="auto"/>
              <w:right w:val="single" w:sz="4" w:space="0" w:color="auto"/>
            </w:tcBorders>
            <w:vAlign w:val="center"/>
            <w:hideMark/>
          </w:tcPr>
          <w:p w14:paraId="3B80C017" w14:textId="77777777" w:rsidR="002708E6" w:rsidRPr="003C66A0" w:rsidRDefault="002708E6" w:rsidP="00AE1DED">
            <w:pPr>
              <w:rPr>
                <w:color w:val="000000" w:themeColor="text1"/>
              </w:rPr>
            </w:pPr>
            <w:r w:rsidRPr="003C66A0">
              <w:rPr>
                <w:color w:val="000000" w:themeColor="text1"/>
              </w:rPr>
              <w:t>γ₂ = 7.8 (leptokurtic)</w:t>
            </w:r>
          </w:p>
        </w:tc>
        <w:tc>
          <w:tcPr>
            <w:tcW w:w="2880" w:type="dxa"/>
            <w:tcBorders>
              <w:top w:val="nil"/>
              <w:left w:val="nil"/>
              <w:bottom w:val="single" w:sz="4" w:space="0" w:color="auto"/>
              <w:right w:val="single" w:sz="8" w:space="0" w:color="auto"/>
            </w:tcBorders>
            <w:vAlign w:val="center"/>
            <w:hideMark/>
          </w:tcPr>
          <w:p w14:paraId="5556194E" w14:textId="77777777" w:rsidR="002708E6" w:rsidRPr="003C66A0" w:rsidRDefault="002708E6" w:rsidP="00AE1DED">
            <w:pPr>
              <w:rPr>
                <w:color w:val="000000" w:themeColor="text1"/>
              </w:rPr>
            </w:pPr>
            <w:r w:rsidRPr="003C66A0">
              <w:rPr>
                <w:color w:val="000000" w:themeColor="text1"/>
              </w:rPr>
              <w:t>Robust standard errors</w:t>
            </w:r>
          </w:p>
        </w:tc>
      </w:tr>
      <w:tr w:rsidR="00FC334A" w:rsidRPr="003C66A0" w14:paraId="3C4C3429" w14:textId="77777777" w:rsidTr="002708E6">
        <w:trPr>
          <w:trHeight w:val="340"/>
        </w:trPr>
        <w:tc>
          <w:tcPr>
            <w:tcW w:w="2150" w:type="dxa"/>
            <w:tcBorders>
              <w:top w:val="nil"/>
              <w:left w:val="single" w:sz="8" w:space="0" w:color="auto"/>
              <w:bottom w:val="single" w:sz="4" w:space="0" w:color="auto"/>
              <w:right w:val="single" w:sz="8" w:space="0" w:color="auto"/>
            </w:tcBorders>
            <w:shd w:val="clear" w:color="000000" w:fill="D9D9D9"/>
            <w:vAlign w:val="center"/>
            <w:hideMark/>
          </w:tcPr>
          <w:p w14:paraId="52D56CFF" w14:textId="77777777" w:rsidR="002708E6" w:rsidRPr="003C66A0" w:rsidRDefault="002708E6" w:rsidP="00AE1DED">
            <w:pPr>
              <w:rPr>
                <w:b/>
                <w:bCs/>
                <w:color w:val="000000" w:themeColor="text1"/>
              </w:rPr>
            </w:pPr>
            <w:r w:rsidRPr="003C66A0">
              <w:rPr>
                <w:b/>
                <w:bCs/>
                <w:color w:val="000000" w:themeColor="text1"/>
              </w:rPr>
              <w:t>Group Comparisons</w:t>
            </w:r>
          </w:p>
        </w:tc>
        <w:tc>
          <w:tcPr>
            <w:tcW w:w="1890" w:type="dxa"/>
            <w:tcBorders>
              <w:top w:val="nil"/>
              <w:left w:val="nil"/>
              <w:bottom w:val="single" w:sz="4" w:space="0" w:color="auto"/>
              <w:right w:val="single" w:sz="4" w:space="0" w:color="auto"/>
            </w:tcBorders>
            <w:vAlign w:val="center"/>
            <w:hideMark/>
          </w:tcPr>
          <w:p w14:paraId="60C35C0F" w14:textId="77777777" w:rsidR="002708E6" w:rsidRPr="003C66A0" w:rsidRDefault="002708E6" w:rsidP="00AE1DED">
            <w:pPr>
              <w:rPr>
                <w:color w:val="000000" w:themeColor="text1"/>
              </w:rPr>
            </w:pPr>
            <w:r w:rsidRPr="003C66A0">
              <w:rPr>
                <w:color w:val="000000" w:themeColor="text1"/>
              </w:rPr>
              <w:t> </w:t>
            </w:r>
          </w:p>
        </w:tc>
        <w:tc>
          <w:tcPr>
            <w:tcW w:w="2430" w:type="dxa"/>
            <w:tcBorders>
              <w:top w:val="nil"/>
              <w:left w:val="nil"/>
              <w:bottom w:val="single" w:sz="4" w:space="0" w:color="auto"/>
              <w:right w:val="single" w:sz="4" w:space="0" w:color="auto"/>
            </w:tcBorders>
            <w:vAlign w:val="center"/>
            <w:hideMark/>
          </w:tcPr>
          <w:p w14:paraId="41AF9B18" w14:textId="77777777" w:rsidR="002708E6" w:rsidRPr="003C66A0" w:rsidRDefault="002708E6" w:rsidP="00AE1DED">
            <w:pPr>
              <w:rPr>
                <w:color w:val="000000" w:themeColor="text1"/>
              </w:rPr>
            </w:pPr>
            <w:r w:rsidRPr="003C66A0">
              <w:rPr>
                <w:color w:val="000000" w:themeColor="text1"/>
              </w:rPr>
              <w:t> </w:t>
            </w:r>
          </w:p>
        </w:tc>
        <w:tc>
          <w:tcPr>
            <w:tcW w:w="2880" w:type="dxa"/>
            <w:tcBorders>
              <w:top w:val="nil"/>
              <w:left w:val="nil"/>
              <w:bottom w:val="single" w:sz="4" w:space="0" w:color="auto"/>
              <w:right w:val="single" w:sz="8" w:space="0" w:color="auto"/>
            </w:tcBorders>
            <w:vAlign w:val="center"/>
            <w:hideMark/>
          </w:tcPr>
          <w:p w14:paraId="08DDB3ED" w14:textId="77777777" w:rsidR="002708E6" w:rsidRPr="003C66A0" w:rsidRDefault="002708E6" w:rsidP="00AE1DED">
            <w:pPr>
              <w:rPr>
                <w:color w:val="000000" w:themeColor="text1"/>
              </w:rPr>
            </w:pPr>
            <w:r w:rsidRPr="003C66A0">
              <w:rPr>
                <w:color w:val="000000" w:themeColor="text1"/>
              </w:rPr>
              <w:t> </w:t>
            </w:r>
          </w:p>
        </w:tc>
      </w:tr>
      <w:tr w:rsidR="00FC334A" w:rsidRPr="003C66A0" w14:paraId="3949831A" w14:textId="77777777" w:rsidTr="002708E6">
        <w:trPr>
          <w:trHeight w:val="340"/>
        </w:trPr>
        <w:tc>
          <w:tcPr>
            <w:tcW w:w="2150" w:type="dxa"/>
            <w:tcBorders>
              <w:top w:val="nil"/>
              <w:left w:val="single" w:sz="8" w:space="0" w:color="auto"/>
              <w:bottom w:val="single" w:sz="4" w:space="0" w:color="auto"/>
              <w:right w:val="single" w:sz="8" w:space="0" w:color="auto"/>
            </w:tcBorders>
            <w:shd w:val="clear" w:color="000000" w:fill="D9D9D9"/>
            <w:vAlign w:val="center"/>
            <w:hideMark/>
          </w:tcPr>
          <w:p w14:paraId="5279D10D" w14:textId="77777777" w:rsidR="002708E6" w:rsidRPr="003C66A0" w:rsidRDefault="002708E6" w:rsidP="00AE1DED">
            <w:pPr>
              <w:rPr>
                <w:color w:val="000000" w:themeColor="text1"/>
              </w:rPr>
            </w:pPr>
            <w:r w:rsidRPr="003C66A0">
              <w:rPr>
                <w:color w:val="000000" w:themeColor="text1"/>
              </w:rPr>
              <w:t>Strategy Performance</w:t>
            </w:r>
          </w:p>
        </w:tc>
        <w:tc>
          <w:tcPr>
            <w:tcW w:w="1890" w:type="dxa"/>
            <w:tcBorders>
              <w:top w:val="nil"/>
              <w:left w:val="nil"/>
              <w:bottom w:val="single" w:sz="4" w:space="0" w:color="auto"/>
              <w:right w:val="single" w:sz="4" w:space="0" w:color="auto"/>
            </w:tcBorders>
            <w:vAlign w:val="center"/>
            <w:hideMark/>
          </w:tcPr>
          <w:p w14:paraId="2655B67E" w14:textId="77777777" w:rsidR="002708E6" w:rsidRPr="003C66A0" w:rsidRDefault="002708E6" w:rsidP="00AE1DED">
            <w:pPr>
              <w:rPr>
                <w:color w:val="000000" w:themeColor="text1"/>
              </w:rPr>
            </w:pPr>
            <w:r w:rsidRPr="003C66A0">
              <w:rPr>
                <w:color w:val="000000" w:themeColor="text1"/>
              </w:rPr>
              <w:t>Kruskal-Wallis</w:t>
            </w:r>
          </w:p>
        </w:tc>
        <w:tc>
          <w:tcPr>
            <w:tcW w:w="2430" w:type="dxa"/>
            <w:tcBorders>
              <w:top w:val="nil"/>
              <w:left w:val="nil"/>
              <w:bottom w:val="single" w:sz="4" w:space="0" w:color="auto"/>
              <w:right w:val="single" w:sz="4" w:space="0" w:color="auto"/>
            </w:tcBorders>
            <w:vAlign w:val="center"/>
            <w:hideMark/>
          </w:tcPr>
          <w:p w14:paraId="4146C049" w14:textId="77777777" w:rsidR="002708E6" w:rsidRPr="003C66A0" w:rsidRDefault="002708E6" w:rsidP="00AE1DED">
            <w:pPr>
              <w:rPr>
                <w:color w:val="000000" w:themeColor="text1"/>
              </w:rPr>
            </w:pPr>
            <w:r w:rsidRPr="003C66A0">
              <w:rPr>
                <w:color w:val="000000" w:themeColor="text1"/>
              </w:rPr>
              <w:t>Non-normal distributions</w:t>
            </w:r>
          </w:p>
        </w:tc>
        <w:tc>
          <w:tcPr>
            <w:tcW w:w="2880" w:type="dxa"/>
            <w:tcBorders>
              <w:top w:val="nil"/>
              <w:left w:val="nil"/>
              <w:bottom w:val="single" w:sz="4" w:space="0" w:color="auto"/>
              <w:right w:val="single" w:sz="8" w:space="0" w:color="auto"/>
            </w:tcBorders>
            <w:vAlign w:val="center"/>
            <w:hideMark/>
          </w:tcPr>
          <w:p w14:paraId="524B996B" w14:textId="77777777" w:rsidR="002708E6" w:rsidRPr="003C66A0" w:rsidRDefault="002708E6" w:rsidP="00AE1DED">
            <w:pPr>
              <w:rPr>
                <w:color w:val="000000" w:themeColor="text1"/>
              </w:rPr>
            </w:pPr>
            <w:r w:rsidRPr="003C66A0">
              <w:rPr>
                <w:color w:val="000000" w:themeColor="text1"/>
              </w:rPr>
              <w:t>Post-hoc: Dunn's test with Bonferroni</w:t>
            </w:r>
          </w:p>
        </w:tc>
      </w:tr>
      <w:tr w:rsidR="00FC334A" w:rsidRPr="003C66A0" w14:paraId="6AB52A47" w14:textId="77777777" w:rsidTr="002708E6">
        <w:trPr>
          <w:trHeight w:val="340"/>
        </w:trPr>
        <w:tc>
          <w:tcPr>
            <w:tcW w:w="2150" w:type="dxa"/>
            <w:tcBorders>
              <w:top w:val="nil"/>
              <w:left w:val="single" w:sz="8" w:space="0" w:color="auto"/>
              <w:bottom w:val="single" w:sz="4" w:space="0" w:color="auto"/>
              <w:right w:val="single" w:sz="8" w:space="0" w:color="auto"/>
            </w:tcBorders>
            <w:shd w:val="clear" w:color="000000" w:fill="D9D9D9"/>
            <w:vAlign w:val="center"/>
            <w:hideMark/>
          </w:tcPr>
          <w:p w14:paraId="54373F21" w14:textId="77777777" w:rsidR="002708E6" w:rsidRPr="003C66A0" w:rsidRDefault="002708E6" w:rsidP="00AE1DED">
            <w:pPr>
              <w:rPr>
                <w:color w:val="000000" w:themeColor="text1"/>
              </w:rPr>
            </w:pPr>
            <w:r w:rsidRPr="003C66A0">
              <w:rPr>
                <w:color w:val="000000" w:themeColor="text1"/>
              </w:rPr>
              <w:t>Network Differences</w:t>
            </w:r>
          </w:p>
        </w:tc>
        <w:tc>
          <w:tcPr>
            <w:tcW w:w="1890" w:type="dxa"/>
            <w:tcBorders>
              <w:top w:val="nil"/>
              <w:left w:val="nil"/>
              <w:bottom w:val="single" w:sz="4" w:space="0" w:color="auto"/>
              <w:right w:val="single" w:sz="4" w:space="0" w:color="auto"/>
            </w:tcBorders>
            <w:vAlign w:val="center"/>
            <w:hideMark/>
          </w:tcPr>
          <w:p w14:paraId="667DC827" w14:textId="77777777" w:rsidR="002708E6" w:rsidRPr="003C66A0" w:rsidRDefault="002708E6" w:rsidP="00AE1DED">
            <w:pPr>
              <w:rPr>
                <w:color w:val="000000" w:themeColor="text1"/>
              </w:rPr>
            </w:pPr>
            <w:r w:rsidRPr="003C66A0">
              <w:rPr>
                <w:color w:val="000000" w:themeColor="text1"/>
              </w:rPr>
              <w:t>ANOVA (on ranks)</w:t>
            </w:r>
          </w:p>
        </w:tc>
        <w:tc>
          <w:tcPr>
            <w:tcW w:w="2430" w:type="dxa"/>
            <w:tcBorders>
              <w:top w:val="nil"/>
              <w:left w:val="nil"/>
              <w:bottom w:val="single" w:sz="4" w:space="0" w:color="auto"/>
              <w:right w:val="single" w:sz="4" w:space="0" w:color="auto"/>
            </w:tcBorders>
            <w:vAlign w:val="center"/>
            <w:hideMark/>
          </w:tcPr>
          <w:p w14:paraId="027460FB" w14:textId="77777777" w:rsidR="002708E6" w:rsidRPr="003C66A0" w:rsidRDefault="002708E6" w:rsidP="00AE1DED">
            <w:pPr>
              <w:rPr>
                <w:color w:val="000000" w:themeColor="text1"/>
              </w:rPr>
            </w:pPr>
            <w:r w:rsidRPr="003C66A0">
              <w:rPr>
                <w:color w:val="000000" w:themeColor="text1"/>
              </w:rPr>
              <w:t>Heteroscedasticity present</w:t>
            </w:r>
          </w:p>
        </w:tc>
        <w:tc>
          <w:tcPr>
            <w:tcW w:w="2880" w:type="dxa"/>
            <w:tcBorders>
              <w:top w:val="nil"/>
              <w:left w:val="nil"/>
              <w:bottom w:val="single" w:sz="4" w:space="0" w:color="auto"/>
              <w:right w:val="single" w:sz="8" w:space="0" w:color="auto"/>
            </w:tcBorders>
            <w:vAlign w:val="center"/>
            <w:hideMark/>
          </w:tcPr>
          <w:p w14:paraId="45B9245F" w14:textId="77777777" w:rsidR="002708E6" w:rsidRPr="003C66A0" w:rsidRDefault="002708E6" w:rsidP="00AE1DED">
            <w:pPr>
              <w:rPr>
                <w:color w:val="000000" w:themeColor="text1"/>
              </w:rPr>
            </w:pPr>
            <w:r w:rsidRPr="003C66A0">
              <w:rPr>
                <w:color w:val="000000" w:themeColor="text1"/>
              </w:rPr>
              <w:t>Welch's ANOVA variant</w:t>
            </w:r>
          </w:p>
        </w:tc>
      </w:tr>
      <w:tr w:rsidR="00FC334A" w:rsidRPr="003C66A0" w14:paraId="7FD645B2" w14:textId="77777777" w:rsidTr="002708E6">
        <w:trPr>
          <w:trHeight w:val="340"/>
        </w:trPr>
        <w:tc>
          <w:tcPr>
            <w:tcW w:w="2150" w:type="dxa"/>
            <w:tcBorders>
              <w:top w:val="nil"/>
              <w:left w:val="single" w:sz="8" w:space="0" w:color="auto"/>
              <w:bottom w:val="single" w:sz="4" w:space="0" w:color="auto"/>
              <w:right w:val="single" w:sz="8" w:space="0" w:color="auto"/>
            </w:tcBorders>
            <w:shd w:val="clear" w:color="000000" w:fill="D9D9D9"/>
            <w:vAlign w:val="center"/>
            <w:hideMark/>
          </w:tcPr>
          <w:p w14:paraId="4323C780" w14:textId="77777777" w:rsidR="002708E6" w:rsidRPr="003C66A0" w:rsidRDefault="002708E6" w:rsidP="00AE1DED">
            <w:pPr>
              <w:rPr>
                <w:color w:val="000000" w:themeColor="text1"/>
              </w:rPr>
            </w:pPr>
            <w:r w:rsidRPr="003C66A0">
              <w:rPr>
                <w:color w:val="000000" w:themeColor="text1"/>
              </w:rPr>
              <w:t>Time Period Effects</w:t>
            </w:r>
          </w:p>
        </w:tc>
        <w:tc>
          <w:tcPr>
            <w:tcW w:w="1890" w:type="dxa"/>
            <w:tcBorders>
              <w:top w:val="nil"/>
              <w:left w:val="nil"/>
              <w:bottom w:val="single" w:sz="4" w:space="0" w:color="auto"/>
              <w:right w:val="single" w:sz="4" w:space="0" w:color="auto"/>
            </w:tcBorders>
            <w:vAlign w:val="center"/>
            <w:hideMark/>
          </w:tcPr>
          <w:p w14:paraId="4EA94DF2" w14:textId="77777777" w:rsidR="002708E6" w:rsidRPr="003C66A0" w:rsidRDefault="002708E6" w:rsidP="00AE1DED">
            <w:pPr>
              <w:rPr>
                <w:color w:val="000000" w:themeColor="text1"/>
              </w:rPr>
            </w:pPr>
            <w:r w:rsidRPr="003C66A0">
              <w:rPr>
                <w:color w:val="000000" w:themeColor="text1"/>
              </w:rPr>
              <w:t>Repeated Measures</w:t>
            </w:r>
          </w:p>
        </w:tc>
        <w:tc>
          <w:tcPr>
            <w:tcW w:w="2430" w:type="dxa"/>
            <w:tcBorders>
              <w:top w:val="nil"/>
              <w:left w:val="nil"/>
              <w:bottom w:val="single" w:sz="4" w:space="0" w:color="auto"/>
              <w:right w:val="single" w:sz="4" w:space="0" w:color="auto"/>
            </w:tcBorders>
            <w:vAlign w:val="center"/>
            <w:hideMark/>
          </w:tcPr>
          <w:p w14:paraId="50200B97" w14:textId="77777777" w:rsidR="002708E6" w:rsidRPr="003C66A0" w:rsidRDefault="002708E6" w:rsidP="00AE1DED">
            <w:pPr>
              <w:rPr>
                <w:color w:val="000000" w:themeColor="text1"/>
              </w:rPr>
            </w:pPr>
            <w:r w:rsidRPr="003C66A0">
              <w:rPr>
                <w:color w:val="000000" w:themeColor="text1"/>
              </w:rPr>
              <w:t>Sphericity violated (ε=0.67)</w:t>
            </w:r>
          </w:p>
        </w:tc>
        <w:tc>
          <w:tcPr>
            <w:tcW w:w="2880" w:type="dxa"/>
            <w:tcBorders>
              <w:top w:val="nil"/>
              <w:left w:val="nil"/>
              <w:bottom w:val="single" w:sz="4" w:space="0" w:color="auto"/>
              <w:right w:val="single" w:sz="8" w:space="0" w:color="auto"/>
            </w:tcBorders>
            <w:vAlign w:val="center"/>
            <w:hideMark/>
          </w:tcPr>
          <w:p w14:paraId="78696F0D" w14:textId="77777777" w:rsidR="002708E6" w:rsidRPr="003C66A0" w:rsidRDefault="002708E6" w:rsidP="00AE1DED">
            <w:pPr>
              <w:rPr>
                <w:color w:val="000000" w:themeColor="text1"/>
              </w:rPr>
            </w:pPr>
            <w:r w:rsidRPr="003C66A0">
              <w:rPr>
                <w:color w:val="000000" w:themeColor="text1"/>
              </w:rPr>
              <w:t>Greenhouse-Geisser correction</w:t>
            </w:r>
          </w:p>
        </w:tc>
      </w:tr>
      <w:tr w:rsidR="00FC334A" w:rsidRPr="003C66A0" w14:paraId="704444F8" w14:textId="77777777" w:rsidTr="002708E6">
        <w:trPr>
          <w:trHeight w:val="340"/>
        </w:trPr>
        <w:tc>
          <w:tcPr>
            <w:tcW w:w="2150" w:type="dxa"/>
            <w:tcBorders>
              <w:top w:val="nil"/>
              <w:left w:val="single" w:sz="8" w:space="0" w:color="auto"/>
              <w:bottom w:val="single" w:sz="4" w:space="0" w:color="auto"/>
              <w:right w:val="single" w:sz="8" w:space="0" w:color="auto"/>
            </w:tcBorders>
            <w:shd w:val="clear" w:color="000000" w:fill="D9D9D9"/>
            <w:vAlign w:val="center"/>
            <w:hideMark/>
          </w:tcPr>
          <w:p w14:paraId="5A3CC728" w14:textId="77777777" w:rsidR="002708E6" w:rsidRPr="003C66A0" w:rsidRDefault="002708E6" w:rsidP="00AE1DED">
            <w:pPr>
              <w:rPr>
                <w:b/>
                <w:bCs/>
                <w:color w:val="000000" w:themeColor="text1"/>
              </w:rPr>
            </w:pPr>
            <w:r w:rsidRPr="003C66A0">
              <w:rPr>
                <w:b/>
                <w:bCs/>
                <w:color w:val="000000" w:themeColor="text1"/>
              </w:rPr>
              <w:t>Regression Analyses</w:t>
            </w:r>
          </w:p>
        </w:tc>
        <w:tc>
          <w:tcPr>
            <w:tcW w:w="1890" w:type="dxa"/>
            <w:tcBorders>
              <w:top w:val="nil"/>
              <w:left w:val="nil"/>
              <w:bottom w:val="single" w:sz="4" w:space="0" w:color="auto"/>
              <w:right w:val="single" w:sz="4" w:space="0" w:color="auto"/>
            </w:tcBorders>
            <w:vAlign w:val="center"/>
            <w:hideMark/>
          </w:tcPr>
          <w:p w14:paraId="68B12F5B" w14:textId="77777777" w:rsidR="002708E6" w:rsidRPr="003C66A0" w:rsidRDefault="002708E6" w:rsidP="00AE1DED">
            <w:pPr>
              <w:rPr>
                <w:color w:val="000000" w:themeColor="text1"/>
              </w:rPr>
            </w:pPr>
            <w:r w:rsidRPr="003C66A0">
              <w:rPr>
                <w:color w:val="000000" w:themeColor="text1"/>
              </w:rPr>
              <w:t> </w:t>
            </w:r>
          </w:p>
        </w:tc>
        <w:tc>
          <w:tcPr>
            <w:tcW w:w="2430" w:type="dxa"/>
            <w:tcBorders>
              <w:top w:val="nil"/>
              <w:left w:val="nil"/>
              <w:bottom w:val="single" w:sz="4" w:space="0" w:color="auto"/>
              <w:right w:val="single" w:sz="4" w:space="0" w:color="auto"/>
            </w:tcBorders>
            <w:vAlign w:val="center"/>
            <w:hideMark/>
          </w:tcPr>
          <w:p w14:paraId="7072B07D" w14:textId="77777777" w:rsidR="002708E6" w:rsidRPr="003C66A0" w:rsidRDefault="002708E6" w:rsidP="00AE1DED">
            <w:pPr>
              <w:rPr>
                <w:color w:val="000000" w:themeColor="text1"/>
              </w:rPr>
            </w:pPr>
            <w:r w:rsidRPr="003C66A0">
              <w:rPr>
                <w:color w:val="000000" w:themeColor="text1"/>
              </w:rPr>
              <w:t> </w:t>
            </w:r>
          </w:p>
        </w:tc>
        <w:tc>
          <w:tcPr>
            <w:tcW w:w="2880" w:type="dxa"/>
            <w:tcBorders>
              <w:top w:val="nil"/>
              <w:left w:val="nil"/>
              <w:bottom w:val="single" w:sz="4" w:space="0" w:color="auto"/>
              <w:right w:val="single" w:sz="8" w:space="0" w:color="auto"/>
            </w:tcBorders>
            <w:vAlign w:val="center"/>
            <w:hideMark/>
          </w:tcPr>
          <w:p w14:paraId="7AE9A3F7" w14:textId="77777777" w:rsidR="002708E6" w:rsidRPr="003C66A0" w:rsidRDefault="002708E6" w:rsidP="00AE1DED">
            <w:pPr>
              <w:rPr>
                <w:color w:val="000000" w:themeColor="text1"/>
              </w:rPr>
            </w:pPr>
            <w:r w:rsidRPr="003C66A0">
              <w:rPr>
                <w:color w:val="000000" w:themeColor="text1"/>
              </w:rPr>
              <w:t> </w:t>
            </w:r>
          </w:p>
        </w:tc>
      </w:tr>
      <w:tr w:rsidR="00FC334A" w:rsidRPr="003C66A0" w14:paraId="14B4354E" w14:textId="77777777" w:rsidTr="002708E6">
        <w:trPr>
          <w:trHeight w:val="340"/>
        </w:trPr>
        <w:tc>
          <w:tcPr>
            <w:tcW w:w="2150" w:type="dxa"/>
            <w:tcBorders>
              <w:top w:val="nil"/>
              <w:left w:val="single" w:sz="8" w:space="0" w:color="auto"/>
              <w:bottom w:val="single" w:sz="4" w:space="0" w:color="auto"/>
              <w:right w:val="single" w:sz="8" w:space="0" w:color="auto"/>
            </w:tcBorders>
            <w:shd w:val="clear" w:color="000000" w:fill="D9D9D9"/>
            <w:vAlign w:val="center"/>
            <w:hideMark/>
          </w:tcPr>
          <w:p w14:paraId="0616E33F" w14:textId="77777777" w:rsidR="002708E6" w:rsidRPr="003C66A0" w:rsidRDefault="002708E6" w:rsidP="00AE1DED">
            <w:pPr>
              <w:rPr>
                <w:color w:val="000000" w:themeColor="text1"/>
              </w:rPr>
            </w:pPr>
            <w:r w:rsidRPr="003C66A0">
              <w:rPr>
                <w:color w:val="000000" w:themeColor="text1"/>
              </w:rPr>
              <w:t>Return Predictors</w:t>
            </w:r>
          </w:p>
        </w:tc>
        <w:tc>
          <w:tcPr>
            <w:tcW w:w="1890" w:type="dxa"/>
            <w:tcBorders>
              <w:top w:val="nil"/>
              <w:left w:val="nil"/>
              <w:bottom w:val="single" w:sz="4" w:space="0" w:color="auto"/>
              <w:right w:val="single" w:sz="4" w:space="0" w:color="auto"/>
            </w:tcBorders>
            <w:vAlign w:val="center"/>
            <w:hideMark/>
          </w:tcPr>
          <w:p w14:paraId="371892D2" w14:textId="77777777" w:rsidR="002708E6" w:rsidRPr="003C66A0" w:rsidRDefault="002708E6" w:rsidP="00AE1DED">
            <w:pPr>
              <w:rPr>
                <w:color w:val="000000" w:themeColor="text1"/>
              </w:rPr>
            </w:pPr>
            <w:r w:rsidRPr="003C66A0">
              <w:rPr>
                <w:color w:val="000000" w:themeColor="text1"/>
              </w:rPr>
              <w:t>Multiple Linear</w:t>
            </w:r>
          </w:p>
        </w:tc>
        <w:tc>
          <w:tcPr>
            <w:tcW w:w="2430" w:type="dxa"/>
            <w:tcBorders>
              <w:top w:val="nil"/>
              <w:left w:val="nil"/>
              <w:bottom w:val="single" w:sz="4" w:space="0" w:color="auto"/>
              <w:right w:val="single" w:sz="4" w:space="0" w:color="auto"/>
            </w:tcBorders>
            <w:vAlign w:val="center"/>
            <w:hideMark/>
          </w:tcPr>
          <w:p w14:paraId="44C55F33" w14:textId="77777777" w:rsidR="002708E6" w:rsidRPr="003C66A0" w:rsidRDefault="002708E6" w:rsidP="00AE1DED">
            <w:pPr>
              <w:rPr>
                <w:color w:val="000000" w:themeColor="text1"/>
              </w:rPr>
            </w:pPr>
            <w:r w:rsidRPr="003C66A0">
              <w:rPr>
                <w:color w:val="000000" w:themeColor="text1"/>
              </w:rPr>
              <w:t>Multicollinearity (VIF&gt;5)</w:t>
            </w:r>
          </w:p>
        </w:tc>
        <w:tc>
          <w:tcPr>
            <w:tcW w:w="2880" w:type="dxa"/>
            <w:tcBorders>
              <w:top w:val="nil"/>
              <w:left w:val="nil"/>
              <w:bottom w:val="single" w:sz="4" w:space="0" w:color="auto"/>
              <w:right w:val="single" w:sz="8" w:space="0" w:color="auto"/>
            </w:tcBorders>
            <w:vAlign w:val="center"/>
            <w:hideMark/>
          </w:tcPr>
          <w:p w14:paraId="62E20A5B" w14:textId="77777777" w:rsidR="002708E6" w:rsidRPr="003C66A0" w:rsidRDefault="002708E6" w:rsidP="00AE1DED">
            <w:pPr>
              <w:rPr>
                <w:color w:val="000000" w:themeColor="text1"/>
              </w:rPr>
            </w:pPr>
            <w:r w:rsidRPr="003C66A0">
              <w:rPr>
                <w:color w:val="000000" w:themeColor="text1"/>
              </w:rPr>
              <w:t>Ridge regression (λ=0.1)</w:t>
            </w:r>
          </w:p>
        </w:tc>
      </w:tr>
      <w:tr w:rsidR="00FC334A" w:rsidRPr="003C66A0" w14:paraId="44919CF6" w14:textId="77777777" w:rsidTr="002708E6">
        <w:trPr>
          <w:trHeight w:val="340"/>
        </w:trPr>
        <w:tc>
          <w:tcPr>
            <w:tcW w:w="2150" w:type="dxa"/>
            <w:tcBorders>
              <w:top w:val="nil"/>
              <w:left w:val="single" w:sz="8" w:space="0" w:color="auto"/>
              <w:bottom w:val="single" w:sz="4" w:space="0" w:color="auto"/>
              <w:right w:val="single" w:sz="8" w:space="0" w:color="auto"/>
            </w:tcBorders>
            <w:shd w:val="clear" w:color="000000" w:fill="D9D9D9"/>
            <w:vAlign w:val="center"/>
            <w:hideMark/>
          </w:tcPr>
          <w:p w14:paraId="606DA88E" w14:textId="77777777" w:rsidR="002708E6" w:rsidRPr="003C66A0" w:rsidRDefault="002708E6" w:rsidP="00AE1DED">
            <w:pPr>
              <w:rPr>
                <w:color w:val="000000" w:themeColor="text1"/>
              </w:rPr>
            </w:pPr>
            <w:r w:rsidRPr="003C66A0">
              <w:rPr>
                <w:color w:val="000000" w:themeColor="text1"/>
              </w:rPr>
              <w:t>Risk Factors</w:t>
            </w:r>
          </w:p>
        </w:tc>
        <w:tc>
          <w:tcPr>
            <w:tcW w:w="1890" w:type="dxa"/>
            <w:tcBorders>
              <w:top w:val="nil"/>
              <w:left w:val="nil"/>
              <w:bottom w:val="single" w:sz="4" w:space="0" w:color="auto"/>
              <w:right w:val="single" w:sz="4" w:space="0" w:color="auto"/>
            </w:tcBorders>
            <w:vAlign w:val="center"/>
            <w:hideMark/>
          </w:tcPr>
          <w:p w14:paraId="69E84AC4" w14:textId="77777777" w:rsidR="002708E6" w:rsidRPr="003C66A0" w:rsidRDefault="002708E6" w:rsidP="00AE1DED">
            <w:pPr>
              <w:rPr>
                <w:color w:val="000000" w:themeColor="text1"/>
              </w:rPr>
            </w:pPr>
            <w:r w:rsidRPr="003C66A0">
              <w:rPr>
                <w:color w:val="000000" w:themeColor="text1"/>
              </w:rPr>
              <w:t>Logistic</w:t>
            </w:r>
          </w:p>
        </w:tc>
        <w:tc>
          <w:tcPr>
            <w:tcW w:w="2430" w:type="dxa"/>
            <w:tcBorders>
              <w:top w:val="nil"/>
              <w:left w:val="nil"/>
              <w:bottom w:val="single" w:sz="4" w:space="0" w:color="auto"/>
              <w:right w:val="single" w:sz="4" w:space="0" w:color="auto"/>
            </w:tcBorders>
            <w:vAlign w:val="center"/>
            <w:hideMark/>
          </w:tcPr>
          <w:p w14:paraId="0F8932B9" w14:textId="77777777" w:rsidR="002708E6" w:rsidRPr="003C66A0" w:rsidRDefault="002708E6" w:rsidP="00AE1DED">
            <w:pPr>
              <w:rPr>
                <w:color w:val="000000" w:themeColor="text1"/>
              </w:rPr>
            </w:pPr>
            <w:r w:rsidRPr="003C66A0">
              <w:rPr>
                <w:color w:val="000000" w:themeColor="text1"/>
              </w:rPr>
              <w:t>Linearity of logit</w:t>
            </w:r>
          </w:p>
        </w:tc>
        <w:tc>
          <w:tcPr>
            <w:tcW w:w="2880" w:type="dxa"/>
            <w:tcBorders>
              <w:top w:val="nil"/>
              <w:left w:val="nil"/>
              <w:bottom w:val="single" w:sz="4" w:space="0" w:color="auto"/>
              <w:right w:val="single" w:sz="8" w:space="0" w:color="auto"/>
            </w:tcBorders>
            <w:vAlign w:val="center"/>
            <w:hideMark/>
          </w:tcPr>
          <w:p w14:paraId="1D6B9DCE" w14:textId="77777777" w:rsidR="002708E6" w:rsidRPr="003C66A0" w:rsidRDefault="002708E6" w:rsidP="00AE1DED">
            <w:pPr>
              <w:rPr>
                <w:color w:val="000000" w:themeColor="text1"/>
              </w:rPr>
            </w:pPr>
            <w:r w:rsidRPr="003C66A0">
              <w:rPr>
                <w:color w:val="000000" w:themeColor="text1"/>
              </w:rPr>
              <w:t>Polynomial terms added</w:t>
            </w:r>
          </w:p>
        </w:tc>
      </w:tr>
      <w:tr w:rsidR="00FC334A" w:rsidRPr="003C66A0" w14:paraId="5F613E15" w14:textId="77777777" w:rsidTr="002708E6">
        <w:trPr>
          <w:trHeight w:val="340"/>
        </w:trPr>
        <w:tc>
          <w:tcPr>
            <w:tcW w:w="2150" w:type="dxa"/>
            <w:tcBorders>
              <w:top w:val="nil"/>
              <w:left w:val="single" w:sz="8" w:space="0" w:color="auto"/>
              <w:bottom w:val="single" w:sz="4" w:space="0" w:color="auto"/>
              <w:right w:val="single" w:sz="8" w:space="0" w:color="auto"/>
            </w:tcBorders>
            <w:shd w:val="clear" w:color="000000" w:fill="D9D9D9"/>
            <w:vAlign w:val="center"/>
            <w:hideMark/>
          </w:tcPr>
          <w:p w14:paraId="213F5AE4" w14:textId="77777777" w:rsidR="002708E6" w:rsidRPr="003C66A0" w:rsidRDefault="002708E6" w:rsidP="00AE1DED">
            <w:pPr>
              <w:rPr>
                <w:color w:val="000000" w:themeColor="text1"/>
              </w:rPr>
            </w:pPr>
            <w:r w:rsidRPr="003C66A0">
              <w:rPr>
                <w:color w:val="000000" w:themeColor="text1"/>
              </w:rPr>
              <w:t>Survival Analysis</w:t>
            </w:r>
          </w:p>
        </w:tc>
        <w:tc>
          <w:tcPr>
            <w:tcW w:w="1890" w:type="dxa"/>
            <w:tcBorders>
              <w:top w:val="nil"/>
              <w:left w:val="nil"/>
              <w:bottom w:val="single" w:sz="4" w:space="0" w:color="auto"/>
              <w:right w:val="single" w:sz="4" w:space="0" w:color="auto"/>
            </w:tcBorders>
            <w:vAlign w:val="center"/>
            <w:hideMark/>
          </w:tcPr>
          <w:p w14:paraId="168EA849" w14:textId="77777777" w:rsidR="002708E6" w:rsidRPr="003C66A0" w:rsidRDefault="002708E6" w:rsidP="00AE1DED">
            <w:pPr>
              <w:rPr>
                <w:color w:val="000000" w:themeColor="text1"/>
              </w:rPr>
            </w:pPr>
            <w:r w:rsidRPr="003C66A0">
              <w:rPr>
                <w:color w:val="000000" w:themeColor="text1"/>
              </w:rPr>
              <w:t>Cox Proportional</w:t>
            </w:r>
          </w:p>
        </w:tc>
        <w:tc>
          <w:tcPr>
            <w:tcW w:w="2430" w:type="dxa"/>
            <w:tcBorders>
              <w:top w:val="nil"/>
              <w:left w:val="nil"/>
              <w:bottom w:val="single" w:sz="4" w:space="0" w:color="auto"/>
              <w:right w:val="single" w:sz="4" w:space="0" w:color="auto"/>
            </w:tcBorders>
            <w:vAlign w:val="center"/>
            <w:hideMark/>
          </w:tcPr>
          <w:p w14:paraId="79DAA89F" w14:textId="77777777" w:rsidR="002708E6" w:rsidRPr="003C66A0" w:rsidRDefault="002708E6" w:rsidP="00AE1DED">
            <w:pPr>
              <w:rPr>
                <w:color w:val="000000" w:themeColor="text1"/>
              </w:rPr>
            </w:pPr>
            <w:r w:rsidRPr="003C66A0">
              <w:rPr>
                <w:color w:val="000000" w:themeColor="text1"/>
              </w:rPr>
              <w:t>Hazards assumption</w:t>
            </w:r>
          </w:p>
        </w:tc>
        <w:tc>
          <w:tcPr>
            <w:tcW w:w="2880" w:type="dxa"/>
            <w:tcBorders>
              <w:top w:val="nil"/>
              <w:left w:val="nil"/>
              <w:bottom w:val="single" w:sz="4" w:space="0" w:color="auto"/>
              <w:right w:val="single" w:sz="8" w:space="0" w:color="auto"/>
            </w:tcBorders>
            <w:vAlign w:val="center"/>
            <w:hideMark/>
          </w:tcPr>
          <w:p w14:paraId="5483CD21" w14:textId="77777777" w:rsidR="002708E6" w:rsidRPr="003C66A0" w:rsidRDefault="002708E6" w:rsidP="00AE1DED">
            <w:pPr>
              <w:rPr>
                <w:color w:val="000000" w:themeColor="text1"/>
              </w:rPr>
            </w:pPr>
            <w:r w:rsidRPr="003C66A0">
              <w:rPr>
                <w:color w:val="000000" w:themeColor="text1"/>
              </w:rPr>
              <w:t>Time-varying coefficients</w:t>
            </w:r>
          </w:p>
        </w:tc>
      </w:tr>
      <w:tr w:rsidR="00FC334A" w:rsidRPr="003C66A0" w14:paraId="4118D7B1" w14:textId="77777777" w:rsidTr="002708E6">
        <w:trPr>
          <w:trHeight w:val="340"/>
        </w:trPr>
        <w:tc>
          <w:tcPr>
            <w:tcW w:w="2150" w:type="dxa"/>
            <w:tcBorders>
              <w:top w:val="nil"/>
              <w:left w:val="single" w:sz="8" w:space="0" w:color="auto"/>
              <w:bottom w:val="single" w:sz="4" w:space="0" w:color="auto"/>
              <w:right w:val="single" w:sz="8" w:space="0" w:color="auto"/>
            </w:tcBorders>
            <w:shd w:val="clear" w:color="000000" w:fill="D9D9D9"/>
            <w:vAlign w:val="center"/>
            <w:hideMark/>
          </w:tcPr>
          <w:p w14:paraId="30979654" w14:textId="77777777" w:rsidR="002708E6" w:rsidRPr="003C66A0" w:rsidRDefault="002708E6" w:rsidP="00AE1DED">
            <w:pPr>
              <w:rPr>
                <w:b/>
                <w:bCs/>
                <w:color w:val="000000" w:themeColor="text1"/>
              </w:rPr>
            </w:pPr>
            <w:r w:rsidRPr="003C66A0">
              <w:rPr>
                <w:b/>
                <w:bCs/>
                <w:color w:val="000000" w:themeColor="text1"/>
              </w:rPr>
              <w:t>Time Series</w:t>
            </w:r>
          </w:p>
        </w:tc>
        <w:tc>
          <w:tcPr>
            <w:tcW w:w="1890" w:type="dxa"/>
            <w:tcBorders>
              <w:top w:val="nil"/>
              <w:left w:val="nil"/>
              <w:bottom w:val="single" w:sz="4" w:space="0" w:color="auto"/>
              <w:right w:val="single" w:sz="4" w:space="0" w:color="auto"/>
            </w:tcBorders>
            <w:vAlign w:val="center"/>
            <w:hideMark/>
          </w:tcPr>
          <w:p w14:paraId="426EE12B" w14:textId="77777777" w:rsidR="002708E6" w:rsidRPr="003C66A0" w:rsidRDefault="002708E6" w:rsidP="00AE1DED">
            <w:pPr>
              <w:rPr>
                <w:color w:val="000000" w:themeColor="text1"/>
              </w:rPr>
            </w:pPr>
            <w:r w:rsidRPr="003C66A0">
              <w:rPr>
                <w:color w:val="000000" w:themeColor="text1"/>
              </w:rPr>
              <w:t> </w:t>
            </w:r>
          </w:p>
        </w:tc>
        <w:tc>
          <w:tcPr>
            <w:tcW w:w="2430" w:type="dxa"/>
            <w:tcBorders>
              <w:top w:val="nil"/>
              <w:left w:val="nil"/>
              <w:bottom w:val="single" w:sz="4" w:space="0" w:color="auto"/>
              <w:right w:val="single" w:sz="4" w:space="0" w:color="auto"/>
            </w:tcBorders>
            <w:vAlign w:val="center"/>
            <w:hideMark/>
          </w:tcPr>
          <w:p w14:paraId="32C1017E" w14:textId="77777777" w:rsidR="002708E6" w:rsidRPr="003C66A0" w:rsidRDefault="002708E6" w:rsidP="00AE1DED">
            <w:pPr>
              <w:rPr>
                <w:color w:val="000000" w:themeColor="text1"/>
              </w:rPr>
            </w:pPr>
            <w:r w:rsidRPr="003C66A0">
              <w:rPr>
                <w:color w:val="000000" w:themeColor="text1"/>
              </w:rPr>
              <w:t> </w:t>
            </w:r>
          </w:p>
        </w:tc>
        <w:tc>
          <w:tcPr>
            <w:tcW w:w="2880" w:type="dxa"/>
            <w:tcBorders>
              <w:top w:val="nil"/>
              <w:left w:val="nil"/>
              <w:bottom w:val="single" w:sz="4" w:space="0" w:color="auto"/>
              <w:right w:val="single" w:sz="8" w:space="0" w:color="auto"/>
            </w:tcBorders>
            <w:vAlign w:val="center"/>
            <w:hideMark/>
          </w:tcPr>
          <w:p w14:paraId="31631491" w14:textId="77777777" w:rsidR="002708E6" w:rsidRPr="003C66A0" w:rsidRDefault="002708E6" w:rsidP="00AE1DED">
            <w:pPr>
              <w:rPr>
                <w:color w:val="000000" w:themeColor="text1"/>
              </w:rPr>
            </w:pPr>
            <w:r w:rsidRPr="003C66A0">
              <w:rPr>
                <w:color w:val="000000" w:themeColor="text1"/>
              </w:rPr>
              <w:t> </w:t>
            </w:r>
          </w:p>
        </w:tc>
      </w:tr>
      <w:tr w:rsidR="00FC334A" w:rsidRPr="003C66A0" w14:paraId="4E3D4B05" w14:textId="77777777" w:rsidTr="002708E6">
        <w:trPr>
          <w:trHeight w:val="340"/>
        </w:trPr>
        <w:tc>
          <w:tcPr>
            <w:tcW w:w="2150" w:type="dxa"/>
            <w:tcBorders>
              <w:top w:val="nil"/>
              <w:left w:val="single" w:sz="8" w:space="0" w:color="auto"/>
              <w:bottom w:val="single" w:sz="4" w:space="0" w:color="auto"/>
              <w:right w:val="single" w:sz="8" w:space="0" w:color="auto"/>
            </w:tcBorders>
            <w:shd w:val="clear" w:color="000000" w:fill="D9D9D9"/>
            <w:vAlign w:val="center"/>
            <w:hideMark/>
          </w:tcPr>
          <w:p w14:paraId="7117730B" w14:textId="77777777" w:rsidR="002708E6" w:rsidRPr="003C66A0" w:rsidRDefault="002708E6" w:rsidP="00AE1DED">
            <w:pPr>
              <w:rPr>
                <w:color w:val="000000" w:themeColor="text1"/>
              </w:rPr>
            </w:pPr>
            <w:r w:rsidRPr="003C66A0">
              <w:rPr>
                <w:color w:val="000000" w:themeColor="text1"/>
              </w:rPr>
              <w:t>Fee Patterns</w:t>
            </w:r>
          </w:p>
        </w:tc>
        <w:tc>
          <w:tcPr>
            <w:tcW w:w="1890" w:type="dxa"/>
            <w:tcBorders>
              <w:top w:val="nil"/>
              <w:left w:val="nil"/>
              <w:bottom w:val="single" w:sz="4" w:space="0" w:color="auto"/>
              <w:right w:val="single" w:sz="4" w:space="0" w:color="auto"/>
            </w:tcBorders>
            <w:vAlign w:val="center"/>
            <w:hideMark/>
          </w:tcPr>
          <w:p w14:paraId="2BA573B8" w14:textId="77777777" w:rsidR="002708E6" w:rsidRPr="003C66A0" w:rsidRDefault="002708E6" w:rsidP="00AE1DED">
            <w:pPr>
              <w:rPr>
                <w:color w:val="000000" w:themeColor="text1"/>
              </w:rPr>
            </w:pPr>
            <w:proofErr w:type="gramStart"/>
            <w:r w:rsidRPr="003C66A0">
              <w:rPr>
                <w:color w:val="000000" w:themeColor="text1"/>
              </w:rPr>
              <w:t>ARIMA(</w:t>
            </w:r>
            <w:proofErr w:type="gramEnd"/>
            <w:r w:rsidRPr="003C66A0">
              <w:rPr>
                <w:color w:val="000000" w:themeColor="text1"/>
              </w:rPr>
              <w:t>2,1,2)</w:t>
            </w:r>
          </w:p>
        </w:tc>
        <w:tc>
          <w:tcPr>
            <w:tcW w:w="2430" w:type="dxa"/>
            <w:tcBorders>
              <w:top w:val="nil"/>
              <w:left w:val="nil"/>
              <w:bottom w:val="single" w:sz="4" w:space="0" w:color="auto"/>
              <w:right w:val="single" w:sz="4" w:space="0" w:color="auto"/>
            </w:tcBorders>
            <w:vAlign w:val="center"/>
            <w:hideMark/>
          </w:tcPr>
          <w:p w14:paraId="0555241A" w14:textId="77777777" w:rsidR="002708E6" w:rsidRPr="003C66A0" w:rsidRDefault="002708E6" w:rsidP="00AE1DED">
            <w:pPr>
              <w:rPr>
                <w:color w:val="000000" w:themeColor="text1"/>
              </w:rPr>
            </w:pPr>
            <w:r w:rsidRPr="003C66A0">
              <w:rPr>
                <w:color w:val="000000" w:themeColor="text1"/>
              </w:rPr>
              <w:t>Stationarity (ADF test)</w:t>
            </w:r>
          </w:p>
        </w:tc>
        <w:tc>
          <w:tcPr>
            <w:tcW w:w="2880" w:type="dxa"/>
            <w:tcBorders>
              <w:top w:val="nil"/>
              <w:left w:val="nil"/>
              <w:bottom w:val="single" w:sz="4" w:space="0" w:color="auto"/>
              <w:right w:val="single" w:sz="8" w:space="0" w:color="auto"/>
            </w:tcBorders>
            <w:vAlign w:val="center"/>
            <w:hideMark/>
          </w:tcPr>
          <w:p w14:paraId="2E56AD26" w14:textId="77777777" w:rsidR="002708E6" w:rsidRPr="003C66A0" w:rsidRDefault="002708E6" w:rsidP="00AE1DED">
            <w:pPr>
              <w:rPr>
                <w:color w:val="000000" w:themeColor="text1"/>
              </w:rPr>
            </w:pPr>
            <w:r w:rsidRPr="003C66A0">
              <w:rPr>
                <w:color w:val="000000" w:themeColor="text1"/>
              </w:rPr>
              <w:t>First differencing applied</w:t>
            </w:r>
          </w:p>
        </w:tc>
      </w:tr>
      <w:tr w:rsidR="00FC334A" w:rsidRPr="003C66A0" w14:paraId="76A3EBC1" w14:textId="77777777" w:rsidTr="002708E6">
        <w:trPr>
          <w:trHeight w:val="340"/>
        </w:trPr>
        <w:tc>
          <w:tcPr>
            <w:tcW w:w="2150" w:type="dxa"/>
            <w:tcBorders>
              <w:top w:val="nil"/>
              <w:left w:val="single" w:sz="8" w:space="0" w:color="auto"/>
              <w:bottom w:val="single" w:sz="4" w:space="0" w:color="auto"/>
              <w:right w:val="single" w:sz="8" w:space="0" w:color="auto"/>
            </w:tcBorders>
            <w:shd w:val="clear" w:color="000000" w:fill="D9D9D9"/>
            <w:vAlign w:val="center"/>
            <w:hideMark/>
          </w:tcPr>
          <w:p w14:paraId="2073CBD8" w14:textId="77777777" w:rsidR="002708E6" w:rsidRPr="003C66A0" w:rsidRDefault="002708E6" w:rsidP="00AE1DED">
            <w:pPr>
              <w:rPr>
                <w:color w:val="000000" w:themeColor="text1"/>
              </w:rPr>
            </w:pPr>
            <w:r w:rsidRPr="003C66A0">
              <w:rPr>
                <w:color w:val="000000" w:themeColor="text1"/>
              </w:rPr>
              <w:t>Volatility</w:t>
            </w:r>
          </w:p>
        </w:tc>
        <w:tc>
          <w:tcPr>
            <w:tcW w:w="1890" w:type="dxa"/>
            <w:tcBorders>
              <w:top w:val="nil"/>
              <w:left w:val="nil"/>
              <w:bottom w:val="single" w:sz="4" w:space="0" w:color="auto"/>
              <w:right w:val="single" w:sz="4" w:space="0" w:color="auto"/>
            </w:tcBorders>
            <w:vAlign w:val="center"/>
            <w:hideMark/>
          </w:tcPr>
          <w:p w14:paraId="155FECD2" w14:textId="77777777" w:rsidR="002708E6" w:rsidRPr="003C66A0" w:rsidRDefault="002708E6" w:rsidP="00AE1DED">
            <w:pPr>
              <w:rPr>
                <w:color w:val="000000" w:themeColor="text1"/>
              </w:rPr>
            </w:pPr>
            <w:proofErr w:type="gramStart"/>
            <w:r w:rsidRPr="003C66A0">
              <w:rPr>
                <w:color w:val="000000" w:themeColor="text1"/>
              </w:rPr>
              <w:t>GARCH(</w:t>
            </w:r>
            <w:proofErr w:type="gramEnd"/>
            <w:r w:rsidRPr="003C66A0">
              <w:rPr>
                <w:color w:val="000000" w:themeColor="text1"/>
              </w:rPr>
              <w:t>1,1)</w:t>
            </w:r>
          </w:p>
        </w:tc>
        <w:tc>
          <w:tcPr>
            <w:tcW w:w="2430" w:type="dxa"/>
            <w:tcBorders>
              <w:top w:val="nil"/>
              <w:left w:val="nil"/>
              <w:bottom w:val="single" w:sz="4" w:space="0" w:color="auto"/>
              <w:right w:val="single" w:sz="4" w:space="0" w:color="auto"/>
            </w:tcBorders>
            <w:vAlign w:val="center"/>
            <w:hideMark/>
          </w:tcPr>
          <w:p w14:paraId="1C0CF57B" w14:textId="77777777" w:rsidR="002708E6" w:rsidRPr="003C66A0" w:rsidRDefault="002708E6" w:rsidP="00AE1DED">
            <w:pPr>
              <w:rPr>
                <w:color w:val="000000" w:themeColor="text1"/>
              </w:rPr>
            </w:pPr>
            <w:r w:rsidRPr="003C66A0">
              <w:rPr>
                <w:color w:val="000000" w:themeColor="text1"/>
              </w:rPr>
              <w:t>ARCH effects present</w:t>
            </w:r>
          </w:p>
        </w:tc>
        <w:tc>
          <w:tcPr>
            <w:tcW w:w="2880" w:type="dxa"/>
            <w:tcBorders>
              <w:top w:val="nil"/>
              <w:left w:val="nil"/>
              <w:bottom w:val="single" w:sz="4" w:space="0" w:color="auto"/>
              <w:right w:val="single" w:sz="8" w:space="0" w:color="auto"/>
            </w:tcBorders>
            <w:vAlign w:val="center"/>
            <w:hideMark/>
          </w:tcPr>
          <w:p w14:paraId="38322436" w14:textId="77777777" w:rsidR="002708E6" w:rsidRPr="003C66A0" w:rsidRDefault="002708E6" w:rsidP="00AE1DED">
            <w:pPr>
              <w:rPr>
                <w:color w:val="000000" w:themeColor="text1"/>
              </w:rPr>
            </w:pPr>
            <w:r w:rsidRPr="003C66A0">
              <w:rPr>
                <w:color w:val="000000" w:themeColor="text1"/>
              </w:rPr>
              <w:t>Appropriate model choice</w:t>
            </w:r>
          </w:p>
        </w:tc>
      </w:tr>
      <w:tr w:rsidR="002708E6" w:rsidRPr="003C66A0" w14:paraId="1405999E" w14:textId="77777777" w:rsidTr="002708E6">
        <w:trPr>
          <w:trHeight w:val="360"/>
        </w:trPr>
        <w:tc>
          <w:tcPr>
            <w:tcW w:w="2150" w:type="dxa"/>
            <w:tcBorders>
              <w:top w:val="nil"/>
              <w:left w:val="single" w:sz="8" w:space="0" w:color="auto"/>
              <w:bottom w:val="single" w:sz="8" w:space="0" w:color="auto"/>
              <w:right w:val="single" w:sz="8" w:space="0" w:color="auto"/>
            </w:tcBorders>
            <w:shd w:val="clear" w:color="000000" w:fill="D9D9D9"/>
            <w:vAlign w:val="center"/>
            <w:hideMark/>
          </w:tcPr>
          <w:p w14:paraId="0998378A" w14:textId="77777777" w:rsidR="002708E6" w:rsidRPr="003C66A0" w:rsidRDefault="002708E6" w:rsidP="00AE1DED">
            <w:pPr>
              <w:rPr>
                <w:color w:val="000000" w:themeColor="text1"/>
              </w:rPr>
            </w:pPr>
            <w:r w:rsidRPr="003C66A0">
              <w:rPr>
                <w:color w:val="000000" w:themeColor="text1"/>
              </w:rPr>
              <w:t>Correlation Dynamics</w:t>
            </w:r>
          </w:p>
        </w:tc>
        <w:tc>
          <w:tcPr>
            <w:tcW w:w="1890" w:type="dxa"/>
            <w:tcBorders>
              <w:top w:val="nil"/>
              <w:left w:val="nil"/>
              <w:bottom w:val="single" w:sz="8" w:space="0" w:color="auto"/>
              <w:right w:val="single" w:sz="4" w:space="0" w:color="auto"/>
            </w:tcBorders>
            <w:vAlign w:val="center"/>
            <w:hideMark/>
          </w:tcPr>
          <w:p w14:paraId="2F975651" w14:textId="77777777" w:rsidR="002708E6" w:rsidRPr="003C66A0" w:rsidRDefault="002708E6" w:rsidP="00AE1DED">
            <w:pPr>
              <w:rPr>
                <w:color w:val="000000" w:themeColor="text1"/>
              </w:rPr>
            </w:pPr>
            <w:r w:rsidRPr="003C66A0">
              <w:rPr>
                <w:color w:val="000000" w:themeColor="text1"/>
              </w:rPr>
              <w:t>DCC-GARCH</w:t>
            </w:r>
          </w:p>
        </w:tc>
        <w:tc>
          <w:tcPr>
            <w:tcW w:w="2430" w:type="dxa"/>
            <w:tcBorders>
              <w:top w:val="nil"/>
              <w:left w:val="nil"/>
              <w:bottom w:val="single" w:sz="8" w:space="0" w:color="auto"/>
              <w:right w:val="single" w:sz="4" w:space="0" w:color="auto"/>
            </w:tcBorders>
            <w:vAlign w:val="center"/>
            <w:hideMark/>
          </w:tcPr>
          <w:p w14:paraId="5BD72935" w14:textId="77777777" w:rsidR="002708E6" w:rsidRPr="003C66A0" w:rsidRDefault="002708E6" w:rsidP="00AE1DED">
            <w:pPr>
              <w:rPr>
                <w:color w:val="000000" w:themeColor="text1"/>
              </w:rPr>
            </w:pPr>
            <w:r w:rsidRPr="003C66A0">
              <w:rPr>
                <w:color w:val="000000" w:themeColor="text1"/>
              </w:rPr>
              <w:t>Time-varying correlation</w:t>
            </w:r>
          </w:p>
        </w:tc>
        <w:tc>
          <w:tcPr>
            <w:tcW w:w="2880" w:type="dxa"/>
            <w:tcBorders>
              <w:top w:val="nil"/>
              <w:left w:val="nil"/>
              <w:bottom w:val="single" w:sz="8" w:space="0" w:color="auto"/>
              <w:right w:val="single" w:sz="8" w:space="0" w:color="auto"/>
            </w:tcBorders>
            <w:vAlign w:val="center"/>
            <w:hideMark/>
          </w:tcPr>
          <w:p w14:paraId="6854B08A" w14:textId="77777777" w:rsidR="002708E6" w:rsidRPr="003C66A0" w:rsidRDefault="002708E6" w:rsidP="00AE1DED">
            <w:pPr>
              <w:rPr>
                <w:color w:val="000000" w:themeColor="text1"/>
              </w:rPr>
            </w:pPr>
            <w:r w:rsidRPr="003C66A0">
              <w:rPr>
                <w:color w:val="000000" w:themeColor="text1"/>
              </w:rPr>
              <w:t>Rolling window validation</w:t>
            </w:r>
          </w:p>
        </w:tc>
      </w:tr>
    </w:tbl>
    <w:p w14:paraId="5FF84119" w14:textId="3DB043F0" w:rsidR="008750EF" w:rsidRPr="003C66A0" w:rsidRDefault="008750EF" w:rsidP="00AE1DED">
      <w:pPr>
        <w:rPr>
          <w:rFonts w:eastAsiaTheme="majorEastAsia"/>
          <w:b/>
          <w:bCs/>
          <w:color w:val="000000" w:themeColor="text1"/>
        </w:rPr>
      </w:pPr>
    </w:p>
    <w:p w14:paraId="07D4CEBB" w14:textId="2C2F121C" w:rsidR="008750EF" w:rsidRPr="003C66A0" w:rsidRDefault="0083478B" w:rsidP="00AE1DED">
      <w:pPr>
        <w:jc w:val="both"/>
        <w:rPr>
          <w:rFonts w:eastAsiaTheme="majorEastAsia"/>
          <w:color w:val="000000" w:themeColor="text1"/>
        </w:rPr>
      </w:pPr>
      <w:r w:rsidRPr="003C66A0">
        <w:rPr>
          <w:rFonts w:eastAsiaTheme="majorEastAsia"/>
          <w:color w:val="000000" w:themeColor="text1"/>
        </w:rPr>
        <w:t>Significance Level: α = 0.05 throughout unless otherwise noted Multiple Comparison Correction: Bonferroni adjustment where applicable Effect Size Interpretation: Cohen's d (0.2=small, 0.5=medium, 0.8=large)</w:t>
      </w:r>
    </w:p>
    <w:p w14:paraId="5C204CF8" w14:textId="77777777" w:rsidR="004E10FD" w:rsidRDefault="004E10FD" w:rsidP="00AE1DED">
      <w:pPr>
        <w:jc w:val="both"/>
        <w:rPr>
          <w:rFonts w:eastAsiaTheme="majorEastAsia"/>
          <w:color w:val="000000" w:themeColor="text1"/>
        </w:rPr>
      </w:pPr>
    </w:p>
    <w:p w14:paraId="49795797" w14:textId="103F8454" w:rsidR="002E4570" w:rsidRPr="002765EA" w:rsidRDefault="002E4570" w:rsidP="00AE1DED">
      <w:pPr>
        <w:jc w:val="both"/>
        <w:rPr>
          <w:rFonts w:eastAsiaTheme="majorEastAsia"/>
          <w:b/>
          <w:bCs/>
          <w:color w:val="000000" w:themeColor="text1"/>
        </w:rPr>
      </w:pPr>
      <w:r w:rsidRPr="002765EA">
        <w:rPr>
          <w:rFonts w:eastAsiaTheme="majorEastAsia"/>
          <w:b/>
          <w:bCs/>
          <w:color w:val="000000" w:themeColor="text1"/>
        </w:rPr>
        <w:t>Multiple Testing Adjustment</w:t>
      </w:r>
      <w:r w:rsidR="00577005" w:rsidRPr="002765EA">
        <w:rPr>
          <w:rFonts w:eastAsiaTheme="majorEastAsia"/>
          <w:b/>
          <w:bCs/>
          <w:color w:val="000000" w:themeColor="text1"/>
        </w:rPr>
        <w:t xml:space="preserve"> Strategy</w:t>
      </w:r>
      <w:r w:rsidRPr="002765EA">
        <w:rPr>
          <w:rFonts w:eastAsiaTheme="majorEastAsia"/>
          <w:b/>
          <w:bCs/>
          <w:color w:val="000000" w:themeColor="text1"/>
        </w:rPr>
        <w:t xml:space="preserve">: </w:t>
      </w:r>
    </w:p>
    <w:p w14:paraId="211455C6" w14:textId="626ADD6E" w:rsidR="00D070AF" w:rsidRPr="002765EA" w:rsidRDefault="00D070AF" w:rsidP="00AE1DED">
      <w:pPr>
        <w:rPr>
          <w:color w:val="000000" w:themeColor="text1"/>
        </w:rPr>
      </w:pPr>
      <w:r w:rsidRPr="002765EA">
        <w:rPr>
          <w:color w:val="000000" w:themeColor="text1"/>
        </w:rPr>
        <w:t xml:space="preserve">This </w:t>
      </w:r>
      <w:r w:rsidR="009D1F2D" w:rsidRPr="002765EA">
        <w:rPr>
          <w:color w:val="000000" w:themeColor="text1"/>
        </w:rPr>
        <w:t>research</w:t>
      </w:r>
      <w:r w:rsidRPr="002765EA">
        <w:rPr>
          <w:color w:val="000000" w:themeColor="text1"/>
        </w:rPr>
        <w:t xml:space="preserve"> perform</w:t>
      </w:r>
      <w:r w:rsidR="009D1F2D" w:rsidRPr="002765EA">
        <w:rPr>
          <w:color w:val="000000" w:themeColor="text1"/>
        </w:rPr>
        <w:t>ed</w:t>
      </w:r>
      <w:r w:rsidRPr="002765EA">
        <w:rPr>
          <w:color w:val="000000" w:themeColor="text1"/>
        </w:rPr>
        <w:t xml:space="preserve"> 50+ statistical tests across Chapters 7-10, creating substantial Type I error inflation risk if unadjusted. </w:t>
      </w:r>
      <w:r w:rsidR="009D1F2D" w:rsidRPr="002765EA">
        <w:rPr>
          <w:color w:val="000000" w:themeColor="text1"/>
        </w:rPr>
        <w:t>For this I employed</w:t>
      </w:r>
      <w:r w:rsidRPr="002765EA">
        <w:rPr>
          <w:color w:val="000000" w:themeColor="text1"/>
        </w:rPr>
        <w:t xml:space="preserve"> a hierarchical correction strategy balancing statistical rigor with exploratory flexibility:</w:t>
      </w:r>
    </w:p>
    <w:p w14:paraId="242B413B" w14:textId="77777777" w:rsidR="00D070AF" w:rsidRPr="002765EA" w:rsidRDefault="00D070AF" w:rsidP="00AE1DED">
      <w:pPr>
        <w:rPr>
          <w:color w:val="000000" w:themeColor="text1"/>
        </w:rPr>
      </w:pPr>
      <w:r w:rsidRPr="002765EA">
        <w:rPr>
          <w:color w:val="000000" w:themeColor="text1"/>
        </w:rPr>
        <w:t> </w:t>
      </w:r>
    </w:p>
    <w:p w14:paraId="2A724608" w14:textId="087DBE06" w:rsidR="00D070AF" w:rsidRPr="002765EA" w:rsidRDefault="00D070AF" w:rsidP="00AE1DED">
      <w:pPr>
        <w:rPr>
          <w:b/>
          <w:bCs/>
          <w:color w:val="000000" w:themeColor="text1"/>
        </w:rPr>
      </w:pPr>
      <w:r w:rsidRPr="002765EA">
        <w:rPr>
          <w:b/>
          <w:bCs/>
          <w:color w:val="000000" w:themeColor="text1"/>
        </w:rPr>
        <w:t>Tier 1: Primary Confirmatory Hypotheses (n=4)</w:t>
      </w:r>
    </w:p>
    <w:p w14:paraId="7CF57353" w14:textId="77777777" w:rsidR="00D070AF" w:rsidRPr="002765EA" w:rsidRDefault="00D070AF" w:rsidP="00AE1DED">
      <w:pPr>
        <w:rPr>
          <w:color w:val="000000" w:themeColor="text1"/>
        </w:rPr>
      </w:pPr>
      <w:r w:rsidRPr="002765EA">
        <w:rPr>
          <w:color w:val="000000" w:themeColor="text1"/>
        </w:rPr>
        <w:t>These represent the core research questions stated a priori:</w:t>
      </w:r>
    </w:p>
    <w:p w14:paraId="6F562FDC" w14:textId="77777777" w:rsidR="00D070AF" w:rsidRPr="002765EA" w:rsidRDefault="00D070AF" w:rsidP="00AE1DED">
      <w:pPr>
        <w:rPr>
          <w:color w:val="000000" w:themeColor="text1"/>
        </w:rPr>
      </w:pPr>
      <w:r w:rsidRPr="002765EA">
        <w:rPr>
          <w:color w:val="000000" w:themeColor="text1"/>
        </w:rPr>
        <w:t> </w:t>
      </w:r>
    </w:p>
    <w:p w14:paraId="5876FCBD" w14:textId="77777777" w:rsidR="00D070AF" w:rsidRPr="002765EA" w:rsidRDefault="00D070AF" w:rsidP="00AE1DED">
      <w:pPr>
        <w:rPr>
          <w:color w:val="000000" w:themeColor="text1"/>
        </w:rPr>
      </w:pPr>
      <w:r w:rsidRPr="002765EA">
        <w:rPr>
          <w:color w:val="000000" w:themeColor="text1"/>
        </w:rPr>
        <w:t>H1: The majority of DeFi positions are unprofitable after costs</w:t>
      </w:r>
    </w:p>
    <w:p w14:paraId="67CAB533" w14:textId="77777777" w:rsidR="00D070AF" w:rsidRPr="002765EA" w:rsidRDefault="00D070AF" w:rsidP="00AE1DED">
      <w:pPr>
        <w:rPr>
          <w:color w:val="000000" w:themeColor="text1"/>
        </w:rPr>
      </w:pPr>
      <w:r w:rsidRPr="002765EA">
        <w:rPr>
          <w:color w:val="000000" w:themeColor="text1"/>
        </w:rPr>
        <w:lastRenderedPageBreak/>
        <w:t xml:space="preserve">   Test: Binomial proportion test vs. H₀: p=0.50</w:t>
      </w:r>
    </w:p>
    <w:p w14:paraId="66965DDC" w14:textId="77777777" w:rsidR="00D070AF" w:rsidRPr="002765EA" w:rsidRDefault="00D070AF" w:rsidP="00AE1DED">
      <w:pPr>
        <w:rPr>
          <w:color w:val="000000" w:themeColor="text1"/>
        </w:rPr>
      </w:pPr>
      <w:r w:rsidRPr="002765EA">
        <w:rPr>
          <w:color w:val="000000" w:themeColor="text1"/>
        </w:rPr>
        <w:t xml:space="preserve">   Result: 73% vs. 50%, z=4.7, p&lt;0.001</w:t>
      </w:r>
    </w:p>
    <w:p w14:paraId="319BB630" w14:textId="77777777" w:rsidR="00D070AF" w:rsidRPr="002765EA" w:rsidRDefault="00D070AF" w:rsidP="00AE1DED">
      <w:pPr>
        <w:rPr>
          <w:color w:val="000000" w:themeColor="text1"/>
        </w:rPr>
      </w:pPr>
      <w:r w:rsidRPr="002765EA">
        <w:rPr>
          <w:color w:val="000000" w:themeColor="text1"/>
        </w:rPr>
        <w:t xml:space="preserve">   Bonferroni-adjusted α: 0.0125 (0.05 ÷ 4)</w:t>
      </w:r>
    </w:p>
    <w:p w14:paraId="3DA90D2E" w14:textId="77777777" w:rsidR="00D070AF" w:rsidRPr="002765EA" w:rsidRDefault="00D070AF" w:rsidP="00AE1DED">
      <w:pPr>
        <w:rPr>
          <w:color w:val="000000" w:themeColor="text1"/>
        </w:rPr>
      </w:pPr>
      <w:r w:rsidRPr="002765EA">
        <w:rPr>
          <w:color w:val="000000" w:themeColor="text1"/>
        </w:rPr>
        <w:t xml:space="preserve">   Decision: Reject H₀, p&lt;0.001 &lt; α=0.0125 </w:t>
      </w:r>
      <w:r w:rsidRPr="002765EA">
        <w:rPr>
          <w:rFonts w:ascii="Segoe UI Symbol" w:hAnsi="Segoe UI Symbol" w:cs="Segoe UI Symbol"/>
          <w:color w:val="000000" w:themeColor="text1"/>
        </w:rPr>
        <w:t>✓</w:t>
      </w:r>
    </w:p>
    <w:p w14:paraId="196B6AF7" w14:textId="77777777" w:rsidR="00D070AF" w:rsidRPr="002765EA" w:rsidRDefault="00D070AF" w:rsidP="00AE1DED">
      <w:pPr>
        <w:rPr>
          <w:color w:val="000000" w:themeColor="text1"/>
        </w:rPr>
      </w:pPr>
      <w:r w:rsidRPr="002765EA">
        <w:rPr>
          <w:color w:val="000000" w:themeColor="text1"/>
        </w:rPr>
        <w:t> </w:t>
      </w:r>
    </w:p>
    <w:p w14:paraId="48F3439F" w14:textId="77777777" w:rsidR="00D070AF" w:rsidRPr="002765EA" w:rsidRDefault="00D070AF" w:rsidP="00AE1DED">
      <w:pPr>
        <w:rPr>
          <w:color w:val="000000" w:themeColor="text1"/>
        </w:rPr>
      </w:pPr>
      <w:r w:rsidRPr="002765EA">
        <w:rPr>
          <w:color w:val="000000" w:themeColor="text1"/>
        </w:rPr>
        <w:t>H2: Capital level positively predicts position success</w:t>
      </w:r>
    </w:p>
    <w:p w14:paraId="377605F3" w14:textId="77777777" w:rsidR="00D070AF" w:rsidRPr="002765EA" w:rsidRDefault="00D070AF" w:rsidP="00AE1DED">
      <w:pPr>
        <w:rPr>
          <w:color w:val="000000" w:themeColor="text1"/>
        </w:rPr>
      </w:pPr>
      <w:r w:rsidRPr="002765EA">
        <w:rPr>
          <w:color w:val="000000" w:themeColor="text1"/>
        </w:rPr>
        <w:t xml:space="preserve">   Test: χ² test of independence (3 capital tiers × 2 outcomes)</w:t>
      </w:r>
    </w:p>
    <w:p w14:paraId="45CF174A" w14:textId="77777777" w:rsidR="00D070AF" w:rsidRPr="002765EA" w:rsidRDefault="00D070AF" w:rsidP="00AE1DED">
      <w:pPr>
        <w:rPr>
          <w:color w:val="000000" w:themeColor="text1"/>
        </w:rPr>
      </w:pPr>
      <w:r w:rsidRPr="002765EA">
        <w:rPr>
          <w:color w:val="000000" w:themeColor="text1"/>
        </w:rPr>
        <w:t xml:space="preserve">   Result: χ²=28.7, </w:t>
      </w:r>
      <w:proofErr w:type="spellStart"/>
      <w:r w:rsidRPr="002765EA">
        <w:rPr>
          <w:color w:val="000000" w:themeColor="text1"/>
        </w:rPr>
        <w:t>df</w:t>
      </w:r>
      <w:proofErr w:type="spellEnd"/>
      <w:r w:rsidRPr="002765EA">
        <w:rPr>
          <w:color w:val="000000" w:themeColor="text1"/>
        </w:rPr>
        <w:t>=2, p&lt;0.001</w:t>
      </w:r>
    </w:p>
    <w:p w14:paraId="34BD4DD2" w14:textId="77777777" w:rsidR="00D070AF" w:rsidRPr="002765EA" w:rsidRDefault="00D070AF" w:rsidP="00AE1DED">
      <w:pPr>
        <w:rPr>
          <w:color w:val="000000" w:themeColor="text1"/>
        </w:rPr>
      </w:pPr>
      <w:r w:rsidRPr="002765EA">
        <w:rPr>
          <w:color w:val="000000" w:themeColor="text1"/>
        </w:rPr>
        <w:t xml:space="preserve">   Bonferroni-adjusted α: 0.0125</w:t>
      </w:r>
    </w:p>
    <w:p w14:paraId="5D5F4642" w14:textId="77777777" w:rsidR="00D070AF" w:rsidRPr="002765EA" w:rsidRDefault="00D070AF" w:rsidP="00AE1DED">
      <w:pPr>
        <w:rPr>
          <w:color w:val="000000" w:themeColor="text1"/>
        </w:rPr>
      </w:pPr>
      <w:r w:rsidRPr="002765EA">
        <w:rPr>
          <w:color w:val="000000" w:themeColor="text1"/>
        </w:rPr>
        <w:t xml:space="preserve">   Decision: Reject H₀, p&lt;0.001 &lt; α=0.0125 </w:t>
      </w:r>
      <w:r w:rsidRPr="002765EA">
        <w:rPr>
          <w:rFonts w:ascii="Segoe UI Symbol" w:hAnsi="Segoe UI Symbol" w:cs="Segoe UI Symbol"/>
          <w:color w:val="000000" w:themeColor="text1"/>
        </w:rPr>
        <w:t>✓</w:t>
      </w:r>
    </w:p>
    <w:p w14:paraId="2B172B11" w14:textId="77777777" w:rsidR="00D070AF" w:rsidRPr="002765EA" w:rsidRDefault="00D070AF" w:rsidP="00AE1DED">
      <w:pPr>
        <w:rPr>
          <w:color w:val="000000" w:themeColor="text1"/>
        </w:rPr>
      </w:pPr>
      <w:r w:rsidRPr="002765EA">
        <w:rPr>
          <w:color w:val="000000" w:themeColor="text1"/>
        </w:rPr>
        <w:t> </w:t>
      </w:r>
    </w:p>
    <w:p w14:paraId="32DC03E4" w14:textId="77777777" w:rsidR="00D070AF" w:rsidRPr="002765EA" w:rsidRDefault="00D070AF" w:rsidP="00AE1DED">
      <w:pPr>
        <w:rPr>
          <w:color w:val="000000" w:themeColor="text1"/>
        </w:rPr>
      </w:pPr>
      <w:r w:rsidRPr="002765EA">
        <w:rPr>
          <w:color w:val="000000" w:themeColor="text1"/>
        </w:rPr>
        <w:t>H3: Strategy complexity inversely predicts returns</w:t>
      </w:r>
    </w:p>
    <w:p w14:paraId="3D8E1E11" w14:textId="77777777" w:rsidR="00D070AF" w:rsidRPr="002765EA" w:rsidRDefault="00D070AF" w:rsidP="00AE1DED">
      <w:pPr>
        <w:rPr>
          <w:color w:val="000000" w:themeColor="text1"/>
        </w:rPr>
      </w:pPr>
      <w:r w:rsidRPr="002765EA">
        <w:rPr>
          <w:color w:val="000000" w:themeColor="text1"/>
        </w:rPr>
        <w:t xml:space="preserve">   Test: Spearman rank correlation</w:t>
      </w:r>
    </w:p>
    <w:p w14:paraId="10243CA8" w14:textId="77777777" w:rsidR="00D070AF" w:rsidRPr="002765EA" w:rsidRDefault="00D070AF" w:rsidP="00AE1DED">
      <w:pPr>
        <w:rPr>
          <w:color w:val="000000" w:themeColor="text1"/>
        </w:rPr>
      </w:pPr>
      <w:r w:rsidRPr="002765EA">
        <w:rPr>
          <w:color w:val="000000" w:themeColor="text1"/>
        </w:rPr>
        <w:t xml:space="preserve">   Result: ρ=-0.34, n=156, p&lt;0.001</w:t>
      </w:r>
    </w:p>
    <w:p w14:paraId="5937C1A3" w14:textId="77777777" w:rsidR="00D070AF" w:rsidRPr="002765EA" w:rsidRDefault="00D070AF" w:rsidP="00AE1DED">
      <w:pPr>
        <w:rPr>
          <w:color w:val="000000" w:themeColor="text1"/>
        </w:rPr>
      </w:pPr>
      <w:r w:rsidRPr="002765EA">
        <w:rPr>
          <w:color w:val="000000" w:themeColor="text1"/>
        </w:rPr>
        <w:t xml:space="preserve">   Bonferroni-adjusted α: 0.0125</w:t>
      </w:r>
    </w:p>
    <w:p w14:paraId="4B0C646E" w14:textId="77777777" w:rsidR="00D070AF" w:rsidRPr="002765EA" w:rsidRDefault="00D070AF" w:rsidP="00AE1DED">
      <w:pPr>
        <w:rPr>
          <w:color w:val="000000" w:themeColor="text1"/>
        </w:rPr>
      </w:pPr>
      <w:r w:rsidRPr="002765EA">
        <w:rPr>
          <w:color w:val="000000" w:themeColor="text1"/>
        </w:rPr>
        <w:t xml:space="preserve">   Decision: Reject H₀, p&lt;0.001 &lt; α=0.0125 </w:t>
      </w:r>
      <w:r w:rsidRPr="002765EA">
        <w:rPr>
          <w:rFonts w:ascii="Segoe UI Symbol" w:hAnsi="Segoe UI Symbol" w:cs="Segoe UI Symbol"/>
          <w:color w:val="000000" w:themeColor="text1"/>
        </w:rPr>
        <w:t>✓</w:t>
      </w:r>
    </w:p>
    <w:p w14:paraId="35759E1D" w14:textId="77777777" w:rsidR="00D070AF" w:rsidRPr="002765EA" w:rsidRDefault="00D070AF" w:rsidP="00AE1DED">
      <w:pPr>
        <w:rPr>
          <w:color w:val="000000" w:themeColor="text1"/>
        </w:rPr>
      </w:pPr>
      <w:r w:rsidRPr="002765EA">
        <w:rPr>
          <w:color w:val="000000" w:themeColor="text1"/>
        </w:rPr>
        <w:t> </w:t>
      </w:r>
    </w:p>
    <w:p w14:paraId="7C3F8351" w14:textId="77777777" w:rsidR="00D070AF" w:rsidRPr="002765EA" w:rsidRDefault="00D070AF" w:rsidP="00AE1DED">
      <w:pPr>
        <w:rPr>
          <w:color w:val="000000" w:themeColor="text1"/>
        </w:rPr>
      </w:pPr>
      <w:r w:rsidRPr="002765EA">
        <w:rPr>
          <w:color w:val="000000" w:themeColor="text1"/>
        </w:rPr>
        <w:t>H4: Time investment positively predicts returns (among viable positions)</w:t>
      </w:r>
    </w:p>
    <w:p w14:paraId="2B9DB0E4" w14:textId="77777777" w:rsidR="00D070AF" w:rsidRPr="002765EA" w:rsidRDefault="00D070AF" w:rsidP="00AE1DED">
      <w:pPr>
        <w:rPr>
          <w:color w:val="000000" w:themeColor="text1"/>
        </w:rPr>
      </w:pPr>
      <w:r w:rsidRPr="002765EA">
        <w:rPr>
          <w:color w:val="000000" w:themeColor="text1"/>
        </w:rPr>
        <w:t xml:space="preserve">   Test: Spearman rank correlation</w:t>
      </w:r>
    </w:p>
    <w:p w14:paraId="5B97D50C" w14:textId="77777777" w:rsidR="00D070AF" w:rsidRPr="002765EA" w:rsidRDefault="00D070AF" w:rsidP="00AE1DED">
      <w:pPr>
        <w:rPr>
          <w:color w:val="000000" w:themeColor="text1"/>
        </w:rPr>
      </w:pPr>
      <w:r w:rsidRPr="002765EA">
        <w:rPr>
          <w:color w:val="000000" w:themeColor="text1"/>
        </w:rPr>
        <w:t xml:space="preserve">   Result: ρ=0.23, n=156, p=0.004</w:t>
      </w:r>
    </w:p>
    <w:p w14:paraId="6AD50C5E" w14:textId="77777777" w:rsidR="00D070AF" w:rsidRPr="002765EA" w:rsidRDefault="00D070AF" w:rsidP="00AE1DED">
      <w:pPr>
        <w:rPr>
          <w:color w:val="000000" w:themeColor="text1"/>
        </w:rPr>
      </w:pPr>
      <w:r w:rsidRPr="002765EA">
        <w:rPr>
          <w:color w:val="000000" w:themeColor="text1"/>
        </w:rPr>
        <w:t xml:space="preserve">   Bonferroni-adjusted α: 0.0125</w:t>
      </w:r>
    </w:p>
    <w:p w14:paraId="0A485848" w14:textId="77777777" w:rsidR="00D070AF" w:rsidRPr="002765EA" w:rsidRDefault="00D070AF" w:rsidP="00AE1DED">
      <w:pPr>
        <w:rPr>
          <w:color w:val="000000" w:themeColor="text1"/>
        </w:rPr>
      </w:pPr>
      <w:r w:rsidRPr="002765EA">
        <w:rPr>
          <w:color w:val="000000" w:themeColor="text1"/>
        </w:rPr>
        <w:t xml:space="preserve">   Decision: Reject H₀, p=0.004 &lt; α=0.0125 </w:t>
      </w:r>
      <w:r w:rsidRPr="002765EA">
        <w:rPr>
          <w:rFonts w:ascii="Segoe UI Symbol" w:hAnsi="Segoe UI Symbol" w:cs="Segoe UI Symbol"/>
          <w:color w:val="000000" w:themeColor="text1"/>
        </w:rPr>
        <w:t>✓</w:t>
      </w:r>
    </w:p>
    <w:p w14:paraId="146F6573" w14:textId="77777777" w:rsidR="00D070AF" w:rsidRPr="002765EA" w:rsidRDefault="00D070AF" w:rsidP="00AE1DED">
      <w:pPr>
        <w:rPr>
          <w:color w:val="000000" w:themeColor="text1"/>
        </w:rPr>
      </w:pPr>
      <w:r w:rsidRPr="002765EA">
        <w:rPr>
          <w:color w:val="000000" w:themeColor="text1"/>
        </w:rPr>
        <w:t> </w:t>
      </w:r>
    </w:p>
    <w:p w14:paraId="18200FF7" w14:textId="21112E7B" w:rsidR="00D070AF" w:rsidRPr="002765EA" w:rsidRDefault="00D070AF" w:rsidP="00AE1DED">
      <w:pPr>
        <w:rPr>
          <w:color w:val="000000" w:themeColor="text1"/>
        </w:rPr>
      </w:pPr>
      <w:r w:rsidRPr="002765EA">
        <w:rPr>
          <w:color w:val="000000" w:themeColor="text1"/>
        </w:rPr>
        <w:t>Critical finding: All four primary hypotheses survive Bonferroni correction.</w:t>
      </w:r>
    </w:p>
    <w:p w14:paraId="0CB06542" w14:textId="77777777" w:rsidR="00D070AF" w:rsidRPr="002765EA" w:rsidRDefault="00D070AF" w:rsidP="00AE1DED">
      <w:pPr>
        <w:rPr>
          <w:color w:val="000000" w:themeColor="text1"/>
        </w:rPr>
      </w:pPr>
    </w:p>
    <w:p w14:paraId="5C852424" w14:textId="5A430B00" w:rsidR="00D070AF" w:rsidRPr="002765EA" w:rsidRDefault="00D070AF" w:rsidP="00AE1DED">
      <w:pPr>
        <w:rPr>
          <w:b/>
          <w:bCs/>
          <w:color w:val="000000" w:themeColor="text1"/>
        </w:rPr>
      </w:pPr>
      <w:r w:rsidRPr="002765EA">
        <w:rPr>
          <w:b/>
          <w:bCs/>
          <w:color w:val="000000" w:themeColor="text1"/>
        </w:rPr>
        <w:t>Tier 2: Secondary Planned Hypotheses (n=12)</w:t>
      </w:r>
    </w:p>
    <w:p w14:paraId="7AC86246" w14:textId="77777777" w:rsidR="00D070AF" w:rsidRPr="002765EA" w:rsidRDefault="00D070AF" w:rsidP="00AE1DED">
      <w:pPr>
        <w:rPr>
          <w:color w:val="000000" w:themeColor="text1"/>
        </w:rPr>
      </w:pPr>
      <w:r w:rsidRPr="002765EA">
        <w:rPr>
          <w:color w:val="000000" w:themeColor="text1"/>
        </w:rPr>
        <w:t>These represent pre-specified comparisons across protocols, networks, and strategies:</w:t>
      </w:r>
    </w:p>
    <w:p w14:paraId="746F1887" w14:textId="77777777" w:rsidR="00D070AF" w:rsidRPr="002765EA" w:rsidRDefault="00D070AF" w:rsidP="00AE1DED">
      <w:pPr>
        <w:rPr>
          <w:color w:val="000000" w:themeColor="text1"/>
        </w:rPr>
      </w:pPr>
      <w:r w:rsidRPr="002765EA">
        <w:rPr>
          <w:color w:val="000000" w:themeColor="text1"/>
        </w:rPr>
        <w:t> </w:t>
      </w:r>
    </w:p>
    <w:p w14:paraId="650CF20B" w14:textId="77777777" w:rsidR="00D070AF" w:rsidRPr="002765EA" w:rsidRDefault="00D070AF" w:rsidP="00AE1DED">
      <w:pPr>
        <w:pStyle w:val="ListParagraph"/>
        <w:numPr>
          <w:ilvl w:val="0"/>
          <w:numId w:val="252"/>
        </w:numPr>
        <w:rPr>
          <w:color w:val="000000" w:themeColor="text1"/>
        </w:rPr>
      </w:pPr>
      <w:r w:rsidRPr="002765EA">
        <w:rPr>
          <w:color w:val="000000" w:themeColor="text1"/>
        </w:rPr>
        <w:t>Adjustment method: Benjamini-Hochberg False Discovery Rate (FDR)</w:t>
      </w:r>
    </w:p>
    <w:p w14:paraId="3CAE8BB4" w14:textId="77777777" w:rsidR="00D070AF" w:rsidRPr="002765EA" w:rsidRDefault="00D070AF" w:rsidP="00AE1DED">
      <w:pPr>
        <w:pStyle w:val="ListParagraph"/>
        <w:numPr>
          <w:ilvl w:val="0"/>
          <w:numId w:val="252"/>
        </w:numPr>
        <w:rPr>
          <w:color w:val="000000" w:themeColor="text1"/>
        </w:rPr>
      </w:pPr>
      <w:r w:rsidRPr="002765EA">
        <w:rPr>
          <w:color w:val="000000" w:themeColor="text1"/>
        </w:rPr>
        <w:t>Target FDR: q=0.10 (controlling expected proportion of false discoveries at 10%)</w:t>
      </w:r>
    </w:p>
    <w:p w14:paraId="0F324DF6" w14:textId="77777777" w:rsidR="00D070AF" w:rsidRPr="002765EA" w:rsidRDefault="00D070AF" w:rsidP="00AE1DED">
      <w:pPr>
        <w:rPr>
          <w:color w:val="000000" w:themeColor="text1"/>
        </w:rPr>
      </w:pPr>
      <w:r w:rsidRPr="002765EA">
        <w:rPr>
          <w:color w:val="000000" w:themeColor="text1"/>
        </w:rPr>
        <w:t> </w:t>
      </w:r>
    </w:p>
    <w:p w14:paraId="17E59A7B" w14:textId="77777777" w:rsidR="00D070AF" w:rsidRPr="002765EA" w:rsidRDefault="00D070AF" w:rsidP="00AE1DED">
      <w:pPr>
        <w:rPr>
          <w:color w:val="000000" w:themeColor="text1"/>
        </w:rPr>
      </w:pPr>
      <w:r w:rsidRPr="002765EA">
        <w:rPr>
          <w:color w:val="000000" w:themeColor="text1"/>
        </w:rPr>
        <w:t>Tests (ordered by p-value):</w:t>
      </w:r>
    </w:p>
    <w:p w14:paraId="5E64186E" w14:textId="7AF07AA5" w:rsidR="00D070AF" w:rsidRPr="002765EA" w:rsidRDefault="00D070AF" w:rsidP="00AE1DED">
      <w:pPr>
        <w:pStyle w:val="ListParagraph"/>
        <w:numPr>
          <w:ilvl w:val="1"/>
          <w:numId w:val="205"/>
        </w:numPr>
        <w:outlineLvl w:val="9"/>
        <w:rPr>
          <w:color w:val="000000" w:themeColor="text1"/>
          <w:kern w:val="0"/>
        </w:rPr>
      </w:pPr>
      <w:r w:rsidRPr="002765EA">
        <w:rPr>
          <w:color w:val="000000" w:themeColor="text1"/>
          <w:kern w:val="0"/>
        </w:rPr>
        <w:t xml:space="preserve">Ethereum vs. L2 return difference: p=0.001 → Significant at q=0.10 </w:t>
      </w:r>
      <w:r w:rsidRPr="002765EA">
        <w:rPr>
          <w:rFonts w:ascii="Segoe UI Symbol" w:hAnsi="Segoe UI Symbol" w:cs="Segoe UI Symbol"/>
          <w:color w:val="000000" w:themeColor="text1"/>
          <w:kern w:val="0"/>
        </w:rPr>
        <w:t>✓</w:t>
      </w:r>
    </w:p>
    <w:p w14:paraId="410A1332" w14:textId="69467A9B" w:rsidR="00D070AF" w:rsidRPr="002765EA" w:rsidRDefault="00D070AF" w:rsidP="00AE1DED">
      <w:pPr>
        <w:pStyle w:val="ListParagraph"/>
        <w:numPr>
          <w:ilvl w:val="1"/>
          <w:numId w:val="205"/>
        </w:numPr>
        <w:outlineLvl w:val="9"/>
        <w:rPr>
          <w:color w:val="000000" w:themeColor="text1"/>
          <w:kern w:val="0"/>
        </w:rPr>
      </w:pPr>
      <w:r w:rsidRPr="002765EA">
        <w:rPr>
          <w:color w:val="000000" w:themeColor="text1"/>
          <w:kern w:val="0"/>
        </w:rPr>
        <w:t xml:space="preserve">Stablecoin vs. volatile pair IL: p=0.002 → Significant </w:t>
      </w:r>
      <w:r w:rsidRPr="002765EA">
        <w:rPr>
          <w:rFonts w:ascii="Segoe UI Symbol" w:hAnsi="Segoe UI Symbol" w:cs="Segoe UI Symbol"/>
          <w:color w:val="000000" w:themeColor="text1"/>
          <w:kern w:val="0"/>
        </w:rPr>
        <w:t>✓</w:t>
      </w:r>
    </w:p>
    <w:p w14:paraId="3A8F39D5" w14:textId="29119559" w:rsidR="00D070AF" w:rsidRPr="002765EA" w:rsidRDefault="00D070AF" w:rsidP="00AE1DED">
      <w:pPr>
        <w:pStyle w:val="ListParagraph"/>
        <w:numPr>
          <w:ilvl w:val="1"/>
          <w:numId w:val="205"/>
        </w:numPr>
        <w:outlineLvl w:val="9"/>
        <w:rPr>
          <w:color w:val="000000" w:themeColor="text1"/>
          <w:kern w:val="0"/>
        </w:rPr>
      </w:pPr>
      <w:r w:rsidRPr="002765EA">
        <w:rPr>
          <w:color w:val="000000" w:themeColor="text1"/>
          <w:kern w:val="0"/>
        </w:rPr>
        <w:t xml:space="preserve">Network gas cost differences: p=0.003 → Significant </w:t>
      </w:r>
      <w:r w:rsidRPr="002765EA">
        <w:rPr>
          <w:rFonts w:ascii="Segoe UI Symbol" w:hAnsi="Segoe UI Symbol" w:cs="Segoe UI Symbol"/>
          <w:color w:val="000000" w:themeColor="text1"/>
          <w:kern w:val="0"/>
        </w:rPr>
        <w:t>✓</w:t>
      </w:r>
    </w:p>
    <w:p w14:paraId="23AA83F6" w14:textId="499487DE" w:rsidR="00D070AF" w:rsidRPr="002765EA" w:rsidRDefault="00D070AF" w:rsidP="00AE1DED">
      <w:pPr>
        <w:pStyle w:val="ListParagraph"/>
        <w:numPr>
          <w:ilvl w:val="1"/>
          <w:numId w:val="205"/>
        </w:numPr>
        <w:outlineLvl w:val="9"/>
        <w:rPr>
          <w:color w:val="000000" w:themeColor="text1"/>
          <w:kern w:val="0"/>
        </w:rPr>
      </w:pPr>
      <w:r w:rsidRPr="002765EA">
        <w:rPr>
          <w:color w:val="000000" w:themeColor="text1"/>
          <w:kern w:val="0"/>
        </w:rPr>
        <w:t xml:space="preserve">Protocol age vs. incident rate: p=0.008 → Significant </w:t>
      </w:r>
      <w:r w:rsidRPr="002765EA">
        <w:rPr>
          <w:rFonts w:ascii="Segoe UI Symbol" w:hAnsi="Segoe UI Symbol" w:cs="Segoe UI Symbol"/>
          <w:color w:val="000000" w:themeColor="text1"/>
          <w:kern w:val="0"/>
        </w:rPr>
        <w:t>✓</w:t>
      </w:r>
    </w:p>
    <w:p w14:paraId="5F953734" w14:textId="37494E7A" w:rsidR="00D070AF" w:rsidRPr="002765EA" w:rsidRDefault="00D070AF" w:rsidP="00AE1DED">
      <w:pPr>
        <w:pStyle w:val="ListParagraph"/>
        <w:numPr>
          <w:ilvl w:val="1"/>
          <w:numId w:val="205"/>
        </w:numPr>
        <w:outlineLvl w:val="9"/>
        <w:rPr>
          <w:color w:val="000000" w:themeColor="text1"/>
          <w:kern w:val="0"/>
        </w:rPr>
      </w:pPr>
      <w:r w:rsidRPr="002765EA">
        <w:rPr>
          <w:color w:val="000000" w:themeColor="text1"/>
          <w:kern w:val="0"/>
        </w:rPr>
        <w:t xml:space="preserve">Position size vs. time-in-range: p=0.012 → Significant </w:t>
      </w:r>
      <w:r w:rsidRPr="002765EA">
        <w:rPr>
          <w:rFonts w:ascii="Segoe UI Symbol" w:hAnsi="Segoe UI Symbol" w:cs="Segoe UI Symbol"/>
          <w:color w:val="000000" w:themeColor="text1"/>
          <w:kern w:val="0"/>
        </w:rPr>
        <w:t>✓</w:t>
      </w:r>
    </w:p>
    <w:p w14:paraId="7A73A0A0" w14:textId="3E69A359" w:rsidR="00D070AF" w:rsidRPr="002765EA" w:rsidRDefault="00D070AF" w:rsidP="00AE1DED">
      <w:pPr>
        <w:pStyle w:val="ListParagraph"/>
        <w:numPr>
          <w:ilvl w:val="1"/>
          <w:numId w:val="205"/>
        </w:numPr>
        <w:outlineLvl w:val="9"/>
        <w:rPr>
          <w:color w:val="000000" w:themeColor="text1"/>
          <w:kern w:val="0"/>
        </w:rPr>
      </w:pPr>
      <w:r w:rsidRPr="002765EA">
        <w:rPr>
          <w:color w:val="000000" w:themeColor="text1"/>
          <w:kern w:val="0"/>
        </w:rPr>
        <w:t xml:space="preserve">Management style vs. returns: p=0.019 → Significant </w:t>
      </w:r>
      <w:r w:rsidRPr="002765EA">
        <w:rPr>
          <w:rFonts w:ascii="Segoe UI Symbol" w:hAnsi="Segoe UI Symbol" w:cs="Segoe UI Symbol"/>
          <w:color w:val="000000" w:themeColor="text1"/>
          <w:kern w:val="0"/>
        </w:rPr>
        <w:t>✓</w:t>
      </w:r>
    </w:p>
    <w:p w14:paraId="40E6190E" w14:textId="3A15C6E9" w:rsidR="00D070AF" w:rsidRPr="002765EA" w:rsidRDefault="00D070AF" w:rsidP="00AE1DED">
      <w:pPr>
        <w:pStyle w:val="ListParagraph"/>
        <w:numPr>
          <w:ilvl w:val="1"/>
          <w:numId w:val="205"/>
        </w:numPr>
        <w:outlineLvl w:val="9"/>
        <w:rPr>
          <w:color w:val="000000" w:themeColor="text1"/>
          <w:kern w:val="0"/>
        </w:rPr>
      </w:pPr>
      <w:r w:rsidRPr="002765EA">
        <w:rPr>
          <w:color w:val="000000" w:themeColor="text1"/>
          <w:kern w:val="0"/>
        </w:rPr>
        <w:t xml:space="preserve">Diversification vs. survival: p=0.027 → Significant </w:t>
      </w:r>
      <w:r w:rsidRPr="002765EA">
        <w:rPr>
          <w:rFonts w:ascii="Segoe UI Symbol" w:hAnsi="Segoe UI Symbol" w:cs="Segoe UI Symbol"/>
          <w:color w:val="000000" w:themeColor="text1"/>
          <w:kern w:val="0"/>
        </w:rPr>
        <w:t>✓</w:t>
      </w:r>
    </w:p>
    <w:p w14:paraId="565BFC63" w14:textId="249787CE" w:rsidR="00D070AF" w:rsidRPr="002765EA" w:rsidRDefault="00D070AF" w:rsidP="00AE1DED">
      <w:pPr>
        <w:pStyle w:val="ListParagraph"/>
        <w:numPr>
          <w:ilvl w:val="1"/>
          <w:numId w:val="205"/>
        </w:numPr>
        <w:outlineLvl w:val="9"/>
        <w:rPr>
          <w:color w:val="000000" w:themeColor="text1"/>
          <w:kern w:val="0"/>
        </w:rPr>
      </w:pPr>
      <w:r w:rsidRPr="002765EA">
        <w:rPr>
          <w:color w:val="000000" w:themeColor="text1"/>
          <w:kern w:val="0"/>
        </w:rPr>
        <w:t xml:space="preserve">Rebalancing frequency vs. costs: p=0.031 → Significant </w:t>
      </w:r>
      <w:r w:rsidRPr="002765EA">
        <w:rPr>
          <w:rFonts w:ascii="Segoe UI Symbol" w:hAnsi="Segoe UI Symbol" w:cs="Segoe UI Symbol"/>
          <w:color w:val="000000" w:themeColor="text1"/>
          <w:kern w:val="0"/>
        </w:rPr>
        <w:t>✓</w:t>
      </w:r>
    </w:p>
    <w:p w14:paraId="21EE34B0" w14:textId="4AE89F0D" w:rsidR="00D070AF" w:rsidRPr="002765EA" w:rsidRDefault="00D070AF" w:rsidP="00AE1DED">
      <w:pPr>
        <w:pStyle w:val="ListParagraph"/>
        <w:numPr>
          <w:ilvl w:val="1"/>
          <w:numId w:val="205"/>
        </w:numPr>
        <w:outlineLvl w:val="9"/>
        <w:rPr>
          <w:color w:val="000000" w:themeColor="text1"/>
          <w:kern w:val="0"/>
        </w:rPr>
      </w:pPr>
      <w:r w:rsidRPr="002765EA">
        <w:rPr>
          <w:color w:val="000000" w:themeColor="text1"/>
          <w:kern w:val="0"/>
        </w:rPr>
        <w:t xml:space="preserve">Fee tier selection vs. returns: p=0.045 → Significant </w:t>
      </w:r>
      <w:r w:rsidRPr="002765EA">
        <w:rPr>
          <w:rFonts w:ascii="Segoe UI Symbol" w:hAnsi="Segoe UI Symbol" w:cs="Segoe UI Symbol"/>
          <w:color w:val="000000" w:themeColor="text1"/>
          <w:kern w:val="0"/>
        </w:rPr>
        <w:t>✓</w:t>
      </w:r>
    </w:p>
    <w:p w14:paraId="4A680BCB" w14:textId="779352F9" w:rsidR="00D070AF" w:rsidRPr="002765EA" w:rsidRDefault="00D070AF" w:rsidP="00AE1DED">
      <w:pPr>
        <w:pStyle w:val="ListParagraph"/>
        <w:numPr>
          <w:ilvl w:val="1"/>
          <w:numId w:val="205"/>
        </w:numPr>
        <w:outlineLvl w:val="9"/>
        <w:rPr>
          <w:color w:val="000000" w:themeColor="text1"/>
          <w:kern w:val="0"/>
        </w:rPr>
      </w:pPr>
      <w:r w:rsidRPr="002765EA">
        <w:rPr>
          <w:color w:val="000000" w:themeColor="text1"/>
          <w:kern w:val="0"/>
        </w:rPr>
        <w:t xml:space="preserve">Audit status vs. incident rate: p=0.062 → Not significant at q=0.10 </w:t>
      </w:r>
      <w:r w:rsidRPr="002765EA">
        <w:rPr>
          <w:rFonts w:ascii="Segoe UI Symbol" w:hAnsi="Segoe UI Symbol" w:cs="Segoe UI Symbol"/>
          <w:color w:val="000000" w:themeColor="text1"/>
          <w:kern w:val="0"/>
        </w:rPr>
        <w:t>✗</w:t>
      </w:r>
    </w:p>
    <w:p w14:paraId="14994C02" w14:textId="7DCC93BE" w:rsidR="00D070AF" w:rsidRPr="002765EA" w:rsidRDefault="00D070AF" w:rsidP="00AE1DED">
      <w:pPr>
        <w:pStyle w:val="ListParagraph"/>
        <w:numPr>
          <w:ilvl w:val="1"/>
          <w:numId w:val="205"/>
        </w:numPr>
        <w:outlineLvl w:val="9"/>
        <w:rPr>
          <w:color w:val="000000" w:themeColor="text1"/>
          <w:kern w:val="0"/>
        </w:rPr>
      </w:pPr>
      <w:r w:rsidRPr="002765EA">
        <w:rPr>
          <w:color w:val="000000" w:themeColor="text1"/>
          <w:kern w:val="0"/>
        </w:rPr>
        <w:t xml:space="preserve">Governance token holding vs. returns: p=0.089 → Not significant </w:t>
      </w:r>
      <w:r w:rsidRPr="002765EA">
        <w:rPr>
          <w:rFonts w:ascii="Segoe UI Symbol" w:hAnsi="Segoe UI Symbol" w:cs="Segoe UI Symbol"/>
          <w:color w:val="000000" w:themeColor="text1"/>
          <w:kern w:val="0"/>
        </w:rPr>
        <w:t>✗</w:t>
      </w:r>
    </w:p>
    <w:p w14:paraId="5805935C" w14:textId="1B2575BD" w:rsidR="00D070AF" w:rsidRPr="002765EA" w:rsidRDefault="00D070AF" w:rsidP="00AE1DED">
      <w:pPr>
        <w:pStyle w:val="ListParagraph"/>
        <w:numPr>
          <w:ilvl w:val="1"/>
          <w:numId w:val="205"/>
        </w:numPr>
        <w:outlineLvl w:val="9"/>
        <w:rPr>
          <w:color w:val="000000" w:themeColor="text1"/>
          <w:kern w:val="0"/>
        </w:rPr>
      </w:pPr>
      <w:r w:rsidRPr="002765EA">
        <w:rPr>
          <w:color w:val="000000" w:themeColor="text1"/>
          <w:kern w:val="0"/>
        </w:rPr>
        <w:t xml:space="preserve">Time of entry vs. success rate: p=0.134 → Not significant </w:t>
      </w:r>
      <w:r w:rsidRPr="002765EA">
        <w:rPr>
          <w:rFonts w:ascii="Segoe UI Symbol" w:hAnsi="Segoe UI Symbol" w:cs="Segoe UI Symbol"/>
          <w:color w:val="000000" w:themeColor="text1"/>
          <w:kern w:val="0"/>
        </w:rPr>
        <w:t>✗</w:t>
      </w:r>
    </w:p>
    <w:p w14:paraId="68F317D2" w14:textId="77777777" w:rsidR="00D070AF" w:rsidRPr="002765EA" w:rsidRDefault="00D070AF" w:rsidP="00AE1DED">
      <w:pPr>
        <w:rPr>
          <w:color w:val="000000" w:themeColor="text1"/>
        </w:rPr>
      </w:pPr>
      <w:r w:rsidRPr="002765EA">
        <w:rPr>
          <w:color w:val="000000" w:themeColor="text1"/>
        </w:rPr>
        <w:t> </w:t>
      </w:r>
    </w:p>
    <w:p w14:paraId="50E5C69A" w14:textId="7EBE77F2" w:rsidR="00D070AF" w:rsidRPr="009761F4" w:rsidRDefault="00D070AF" w:rsidP="00AE1DED">
      <w:pPr>
        <w:rPr>
          <w:color w:val="000000" w:themeColor="text1"/>
        </w:rPr>
      </w:pPr>
      <w:r w:rsidRPr="009761F4">
        <w:rPr>
          <w:color w:val="000000" w:themeColor="text1"/>
        </w:rPr>
        <w:lastRenderedPageBreak/>
        <w:t>Result: 9 of 12 secondary hypotheses survive FDR correction at q=0.10.</w:t>
      </w:r>
    </w:p>
    <w:p w14:paraId="1A00F0B1" w14:textId="77777777" w:rsidR="00D070AF" w:rsidRPr="009761F4" w:rsidRDefault="00D070AF" w:rsidP="00AE1DED">
      <w:pPr>
        <w:rPr>
          <w:color w:val="000000" w:themeColor="text1"/>
        </w:rPr>
      </w:pPr>
      <w:r w:rsidRPr="009761F4">
        <w:rPr>
          <w:color w:val="000000" w:themeColor="text1"/>
        </w:rPr>
        <w:t> </w:t>
      </w:r>
    </w:p>
    <w:p w14:paraId="7978EA2F" w14:textId="77777777" w:rsidR="00D070AF" w:rsidRPr="009761F4" w:rsidRDefault="00D070AF" w:rsidP="00AE1DED">
      <w:pPr>
        <w:rPr>
          <w:color w:val="000000" w:themeColor="text1"/>
        </w:rPr>
      </w:pPr>
      <w:r w:rsidRPr="009761F4">
        <w:rPr>
          <w:color w:val="000000" w:themeColor="text1"/>
        </w:rPr>
        <w:t> </w:t>
      </w:r>
    </w:p>
    <w:p w14:paraId="2EBCF719" w14:textId="70FD4E03" w:rsidR="00D070AF" w:rsidRPr="009761F4" w:rsidRDefault="00D070AF" w:rsidP="00AE1DED">
      <w:pPr>
        <w:rPr>
          <w:b/>
          <w:bCs/>
          <w:color w:val="000000" w:themeColor="text1"/>
        </w:rPr>
      </w:pPr>
      <w:r w:rsidRPr="009761F4">
        <w:rPr>
          <w:b/>
          <w:bCs/>
          <w:color w:val="000000" w:themeColor="text1"/>
        </w:rPr>
        <w:t>Tier 3: Exploratory Analyses (n=34+)</w:t>
      </w:r>
    </w:p>
    <w:p w14:paraId="226054D3" w14:textId="77777777" w:rsidR="00D070AF" w:rsidRPr="009761F4" w:rsidRDefault="00D070AF" w:rsidP="00AE1DED">
      <w:pPr>
        <w:rPr>
          <w:color w:val="000000" w:themeColor="text1"/>
        </w:rPr>
      </w:pPr>
      <w:r w:rsidRPr="009761F4">
        <w:rPr>
          <w:color w:val="000000" w:themeColor="text1"/>
        </w:rPr>
        <w:t>These include post-hoc tests, subgroup analyses, and sensitivity checks:</w:t>
      </w:r>
    </w:p>
    <w:p w14:paraId="64A2D4DA" w14:textId="77777777" w:rsidR="00D070AF" w:rsidRPr="009761F4" w:rsidRDefault="00D070AF" w:rsidP="00AE1DED">
      <w:pPr>
        <w:rPr>
          <w:color w:val="000000" w:themeColor="text1"/>
        </w:rPr>
      </w:pPr>
      <w:r w:rsidRPr="009761F4">
        <w:rPr>
          <w:color w:val="000000" w:themeColor="text1"/>
        </w:rPr>
        <w:t> </w:t>
      </w:r>
    </w:p>
    <w:p w14:paraId="55CCA3DC" w14:textId="77777777" w:rsidR="00D070AF" w:rsidRPr="009761F4" w:rsidRDefault="00D070AF" w:rsidP="00AE1DED">
      <w:pPr>
        <w:pStyle w:val="ListParagraph"/>
        <w:numPr>
          <w:ilvl w:val="0"/>
          <w:numId w:val="251"/>
        </w:numPr>
        <w:rPr>
          <w:color w:val="000000" w:themeColor="text1"/>
        </w:rPr>
      </w:pPr>
      <w:r w:rsidRPr="009761F4">
        <w:rPr>
          <w:color w:val="000000" w:themeColor="text1"/>
        </w:rPr>
        <w:t>Adjustment method: None (report nominal p-values with explicit "exploratory" labels)</w:t>
      </w:r>
    </w:p>
    <w:p w14:paraId="26B701A5" w14:textId="77777777" w:rsidR="00D070AF" w:rsidRPr="009761F4" w:rsidRDefault="00D070AF" w:rsidP="00AE1DED">
      <w:pPr>
        <w:pStyle w:val="ListParagraph"/>
        <w:numPr>
          <w:ilvl w:val="0"/>
          <w:numId w:val="251"/>
        </w:numPr>
        <w:rPr>
          <w:color w:val="000000" w:themeColor="text1"/>
        </w:rPr>
      </w:pPr>
      <w:r w:rsidRPr="009761F4">
        <w:rPr>
          <w:color w:val="000000" w:themeColor="text1"/>
        </w:rPr>
        <w:t>Interpretation guideline: Treat p&lt;0.05 as hypothesis-generating, not confirmatory</w:t>
      </w:r>
    </w:p>
    <w:p w14:paraId="55C6DECC" w14:textId="77777777" w:rsidR="00D070AF" w:rsidRPr="009761F4" w:rsidRDefault="00D070AF" w:rsidP="00AE1DED">
      <w:pPr>
        <w:rPr>
          <w:color w:val="000000" w:themeColor="text1"/>
        </w:rPr>
      </w:pPr>
      <w:r w:rsidRPr="009761F4">
        <w:rPr>
          <w:color w:val="000000" w:themeColor="text1"/>
        </w:rPr>
        <w:t> </w:t>
      </w:r>
    </w:p>
    <w:p w14:paraId="495E195E" w14:textId="77777777" w:rsidR="00D070AF" w:rsidRPr="009761F4" w:rsidRDefault="00D070AF" w:rsidP="00AE1DED">
      <w:pPr>
        <w:rPr>
          <w:color w:val="000000" w:themeColor="text1"/>
        </w:rPr>
      </w:pPr>
      <w:r w:rsidRPr="009761F4">
        <w:rPr>
          <w:color w:val="000000" w:themeColor="text1"/>
        </w:rPr>
        <w:t>Categories:</w:t>
      </w:r>
    </w:p>
    <w:p w14:paraId="39FFFC26" w14:textId="5A6CCAAF" w:rsidR="00D070AF" w:rsidRPr="009761F4" w:rsidRDefault="00D070AF" w:rsidP="00AE1DED">
      <w:pPr>
        <w:pStyle w:val="ListParagraph"/>
        <w:numPr>
          <w:ilvl w:val="0"/>
          <w:numId w:val="206"/>
        </w:numPr>
        <w:outlineLvl w:val="9"/>
        <w:rPr>
          <w:color w:val="000000" w:themeColor="text1"/>
          <w:kern w:val="0"/>
        </w:rPr>
      </w:pPr>
      <w:r w:rsidRPr="009761F4">
        <w:rPr>
          <w:color w:val="000000" w:themeColor="text1"/>
          <w:kern w:val="0"/>
        </w:rPr>
        <w:t>Subgroup analyses with n&lt;20 per group: 18 tests</w:t>
      </w:r>
    </w:p>
    <w:p w14:paraId="2C78FED8" w14:textId="3C1EC8C9" w:rsidR="00D070AF" w:rsidRPr="009761F4" w:rsidRDefault="00D070AF" w:rsidP="00AE1DED">
      <w:pPr>
        <w:pStyle w:val="ListParagraph"/>
        <w:numPr>
          <w:ilvl w:val="0"/>
          <w:numId w:val="206"/>
        </w:numPr>
        <w:outlineLvl w:val="9"/>
        <w:rPr>
          <w:color w:val="000000" w:themeColor="text1"/>
          <w:kern w:val="0"/>
        </w:rPr>
      </w:pPr>
      <w:r w:rsidRPr="009761F4">
        <w:rPr>
          <w:color w:val="000000" w:themeColor="text1"/>
          <w:kern w:val="0"/>
        </w:rPr>
        <w:t>Post-hoc pairwise comparisons: 8 tests</w:t>
      </w:r>
    </w:p>
    <w:p w14:paraId="38D5716C" w14:textId="39C3A32B" w:rsidR="00D070AF" w:rsidRPr="009761F4" w:rsidRDefault="00D070AF" w:rsidP="00AE1DED">
      <w:pPr>
        <w:pStyle w:val="ListParagraph"/>
        <w:numPr>
          <w:ilvl w:val="0"/>
          <w:numId w:val="206"/>
        </w:numPr>
        <w:outlineLvl w:val="9"/>
        <w:rPr>
          <w:color w:val="000000" w:themeColor="text1"/>
          <w:kern w:val="0"/>
        </w:rPr>
      </w:pPr>
      <w:r w:rsidRPr="009761F4">
        <w:rPr>
          <w:color w:val="000000" w:themeColor="text1"/>
          <w:kern w:val="0"/>
        </w:rPr>
        <w:t>Sensitivity analyses: 6 tests</w:t>
      </w:r>
    </w:p>
    <w:p w14:paraId="6F6D049D" w14:textId="711F221A" w:rsidR="00D070AF" w:rsidRPr="009761F4" w:rsidRDefault="00D070AF" w:rsidP="00AE1DED">
      <w:pPr>
        <w:pStyle w:val="ListParagraph"/>
        <w:numPr>
          <w:ilvl w:val="0"/>
          <w:numId w:val="206"/>
        </w:numPr>
        <w:outlineLvl w:val="9"/>
        <w:rPr>
          <w:color w:val="000000" w:themeColor="text1"/>
          <w:kern w:val="0"/>
        </w:rPr>
      </w:pPr>
      <w:r w:rsidRPr="009761F4">
        <w:rPr>
          <w:color w:val="000000" w:themeColor="text1"/>
          <w:kern w:val="0"/>
        </w:rPr>
        <w:t>Robustness checks: 2 tests</w:t>
      </w:r>
    </w:p>
    <w:p w14:paraId="4456E6B5" w14:textId="77777777" w:rsidR="00D070AF" w:rsidRPr="009761F4" w:rsidRDefault="00D070AF" w:rsidP="00AE1DED">
      <w:pPr>
        <w:rPr>
          <w:color w:val="000000" w:themeColor="text1"/>
        </w:rPr>
      </w:pPr>
      <w:r w:rsidRPr="009761F4">
        <w:rPr>
          <w:color w:val="000000" w:themeColor="text1"/>
        </w:rPr>
        <w:t> </w:t>
      </w:r>
    </w:p>
    <w:p w14:paraId="54DD8857" w14:textId="77777777" w:rsidR="00D070AF" w:rsidRPr="009761F4" w:rsidRDefault="00D070AF" w:rsidP="00AE1DED">
      <w:pPr>
        <w:rPr>
          <w:color w:val="000000" w:themeColor="text1"/>
        </w:rPr>
      </w:pPr>
      <w:r w:rsidRPr="009761F4">
        <w:rPr>
          <w:color w:val="000000" w:themeColor="text1"/>
        </w:rPr>
        <w:t>Reporting standard:</w:t>
      </w:r>
    </w:p>
    <w:p w14:paraId="51C46299" w14:textId="6772916D" w:rsidR="00D070AF" w:rsidRPr="009761F4" w:rsidRDefault="00D070AF" w:rsidP="00AE1DED">
      <w:pPr>
        <w:pStyle w:val="ListParagraph"/>
        <w:numPr>
          <w:ilvl w:val="0"/>
          <w:numId w:val="207"/>
        </w:numPr>
        <w:outlineLvl w:val="9"/>
        <w:rPr>
          <w:color w:val="000000" w:themeColor="text1"/>
          <w:kern w:val="0"/>
        </w:rPr>
      </w:pPr>
      <w:r w:rsidRPr="009761F4">
        <w:rPr>
          <w:color w:val="000000" w:themeColor="text1"/>
          <w:kern w:val="0"/>
        </w:rPr>
        <w:t>Always label as "exploratory"</w:t>
      </w:r>
    </w:p>
    <w:p w14:paraId="76075E1F" w14:textId="31420280" w:rsidR="00D070AF" w:rsidRPr="009761F4" w:rsidRDefault="00D070AF" w:rsidP="00AE1DED">
      <w:pPr>
        <w:pStyle w:val="ListParagraph"/>
        <w:numPr>
          <w:ilvl w:val="0"/>
          <w:numId w:val="207"/>
        </w:numPr>
        <w:outlineLvl w:val="9"/>
        <w:rPr>
          <w:color w:val="000000" w:themeColor="text1"/>
          <w:kern w:val="0"/>
        </w:rPr>
      </w:pPr>
      <w:proofErr w:type="gramStart"/>
      <w:r w:rsidRPr="009761F4">
        <w:rPr>
          <w:color w:val="000000" w:themeColor="text1"/>
          <w:kern w:val="0"/>
        </w:rPr>
        <w:t>Report</w:t>
      </w:r>
      <w:proofErr w:type="gramEnd"/>
      <w:r w:rsidRPr="009761F4">
        <w:rPr>
          <w:color w:val="000000" w:themeColor="text1"/>
          <w:kern w:val="0"/>
        </w:rPr>
        <w:t xml:space="preserve"> exact p-values (not just p&lt;0.05)</w:t>
      </w:r>
    </w:p>
    <w:p w14:paraId="13B2C399" w14:textId="1D937145" w:rsidR="00D070AF" w:rsidRPr="009761F4" w:rsidRDefault="00D070AF" w:rsidP="00AE1DED">
      <w:pPr>
        <w:pStyle w:val="ListParagraph"/>
        <w:numPr>
          <w:ilvl w:val="0"/>
          <w:numId w:val="207"/>
        </w:numPr>
        <w:outlineLvl w:val="9"/>
        <w:rPr>
          <w:color w:val="000000" w:themeColor="text1"/>
          <w:kern w:val="0"/>
        </w:rPr>
      </w:pPr>
      <w:r w:rsidRPr="009761F4">
        <w:rPr>
          <w:color w:val="000000" w:themeColor="text1"/>
          <w:kern w:val="0"/>
        </w:rPr>
        <w:t>Interpret as preliminary evidence requiring replication</w:t>
      </w:r>
    </w:p>
    <w:p w14:paraId="4C06937B" w14:textId="43F5B596" w:rsidR="00D070AF" w:rsidRPr="009761F4" w:rsidRDefault="00D070AF" w:rsidP="00AE1DED">
      <w:pPr>
        <w:pStyle w:val="ListParagraph"/>
        <w:numPr>
          <w:ilvl w:val="0"/>
          <w:numId w:val="207"/>
        </w:numPr>
        <w:outlineLvl w:val="9"/>
        <w:rPr>
          <w:color w:val="000000" w:themeColor="text1"/>
          <w:kern w:val="0"/>
        </w:rPr>
      </w:pPr>
      <w:r w:rsidRPr="009761F4">
        <w:rPr>
          <w:color w:val="000000" w:themeColor="text1"/>
          <w:kern w:val="0"/>
        </w:rPr>
        <w:t>Do not draw strong conclusions from single exploratory test</w:t>
      </w:r>
    </w:p>
    <w:p w14:paraId="03DFF49E" w14:textId="77777777" w:rsidR="00D070AF" w:rsidRPr="009761F4" w:rsidRDefault="00D070AF" w:rsidP="00AE1DED">
      <w:pPr>
        <w:pStyle w:val="Heading3"/>
        <w:rPr>
          <w:rFonts w:eastAsiaTheme="majorEastAsia"/>
          <w:color w:val="000000" w:themeColor="text1"/>
        </w:rPr>
      </w:pPr>
    </w:p>
    <w:p w14:paraId="4CAB2B05" w14:textId="77777777" w:rsidR="00D070AF" w:rsidRDefault="00D070AF" w:rsidP="00AE1DED">
      <w:pPr>
        <w:pStyle w:val="Heading3"/>
        <w:rPr>
          <w:rFonts w:eastAsiaTheme="majorEastAsia"/>
        </w:rPr>
      </w:pPr>
    </w:p>
    <w:p w14:paraId="1150338A" w14:textId="41B80BD8" w:rsidR="008750EF" w:rsidRDefault="008750EF" w:rsidP="00AE1DED">
      <w:pPr>
        <w:pStyle w:val="Heading3"/>
        <w:rPr>
          <w:rFonts w:eastAsiaTheme="majorEastAsia"/>
        </w:rPr>
      </w:pPr>
      <w:bookmarkStart w:id="268" w:name="_Toc214722074"/>
      <w:r w:rsidRPr="003C66A0">
        <w:rPr>
          <w:rFonts w:eastAsiaTheme="majorEastAsia"/>
        </w:rPr>
        <w:t xml:space="preserve">Table </w:t>
      </w:r>
      <w:r w:rsidR="00E26ED1" w:rsidRPr="003C66A0">
        <w:rPr>
          <w:rFonts w:eastAsiaTheme="majorEastAsia"/>
        </w:rPr>
        <w:t>C</w:t>
      </w:r>
      <w:r w:rsidRPr="003C66A0">
        <w:rPr>
          <w:rFonts w:eastAsiaTheme="majorEastAsia"/>
        </w:rPr>
        <w:t>.2: Sample Size and Power Calculations</w:t>
      </w:r>
      <w:bookmarkEnd w:id="268"/>
    </w:p>
    <w:p w14:paraId="4A2B86A9" w14:textId="77777777" w:rsidR="004E10FD" w:rsidRPr="004E10FD" w:rsidRDefault="004E10FD" w:rsidP="00AE1DED">
      <w:pPr>
        <w:rPr>
          <w:rFonts w:eastAsiaTheme="majorEastAsia"/>
        </w:rPr>
      </w:pPr>
    </w:p>
    <w:tbl>
      <w:tblPr>
        <w:tblW w:w="9460" w:type="dxa"/>
        <w:tblLook w:val="04A0" w:firstRow="1" w:lastRow="0" w:firstColumn="1" w:lastColumn="0" w:noHBand="0" w:noVBand="1"/>
      </w:tblPr>
      <w:tblGrid>
        <w:gridCol w:w="2420"/>
        <w:gridCol w:w="1710"/>
        <w:gridCol w:w="1440"/>
        <w:gridCol w:w="1710"/>
        <w:gridCol w:w="2180"/>
      </w:tblGrid>
      <w:tr w:rsidR="00FC334A" w:rsidRPr="003C66A0" w14:paraId="53C52EC1" w14:textId="77777777" w:rsidTr="00D07167">
        <w:trPr>
          <w:trHeight w:val="360"/>
        </w:trPr>
        <w:tc>
          <w:tcPr>
            <w:tcW w:w="24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6B98AFEF" w14:textId="77777777" w:rsidR="00D07167" w:rsidRPr="003C66A0" w:rsidRDefault="00D07167" w:rsidP="00AE1DED">
            <w:pPr>
              <w:jc w:val="center"/>
              <w:rPr>
                <w:b/>
                <w:bCs/>
                <w:color w:val="000000" w:themeColor="text1"/>
              </w:rPr>
            </w:pPr>
            <w:r w:rsidRPr="003C66A0">
              <w:rPr>
                <w:b/>
                <w:bCs/>
                <w:color w:val="000000" w:themeColor="text1"/>
              </w:rPr>
              <w:t>Analysis</w:t>
            </w:r>
          </w:p>
        </w:tc>
        <w:tc>
          <w:tcPr>
            <w:tcW w:w="1710" w:type="dxa"/>
            <w:tcBorders>
              <w:top w:val="single" w:sz="8" w:space="0" w:color="auto"/>
              <w:left w:val="nil"/>
              <w:bottom w:val="single" w:sz="8" w:space="0" w:color="auto"/>
              <w:right w:val="single" w:sz="4" w:space="0" w:color="auto"/>
            </w:tcBorders>
            <w:shd w:val="clear" w:color="000000" w:fill="D9D9D9"/>
            <w:vAlign w:val="center"/>
            <w:hideMark/>
          </w:tcPr>
          <w:p w14:paraId="5BA24F6B" w14:textId="77777777" w:rsidR="00D07167" w:rsidRPr="003C66A0" w:rsidRDefault="00D07167" w:rsidP="00AE1DED">
            <w:pPr>
              <w:jc w:val="center"/>
              <w:rPr>
                <w:b/>
                <w:bCs/>
                <w:color w:val="000000" w:themeColor="text1"/>
              </w:rPr>
            </w:pPr>
            <w:r w:rsidRPr="003C66A0">
              <w:rPr>
                <w:b/>
                <w:bCs/>
                <w:color w:val="000000" w:themeColor="text1"/>
              </w:rPr>
              <w:t>Required N</w:t>
            </w:r>
          </w:p>
        </w:tc>
        <w:tc>
          <w:tcPr>
            <w:tcW w:w="1440" w:type="dxa"/>
            <w:tcBorders>
              <w:top w:val="single" w:sz="8" w:space="0" w:color="auto"/>
              <w:left w:val="nil"/>
              <w:bottom w:val="single" w:sz="8" w:space="0" w:color="auto"/>
              <w:right w:val="single" w:sz="4" w:space="0" w:color="auto"/>
            </w:tcBorders>
            <w:shd w:val="clear" w:color="000000" w:fill="D9D9D9"/>
            <w:vAlign w:val="center"/>
            <w:hideMark/>
          </w:tcPr>
          <w:p w14:paraId="7CCDB5C7" w14:textId="77777777" w:rsidR="00D07167" w:rsidRPr="003C66A0" w:rsidRDefault="00D07167" w:rsidP="00AE1DED">
            <w:pPr>
              <w:jc w:val="center"/>
              <w:rPr>
                <w:b/>
                <w:bCs/>
                <w:color w:val="000000" w:themeColor="text1"/>
              </w:rPr>
            </w:pPr>
            <w:r w:rsidRPr="003C66A0">
              <w:rPr>
                <w:b/>
                <w:bCs/>
                <w:color w:val="000000" w:themeColor="text1"/>
              </w:rPr>
              <w:t>Actual N</w:t>
            </w:r>
          </w:p>
        </w:tc>
        <w:tc>
          <w:tcPr>
            <w:tcW w:w="1710" w:type="dxa"/>
            <w:tcBorders>
              <w:top w:val="single" w:sz="8" w:space="0" w:color="auto"/>
              <w:left w:val="nil"/>
              <w:bottom w:val="single" w:sz="8" w:space="0" w:color="auto"/>
              <w:right w:val="single" w:sz="4" w:space="0" w:color="auto"/>
            </w:tcBorders>
            <w:shd w:val="clear" w:color="000000" w:fill="D9D9D9"/>
            <w:vAlign w:val="center"/>
            <w:hideMark/>
          </w:tcPr>
          <w:p w14:paraId="7AC3816F" w14:textId="77777777" w:rsidR="00D07167" w:rsidRPr="003C66A0" w:rsidRDefault="00D07167" w:rsidP="00AE1DED">
            <w:pPr>
              <w:jc w:val="center"/>
              <w:rPr>
                <w:b/>
                <w:bCs/>
                <w:color w:val="000000" w:themeColor="text1"/>
              </w:rPr>
            </w:pPr>
            <w:r w:rsidRPr="003C66A0">
              <w:rPr>
                <w:b/>
                <w:bCs/>
                <w:color w:val="000000" w:themeColor="text1"/>
              </w:rPr>
              <w:t>Power</w:t>
            </w:r>
          </w:p>
        </w:tc>
        <w:tc>
          <w:tcPr>
            <w:tcW w:w="2180" w:type="dxa"/>
            <w:tcBorders>
              <w:top w:val="single" w:sz="8" w:space="0" w:color="auto"/>
              <w:left w:val="nil"/>
              <w:bottom w:val="single" w:sz="8" w:space="0" w:color="auto"/>
              <w:right w:val="single" w:sz="8" w:space="0" w:color="auto"/>
            </w:tcBorders>
            <w:shd w:val="clear" w:color="000000" w:fill="D9D9D9"/>
            <w:vAlign w:val="center"/>
            <w:hideMark/>
          </w:tcPr>
          <w:p w14:paraId="39498020" w14:textId="77777777" w:rsidR="00D07167" w:rsidRPr="003C66A0" w:rsidRDefault="00D07167" w:rsidP="00AE1DED">
            <w:pPr>
              <w:jc w:val="center"/>
              <w:rPr>
                <w:b/>
                <w:bCs/>
                <w:color w:val="000000" w:themeColor="text1"/>
              </w:rPr>
            </w:pPr>
            <w:r w:rsidRPr="003C66A0">
              <w:rPr>
                <w:b/>
                <w:bCs/>
                <w:color w:val="000000" w:themeColor="text1"/>
              </w:rPr>
              <w:t>Effect Size</w:t>
            </w:r>
          </w:p>
        </w:tc>
      </w:tr>
      <w:tr w:rsidR="00FC334A" w:rsidRPr="003C66A0" w14:paraId="71647404" w14:textId="77777777" w:rsidTr="00D07167">
        <w:trPr>
          <w:trHeight w:val="340"/>
        </w:trPr>
        <w:tc>
          <w:tcPr>
            <w:tcW w:w="2420" w:type="dxa"/>
            <w:tcBorders>
              <w:top w:val="nil"/>
              <w:left w:val="single" w:sz="8" w:space="0" w:color="auto"/>
              <w:bottom w:val="single" w:sz="4" w:space="0" w:color="auto"/>
              <w:right w:val="single" w:sz="8" w:space="0" w:color="auto"/>
            </w:tcBorders>
            <w:shd w:val="clear" w:color="000000" w:fill="D9D9D9"/>
            <w:vAlign w:val="center"/>
            <w:hideMark/>
          </w:tcPr>
          <w:p w14:paraId="4E9F87DE" w14:textId="77777777" w:rsidR="00D07167" w:rsidRPr="003C66A0" w:rsidRDefault="00D07167" w:rsidP="00AE1DED">
            <w:pPr>
              <w:rPr>
                <w:color w:val="000000" w:themeColor="text1"/>
              </w:rPr>
            </w:pPr>
            <w:r w:rsidRPr="003C66A0">
              <w:rPr>
                <w:color w:val="000000" w:themeColor="text1"/>
              </w:rPr>
              <w:t>Position Performance</w:t>
            </w:r>
          </w:p>
        </w:tc>
        <w:tc>
          <w:tcPr>
            <w:tcW w:w="1710" w:type="dxa"/>
            <w:tcBorders>
              <w:top w:val="nil"/>
              <w:left w:val="nil"/>
              <w:bottom w:val="single" w:sz="4" w:space="0" w:color="auto"/>
              <w:right w:val="single" w:sz="4" w:space="0" w:color="auto"/>
            </w:tcBorders>
            <w:vAlign w:val="center"/>
            <w:hideMark/>
          </w:tcPr>
          <w:p w14:paraId="592C1CC0" w14:textId="77777777" w:rsidR="00D07167" w:rsidRPr="003C66A0" w:rsidRDefault="00D07167" w:rsidP="00AE1DED">
            <w:pPr>
              <w:rPr>
                <w:color w:val="000000" w:themeColor="text1"/>
              </w:rPr>
            </w:pPr>
            <w:r w:rsidRPr="003C66A0">
              <w:rPr>
                <w:color w:val="000000" w:themeColor="text1"/>
              </w:rPr>
              <w:t>128</w:t>
            </w:r>
          </w:p>
        </w:tc>
        <w:tc>
          <w:tcPr>
            <w:tcW w:w="1440" w:type="dxa"/>
            <w:tcBorders>
              <w:top w:val="nil"/>
              <w:left w:val="nil"/>
              <w:bottom w:val="single" w:sz="4" w:space="0" w:color="auto"/>
              <w:right w:val="single" w:sz="4" w:space="0" w:color="auto"/>
            </w:tcBorders>
            <w:vAlign w:val="center"/>
            <w:hideMark/>
          </w:tcPr>
          <w:p w14:paraId="0C57C812" w14:textId="77777777" w:rsidR="00D07167" w:rsidRPr="003C66A0" w:rsidRDefault="00D07167" w:rsidP="00AE1DED">
            <w:pPr>
              <w:rPr>
                <w:color w:val="000000" w:themeColor="text1"/>
              </w:rPr>
            </w:pPr>
            <w:r w:rsidRPr="003C66A0">
              <w:rPr>
                <w:color w:val="000000" w:themeColor="text1"/>
              </w:rPr>
              <w:t>156</w:t>
            </w:r>
          </w:p>
        </w:tc>
        <w:tc>
          <w:tcPr>
            <w:tcW w:w="1710" w:type="dxa"/>
            <w:tcBorders>
              <w:top w:val="nil"/>
              <w:left w:val="nil"/>
              <w:bottom w:val="single" w:sz="4" w:space="0" w:color="auto"/>
              <w:right w:val="single" w:sz="4" w:space="0" w:color="auto"/>
            </w:tcBorders>
            <w:vAlign w:val="center"/>
            <w:hideMark/>
          </w:tcPr>
          <w:p w14:paraId="1EA3179C" w14:textId="77777777" w:rsidR="00D07167" w:rsidRPr="003C66A0" w:rsidRDefault="00D07167" w:rsidP="00AE1DED">
            <w:pPr>
              <w:rPr>
                <w:color w:val="000000" w:themeColor="text1"/>
              </w:rPr>
            </w:pPr>
            <w:r w:rsidRPr="003C66A0">
              <w:rPr>
                <w:color w:val="000000" w:themeColor="text1"/>
              </w:rPr>
              <w:t>0.84</w:t>
            </w:r>
          </w:p>
        </w:tc>
        <w:tc>
          <w:tcPr>
            <w:tcW w:w="2180" w:type="dxa"/>
            <w:tcBorders>
              <w:top w:val="nil"/>
              <w:left w:val="nil"/>
              <w:bottom w:val="single" w:sz="4" w:space="0" w:color="auto"/>
              <w:right w:val="single" w:sz="8" w:space="0" w:color="auto"/>
            </w:tcBorders>
            <w:vAlign w:val="center"/>
            <w:hideMark/>
          </w:tcPr>
          <w:p w14:paraId="71CD7092" w14:textId="77777777" w:rsidR="00D07167" w:rsidRPr="003C66A0" w:rsidRDefault="00D07167" w:rsidP="00AE1DED">
            <w:pPr>
              <w:rPr>
                <w:color w:val="000000" w:themeColor="text1"/>
              </w:rPr>
            </w:pPr>
            <w:r w:rsidRPr="003C66A0">
              <w:rPr>
                <w:color w:val="000000" w:themeColor="text1"/>
              </w:rPr>
              <w:t>Cohen's d = 0.5</w:t>
            </w:r>
          </w:p>
        </w:tc>
      </w:tr>
      <w:tr w:rsidR="00FC334A" w:rsidRPr="003C66A0" w14:paraId="1F47F557" w14:textId="77777777" w:rsidTr="00D07167">
        <w:trPr>
          <w:trHeight w:val="380"/>
        </w:trPr>
        <w:tc>
          <w:tcPr>
            <w:tcW w:w="2420" w:type="dxa"/>
            <w:tcBorders>
              <w:top w:val="nil"/>
              <w:left w:val="single" w:sz="8" w:space="0" w:color="auto"/>
              <w:bottom w:val="single" w:sz="4" w:space="0" w:color="auto"/>
              <w:right w:val="single" w:sz="8" w:space="0" w:color="auto"/>
            </w:tcBorders>
            <w:shd w:val="clear" w:color="000000" w:fill="D9D9D9"/>
            <w:vAlign w:val="center"/>
            <w:hideMark/>
          </w:tcPr>
          <w:p w14:paraId="35C3BBB5" w14:textId="77777777" w:rsidR="00D07167" w:rsidRPr="003C66A0" w:rsidRDefault="00D07167" w:rsidP="00AE1DED">
            <w:pPr>
              <w:rPr>
                <w:color w:val="000000" w:themeColor="text1"/>
              </w:rPr>
            </w:pPr>
            <w:r w:rsidRPr="003C66A0">
              <w:rPr>
                <w:color w:val="000000" w:themeColor="text1"/>
              </w:rPr>
              <w:t>Interview Themes</w:t>
            </w:r>
          </w:p>
        </w:tc>
        <w:tc>
          <w:tcPr>
            <w:tcW w:w="1710" w:type="dxa"/>
            <w:tcBorders>
              <w:top w:val="nil"/>
              <w:left w:val="nil"/>
              <w:bottom w:val="single" w:sz="4" w:space="0" w:color="auto"/>
              <w:right w:val="single" w:sz="4" w:space="0" w:color="auto"/>
            </w:tcBorders>
            <w:vAlign w:val="center"/>
            <w:hideMark/>
          </w:tcPr>
          <w:p w14:paraId="3104EB24" w14:textId="77777777" w:rsidR="00D07167" w:rsidRPr="003C66A0" w:rsidRDefault="00D07167" w:rsidP="00AE1DED">
            <w:pPr>
              <w:rPr>
                <w:color w:val="000000" w:themeColor="text1"/>
              </w:rPr>
            </w:pPr>
            <w:r w:rsidRPr="003C66A0">
              <w:rPr>
                <w:color w:val="000000" w:themeColor="text1"/>
              </w:rPr>
              <w:t>20-25</w:t>
            </w:r>
          </w:p>
        </w:tc>
        <w:tc>
          <w:tcPr>
            <w:tcW w:w="1440" w:type="dxa"/>
            <w:tcBorders>
              <w:top w:val="nil"/>
              <w:left w:val="nil"/>
              <w:bottom w:val="single" w:sz="4" w:space="0" w:color="auto"/>
              <w:right w:val="single" w:sz="4" w:space="0" w:color="auto"/>
            </w:tcBorders>
            <w:vAlign w:val="center"/>
            <w:hideMark/>
          </w:tcPr>
          <w:p w14:paraId="24BD9C7F" w14:textId="77777777" w:rsidR="00D07167" w:rsidRPr="003C66A0" w:rsidRDefault="00D07167" w:rsidP="00AE1DED">
            <w:pPr>
              <w:rPr>
                <w:color w:val="000000" w:themeColor="text1"/>
              </w:rPr>
            </w:pPr>
            <w:r w:rsidRPr="003C66A0">
              <w:rPr>
                <w:color w:val="000000" w:themeColor="text1"/>
              </w:rPr>
              <w:t>27</w:t>
            </w:r>
          </w:p>
        </w:tc>
        <w:tc>
          <w:tcPr>
            <w:tcW w:w="1710" w:type="dxa"/>
            <w:tcBorders>
              <w:top w:val="nil"/>
              <w:left w:val="nil"/>
              <w:bottom w:val="single" w:sz="4" w:space="0" w:color="auto"/>
              <w:right w:val="single" w:sz="4" w:space="0" w:color="auto"/>
            </w:tcBorders>
            <w:vAlign w:val="center"/>
            <w:hideMark/>
          </w:tcPr>
          <w:p w14:paraId="19297481" w14:textId="77777777" w:rsidR="00D07167" w:rsidRPr="003C66A0" w:rsidRDefault="00D07167" w:rsidP="00AE1DED">
            <w:pPr>
              <w:rPr>
                <w:color w:val="000000" w:themeColor="text1"/>
              </w:rPr>
            </w:pPr>
            <w:r w:rsidRPr="003C66A0">
              <w:rPr>
                <w:color w:val="000000" w:themeColor="text1"/>
              </w:rPr>
              <w:t>Saturation at n=23</w:t>
            </w:r>
          </w:p>
        </w:tc>
        <w:tc>
          <w:tcPr>
            <w:tcW w:w="2180" w:type="dxa"/>
            <w:tcBorders>
              <w:top w:val="nil"/>
              <w:left w:val="nil"/>
              <w:bottom w:val="single" w:sz="4" w:space="0" w:color="auto"/>
              <w:right w:val="single" w:sz="8" w:space="0" w:color="auto"/>
            </w:tcBorders>
            <w:vAlign w:val="center"/>
            <w:hideMark/>
          </w:tcPr>
          <w:p w14:paraId="66672D76" w14:textId="77777777" w:rsidR="00D07167" w:rsidRPr="003C66A0" w:rsidRDefault="00D07167" w:rsidP="00AE1DED">
            <w:pPr>
              <w:rPr>
                <w:color w:val="000000" w:themeColor="text1"/>
              </w:rPr>
            </w:pPr>
            <w:r w:rsidRPr="003C66A0">
              <w:rPr>
                <w:color w:val="000000" w:themeColor="text1"/>
              </w:rPr>
              <w:t>-</w:t>
            </w:r>
          </w:p>
        </w:tc>
      </w:tr>
      <w:tr w:rsidR="00FC334A" w:rsidRPr="003C66A0" w14:paraId="1783AB43" w14:textId="77777777" w:rsidTr="00D07167">
        <w:trPr>
          <w:trHeight w:val="360"/>
        </w:trPr>
        <w:tc>
          <w:tcPr>
            <w:tcW w:w="2420" w:type="dxa"/>
            <w:tcBorders>
              <w:top w:val="nil"/>
              <w:left w:val="single" w:sz="8" w:space="0" w:color="auto"/>
              <w:bottom w:val="single" w:sz="4" w:space="0" w:color="auto"/>
              <w:right w:val="single" w:sz="8" w:space="0" w:color="auto"/>
            </w:tcBorders>
            <w:shd w:val="clear" w:color="000000" w:fill="D9D9D9"/>
            <w:vAlign w:val="center"/>
            <w:hideMark/>
          </w:tcPr>
          <w:p w14:paraId="269BCC8B" w14:textId="77777777" w:rsidR="00D07167" w:rsidRPr="003C66A0" w:rsidRDefault="00D07167" w:rsidP="00AE1DED">
            <w:pPr>
              <w:rPr>
                <w:color w:val="000000" w:themeColor="text1"/>
              </w:rPr>
            </w:pPr>
            <w:r w:rsidRPr="003C66A0">
              <w:rPr>
                <w:color w:val="000000" w:themeColor="text1"/>
              </w:rPr>
              <w:t>Protocol Comparison</w:t>
            </w:r>
          </w:p>
        </w:tc>
        <w:tc>
          <w:tcPr>
            <w:tcW w:w="1710" w:type="dxa"/>
            <w:tcBorders>
              <w:top w:val="nil"/>
              <w:left w:val="nil"/>
              <w:bottom w:val="single" w:sz="4" w:space="0" w:color="auto"/>
              <w:right w:val="single" w:sz="4" w:space="0" w:color="auto"/>
            </w:tcBorders>
            <w:vAlign w:val="center"/>
            <w:hideMark/>
          </w:tcPr>
          <w:p w14:paraId="4202C457" w14:textId="77777777" w:rsidR="00D07167" w:rsidRPr="003C66A0" w:rsidRDefault="00D07167" w:rsidP="00AE1DED">
            <w:pPr>
              <w:rPr>
                <w:color w:val="000000" w:themeColor="text1"/>
              </w:rPr>
            </w:pPr>
            <w:r w:rsidRPr="003C66A0">
              <w:rPr>
                <w:color w:val="000000" w:themeColor="text1"/>
              </w:rPr>
              <w:t>30 per group</w:t>
            </w:r>
          </w:p>
        </w:tc>
        <w:tc>
          <w:tcPr>
            <w:tcW w:w="1440" w:type="dxa"/>
            <w:tcBorders>
              <w:top w:val="nil"/>
              <w:left w:val="nil"/>
              <w:bottom w:val="single" w:sz="4" w:space="0" w:color="auto"/>
              <w:right w:val="single" w:sz="4" w:space="0" w:color="auto"/>
            </w:tcBorders>
            <w:vAlign w:val="center"/>
            <w:hideMark/>
          </w:tcPr>
          <w:p w14:paraId="7F332142" w14:textId="77777777" w:rsidR="00D07167" w:rsidRPr="003C66A0" w:rsidRDefault="00D07167" w:rsidP="00AE1DED">
            <w:pPr>
              <w:rPr>
                <w:color w:val="000000" w:themeColor="text1"/>
              </w:rPr>
            </w:pPr>
            <w:r w:rsidRPr="003C66A0">
              <w:rPr>
                <w:color w:val="000000" w:themeColor="text1"/>
              </w:rPr>
              <w:t>23-48</w:t>
            </w:r>
          </w:p>
        </w:tc>
        <w:tc>
          <w:tcPr>
            <w:tcW w:w="1710" w:type="dxa"/>
            <w:tcBorders>
              <w:top w:val="nil"/>
              <w:left w:val="nil"/>
              <w:bottom w:val="single" w:sz="4" w:space="0" w:color="auto"/>
              <w:right w:val="single" w:sz="4" w:space="0" w:color="auto"/>
            </w:tcBorders>
            <w:vAlign w:val="center"/>
            <w:hideMark/>
          </w:tcPr>
          <w:p w14:paraId="678FD124" w14:textId="77777777" w:rsidR="00D07167" w:rsidRPr="003C66A0" w:rsidRDefault="00D07167" w:rsidP="00AE1DED">
            <w:pPr>
              <w:rPr>
                <w:color w:val="000000" w:themeColor="text1"/>
              </w:rPr>
            </w:pPr>
            <w:r w:rsidRPr="003C66A0">
              <w:rPr>
                <w:color w:val="000000" w:themeColor="text1"/>
              </w:rPr>
              <w:t>0.71-0.92</w:t>
            </w:r>
          </w:p>
        </w:tc>
        <w:tc>
          <w:tcPr>
            <w:tcW w:w="2180" w:type="dxa"/>
            <w:tcBorders>
              <w:top w:val="nil"/>
              <w:left w:val="nil"/>
              <w:bottom w:val="single" w:sz="4" w:space="0" w:color="auto"/>
              <w:right w:val="single" w:sz="8" w:space="0" w:color="auto"/>
            </w:tcBorders>
            <w:vAlign w:val="center"/>
            <w:hideMark/>
          </w:tcPr>
          <w:p w14:paraId="13574F23" w14:textId="77777777" w:rsidR="00D07167" w:rsidRPr="003C66A0" w:rsidRDefault="00D07167" w:rsidP="00AE1DED">
            <w:pPr>
              <w:rPr>
                <w:color w:val="000000" w:themeColor="text1"/>
              </w:rPr>
            </w:pPr>
            <w:r w:rsidRPr="003C66A0">
              <w:rPr>
                <w:color w:val="000000" w:themeColor="text1"/>
              </w:rPr>
              <w:t>η² = 0.14</w:t>
            </w:r>
          </w:p>
        </w:tc>
      </w:tr>
      <w:tr w:rsidR="00D07167" w:rsidRPr="003C66A0" w14:paraId="3DEBC68B" w14:textId="77777777" w:rsidTr="00D07167">
        <w:trPr>
          <w:trHeight w:val="380"/>
        </w:trPr>
        <w:tc>
          <w:tcPr>
            <w:tcW w:w="2420" w:type="dxa"/>
            <w:tcBorders>
              <w:top w:val="nil"/>
              <w:left w:val="single" w:sz="8" w:space="0" w:color="auto"/>
              <w:bottom w:val="single" w:sz="8" w:space="0" w:color="auto"/>
              <w:right w:val="single" w:sz="8" w:space="0" w:color="auto"/>
            </w:tcBorders>
            <w:shd w:val="clear" w:color="000000" w:fill="D9D9D9"/>
            <w:vAlign w:val="center"/>
            <w:hideMark/>
          </w:tcPr>
          <w:p w14:paraId="314DF000" w14:textId="77777777" w:rsidR="00D07167" w:rsidRPr="003C66A0" w:rsidRDefault="00D07167" w:rsidP="00AE1DED">
            <w:pPr>
              <w:rPr>
                <w:color w:val="000000" w:themeColor="text1"/>
              </w:rPr>
            </w:pPr>
            <w:r w:rsidRPr="003C66A0">
              <w:rPr>
                <w:color w:val="000000" w:themeColor="text1"/>
              </w:rPr>
              <w:t>Simulation Runs</w:t>
            </w:r>
          </w:p>
        </w:tc>
        <w:tc>
          <w:tcPr>
            <w:tcW w:w="1710" w:type="dxa"/>
            <w:tcBorders>
              <w:top w:val="nil"/>
              <w:left w:val="nil"/>
              <w:bottom w:val="single" w:sz="8" w:space="0" w:color="auto"/>
              <w:right w:val="single" w:sz="4" w:space="0" w:color="auto"/>
            </w:tcBorders>
            <w:vAlign w:val="center"/>
            <w:hideMark/>
          </w:tcPr>
          <w:p w14:paraId="15FCEE7E" w14:textId="77777777" w:rsidR="00D07167" w:rsidRPr="003C66A0" w:rsidRDefault="00D07167" w:rsidP="00AE1DED">
            <w:pPr>
              <w:rPr>
                <w:color w:val="000000" w:themeColor="text1"/>
              </w:rPr>
            </w:pPr>
            <w:r w:rsidRPr="003C66A0">
              <w:rPr>
                <w:color w:val="000000" w:themeColor="text1"/>
              </w:rPr>
              <w:t>385</w:t>
            </w:r>
          </w:p>
        </w:tc>
        <w:tc>
          <w:tcPr>
            <w:tcW w:w="1440" w:type="dxa"/>
            <w:tcBorders>
              <w:top w:val="nil"/>
              <w:left w:val="nil"/>
              <w:bottom w:val="single" w:sz="8" w:space="0" w:color="auto"/>
              <w:right w:val="single" w:sz="4" w:space="0" w:color="auto"/>
            </w:tcBorders>
            <w:vAlign w:val="center"/>
            <w:hideMark/>
          </w:tcPr>
          <w:p w14:paraId="23561DFC" w14:textId="77777777" w:rsidR="00D07167" w:rsidRPr="003C66A0" w:rsidRDefault="00D07167" w:rsidP="00AE1DED">
            <w:pPr>
              <w:rPr>
                <w:color w:val="000000" w:themeColor="text1"/>
              </w:rPr>
            </w:pPr>
            <w:r w:rsidRPr="003C66A0">
              <w:rPr>
                <w:color w:val="000000" w:themeColor="text1"/>
              </w:rPr>
              <w:t>1,000</w:t>
            </w:r>
          </w:p>
        </w:tc>
        <w:tc>
          <w:tcPr>
            <w:tcW w:w="1710" w:type="dxa"/>
            <w:tcBorders>
              <w:top w:val="nil"/>
              <w:left w:val="nil"/>
              <w:bottom w:val="single" w:sz="8" w:space="0" w:color="auto"/>
              <w:right w:val="single" w:sz="4" w:space="0" w:color="auto"/>
            </w:tcBorders>
            <w:vAlign w:val="center"/>
            <w:hideMark/>
          </w:tcPr>
          <w:p w14:paraId="39C90797" w14:textId="77777777" w:rsidR="00D07167" w:rsidRPr="003C66A0" w:rsidRDefault="00D07167" w:rsidP="00AE1DED">
            <w:pPr>
              <w:rPr>
                <w:color w:val="000000" w:themeColor="text1"/>
              </w:rPr>
            </w:pPr>
            <w:r w:rsidRPr="003C66A0">
              <w:rPr>
                <w:color w:val="000000" w:themeColor="text1"/>
              </w:rPr>
              <w:t>0.99</w:t>
            </w:r>
          </w:p>
        </w:tc>
        <w:tc>
          <w:tcPr>
            <w:tcW w:w="2180" w:type="dxa"/>
            <w:tcBorders>
              <w:top w:val="nil"/>
              <w:left w:val="nil"/>
              <w:bottom w:val="single" w:sz="8" w:space="0" w:color="auto"/>
              <w:right w:val="single" w:sz="8" w:space="0" w:color="auto"/>
            </w:tcBorders>
            <w:vAlign w:val="center"/>
            <w:hideMark/>
          </w:tcPr>
          <w:p w14:paraId="70350AC9" w14:textId="77777777" w:rsidR="00D07167" w:rsidRPr="003C66A0" w:rsidRDefault="00D07167" w:rsidP="00AE1DED">
            <w:pPr>
              <w:rPr>
                <w:color w:val="000000" w:themeColor="text1"/>
              </w:rPr>
            </w:pPr>
            <w:r w:rsidRPr="003C66A0">
              <w:rPr>
                <w:color w:val="000000" w:themeColor="text1"/>
              </w:rPr>
              <w:t>-</w:t>
            </w:r>
          </w:p>
        </w:tc>
      </w:tr>
    </w:tbl>
    <w:p w14:paraId="76EDAEB4" w14:textId="5EDF1724" w:rsidR="008750EF" w:rsidRPr="003C66A0" w:rsidRDefault="008750EF" w:rsidP="00AE1DED">
      <w:pPr>
        <w:rPr>
          <w:rFonts w:eastAsiaTheme="majorEastAsia"/>
          <w:b/>
          <w:bCs/>
          <w:color w:val="000000" w:themeColor="text1"/>
        </w:rPr>
      </w:pPr>
    </w:p>
    <w:p w14:paraId="3F94A7B3" w14:textId="6542B9EB" w:rsidR="008750EF" w:rsidRDefault="008750EF" w:rsidP="00AE1DED">
      <w:pPr>
        <w:pStyle w:val="Heading3"/>
        <w:rPr>
          <w:rFonts w:eastAsiaTheme="majorEastAsia"/>
        </w:rPr>
      </w:pPr>
      <w:bookmarkStart w:id="269" w:name="_Toc214722075"/>
      <w:r w:rsidRPr="003C66A0">
        <w:rPr>
          <w:rFonts w:eastAsiaTheme="majorEastAsia"/>
        </w:rPr>
        <w:t xml:space="preserve">Table </w:t>
      </w:r>
      <w:r w:rsidR="00E26ED1" w:rsidRPr="003C66A0">
        <w:rPr>
          <w:rFonts w:eastAsiaTheme="majorEastAsia"/>
        </w:rPr>
        <w:t>C</w:t>
      </w:r>
      <w:r w:rsidRPr="003C66A0">
        <w:rPr>
          <w:rFonts w:eastAsiaTheme="majorEastAsia"/>
        </w:rPr>
        <w:t>.3: Robustness Checks Performed</w:t>
      </w:r>
      <w:bookmarkEnd w:id="269"/>
    </w:p>
    <w:p w14:paraId="7A7A4171" w14:textId="77777777" w:rsidR="004E10FD" w:rsidRPr="004E10FD" w:rsidRDefault="004E10FD" w:rsidP="00AE1DED">
      <w:pPr>
        <w:rPr>
          <w:rFonts w:eastAsiaTheme="majorEastAsia"/>
        </w:rPr>
      </w:pPr>
    </w:p>
    <w:tbl>
      <w:tblPr>
        <w:tblW w:w="9540" w:type="dxa"/>
        <w:tblLook w:val="04A0" w:firstRow="1" w:lastRow="0" w:firstColumn="1" w:lastColumn="0" w:noHBand="0" w:noVBand="1"/>
      </w:tblPr>
      <w:tblGrid>
        <w:gridCol w:w="3140"/>
        <w:gridCol w:w="3680"/>
        <w:gridCol w:w="2720"/>
      </w:tblGrid>
      <w:tr w:rsidR="00FC334A" w:rsidRPr="003C66A0" w14:paraId="79D9C9A7" w14:textId="77777777" w:rsidTr="00D86281">
        <w:trPr>
          <w:trHeight w:val="360"/>
        </w:trPr>
        <w:tc>
          <w:tcPr>
            <w:tcW w:w="314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788F11B5" w14:textId="77777777" w:rsidR="00D86281" w:rsidRPr="003C66A0" w:rsidRDefault="00D86281" w:rsidP="00AE1DED">
            <w:pPr>
              <w:jc w:val="center"/>
              <w:rPr>
                <w:b/>
                <w:bCs/>
                <w:color w:val="000000" w:themeColor="text1"/>
              </w:rPr>
            </w:pPr>
            <w:r w:rsidRPr="003C66A0">
              <w:rPr>
                <w:b/>
                <w:bCs/>
                <w:color w:val="000000" w:themeColor="text1"/>
              </w:rPr>
              <w:t>Primary Finding</w:t>
            </w:r>
          </w:p>
        </w:tc>
        <w:tc>
          <w:tcPr>
            <w:tcW w:w="3680" w:type="dxa"/>
            <w:tcBorders>
              <w:top w:val="single" w:sz="8" w:space="0" w:color="auto"/>
              <w:left w:val="nil"/>
              <w:bottom w:val="single" w:sz="8" w:space="0" w:color="auto"/>
              <w:right w:val="single" w:sz="4" w:space="0" w:color="auto"/>
            </w:tcBorders>
            <w:shd w:val="clear" w:color="000000" w:fill="D9D9D9"/>
            <w:vAlign w:val="center"/>
            <w:hideMark/>
          </w:tcPr>
          <w:p w14:paraId="23A756C6" w14:textId="77777777" w:rsidR="00D86281" w:rsidRPr="003C66A0" w:rsidRDefault="00D86281" w:rsidP="00AE1DED">
            <w:pPr>
              <w:jc w:val="center"/>
              <w:rPr>
                <w:b/>
                <w:bCs/>
                <w:color w:val="000000" w:themeColor="text1"/>
              </w:rPr>
            </w:pPr>
            <w:r w:rsidRPr="003C66A0">
              <w:rPr>
                <w:b/>
                <w:bCs/>
                <w:color w:val="000000" w:themeColor="text1"/>
              </w:rPr>
              <w:t>Robustness Check</w:t>
            </w:r>
          </w:p>
        </w:tc>
        <w:tc>
          <w:tcPr>
            <w:tcW w:w="2720" w:type="dxa"/>
            <w:tcBorders>
              <w:top w:val="single" w:sz="8" w:space="0" w:color="auto"/>
              <w:left w:val="nil"/>
              <w:bottom w:val="single" w:sz="8" w:space="0" w:color="auto"/>
              <w:right w:val="single" w:sz="8" w:space="0" w:color="auto"/>
            </w:tcBorders>
            <w:shd w:val="clear" w:color="000000" w:fill="D9D9D9"/>
            <w:vAlign w:val="center"/>
            <w:hideMark/>
          </w:tcPr>
          <w:p w14:paraId="65B8B3E2" w14:textId="77777777" w:rsidR="00D86281" w:rsidRPr="003C66A0" w:rsidRDefault="00D86281" w:rsidP="00AE1DED">
            <w:pPr>
              <w:jc w:val="center"/>
              <w:rPr>
                <w:b/>
                <w:bCs/>
                <w:color w:val="000000" w:themeColor="text1"/>
              </w:rPr>
            </w:pPr>
            <w:r w:rsidRPr="003C66A0">
              <w:rPr>
                <w:b/>
                <w:bCs/>
                <w:color w:val="000000" w:themeColor="text1"/>
              </w:rPr>
              <w:t>Result</w:t>
            </w:r>
          </w:p>
        </w:tc>
      </w:tr>
      <w:tr w:rsidR="00FC334A" w:rsidRPr="003C66A0" w14:paraId="47AAE01C" w14:textId="77777777" w:rsidTr="00D86281">
        <w:trPr>
          <w:trHeight w:val="340"/>
        </w:trPr>
        <w:tc>
          <w:tcPr>
            <w:tcW w:w="3140" w:type="dxa"/>
            <w:tcBorders>
              <w:top w:val="nil"/>
              <w:left w:val="single" w:sz="8" w:space="0" w:color="auto"/>
              <w:bottom w:val="single" w:sz="4" w:space="0" w:color="auto"/>
              <w:right w:val="single" w:sz="8" w:space="0" w:color="auto"/>
            </w:tcBorders>
            <w:shd w:val="clear" w:color="000000" w:fill="D9D9D9"/>
            <w:vAlign w:val="center"/>
            <w:hideMark/>
          </w:tcPr>
          <w:p w14:paraId="331A02BB" w14:textId="77777777" w:rsidR="00D86281" w:rsidRPr="003C66A0" w:rsidRDefault="00D86281" w:rsidP="00AE1DED">
            <w:pPr>
              <w:rPr>
                <w:color w:val="000000" w:themeColor="text1"/>
              </w:rPr>
            </w:pPr>
            <w:r w:rsidRPr="003C66A0">
              <w:rPr>
                <w:color w:val="000000" w:themeColor="text1"/>
              </w:rPr>
              <w:t>73% positions unprofitable</w:t>
            </w:r>
          </w:p>
        </w:tc>
        <w:tc>
          <w:tcPr>
            <w:tcW w:w="3680" w:type="dxa"/>
            <w:tcBorders>
              <w:top w:val="nil"/>
              <w:left w:val="nil"/>
              <w:bottom w:val="single" w:sz="4" w:space="0" w:color="auto"/>
              <w:right w:val="single" w:sz="4" w:space="0" w:color="auto"/>
            </w:tcBorders>
            <w:vAlign w:val="center"/>
            <w:hideMark/>
          </w:tcPr>
          <w:p w14:paraId="07E78B8A" w14:textId="77777777" w:rsidR="00D86281" w:rsidRPr="003C66A0" w:rsidRDefault="00D86281" w:rsidP="00AE1DED">
            <w:pPr>
              <w:rPr>
                <w:color w:val="000000" w:themeColor="text1"/>
              </w:rPr>
            </w:pPr>
            <w:r w:rsidRPr="003C66A0">
              <w:rPr>
                <w:color w:val="000000" w:themeColor="text1"/>
              </w:rPr>
              <w:t>Exclude gas costs</w:t>
            </w:r>
          </w:p>
        </w:tc>
        <w:tc>
          <w:tcPr>
            <w:tcW w:w="2720" w:type="dxa"/>
            <w:tcBorders>
              <w:top w:val="nil"/>
              <w:left w:val="nil"/>
              <w:bottom w:val="single" w:sz="4" w:space="0" w:color="auto"/>
              <w:right w:val="single" w:sz="8" w:space="0" w:color="auto"/>
            </w:tcBorders>
            <w:vAlign w:val="center"/>
            <w:hideMark/>
          </w:tcPr>
          <w:p w14:paraId="58E0EB2C" w14:textId="77777777" w:rsidR="00D86281" w:rsidRPr="003C66A0" w:rsidRDefault="00D86281" w:rsidP="00AE1DED">
            <w:pPr>
              <w:rPr>
                <w:color w:val="000000" w:themeColor="text1"/>
              </w:rPr>
            </w:pPr>
            <w:r w:rsidRPr="003C66A0">
              <w:rPr>
                <w:color w:val="000000" w:themeColor="text1"/>
              </w:rPr>
              <w:t>61% unprofitable</w:t>
            </w:r>
          </w:p>
        </w:tc>
      </w:tr>
      <w:tr w:rsidR="00FC334A" w:rsidRPr="003C66A0" w14:paraId="70D95ABB" w14:textId="77777777" w:rsidTr="00D86281">
        <w:trPr>
          <w:trHeight w:val="340"/>
        </w:trPr>
        <w:tc>
          <w:tcPr>
            <w:tcW w:w="3140" w:type="dxa"/>
            <w:tcBorders>
              <w:top w:val="nil"/>
              <w:left w:val="single" w:sz="8" w:space="0" w:color="auto"/>
              <w:bottom w:val="single" w:sz="4" w:space="0" w:color="auto"/>
              <w:right w:val="single" w:sz="8" w:space="0" w:color="auto"/>
            </w:tcBorders>
            <w:shd w:val="clear" w:color="000000" w:fill="D9D9D9"/>
            <w:vAlign w:val="center"/>
            <w:hideMark/>
          </w:tcPr>
          <w:p w14:paraId="016465F2" w14:textId="77777777" w:rsidR="00D86281" w:rsidRPr="003C66A0" w:rsidRDefault="00D86281" w:rsidP="00AE1DED">
            <w:pPr>
              <w:rPr>
                <w:color w:val="000000" w:themeColor="text1"/>
              </w:rPr>
            </w:pPr>
            <w:r w:rsidRPr="003C66A0">
              <w:rPr>
                <w:color w:val="000000" w:themeColor="text1"/>
              </w:rPr>
              <w:t> </w:t>
            </w:r>
          </w:p>
        </w:tc>
        <w:tc>
          <w:tcPr>
            <w:tcW w:w="3680" w:type="dxa"/>
            <w:tcBorders>
              <w:top w:val="nil"/>
              <w:left w:val="nil"/>
              <w:bottom w:val="single" w:sz="4" w:space="0" w:color="auto"/>
              <w:right w:val="single" w:sz="4" w:space="0" w:color="auto"/>
            </w:tcBorders>
            <w:vAlign w:val="center"/>
            <w:hideMark/>
          </w:tcPr>
          <w:p w14:paraId="03A7AB3E" w14:textId="77777777" w:rsidR="00D86281" w:rsidRPr="003C66A0" w:rsidRDefault="00D86281" w:rsidP="00AE1DED">
            <w:pPr>
              <w:rPr>
                <w:color w:val="000000" w:themeColor="text1"/>
              </w:rPr>
            </w:pPr>
            <w:r w:rsidRPr="003C66A0">
              <w:rPr>
                <w:color w:val="000000" w:themeColor="text1"/>
              </w:rPr>
              <w:t>Include only 180+ day positions</w:t>
            </w:r>
          </w:p>
        </w:tc>
        <w:tc>
          <w:tcPr>
            <w:tcW w:w="2720" w:type="dxa"/>
            <w:tcBorders>
              <w:top w:val="nil"/>
              <w:left w:val="nil"/>
              <w:bottom w:val="single" w:sz="4" w:space="0" w:color="auto"/>
              <w:right w:val="single" w:sz="8" w:space="0" w:color="auto"/>
            </w:tcBorders>
            <w:vAlign w:val="center"/>
            <w:hideMark/>
          </w:tcPr>
          <w:p w14:paraId="52611116" w14:textId="77777777" w:rsidR="00D86281" w:rsidRPr="003C66A0" w:rsidRDefault="00D86281" w:rsidP="00AE1DED">
            <w:pPr>
              <w:rPr>
                <w:color w:val="000000" w:themeColor="text1"/>
              </w:rPr>
            </w:pPr>
            <w:r w:rsidRPr="003C66A0">
              <w:rPr>
                <w:color w:val="000000" w:themeColor="text1"/>
              </w:rPr>
              <w:t>69% unprofitable</w:t>
            </w:r>
          </w:p>
        </w:tc>
      </w:tr>
      <w:tr w:rsidR="00FC334A" w:rsidRPr="003C66A0" w14:paraId="031B2EA1" w14:textId="77777777" w:rsidTr="00D86281">
        <w:trPr>
          <w:trHeight w:val="340"/>
        </w:trPr>
        <w:tc>
          <w:tcPr>
            <w:tcW w:w="3140" w:type="dxa"/>
            <w:tcBorders>
              <w:top w:val="nil"/>
              <w:left w:val="single" w:sz="8" w:space="0" w:color="auto"/>
              <w:bottom w:val="single" w:sz="4" w:space="0" w:color="auto"/>
              <w:right w:val="single" w:sz="8" w:space="0" w:color="auto"/>
            </w:tcBorders>
            <w:shd w:val="clear" w:color="000000" w:fill="D9D9D9"/>
            <w:vAlign w:val="center"/>
            <w:hideMark/>
          </w:tcPr>
          <w:p w14:paraId="5D7A9B70" w14:textId="77777777" w:rsidR="00D86281" w:rsidRPr="003C66A0" w:rsidRDefault="00D86281" w:rsidP="00AE1DED">
            <w:pPr>
              <w:rPr>
                <w:color w:val="000000" w:themeColor="text1"/>
              </w:rPr>
            </w:pPr>
            <w:r w:rsidRPr="003C66A0">
              <w:rPr>
                <w:color w:val="000000" w:themeColor="text1"/>
              </w:rPr>
              <w:t> </w:t>
            </w:r>
          </w:p>
        </w:tc>
        <w:tc>
          <w:tcPr>
            <w:tcW w:w="3680" w:type="dxa"/>
            <w:tcBorders>
              <w:top w:val="nil"/>
              <w:left w:val="nil"/>
              <w:bottom w:val="single" w:sz="4" w:space="0" w:color="auto"/>
              <w:right w:val="single" w:sz="4" w:space="0" w:color="auto"/>
            </w:tcBorders>
            <w:vAlign w:val="center"/>
            <w:hideMark/>
          </w:tcPr>
          <w:p w14:paraId="43A9F9EB" w14:textId="77777777" w:rsidR="00D86281" w:rsidRPr="003C66A0" w:rsidRDefault="00D86281" w:rsidP="00AE1DED">
            <w:pPr>
              <w:rPr>
                <w:color w:val="000000" w:themeColor="text1"/>
              </w:rPr>
            </w:pPr>
            <w:r w:rsidRPr="003C66A0">
              <w:rPr>
                <w:color w:val="000000" w:themeColor="text1"/>
              </w:rPr>
              <w:t>Bootstrap CI (10,000 samples)</w:t>
            </w:r>
          </w:p>
        </w:tc>
        <w:tc>
          <w:tcPr>
            <w:tcW w:w="2720" w:type="dxa"/>
            <w:tcBorders>
              <w:top w:val="nil"/>
              <w:left w:val="nil"/>
              <w:bottom w:val="single" w:sz="4" w:space="0" w:color="auto"/>
              <w:right w:val="single" w:sz="8" w:space="0" w:color="auto"/>
            </w:tcBorders>
            <w:vAlign w:val="center"/>
            <w:hideMark/>
          </w:tcPr>
          <w:p w14:paraId="6AE58B3A" w14:textId="77777777" w:rsidR="00D86281" w:rsidRPr="003C66A0" w:rsidRDefault="00D86281" w:rsidP="00AE1DED">
            <w:pPr>
              <w:rPr>
                <w:color w:val="000000" w:themeColor="text1"/>
              </w:rPr>
            </w:pPr>
            <w:r w:rsidRPr="003C66A0">
              <w:rPr>
                <w:color w:val="000000" w:themeColor="text1"/>
              </w:rPr>
              <w:t>65%-80% range</w:t>
            </w:r>
          </w:p>
        </w:tc>
      </w:tr>
      <w:tr w:rsidR="00FC334A" w:rsidRPr="003C66A0" w14:paraId="4A9F283A" w14:textId="77777777" w:rsidTr="00D86281">
        <w:trPr>
          <w:trHeight w:val="340"/>
        </w:trPr>
        <w:tc>
          <w:tcPr>
            <w:tcW w:w="3140" w:type="dxa"/>
            <w:tcBorders>
              <w:top w:val="nil"/>
              <w:left w:val="single" w:sz="8" w:space="0" w:color="auto"/>
              <w:bottom w:val="single" w:sz="4" w:space="0" w:color="auto"/>
              <w:right w:val="single" w:sz="8" w:space="0" w:color="auto"/>
            </w:tcBorders>
            <w:shd w:val="clear" w:color="000000" w:fill="D9D9D9"/>
            <w:vAlign w:val="center"/>
            <w:hideMark/>
          </w:tcPr>
          <w:p w14:paraId="44D88206" w14:textId="77777777" w:rsidR="00D86281" w:rsidRPr="003C66A0" w:rsidRDefault="00D86281" w:rsidP="00AE1DED">
            <w:pPr>
              <w:rPr>
                <w:color w:val="000000" w:themeColor="text1"/>
              </w:rPr>
            </w:pPr>
            <w:r w:rsidRPr="003C66A0">
              <w:rPr>
                <w:color w:val="000000" w:themeColor="text1"/>
              </w:rPr>
              <w:t>41% annual loss probability</w:t>
            </w:r>
          </w:p>
        </w:tc>
        <w:tc>
          <w:tcPr>
            <w:tcW w:w="3680" w:type="dxa"/>
            <w:tcBorders>
              <w:top w:val="nil"/>
              <w:left w:val="nil"/>
              <w:bottom w:val="single" w:sz="4" w:space="0" w:color="auto"/>
              <w:right w:val="single" w:sz="4" w:space="0" w:color="auto"/>
            </w:tcBorders>
            <w:vAlign w:val="center"/>
            <w:hideMark/>
          </w:tcPr>
          <w:p w14:paraId="4100E81D" w14:textId="77777777" w:rsidR="00D86281" w:rsidRPr="003C66A0" w:rsidRDefault="00D86281" w:rsidP="00AE1DED">
            <w:pPr>
              <w:rPr>
                <w:color w:val="000000" w:themeColor="text1"/>
              </w:rPr>
            </w:pPr>
            <w:r w:rsidRPr="003C66A0">
              <w:rPr>
                <w:color w:val="000000" w:themeColor="text1"/>
              </w:rPr>
              <w:t>Poisson vs empirical</w:t>
            </w:r>
          </w:p>
        </w:tc>
        <w:tc>
          <w:tcPr>
            <w:tcW w:w="2720" w:type="dxa"/>
            <w:tcBorders>
              <w:top w:val="nil"/>
              <w:left w:val="nil"/>
              <w:bottom w:val="single" w:sz="4" w:space="0" w:color="auto"/>
              <w:right w:val="single" w:sz="8" w:space="0" w:color="auto"/>
            </w:tcBorders>
            <w:vAlign w:val="center"/>
            <w:hideMark/>
          </w:tcPr>
          <w:p w14:paraId="5AD57966" w14:textId="77777777" w:rsidR="00D86281" w:rsidRPr="003C66A0" w:rsidRDefault="00D86281" w:rsidP="00AE1DED">
            <w:pPr>
              <w:rPr>
                <w:color w:val="000000" w:themeColor="text1"/>
              </w:rPr>
            </w:pPr>
            <w:r w:rsidRPr="003C66A0">
              <w:rPr>
                <w:color w:val="000000" w:themeColor="text1"/>
              </w:rPr>
              <w:t>38% vs 41%</w:t>
            </w:r>
          </w:p>
        </w:tc>
      </w:tr>
      <w:tr w:rsidR="00FC334A" w:rsidRPr="003C66A0" w14:paraId="1AEB5A19" w14:textId="77777777" w:rsidTr="00D86281">
        <w:trPr>
          <w:trHeight w:val="340"/>
        </w:trPr>
        <w:tc>
          <w:tcPr>
            <w:tcW w:w="3140" w:type="dxa"/>
            <w:tcBorders>
              <w:top w:val="nil"/>
              <w:left w:val="single" w:sz="8" w:space="0" w:color="auto"/>
              <w:bottom w:val="single" w:sz="4" w:space="0" w:color="auto"/>
              <w:right w:val="single" w:sz="8" w:space="0" w:color="auto"/>
            </w:tcBorders>
            <w:shd w:val="clear" w:color="000000" w:fill="D9D9D9"/>
            <w:vAlign w:val="center"/>
            <w:hideMark/>
          </w:tcPr>
          <w:p w14:paraId="56D721AB" w14:textId="77777777" w:rsidR="00D86281" w:rsidRPr="003C66A0" w:rsidRDefault="00D86281" w:rsidP="00AE1DED">
            <w:pPr>
              <w:rPr>
                <w:color w:val="000000" w:themeColor="text1"/>
              </w:rPr>
            </w:pPr>
            <w:r w:rsidRPr="003C66A0">
              <w:rPr>
                <w:color w:val="000000" w:themeColor="text1"/>
              </w:rPr>
              <w:t> </w:t>
            </w:r>
          </w:p>
        </w:tc>
        <w:tc>
          <w:tcPr>
            <w:tcW w:w="3680" w:type="dxa"/>
            <w:tcBorders>
              <w:top w:val="nil"/>
              <w:left w:val="nil"/>
              <w:bottom w:val="single" w:sz="4" w:space="0" w:color="auto"/>
              <w:right w:val="single" w:sz="4" w:space="0" w:color="auto"/>
            </w:tcBorders>
            <w:vAlign w:val="center"/>
            <w:hideMark/>
          </w:tcPr>
          <w:p w14:paraId="16338CD8" w14:textId="77777777" w:rsidR="00D86281" w:rsidRPr="003C66A0" w:rsidRDefault="00D86281" w:rsidP="00AE1DED">
            <w:pPr>
              <w:rPr>
                <w:color w:val="000000" w:themeColor="text1"/>
              </w:rPr>
            </w:pPr>
            <w:r w:rsidRPr="003C66A0">
              <w:rPr>
                <w:color w:val="000000" w:themeColor="text1"/>
              </w:rPr>
              <w:t>Exclude smart contract risks</w:t>
            </w:r>
          </w:p>
        </w:tc>
        <w:tc>
          <w:tcPr>
            <w:tcW w:w="2720" w:type="dxa"/>
            <w:tcBorders>
              <w:top w:val="nil"/>
              <w:left w:val="nil"/>
              <w:bottom w:val="single" w:sz="4" w:space="0" w:color="auto"/>
              <w:right w:val="single" w:sz="8" w:space="0" w:color="auto"/>
            </w:tcBorders>
            <w:vAlign w:val="center"/>
            <w:hideMark/>
          </w:tcPr>
          <w:p w14:paraId="52AEE746" w14:textId="77777777" w:rsidR="00D86281" w:rsidRPr="003C66A0" w:rsidRDefault="00D86281" w:rsidP="00AE1DED">
            <w:pPr>
              <w:rPr>
                <w:color w:val="000000" w:themeColor="text1"/>
              </w:rPr>
            </w:pPr>
            <w:r w:rsidRPr="003C66A0">
              <w:rPr>
                <w:color w:val="000000" w:themeColor="text1"/>
              </w:rPr>
              <w:t>28% probability</w:t>
            </w:r>
          </w:p>
        </w:tc>
      </w:tr>
      <w:tr w:rsidR="00FC334A" w:rsidRPr="003C66A0" w14:paraId="60FAB385" w14:textId="77777777" w:rsidTr="00D86281">
        <w:trPr>
          <w:trHeight w:val="340"/>
        </w:trPr>
        <w:tc>
          <w:tcPr>
            <w:tcW w:w="3140" w:type="dxa"/>
            <w:tcBorders>
              <w:top w:val="nil"/>
              <w:left w:val="single" w:sz="8" w:space="0" w:color="auto"/>
              <w:bottom w:val="single" w:sz="4" w:space="0" w:color="auto"/>
              <w:right w:val="single" w:sz="8" w:space="0" w:color="auto"/>
            </w:tcBorders>
            <w:shd w:val="clear" w:color="000000" w:fill="D9D9D9"/>
            <w:vAlign w:val="center"/>
            <w:hideMark/>
          </w:tcPr>
          <w:p w14:paraId="51EC399D" w14:textId="77777777" w:rsidR="00D86281" w:rsidRPr="003C66A0" w:rsidRDefault="00D86281" w:rsidP="00AE1DED">
            <w:pPr>
              <w:rPr>
                <w:color w:val="000000" w:themeColor="text1"/>
              </w:rPr>
            </w:pPr>
            <w:r w:rsidRPr="003C66A0">
              <w:rPr>
                <w:color w:val="000000" w:themeColor="text1"/>
              </w:rPr>
              <w:t> </w:t>
            </w:r>
          </w:p>
        </w:tc>
        <w:tc>
          <w:tcPr>
            <w:tcW w:w="3680" w:type="dxa"/>
            <w:tcBorders>
              <w:top w:val="nil"/>
              <w:left w:val="nil"/>
              <w:bottom w:val="single" w:sz="4" w:space="0" w:color="auto"/>
              <w:right w:val="single" w:sz="4" w:space="0" w:color="auto"/>
            </w:tcBorders>
            <w:vAlign w:val="center"/>
            <w:hideMark/>
          </w:tcPr>
          <w:p w14:paraId="6E6B0F47" w14:textId="77777777" w:rsidR="00D86281" w:rsidRPr="003C66A0" w:rsidRDefault="00D86281" w:rsidP="00AE1DED">
            <w:pPr>
              <w:rPr>
                <w:color w:val="000000" w:themeColor="text1"/>
              </w:rPr>
            </w:pPr>
            <w:r w:rsidRPr="003C66A0">
              <w:rPr>
                <w:color w:val="000000" w:themeColor="text1"/>
              </w:rPr>
              <w:t xml:space="preserve">Include only </w:t>
            </w:r>
            <w:proofErr w:type="spellStart"/>
            <w:r w:rsidRPr="003C66A0">
              <w:rPr>
                <w:color w:val="000000" w:themeColor="text1"/>
              </w:rPr>
              <w:t>mainnet</w:t>
            </w:r>
            <w:proofErr w:type="spellEnd"/>
          </w:p>
        </w:tc>
        <w:tc>
          <w:tcPr>
            <w:tcW w:w="2720" w:type="dxa"/>
            <w:tcBorders>
              <w:top w:val="nil"/>
              <w:left w:val="nil"/>
              <w:bottom w:val="single" w:sz="4" w:space="0" w:color="auto"/>
              <w:right w:val="single" w:sz="8" w:space="0" w:color="auto"/>
            </w:tcBorders>
            <w:vAlign w:val="center"/>
            <w:hideMark/>
          </w:tcPr>
          <w:p w14:paraId="1C360F6E" w14:textId="77777777" w:rsidR="00D86281" w:rsidRPr="003C66A0" w:rsidRDefault="00D86281" w:rsidP="00AE1DED">
            <w:pPr>
              <w:rPr>
                <w:color w:val="000000" w:themeColor="text1"/>
              </w:rPr>
            </w:pPr>
            <w:r w:rsidRPr="003C66A0">
              <w:rPr>
                <w:color w:val="000000" w:themeColor="text1"/>
              </w:rPr>
              <w:t>44% probability</w:t>
            </w:r>
          </w:p>
        </w:tc>
      </w:tr>
      <w:tr w:rsidR="00FC334A" w:rsidRPr="003C66A0" w14:paraId="118DCC45" w14:textId="77777777" w:rsidTr="00D86281">
        <w:trPr>
          <w:trHeight w:val="340"/>
        </w:trPr>
        <w:tc>
          <w:tcPr>
            <w:tcW w:w="3140" w:type="dxa"/>
            <w:tcBorders>
              <w:top w:val="nil"/>
              <w:left w:val="single" w:sz="8" w:space="0" w:color="auto"/>
              <w:bottom w:val="single" w:sz="4" w:space="0" w:color="auto"/>
              <w:right w:val="single" w:sz="8" w:space="0" w:color="auto"/>
            </w:tcBorders>
            <w:shd w:val="clear" w:color="000000" w:fill="D9D9D9"/>
            <w:vAlign w:val="center"/>
            <w:hideMark/>
          </w:tcPr>
          <w:p w14:paraId="0CC5D6E0" w14:textId="77777777" w:rsidR="00D86281" w:rsidRPr="003C66A0" w:rsidRDefault="00D86281" w:rsidP="00AE1DED">
            <w:pPr>
              <w:rPr>
                <w:color w:val="000000" w:themeColor="text1"/>
              </w:rPr>
            </w:pPr>
            <w:r w:rsidRPr="003C66A0">
              <w:rPr>
                <w:color w:val="000000" w:themeColor="text1"/>
              </w:rPr>
              <w:t>$25,000 minimum viable (Ethereum)</w:t>
            </w:r>
          </w:p>
        </w:tc>
        <w:tc>
          <w:tcPr>
            <w:tcW w:w="3680" w:type="dxa"/>
            <w:tcBorders>
              <w:top w:val="nil"/>
              <w:left w:val="nil"/>
              <w:bottom w:val="single" w:sz="4" w:space="0" w:color="auto"/>
              <w:right w:val="single" w:sz="4" w:space="0" w:color="auto"/>
            </w:tcBorders>
            <w:vAlign w:val="center"/>
            <w:hideMark/>
          </w:tcPr>
          <w:p w14:paraId="1CD115E3" w14:textId="77777777" w:rsidR="00D86281" w:rsidRPr="003C66A0" w:rsidRDefault="00D86281" w:rsidP="00AE1DED">
            <w:pPr>
              <w:rPr>
                <w:color w:val="000000" w:themeColor="text1"/>
              </w:rPr>
            </w:pPr>
            <w:r w:rsidRPr="003C66A0">
              <w:rPr>
                <w:color w:val="000000" w:themeColor="text1"/>
              </w:rPr>
              <w:t>Sensitivity to gas prices</w:t>
            </w:r>
          </w:p>
        </w:tc>
        <w:tc>
          <w:tcPr>
            <w:tcW w:w="2720" w:type="dxa"/>
            <w:tcBorders>
              <w:top w:val="nil"/>
              <w:left w:val="nil"/>
              <w:bottom w:val="single" w:sz="4" w:space="0" w:color="auto"/>
              <w:right w:val="single" w:sz="8" w:space="0" w:color="auto"/>
            </w:tcBorders>
            <w:vAlign w:val="center"/>
            <w:hideMark/>
          </w:tcPr>
          <w:p w14:paraId="1C415605" w14:textId="77777777" w:rsidR="00D86281" w:rsidRPr="003C66A0" w:rsidRDefault="00D86281" w:rsidP="00AE1DED">
            <w:pPr>
              <w:rPr>
                <w:color w:val="000000" w:themeColor="text1"/>
              </w:rPr>
            </w:pPr>
            <w:r w:rsidRPr="003C66A0">
              <w:rPr>
                <w:color w:val="000000" w:themeColor="text1"/>
              </w:rPr>
              <w:t>$18,000-$31,000 range</w:t>
            </w:r>
          </w:p>
        </w:tc>
      </w:tr>
      <w:tr w:rsidR="00FC334A" w:rsidRPr="003C66A0" w14:paraId="206616C5" w14:textId="77777777" w:rsidTr="00D86281">
        <w:trPr>
          <w:trHeight w:val="340"/>
        </w:trPr>
        <w:tc>
          <w:tcPr>
            <w:tcW w:w="3140" w:type="dxa"/>
            <w:tcBorders>
              <w:top w:val="nil"/>
              <w:left w:val="single" w:sz="8" w:space="0" w:color="auto"/>
              <w:bottom w:val="single" w:sz="4" w:space="0" w:color="auto"/>
              <w:right w:val="single" w:sz="8" w:space="0" w:color="auto"/>
            </w:tcBorders>
            <w:shd w:val="clear" w:color="000000" w:fill="D9D9D9"/>
            <w:vAlign w:val="center"/>
            <w:hideMark/>
          </w:tcPr>
          <w:p w14:paraId="07E22D5D" w14:textId="77777777" w:rsidR="00D86281" w:rsidRPr="003C66A0" w:rsidRDefault="00D86281" w:rsidP="00AE1DED">
            <w:pPr>
              <w:rPr>
                <w:color w:val="000000" w:themeColor="text1"/>
              </w:rPr>
            </w:pPr>
            <w:r w:rsidRPr="003C66A0">
              <w:rPr>
                <w:color w:val="000000" w:themeColor="text1"/>
              </w:rPr>
              <w:t> </w:t>
            </w:r>
          </w:p>
        </w:tc>
        <w:tc>
          <w:tcPr>
            <w:tcW w:w="3680" w:type="dxa"/>
            <w:tcBorders>
              <w:top w:val="nil"/>
              <w:left w:val="nil"/>
              <w:bottom w:val="single" w:sz="4" w:space="0" w:color="auto"/>
              <w:right w:val="single" w:sz="4" w:space="0" w:color="auto"/>
            </w:tcBorders>
            <w:vAlign w:val="center"/>
            <w:hideMark/>
          </w:tcPr>
          <w:p w14:paraId="0AF30867" w14:textId="77777777" w:rsidR="00D86281" w:rsidRPr="003C66A0" w:rsidRDefault="00D86281" w:rsidP="00AE1DED">
            <w:pPr>
              <w:rPr>
                <w:color w:val="000000" w:themeColor="text1"/>
              </w:rPr>
            </w:pPr>
            <w:r w:rsidRPr="003C66A0">
              <w:rPr>
                <w:color w:val="000000" w:themeColor="text1"/>
              </w:rPr>
              <w:t>2024 data only</w:t>
            </w:r>
          </w:p>
        </w:tc>
        <w:tc>
          <w:tcPr>
            <w:tcW w:w="2720" w:type="dxa"/>
            <w:tcBorders>
              <w:top w:val="nil"/>
              <w:left w:val="nil"/>
              <w:bottom w:val="single" w:sz="4" w:space="0" w:color="auto"/>
              <w:right w:val="single" w:sz="8" w:space="0" w:color="auto"/>
            </w:tcBorders>
            <w:vAlign w:val="center"/>
            <w:hideMark/>
          </w:tcPr>
          <w:p w14:paraId="28961310" w14:textId="77777777" w:rsidR="00D86281" w:rsidRPr="003C66A0" w:rsidRDefault="00D86281" w:rsidP="00AE1DED">
            <w:pPr>
              <w:rPr>
                <w:color w:val="000000" w:themeColor="text1"/>
              </w:rPr>
            </w:pPr>
            <w:r w:rsidRPr="003C66A0">
              <w:rPr>
                <w:color w:val="000000" w:themeColor="text1"/>
              </w:rPr>
              <w:t>$23,000 minimum</w:t>
            </w:r>
          </w:p>
        </w:tc>
      </w:tr>
      <w:tr w:rsidR="00D86281" w:rsidRPr="003C66A0" w14:paraId="0074B3D1" w14:textId="77777777" w:rsidTr="00D86281">
        <w:trPr>
          <w:trHeight w:val="360"/>
        </w:trPr>
        <w:tc>
          <w:tcPr>
            <w:tcW w:w="3140" w:type="dxa"/>
            <w:tcBorders>
              <w:top w:val="nil"/>
              <w:left w:val="single" w:sz="8" w:space="0" w:color="auto"/>
              <w:bottom w:val="single" w:sz="8" w:space="0" w:color="auto"/>
              <w:right w:val="single" w:sz="8" w:space="0" w:color="auto"/>
            </w:tcBorders>
            <w:shd w:val="clear" w:color="000000" w:fill="D9D9D9"/>
            <w:vAlign w:val="center"/>
            <w:hideMark/>
          </w:tcPr>
          <w:p w14:paraId="078441C3" w14:textId="77777777" w:rsidR="00D86281" w:rsidRPr="003C66A0" w:rsidRDefault="00D86281" w:rsidP="00AE1DED">
            <w:pPr>
              <w:rPr>
                <w:color w:val="000000" w:themeColor="text1"/>
              </w:rPr>
            </w:pPr>
            <w:r w:rsidRPr="003C66A0">
              <w:rPr>
                <w:color w:val="000000" w:themeColor="text1"/>
              </w:rPr>
              <w:lastRenderedPageBreak/>
              <w:t> </w:t>
            </w:r>
          </w:p>
        </w:tc>
        <w:tc>
          <w:tcPr>
            <w:tcW w:w="3680" w:type="dxa"/>
            <w:tcBorders>
              <w:top w:val="nil"/>
              <w:left w:val="nil"/>
              <w:bottom w:val="single" w:sz="8" w:space="0" w:color="auto"/>
              <w:right w:val="single" w:sz="4" w:space="0" w:color="auto"/>
            </w:tcBorders>
            <w:vAlign w:val="center"/>
            <w:hideMark/>
          </w:tcPr>
          <w:p w14:paraId="77DB802C" w14:textId="77777777" w:rsidR="00D86281" w:rsidRPr="003C66A0" w:rsidRDefault="00D86281" w:rsidP="00AE1DED">
            <w:pPr>
              <w:rPr>
                <w:color w:val="000000" w:themeColor="text1"/>
              </w:rPr>
            </w:pPr>
            <w:r w:rsidRPr="003C66A0">
              <w:rPr>
                <w:color w:val="000000" w:themeColor="text1"/>
              </w:rPr>
              <w:t>Include MEV revenue</w:t>
            </w:r>
          </w:p>
        </w:tc>
        <w:tc>
          <w:tcPr>
            <w:tcW w:w="2720" w:type="dxa"/>
            <w:tcBorders>
              <w:top w:val="nil"/>
              <w:left w:val="nil"/>
              <w:bottom w:val="single" w:sz="8" w:space="0" w:color="auto"/>
              <w:right w:val="single" w:sz="8" w:space="0" w:color="auto"/>
            </w:tcBorders>
            <w:vAlign w:val="center"/>
            <w:hideMark/>
          </w:tcPr>
          <w:p w14:paraId="3AD109E0" w14:textId="77777777" w:rsidR="00D86281" w:rsidRPr="003C66A0" w:rsidRDefault="00D86281" w:rsidP="00AE1DED">
            <w:pPr>
              <w:rPr>
                <w:color w:val="000000" w:themeColor="text1"/>
              </w:rPr>
            </w:pPr>
            <w:r w:rsidRPr="003C66A0">
              <w:rPr>
                <w:color w:val="000000" w:themeColor="text1"/>
              </w:rPr>
              <w:t>$21,000 minimum</w:t>
            </w:r>
          </w:p>
        </w:tc>
      </w:tr>
    </w:tbl>
    <w:p w14:paraId="0AD34BCA" w14:textId="77777777" w:rsidR="000205CF" w:rsidRPr="003C66A0" w:rsidRDefault="000205CF" w:rsidP="00AE1DED">
      <w:pPr>
        <w:rPr>
          <w:rFonts w:eastAsiaTheme="majorEastAsia"/>
          <w:b/>
          <w:bCs/>
          <w:color w:val="000000" w:themeColor="text1"/>
        </w:rPr>
      </w:pPr>
    </w:p>
    <w:p w14:paraId="6069BDE2" w14:textId="09597588" w:rsidR="000205CF" w:rsidRPr="003C66A0" w:rsidRDefault="000205CF" w:rsidP="00AE1DED">
      <w:pPr>
        <w:rPr>
          <w:rFonts w:eastAsiaTheme="majorEastAsia"/>
          <w:b/>
          <w:bCs/>
          <w:color w:val="000000" w:themeColor="text1"/>
        </w:rPr>
      </w:pPr>
      <w:r w:rsidRPr="003C66A0">
        <w:rPr>
          <w:rFonts w:eastAsiaTheme="majorEastAsia"/>
          <w:b/>
          <w:bCs/>
          <w:color w:val="000000" w:themeColor="text1"/>
        </w:rPr>
        <w:t xml:space="preserve">Bootstrap Implementation Details: </w:t>
      </w:r>
    </w:p>
    <w:p w14:paraId="53A66789" w14:textId="77777777" w:rsidR="000205CF" w:rsidRPr="003C66A0" w:rsidRDefault="000205CF" w:rsidP="00AE1DED">
      <w:pPr>
        <w:jc w:val="both"/>
        <w:rPr>
          <w:rFonts w:eastAsiaTheme="majorEastAsia"/>
          <w:color w:val="000000" w:themeColor="text1"/>
        </w:rPr>
      </w:pPr>
      <w:r w:rsidRPr="003C66A0">
        <w:rPr>
          <w:rFonts w:eastAsiaTheme="majorEastAsia"/>
          <w:color w:val="000000" w:themeColor="text1"/>
        </w:rPr>
        <w:t>All bootstrap confidence intervals reported in this dissertation follow consistent methodology:</w:t>
      </w:r>
    </w:p>
    <w:p w14:paraId="31DEC3D8" w14:textId="46B14252" w:rsidR="000205CF" w:rsidRPr="003C66A0" w:rsidRDefault="000205CF" w:rsidP="00AE1DED">
      <w:pPr>
        <w:pStyle w:val="ListParagraph"/>
        <w:numPr>
          <w:ilvl w:val="0"/>
          <w:numId w:val="16"/>
        </w:numPr>
        <w:jc w:val="both"/>
        <w:outlineLvl w:val="9"/>
        <w:rPr>
          <w:rFonts w:eastAsiaTheme="majorEastAsia"/>
          <w:color w:val="000000" w:themeColor="text1"/>
        </w:rPr>
      </w:pPr>
      <w:r w:rsidRPr="003C66A0">
        <w:rPr>
          <w:rFonts w:eastAsiaTheme="majorEastAsia"/>
          <w:color w:val="000000" w:themeColor="text1"/>
        </w:rPr>
        <w:t>Resampling: 10,000 iterations with replacement</w:t>
      </w:r>
    </w:p>
    <w:p w14:paraId="4A0BFD79" w14:textId="3A0B0692" w:rsidR="000205CF" w:rsidRPr="003C66A0" w:rsidRDefault="000205CF" w:rsidP="00AE1DED">
      <w:pPr>
        <w:pStyle w:val="ListParagraph"/>
        <w:numPr>
          <w:ilvl w:val="0"/>
          <w:numId w:val="16"/>
        </w:numPr>
        <w:jc w:val="both"/>
        <w:outlineLvl w:val="9"/>
        <w:rPr>
          <w:rFonts w:eastAsiaTheme="majorEastAsia"/>
          <w:color w:val="000000" w:themeColor="text1"/>
        </w:rPr>
      </w:pPr>
      <w:r w:rsidRPr="003C66A0">
        <w:rPr>
          <w:rFonts w:eastAsiaTheme="majorEastAsia"/>
          <w:color w:val="000000" w:themeColor="text1"/>
        </w:rPr>
        <w:t>Method: Bias-corrected and accelerated (</w:t>
      </w:r>
      <w:proofErr w:type="spellStart"/>
      <w:r w:rsidRPr="003C66A0">
        <w:rPr>
          <w:rFonts w:eastAsiaTheme="majorEastAsia"/>
          <w:color w:val="000000" w:themeColor="text1"/>
        </w:rPr>
        <w:t>BCa</w:t>
      </w:r>
      <w:proofErr w:type="spellEnd"/>
      <w:r w:rsidRPr="003C66A0">
        <w:rPr>
          <w:rFonts w:eastAsiaTheme="majorEastAsia"/>
          <w:color w:val="000000" w:themeColor="text1"/>
        </w:rPr>
        <w:t>) to handle skewed distributions</w:t>
      </w:r>
    </w:p>
    <w:p w14:paraId="4907FA26" w14:textId="6D58A4FB" w:rsidR="000205CF" w:rsidRPr="003C66A0" w:rsidRDefault="000205CF" w:rsidP="00AE1DED">
      <w:pPr>
        <w:pStyle w:val="ListParagraph"/>
        <w:numPr>
          <w:ilvl w:val="0"/>
          <w:numId w:val="16"/>
        </w:numPr>
        <w:jc w:val="both"/>
        <w:outlineLvl w:val="9"/>
        <w:rPr>
          <w:rFonts w:eastAsiaTheme="majorEastAsia"/>
          <w:color w:val="000000" w:themeColor="text1"/>
        </w:rPr>
      </w:pPr>
      <w:r w:rsidRPr="003C66A0">
        <w:rPr>
          <w:rFonts w:eastAsiaTheme="majorEastAsia"/>
          <w:color w:val="000000" w:themeColor="text1"/>
        </w:rPr>
        <w:t>Convergence criterion: Standard error stabilization &lt;1% with additional 1,000 resamples</w:t>
      </w:r>
    </w:p>
    <w:p w14:paraId="521472EC" w14:textId="40DA73EB" w:rsidR="000205CF" w:rsidRPr="003C66A0" w:rsidRDefault="000205CF" w:rsidP="00AE1DED">
      <w:pPr>
        <w:pStyle w:val="ListParagraph"/>
        <w:numPr>
          <w:ilvl w:val="0"/>
          <w:numId w:val="16"/>
        </w:numPr>
        <w:jc w:val="both"/>
        <w:outlineLvl w:val="9"/>
        <w:rPr>
          <w:rFonts w:eastAsiaTheme="majorEastAsia"/>
          <w:color w:val="000000" w:themeColor="text1"/>
        </w:rPr>
      </w:pPr>
      <w:r w:rsidRPr="003C66A0">
        <w:rPr>
          <w:rFonts w:eastAsiaTheme="majorEastAsia"/>
          <w:color w:val="000000" w:themeColor="text1"/>
        </w:rPr>
        <w:t xml:space="preserve">Software: R boot package (version 1.3-28) </w:t>
      </w:r>
    </w:p>
    <w:p w14:paraId="7589AFE2" w14:textId="5D48E7A2" w:rsidR="000205CF" w:rsidRPr="003C66A0" w:rsidRDefault="000205CF" w:rsidP="00AE1DED">
      <w:pPr>
        <w:pStyle w:val="ListParagraph"/>
        <w:numPr>
          <w:ilvl w:val="0"/>
          <w:numId w:val="16"/>
        </w:numPr>
        <w:jc w:val="both"/>
        <w:outlineLvl w:val="9"/>
        <w:rPr>
          <w:rFonts w:eastAsiaTheme="majorEastAsia"/>
          <w:color w:val="000000" w:themeColor="text1"/>
        </w:rPr>
      </w:pPr>
      <w:r w:rsidRPr="003C66A0">
        <w:rPr>
          <w:rFonts w:eastAsiaTheme="majorEastAsia"/>
          <w:color w:val="000000" w:themeColor="text1"/>
        </w:rPr>
        <w:t>Random seed: Set for reproducibility (seed = 42)</w:t>
      </w:r>
    </w:p>
    <w:p w14:paraId="3E2D5D60" w14:textId="77777777" w:rsidR="000205CF" w:rsidRPr="003C66A0" w:rsidRDefault="000205CF" w:rsidP="00AE1DED">
      <w:pPr>
        <w:jc w:val="both"/>
        <w:rPr>
          <w:rFonts w:eastAsiaTheme="majorEastAsia"/>
          <w:color w:val="000000" w:themeColor="text1"/>
        </w:rPr>
      </w:pPr>
    </w:p>
    <w:p w14:paraId="6D63F17B" w14:textId="77777777" w:rsidR="000205CF" w:rsidRPr="003C66A0" w:rsidRDefault="000205CF" w:rsidP="00AE1DED">
      <w:pPr>
        <w:jc w:val="both"/>
        <w:rPr>
          <w:rFonts w:eastAsiaTheme="majorEastAsia"/>
          <w:color w:val="000000" w:themeColor="text1"/>
        </w:rPr>
      </w:pPr>
      <w:r w:rsidRPr="003C66A0">
        <w:rPr>
          <w:rFonts w:eastAsiaTheme="majorEastAsia"/>
          <w:color w:val="000000" w:themeColor="text1"/>
        </w:rPr>
        <w:t>This approach was chosen over parametric methods due to:</w:t>
      </w:r>
    </w:p>
    <w:p w14:paraId="2E33F212" w14:textId="21838293" w:rsidR="000205CF" w:rsidRPr="003C66A0" w:rsidRDefault="000205CF" w:rsidP="00AE1DED">
      <w:pPr>
        <w:pStyle w:val="ListParagraph"/>
        <w:numPr>
          <w:ilvl w:val="0"/>
          <w:numId w:val="16"/>
        </w:numPr>
        <w:jc w:val="both"/>
        <w:outlineLvl w:val="9"/>
        <w:rPr>
          <w:rFonts w:eastAsiaTheme="majorEastAsia"/>
          <w:color w:val="000000" w:themeColor="text1"/>
        </w:rPr>
      </w:pPr>
      <w:r w:rsidRPr="003C66A0">
        <w:rPr>
          <w:rFonts w:eastAsiaTheme="majorEastAsia"/>
          <w:color w:val="000000" w:themeColor="text1"/>
        </w:rPr>
        <w:t>Non-normal distributions (Shapiro-Wilk p &lt; 0.001)</w:t>
      </w:r>
    </w:p>
    <w:p w14:paraId="19DA7615" w14:textId="4D35189E" w:rsidR="000205CF" w:rsidRPr="003C66A0" w:rsidRDefault="000205CF" w:rsidP="00AE1DED">
      <w:pPr>
        <w:pStyle w:val="ListParagraph"/>
        <w:numPr>
          <w:ilvl w:val="0"/>
          <w:numId w:val="16"/>
        </w:numPr>
        <w:jc w:val="both"/>
        <w:outlineLvl w:val="9"/>
        <w:rPr>
          <w:rFonts w:eastAsiaTheme="majorEastAsia"/>
          <w:color w:val="000000" w:themeColor="text1"/>
        </w:rPr>
      </w:pPr>
      <w:r w:rsidRPr="003C66A0">
        <w:rPr>
          <w:rFonts w:eastAsiaTheme="majorEastAsia"/>
          <w:color w:val="000000" w:themeColor="text1"/>
        </w:rPr>
        <w:t>Small sample size (n=156 positions)</w:t>
      </w:r>
    </w:p>
    <w:p w14:paraId="6CF0B96D" w14:textId="08FE4FBA" w:rsidR="000205CF" w:rsidRPr="003C66A0" w:rsidRDefault="000205CF" w:rsidP="00AE1DED">
      <w:pPr>
        <w:pStyle w:val="ListParagraph"/>
        <w:numPr>
          <w:ilvl w:val="0"/>
          <w:numId w:val="16"/>
        </w:numPr>
        <w:jc w:val="both"/>
        <w:outlineLvl w:val="9"/>
        <w:rPr>
          <w:rFonts w:eastAsiaTheme="majorEastAsia"/>
          <w:color w:val="000000" w:themeColor="text1"/>
        </w:rPr>
      </w:pPr>
      <w:r w:rsidRPr="003C66A0">
        <w:rPr>
          <w:rFonts w:eastAsiaTheme="majorEastAsia"/>
          <w:color w:val="000000" w:themeColor="text1"/>
        </w:rPr>
        <w:t>Presence of outliers and extreme values</w:t>
      </w:r>
    </w:p>
    <w:p w14:paraId="1B6F7D49" w14:textId="1F453C62" w:rsidR="000205CF" w:rsidRPr="003C66A0" w:rsidRDefault="000205CF" w:rsidP="00AE1DED">
      <w:pPr>
        <w:pStyle w:val="ListParagraph"/>
        <w:numPr>
          <w:ilvl w:val="0"/>
          <w:numId w:val="16"/>
        </w:numPr>
        <w:jc w:val="both"/>
        <w:outlineLvl w:val="9"/>
        <w:rPr>
          <w:rFonts w:eastAsiaTheme="majorEastAsia"/>
          <w:color w:val="000000" w:themeColor="text1"/>
        </w:rPr>
      </w:pPr>
      <w:r w:rsidRPr="003C66A0">
        <w:rPr>
          <w:rFonts w:eastAsiaTheme="majorEastAsia"/>
          <w:color w:val="000000" w:themeColor="text1"/>
        </w:rPr>
        <w:t>Need for robust inference despite assumption violations</w:t>
      </w:r>
    </w:p>
    <w:p w14:paraId="15B5B74E" w14:textId="77777777" w:rsidR="000205CF" w:rsidRPr="003C66A0" w:rsidRDefault="000205CF" w:rsidP="00AE1DED">
      <w:pPr>
        <w:jc w:val="both"/>
        <w:rPr>
          <w:rFonts w:eastAsiaTheme="majorEastAsia"/>
          <w:color w:val="000000" w:themeColor="text1"/>
        </w:rPr>
      </w:pPr>
    </w:p>
    <w:p w14:paraId="6CF9701C" w14:textId="7C7F04B4" w:rsidR="00D15AF2" w:rsidRDefault="00D15AF2" w:rsidP="00AE1DED">
      <w:pPr>
        <w:jc w:val="both"/>
        <w:rPr>
          <w:rFonts w:eastAsiaTheme="majorEastAsia"/>
          <w:i/>
          <w:iCs/>
          <w:color w:val="000000" w:themeColor="text1"/>
        </w:rPr>
      </w:pPr>
      <w:r w:rsidRPr="003C66A0">
        <w:rPr>
          <w:rFonts w:eastAsiaTheme="majorEastAsia"/>
          <w:i/>
          <w:iCs/>
          <w:color w:val="000000" w:themeColor="text1"/>
        </w:rPr>
        <w:t xml:space="preserve">Interpretive Note: The choice of </w:t>
      </w:r>
      <w:proofErr w:type="spellStart"/>
      <w:r w:rsidRPr="003C66A0">
        <w:rPr>
          <w:rFonts w:eastAsiaTheme="majorEastAsia"/>
          <w:i/>
          <w:iCs/>
          <w:color w:val="000000" w:themeColor="text1"/>
        </w:rPr>
        <w:t>BCa</w:t>
      </w:r>
      <w:proofErr w:type="spellEnd"/>
      <w:r w:rsidRPr="003C66A0">
        <w:rPr>
          <w:rFonts w:eastAsiaTheme="majorEastAsia"/>
          <w:i/>
          <w:iCs/>
          <w:color w:val="000000" w:themeColor="text1"/>
        </w:rPr>
        <w:t xml:space="preserve"> (bias-corrected and accelerated) bootstrap with 10,000 resamples over parametric methods was necessitated by severe departures from normality—this computational intensity reflects the inadequacy of traditional statistical assumptions for cryptocurrency data.</w:t>
      </w:r>
    </w:p>
    <w:p w14:paraId="6987018E" w14:textId="77777777" w:rsidR="00D77017" w:rsidRPr="003C66A0" w:rsidRDefault="00D77017" w:rsidP="00AE1DED">
      <w:pPr>
        <w:jc w:val="both"/>
        <w:rPr>
          <w:rFonts w:eastAsiaTheme="majorEastAsia"/>
          <w:i/>
          <w:iCs/>
          <w:color w:val="000000" w:themeColor="text1"/>
        </w:rPr>
      </w:pPr>
    </w:p>
    <w:p w14:paraId="5EB2F27A" w14:textId="018D867B" w:rsidR="008750EF" w:rsidRDefault="008750EF" w:rsidP="00AE1DED">
      <w:pPr>
        <w:pStyle w:val="Heading3"/>
        <w:rPr>
          <w:rFonts w:eastAsiaTheme="majorEastAsia"/>
        </w:rPr>
      </w:pPr>
      <w:bookmarkStart w:id="270" w:name="_Toc214722076"/>
      <w:r w:rsidRPr="003C66A0">
        <w:rPr>
          <w:rFonts w:eastAsiaTheme="majorEastAsia"/>
        </w:rPr>
        <w:t xml:space="preserve">Table </w:t>
      </w:r>
      <w:r w:rsidR="00392A6F">
        <w:rPr>
          <w:rFonts w:eastAsiaTheme="majorEastAsia"/>
        </w:rPr>
        <w:t>C</w:t>
      </w:r>
      <w:r w:rsidRPr="003C66A0">
        <w:rPr>
          <w:rFonts w:eastAsiaTheme="majorEastAsia"/>
        </w:rPr>
        <w:t>.</w:t>
      </w:r>
      <w:r w:rsidR="00392A6F">
        <w:rPr>
          <w:rFonts w:eastAsiaTheme="majorEastAsia"/>
        </w:rPr>
        <w:t>4</w:t>
      </w:r>
      <w:r w:rsidRPr="003C66A0">
        <w:rPr>
          <w:rFonts w:eastAsiaTheme="majorEastAsia"/>
        </w:rPr>
        <w:t>: Missing Data Treatment</w:t>
      </w:r>
      <w:bookmarkEnd w:id="270"/>
    </w:p>
    <w:p w14:paraId="4E4E4630" w14:textId="77777777" w:rsidR="004E10FD" w:rsidRPr="004E10FD" w:rsidRDefault="004E10FD" w:rsidP="00AE1DED">
      <w:pPr>
        <w:rPr>
          <w:rFonts w:eastAsiaTheme="majorEastAsia"/>
        </w:rPr>
      </w:pPr>
    </w:p>
    <w:tbl>
      <w:tblPr>
        <w:tblW w:w="9350" w:type="dxa"/>
        <w:tblLook w:val="04A0" w:firstRow="1" w:lastRow="0" w:firstColumn="1" w:lastColumn="0" w:noHBand="0" w:noVBand="1"/>
      </w:tblPr>
      <w:tblGrid>
        <w:gridCol w:w="2690"/>
        <w:gridCol w:w="1170"/>
        <w:gridCol w:w="2430"/>
        <w:gridCol w:w="3060"/>
      </w:tblGrid>
      <w:tr w:rsidR="00FC334A" w:rsidRPr="003C66A0" w14:paraId="32A050B0" w14:textId="77777777" w:rsidTr="00182DCE">
        <w:trPr>
          <w:trHeight w:val="360"/>
        </w:trPr>
        <w:tc>
          <w:tcPr>
            <w:tcW w:w="269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1B509462" w14:textId="77777777" w:rsidR="00182DCE" w:rsidRPr="003C66A0" w:rsidRDefault="00182DCE" w:rsidP="00AE1DED">
            <w:pPr>
              <w:rPr>
                <w:b/>
                <w:bCs/>
                <w:color w:val="000000" w:themeColor="text1"/>
              </w:rPr>
            </w:pPr>
            <w:r w:rsidRPr="003C66A0">
              <w:rPr>
                <w:b/>
                <w:bCs/>
                <w:color w:val="000000" w:themeColor="text1"/>
              </w:rPr>
              <w:t>Variable</w:t>
            </w:r>
          </w:p>
        </w:tc>
        <w:tc>
          <w:tcPr>
            <w:tcW w:w="1170" w:type="dxa"/>
            <w:tcBorders>
              <w:top w:val="single" w:sz="8" w:space="0" w:color="auto"/>
              <w:left w:val="nil"/>
              <w:bottom w:val="single" w:sz="8" w:space="0" w:color="auto"/>
              <w:right w:val="single" w:sz="4" w:space="0" w:color="auto"/>
            </w:tcBorders>
            <w:shd w:val="clear" w:color="000000" w:fill="D9D9D9"/>
            <w:vAlign w:val="center"/>
            <w:hideMark/>
          </w:tcPr>
          <w:p w14:paraId="7D5927C0" w14:textId="77777777" w:rsidR="00182DCE" w:rsidRPr="003C66A0" w:rsidRDefault="00182DCE" w:rsidP="00AE1DED">
            <w:pPr>
              <w:rPr>
                <w:b/>
                <w:bCs/>
                <w:color w:val="000000" w:themeColor="text1"/>
              </w:rPr>
            </w:pPr>
            <w:r w:rsidRPr="003C66A0">
              <w:rPr>
                <w:b/>
                <w:bCs/>
                <w:color w:val="000000" w:themeColor="text1"/>
              </w:rPr>
              <w:t>Missing %</w:t>
            </w:r>
          </w:p>
        </w:tc>
        <w:tc>
          <w:tcPr>
            <w:tcW w:w="2430" w:type="dxa"/>
            <w:tcBorders>
              <w:top w:val="single" w:sz="8" w:space="0" w:color="auto"/>
              <w:left w:val="nil"/>
              <w:bottom w:val="single" w:sz="8" w:space="0" w:color="auto"/>
              <w:right w:val="single" w:sz="4" w:space="0" w:color="auto"/>
            </w:tcBorders>
            <w:shd w:val="clear" w:color="000000" w:fill="D9D9D9"/>
            <w:vAlign w:val="center"/>
            <w:hideMark/>
          </w:tcPr>
          <w:p w14:paraId="6056DAC6" w14:textId="77777777" w:rsidR="00182DCE" w:rsidRPr="003C66A0" w:rsidRDefault="00182DCE" w:rsidP="00AE1DED">
            <w:pPr>
              <w:rPr>
                <w:b/>
                <w:bCs/>
                <w:color w:val="000000" w:themeColor="text1"/>
              </w:rPr>
            </w:pPr>
            <w:r w:rsidRPr="003C66A0">
              <w:rPr>
                <w:b/>
                <w:bCs/>
                <w:color w:val="000000" w:themeColor="text1"/>
              </w:rPr>
              <w:t>Method</w:t>
            </w:r>
          </w:p>
        </w:tc>
        <w:tc>
          <w:tcPr>
            <w:tcW w:w="3060" w:type="dxa"/>
            <w:tcBorders>
              <w:top w:val="single" w:sz="8" w:space="0" w:color="auto"/>
              <w:left w:val="nil"/>
              <w:bottom w:val="single" w:sz="8" w:space="0" w:color="auto"/>
              <w:right w:val="single" w:sz="8" w:space="0" w:color="auto"/>
            </w:tcBorders>
            <w:shd w:val="clear" w:color="000000" w:fill="D9D9D9"/>
            <w:vAlign w:val="center"/>
            <w:hideMark/>
          </w:tcPr>
          <w:p w14:paraId="7F13B8AA" w14:textId="77777777" w:rsidR="00182DCE" w:rsidRPr="003C66A0" w:rsidRDefault="00182DCE" w:rsidP="00AE1DED">
            <w:pPr>
              <w:rPr>
                <w:b/>
                <w:bCs/>
                <w:color w:val="000000" w:themeColor="text1"/>
              </w:rPr>
            </w:pPr>
            <w:r w:rsidRPr="003C66A0">
              <w:rPr>
                <w:b/>
                <w:bCs/>
                <w:color w:val="000000" w:themeColor="text1"/>
              </w:rPr>
              <w:t>Justification</w:t>
            </w:r>
          </w:p>
        </w:tc>
      </w:tr>
      <w:tr w:rsidR="00FC334A" w:rsidRPr="003C66A0" w14:paraId="61A3BB13" w14:textId="77777777" w:rsidTr="00182DCE">
        <w:trPr>
          <w:trHeight w:val="340"/>
        </w:trPr>
        <w:tc>
          <w:tcPr>
            <w:tcW w:w="2690" w:type="dxa"/>
            <w:tcBorders>
              <w:top w:val="nil"/>
              <w:left w:val="single" w:sz="8" w:space="0" w:color="auto"/>
              <w:bottom w:val="single" w:sz="4" w:space="0" w:color="auto"/>
              <w:right w:val="single" w:sz="8" w:space="0" w:color="auto"/>
            </w:tcBorders>
            <w:shd w:val="clear" w:color="000000" w:fill="D9D9D9"/>
            <w:vAlign w:val="center"/>
            <w:hideMark/>
          </w:tcPr>
          <w:p w14:paraId="4B443E63" w14:textId="77777777" w:rsidR="00182DCE" w:rsidRPr="003C66A0" w:rsidRDefault="00182DCE" w:rsidP="00AE1DED">
            <w:pPr>
              <w:rPr>
                <w:color w:val="000000" w:themeColor="text1"/>
              </w:rPr>
            </w:pPr>
            <w:r w:rsidRPr="003C66A0">
              <w:rPr>
                <w:color w:val="000000" w:themeColor="text1"/>
              </w:rPr>
              <w:t>Final position value</w:t>
            </w:r>
          </w:p>
        </w:tc>
        <w:tc>
          <w:tcPr>
            <w:tcW w:w="1170" w:type="dxa"/>
            <w:tcBorders>
              <w:top w:val="nil"/>
              <w:left w:val="nil"/>
              <w:bottom w:val="single" w:sz="4" w:space="0" w:color="auto"/>
              <w:right w:val="single" w:sz="4" w:space="0" w:color="auto"/>
            </w:tcBorders>
            <w:vAlign w:val="center"/>
            <w:hideMark/>
          </w:tcPr>
          <w:p w14:paraId="141A3CA0" w14:textId="77777777" w:rsidR="00182DCE" w:rsidRPr="003C66A0" w:rsidRDefault="00182DCE" w:rsidP="00AE1DED">
            <w:pPr>
              <w:jc w:val="right"/>
              <w:rPr>
                <w:color w:val="000000" w:themeColor="text1"/>
              </w:rPr>
            </w:pPr>
            <w:r w:rsidRPr="003C66A0">
              <w:rPr>
                <w:color w:val="000000" w:themeColor="text1"/>
              </w:rPr>
              <w:t>8.30%</w:t>
            </w:r>
          </w:p>
        </w:tc>
        <w:tc>
          <w:tcPr>
            <w:tcW w:w="2430" w:type="dxa"/>
            <w:tcBorders>
              <w:top w:val="nil"/>
              <w:left w:val="nil"/>
              <w:bottom w:val="single" w:sz="4" w:space="0" w:color="auto"/>
              <w:right w:val="single" w:sz="4" w:space="0" w:color="auto"/>
            </w:tcBorders>
            <w:vAlign w:val="center"/>
            <w:hideMark/>
          </w:tcPr>
          <w:p w14:paraId="4D9485BD" w14:textId="77777777" w:rsidR="00182DCE" w:rsidRPr="003C66A0" w:rsidRDefault="00182DCE" w:rsidP="00AE1DED">
            <w:pPr>
              <w:rPr>
                <w:color w:val="000000" w:themeColor="text1"/>
              </w:rPr>
            </w:pPr>
            <w:r w:rsidRPr="003C66A0">
              <w:rPr>
                <w:color w:val="000000" w:themeColor="text1"/>
              </w:rPr>
              <w:t>Multiple imputation (m=5)</w:t>
            </w:r>
          </w:p>
        </w:tc>
        <w:tc>
          <w:tcPr>
            <w:tcW w:w="3060" w:type="dxa"/>
            <w:tcBorders>
              <w:top w:val="nil"/>
              <w:left w:val="nil"/>
              <w:bottom w:val="single" w:sz="4" w:space="0" w:color="auto"/>
              <w:right w:val="single" w:sz="8" w:space="0" w:color="auto"/>
            </w:tcBorders>
            <w:vAlign w:val="center"/>
            <w:hideMark/>
          </w:tcPr>
          <w:p w14:paraId="55DB85AA" w14:textId="77777777" w:rsidR="00182DCE" w:rsidRPr="003C66A0" w:rsidRDefault="00182DCE" w:rsidP="00AE1DED">
            <w:pPr>
              <w:rPr>
                <w:color w:val="000000" w:themeColor="text1"/>
              </w:rPr>
            </w:pPr>
            <w:r w:rsidRPr="003C66A0">
              <w:rPr>
                <w:color w:val="000000" w:themeColor="text1"/>
              </w:rPr>
              <w:t>MAR assumption reasonable</w:t>
            </w:r>
          </w:p>
        </w:tc>
      </w:tr>
      <w:tr w:rsidR="00FC334A" w:rsidRPr="003C66A0" w14:paraId="7F901A94" w14:textId="77777777" w:rsidTr="00182DCE">
        <w:trPr>
          <w:trHeight w:val="680"/>
        </w:trPr>
        <w:tc>
          <w:tcPr>
            <w:tcW w:w="2690" w:type="dxa"/>
            <w:tcBorders>
              <w:top w:val="nil"/>
              <w:left w:val="single" w:sz="8" w:space="0" w:color="auto"/>
              <w:bottom w:val="single" w:sz="4" w:space="0" w:color="auto"/>
              <w:right w:val="single" w:sz="8" w:space="0" w:color="auto"/>
            </w:tcBorders>
            <w:shd w:val="clear" w:color="000000" w:fill="D9D9D9"/>
            <w:vAlign w:val="center"/>
            <w:hideMark/>
          </w:tcPr>
          <w:p w14:paraId="614CAC74" w14:textId="77777777" w:rsidR="00182DCE" w:rsidRPr="003C66A0" w:rsidRDefault="00182DCE" w:rsidP="00AE1DED">
            <w:pPr>
              <w:rPr>
                <w:color w:val="000000" w:themeColor="text1"/>
              </w:rPr>
            </w:pPr>
            <w:r w:rsidRPr="003C66A0">
              <w:rPr>
                <w:color w:val="000000" w:themeColor="text1"/>
              </w:rPr>
              <w:t>Gas costs (some transactions)</w:t>
            </w:r>
          </w:p>
        </w:tc>
        <w:tc>
          <w:tcPr>
            <w:tcW w:w="1170" w:type="dxa"/>
            <w:tcBorders>
              <w:top w:val="nil"/>
              <w:left w:val="nil"/>
              <w:bottom w:val="single" w:sz="4" w:space="0" w:color="auto"/>
              <w:right w:val="single" w:sz="4" w:space="0" w:color="auto"/>
            </w:tcBorders>
            <w:vAlign w:val="center"/>
            <w:hideMark/>
          </w:tcPr>
          <w:p w14:paraId="5580D533" w14:textId="77777777" w:rsidR="00182DCE" w:rsidRPr="003C66A0" w:rsidRDefault="00182DCE" w:rsidP="00AE1DED">
            <w:pPr>
              <w:jc w:val="right"/>
              <w:rPr>
                <w:color w:val="000000" w:themeColor="text1"/>
              </w:rPr>
            </w:pPr>
            <w:r w:rsidRPr="003C66A0">
              <w:rPr>
                <w:color w:val="000000" w:themeColor="text1"/>
              </w:rPr>
              <w:t>12.10%</w:t>
            </w:r>
          </w:p>
        </w:tc>
        <w:tc>
          <w:tcPr>
            <w:tcW w:w="2430" w:type="dxa"/>
            <w:tcBorders>
              <w:top w:val="nil"/>
              <w:left w:val="nil"/>
              <w:bottom w:val="single" w:sz="4" w:space="0" w:color="auto"/>
              <w:right w:val="single" w:sz="4" w:space="0" w:color="auto"/>
            </w:tcBorders>
            <w:vAlign w:val="center"/>
            <w:hideMark/>
          </w:tcPr>
          <w:p w14:paraId="4A7FF76B" w14:textId="77777777" w:rsidR="00182DCE" w:rsidRPr="003C66A0" w:rsidRDefault="00182DCE" w:rsidP="00AE1DED">
            <w:pPr>
              <w:rPr>
                <w:color w:val="000000" w:themeColor="text1"/>
              </w:rPr>
            </w:pPr>
            <w:r w:rsidRPr="003C66A0">
              <w:rPr>
                <w:color w:val="000000" w:themeColor="text1"/>
              </w:rPr>
              <w:t>Model-based estimation</w:t>
            </w:r>
          </w:p>
        </w:tc>
        <w:tc>
          <w:tcPr>
            <w:tcW w:w="3060" w:type="dxa"/>
            <w:tcBorders>
              <w:top w:val="nil"/>
              <w:left w:val="nil"/>
              <w:bottom w:val="single" w:sz="4" w:space="0" w:color="auto"/>
              <w:right w:val="single" w:sz="8" w:space="0" w:color="auto"/>
            </w:tcBorders>
            <w:vAlign w:val="center"/>
            <w:hideMark/>
          </w:tcPr>
          <w:p w14:paraId="2A43A14F" w14:textId="77777777" w:rsidR="00182DCE" w:rsidRPr="003C66A0" w:rsidRDefault="00182DCE" w:rsidP="00AE1DED">
            <w:pPr>
              <w:rPr>
                <w:color w:val="000000" w:themeColor="text1"/>
              </w:rPr>
            </w:pPr>
            <w:r w:rsidRPr="003C66A0">
              <w:rPr>
                <w:color w:val="000000" w:themeColor="text1"/>
              </w:rPr>
              <w:t>Predictable from transaction type</w:t>
            </w:r>
          </w:p>
        </w:tc>
      </w:tr>
      <w:tr w:rsidR="00FC334A" w:rsidRPr="003C66A0" w14:paraId="4B4FA6A3" w14:textId="77777777" w:rsidTr="00182DCE">
        <w:trPr>
          <w:trHeight w:val="340"/>
        </w:trPr>
        <w:tc>
          <w:tcPr>
            <w:tcW w:w="2690" w:type="dxa"/>
            <w:tcBorders>
              <w:top w:val="nil"/>
              <w:left w:val="single" w:sz="8" w:space="0" w:color="auto"/>
              <w:bottom w:val="single" w:sz="4" w:space="0" w:color="auto"/>
              <w:right w:val="single" w:sz="8" w:space="0" w:color="auto"/>
            </w:tcBorders>
            <w:shd w:val="clear" w:color="000000" w:fill="D9D9D9"/>
            <w:vAlign w:val="center"/>
            <w:hideMark/>
          </w:tcPr>
          <w:p w14:paraId="56589986" w14:textId="77777777" w:rsidR="00182DCE" w:rsidRPr="003C66A0" w:rsidRDefault="00182DCE" w:rsidP="00AE1DED">
            <w:pPr>
              <w:rPr>
                <w:color w:val="000000" w:themeColor="text1"/>
              </w:rPr>
            </w:pPr>
            <w:r w:rsidRPr="003C66A0">
              <w:rPr>
                <w:color w:val="000000" w:themeColor="text1"/>
              </w:rPr>
              <w:t>Time to rebalance</w:t>
            </w:r>
          </w:p>
        </w:tc>
        <w:tc>
          <w:tcPr>
            <w:tcW w:w="1170" w:type="dxa"/>
            <w:tcBorders>
              <w:top w:val="nil"/>
              <w:left w:val="nil"/>
              <w:bottom w:val="single" w:sz="4" w:space="0" w:color="auto"/>
              <w:right w:val="single" w:sz="4" w:space="0" w:color="auto"/>
            </w:tcBorders>
            <w:vAlign w:val="center"/>
            <w:hideMark/>
          </w:tcPr>
          <w:p w14:paraId="200689F7" w14:textId="77777777" w:rsidR="00182DCE" w:rsidRPr="003C66A0" w:rsidRDefault="00182DCE" w:rsidP="00AE1DED">
            <w:pPr>
              <w:jc w:val="right"/>
              <w:rPr>
                <w:color w:val="000000" w:themeColor="text1"/>
              </w:rPr>
            </w:pPr>
            <w:r w:rsidRPr="003C66A0">
              <w:rPr>
                <w:color w:val="000000" w:themeColor="text1"/>
              </w:rPr>
              <w:t>4.50%</w:t>
            </w:r>
          </w:p>
        </w:tc>
        <w:tc>
          <w:tcPr>
            <w:tcW w:w="2430" w:type="dxa"/>
            <w:tcBorders>
              <w:top w:val="nil"/>
              <w:left w:val="nil"/>
              <w:bottom w:val="single" w:sz="4" w:space="0" w:color="auto"/>
              <w:right w:val="single" w:sz="4" w:space="0" w:color="auto"/>
            </w:tcBorders>
            <w:vAlign w:val="center"/>
            <w:hideMark/>
          </w:tcPr>
          <w:p w14:paraId="35E78BDE" w14:textId="77777777" w:rsidR="00182DCE" w:rsidRPr="003C66A0" w:rsidRDefault="00182DCE" w:rsidP="00AE1DED">
            <w:pPr>
              <w:rPr>
                <w:color w:val="000000" w:themeColor="text1"/>
              </w:rPr>
            </w:pPr>
            <w:r w:rsidRPr="003C66A0">
              <w:rPr>
                <w:color w:val="000000" w:themeColor="text1"/>
              </w:rPr>
              <w:t>Listwise deletion</w:t>
            </w:r>
          </w:p>
        </w:tc>
        <w:tc>
          <w:tcPr>
            <w:tcW w:w="3060" w:type="dxa"/>
            <w:tcBorders>
              <w:top w:val="nil"/>
              <w:left w:val="nil"/>
              <w:bottom w:val="single" w:sz="4" w:space="0" w:color="auto"/>
              <w:right w:val="single" w:sz="8" w:space="0" w:color="auto"/>
            </w:tcBorders>
            <w:vAlign w:val="center"/>
            <w:hideMark/>
          </w:tcPr>
          <w:p w14:paraId="0EED93E6" w14:textId="77777777" w:rsidR="00182DCE" w:rsidRPr="003C66A0" w:rsidRDefault="00182DCE" w:rsidP="00AE1DED">
            <w:pPr>
              <w:rPr>
                <w:color w:val="000000" w:themeColor="text1"/>
              </w:rPr>
            </w:pPr>
            <w:r w:rsidRPr="003C66A0">
              <w:rPr>
                <w:color w:val="000000" w:themeColor="text1"/>
              </w:rPr>
              <w:t>MCAR tested (Little's test p=0.31)</w:t>
            </w:r>
          </w:p>
        </w:tc>
      </w:tr>
      <w:tr w:rsidR="00182DCE" w:rsidRPr="003C66A0" w14:paraId="148DE5AF" w14:textId="77777777" w:rsidTr="00182DCE">
        <w:trPr>
          <w:trHeight w:val="360"/>
        </w:trPr>
        <w:tc>
          <w:tcPr>
            <w:tcW w:w="2690" w:type="dxa"/>
            <w:tcBorders>
              <w:top w:val="nil"/>
              <w:left w:val="single" w:sz="8" w:space="0" w:color="auto"/>
              <w:bottom w:val="single" w:sz="8" w:space="0" w:color="auto"/>
              <w:right w:val="single" w:sz="8" w:space="0" w:color="auto"/>
            </w:tcBorders>
            <w:shd w:val="clear" w:color="000000" w:fill="D9D9D9"/>
            <w:vAlign w:val="center"/>
            <w:hideMark/>
          </w:tcPr>
          <w:p w14:paraId="49B88B03" w14:textId="77777777" w:rsidR="00182DCE" w:rsidRPr="003C66A0" w:rsidRDefault="00182DCE" w:rsidP="00AE1DED">
            <w:pPr>
              <w:rPr>
                <w:color w:val="000000" w:themeColor="text1"/>
              </w:rPr>
            </w:pPr>
            <w:r w:rsidRPr="003C66A0">
              <w:rPr>
                <w:color w:val="000000" w:themeColor="text1"/>
              </w:rPr>
              <w:t>Interview follow-ups</w:t>
            </w:r>
          </w:p>
        </w:tc>
        <w:tc>
          <w:tcPr>
            <w:tcW w:w="1170" w:type="dxa"/>
            <w:tcBorders>
              <w:top w:val="nil"/>
              <w:left w:val="nil"/>
              <w:bottom w:val="single" w:sz="8" w:space="0" w:color="auto"/>
              <w:right w:val="single" w:sz="4" w:space="0" w:color="auto"/>
            </w:tcBorders>
            <w:vAlign w:val="center"/>
            <w:hideMark/>
          </w:tcPr>
          <w:p w14:paraId="47B9DD16" w14:textId="77777777" w:rsidR="00182DCE" w:rsidRPr="003C66A0" w:rsidRDefault="00182DCE" w:rsidP="00AE1DED">
            <w:pPr>
              <w:jc w:val="right"/>
              <w:rPr>
                <w:color w:val="000000" w:themeColor="text1"/>
              </w:rPr>
            </w:pPr>
            <w:r w:rsidRPr="003C66A0">
              <w:rPr>
                <w:color w:val="000000" w:themeColor="text1"/>
              </w:rPr>
              <w:t>18.50%</w:t>
            </w:r>
          </w:p>
        </w:tc>
        <w:tc>
          <w:tcPr>
            <w:tcW w:w="2430" w:type="dxa"/>
            <w:tcBorders>
              <w:top w:val="nil"/>
              <w:left w:val="nil"/>
              <w:bottom w:val="single" w:sz="8" w:space="0" w:color="auto"/>
              <w:right w:val="single" w:sz="4" w:space="0" w:color="auto"/>
            </w:tcBorders>
            <w:vAlign w:val="center"/>
            <w:hideMark/>
          </w:tcPr>
          <w:p w14:paraId="40637D84" w14:textId="77777777" w:rsidR="00182DCE" w:rsidRPr="003C66A0" w:rsidRDefault="00182DCE" w:rsidP="00AE1DED">
            <w:pPr>
              <w:rPr>
                <w:color w:val="000000" w:themeColor="text1"/>
              </w:rPr>
            </w:pPr>
            <w:r w:rsidRPr="003C66A0">
              <w:rPr>
                <w:color w:val="000000" w:themeColor="text1"/>
              </w:rPr>
              <w:t>Qualitative notes</w:t>
            </w:r>
          </w:p>
        </w:tc>
        <w:tc>
          <w:tcPr>
            <w:tcW w:w="3060" w:type="dxa"/>
            <w:tcBorders>
              <w:top w:val="nil"/>
              <w:left w:val="nil"/>
              <w:bottom w:val="single" w:sz="8" w:space="0" w:color="auto"/>
              <w:right w:val="single" w:sz="8" w:space="0" w:color="auto"/>
            </w:tcBorders>
            <w:vAlign w:val="center"/>
            <w:hideMark/>
          </w:tcPr>
          <w:p w14:paraId="43D319B4" w14:textId="77777777" w:rsidR="00182DCE" w:rsidRPr="003C66A0" w:rsidRDefault="00182DCE" w:rsidP="00AE1DED">
            <w:pPr>
              <w:rPr>
                <w:color w:val="000000" w:themeColor="text1"/>
              </w:rPr>
            </w:pPr>
            <w:r w:rsidRPr="003C66A0">
              <w:rPr>
                <w:color w:val="000000" w:themeColor="text1"/>
              </w:rPr>
              <w:t>Not quantitatively analyzed</w:t>
            </w:r>
          </w:p>
        </w:tc>
      </w:tr>
    </w:tbl>
    <w:p w14:paraId="517C630C" w14:textId="0557534C" w:rsidR="008750EF" w:rsidRPr="003C66A0" w:rsidRDefault="008750EF" w:rsidP="00AE1DED">
      <w:pPr>
        <w:rPr>
          <w:rFonts w:eastAsiaTheme="majorEastAsia"/>
          <w:b/>
          <w:bCs/>
          <w:color w:val="000000" w:themeColor="text1"/>
        </w:rPr>
      </w:pPr>
    </w:p>
    <w:p w14:paraId="624225FA" w14:textId="77777777" w:rsidR="00DF613E" w:rsidRPr="003C66A0" w:rsidRDefault="00DF613E" w:rsidP="00AE1DED">
      <w:pPr>
        <w:rPr>
          <w:rFonts w:eastAsiaTheme="majorEastAsia"/>
          <w:b/>
          <w:bCs/>
          <w:color w:val="000000" w:themeColor="text1"/>
        </w:rPr>
      </w:pPr>
      <w:r w:rsidRPr="003C66A0">
        <w:rPr>
          <w:rFonts w:eastAsiaTheme="majorEastAsia"/>
          <w:b/>
          <w:bCs/>
          <w:color w:val="000000" w:themeColor="text1"/>
        </w:rPr>
        <w:t>Assumptions Documentation:</w:t>
      </w:r>
    </w:p>
    <w:p w14:paraId="1EB7E075" w14:textId="77777777" w:rsidR="00DF613E" w:rsidRPr="003C66A0" w:rsidRDefault="00DF613E" w:rsidP="00AE1DED">
      <w:pPr>
        <w:pStyle w:val="ListParagraph"/>
        <w:numPr>
          <w:ilvl w:val="0"/>
          <w:numId w:val="11"/>
        </w:numPr>
        <w:jc w:val="both"/>
        <w:rPr>
          <w:rFonts w:eastAsiaTheme="majorEastAsia"/>
          <w:color w:val="000000" w:themeColor="text1"/>
        </w:rPr>
      </w:pPr>
      <w:r w:rsidRPr="003C66A0">
        <w:rPr>
          <w:rFonts w:eastAsiaTheme="majorEastAsia"/>
          <w:color w:val="000000" w:themeColor="text1"/>
        </w:rPr>
        <w:t>Independence: Positions tracked were from separate wallets/individuals (verified via on-chain analysis)</w:t>
      </w:r>
    </w:p>
    <w:p w14:paraId="0F2AACEB" w14:textId="77777777" w:rsidR="00DF613E" w:rsidRPr="003C66A0" w:rsidRDefault="00DF613E" w:rsidP="00AE1DED">
      <w:pPr>
        <w:pStyle w:val="ListParagraph"/>
        <w:numPr>
          <w:ilvl w:val="0"/>
          <w:numId w:val="11"/>
        </w:numPr>
        <w:jc w:val="both"/>
        <w:rPr>
          <w:rFonts w:eastAsiaTheme="majorEastAsia"/>
          <w:color w:val="000000" w:themeColor="text1"/>
        </w:rPr>
      </w:pPr>
      <w:r w:rsidRPr="003C66A0">
        <w:rPr>
          <w:rFonts w:eastAsiaTheme="majorEastAsia"/>
          <w:color w:val="000000" w:themeColor="text1"/>
        </w:rPr>
        <w:t>Measurement Error: Assumed minimal for on-chain data, acknowledged for self-reported interview data</w:t>
      </w:r>
    </w:p>
    <w:p w14:paraId="733860A0" w14:textId="77777777" w:rsidR="00DF613E" w:rsidRPr="003C66A0" w:rsidRDefault="00DF613E" w:rsidP="00AE1DED">
      <w:pPr>
        <w:pStyle w:val="ListParagraph"/>
        <w:numPr>
          <w:ilvl w:val="0"/>
          <w:numId w:val="11"/>
        </w:numPr>
        <w:jc w:val="both"/>
        <w:rPr>
          <w:rFonts w:eastAsiaTheme="majorEastAsia"/>
          <w:color w:val="000000" w:themeColor="text1"/>
        </w:rPr>
      </w:pPr>
      <w:r w:rsidRPr="003C66A0">
        <w:rPr>
          <w:rFonts w:eastAsiaTheme="majorEastAsia"/>
          <w:color w:val="000000" w:themeColor="text1"/>
        </w:rPr>
        <w:t>Temporal Stability: Tested via rolling window analysis; relationships stable within 6-month windows</w:t>
      </w:r>
    </w:p>
    <w:p w14:paraId="54DFCF3D" w14:textId="77777777" w:rsidR="00DF613E" w:rsidRPr="003C66A0" w:rsidRDefault="00DF613E" w:rsidP="00AE1DED">
      <w:pPr>
        <w:pStyle w:val="ListParagraph"/>
        <w:numPr>
          <w:ilvl w:val="0"/>
          <w:numId w:val="11"/>
        </w:numPr>
        <w:jc w:val="both"/>
        <w:rPr>
          <w:rFonts w:eastAsiaTheme="majorEastAsia"/>
          <w:color w:val="000000" w:themeColor="text1"/>
        </w:rPr>
      </w:pPr>
      <w:r w:rsidRPr="003C66A0">
        <w:rPr>
          <w:rFonts w:eastAsiaTheme="majorEastAsia"/>
          <w:color w:val="000000" w:themeColor="text1"/>
        </w:rPr>
        <w:t>External Validity: Limited to observed market conditions (2020-2024); generalization caveats noted</w:t>
      </w:r>
    </w:p>
    <w:p w14:paraId="414B4998" w14:textId="77777777" w:rsidR="00D15AF2" w:rsidRPr="003C66A0" w:rsidRDefault="00D15AF2" w:rsidP="00AE1DED">
      <w:pPr>
        <w:jc w:val="both"/>
        <w:rPr>
          <w:rFonts w:eastAsiaTheme="majorEastAsia"/>
          <w:color w:val="000000" w:themeColor="text1"/>
        </w:rPr>
      </w:pPr>
    </w:p>
    <w:p w14:paraId="0B749249" w14:textId="1CED362E" w:rsidR="00D15AF2" w:rsidRPr="003C66A0" w:rsidRDefault="00D15AF2" w:rsidP="00AE1DED">
      <w:pPr>
        <w:jc w:val="both"/>
        <w:rPr>
          <w:rFonts w:eastAsiaTheme="majorEastAsia"/>
          <w:i/>
          <w:iCs/>
          <w:color w:val="000000" w:themeColor="text1"/>
        </w:rPr>
      </w:pPr>
      <w:r w:rsidRPr="003C66A0">
        <w:rPr>
          <w:rFonts w:eastAsiaTheme="majorEastAsia"/>
          <w:i/>
          <w:iCs/>
          <w:color w:val="000000" w:themeColor="text1"/>
        </w:rPr>
        <w:t xml:space="preserve">Interpretive Note: The acknowledged violations of independence (temporal clustering), stationarity (regime changes), and external validity (extraordinary period) mean findings should be interpreted as documenting what happened during 2020-2024 rather than predicting future </w:t>
      </w:r>
      <w:r w:rsidRPr="003C66A0">
        <w:rPr>
          <w:rFonts w:eastAsiaTheme="majorEastAsia"/>
          <w:i/>
          <w:iCs/>
          <w:color w:val="000000" w:themeColor="text1"/>
        </w:rPr>
        <w:lastRenderedPageBreak/>
        <w:t>outcomes—the patterns and relationships identified may persist, but specific thresholds and percentages will likely change.</w:t>
      </w:r>
    </w:p>
    <w:p w14:paraId="6081712B" w14:textId="61FD679A" w:rsidR="00DD62E0" w:rsidRPr="003C66A0" w:rsidRDefault="00DD62E0" w:rsidP="00AE1DED">
      <w:pPr>
        <w:rPr>
          <w:rFonts w:eastAsiaTheme="majorEastAsia"/>
          <w:b/>
          <w:bCs/>
          <w:color w:val="000000" w:themeColor="text1"/>
        </w:rPr>
      </w:pPr>
      <w:r w:rsidRPr="003C66A0">
        <w:rPr>
          <w:rFonts w:eastAsiaTheme="majorEastAsia"/>
          <w:b/>
          <w:bCs/>
          <w:color w:val="000000" w:themeColor="text1"/>
        </w:rPr>
        <w:br w:type="page"/>
      </w:r>
    </w:p>
    <w:p w14:paraId="12C663F3" w14:textId="58615A28" w:rsidR="00DD62E0" w:rsidRPr="003C66A0" w:rsidRDefault="00DD62E0" w:rsidP="00AE1DED">
      <w:pPr>
        <w:pStyle w:val="Heading2"/>
        <w:rPr>
          <w:rFonts w:eastAsiaTheme="majorEastAsia"/>
        </w:rPr>
      </w:pPr>
      <w:bookmarkStart w:id="271" w:name="_Toc214722077"/>
      <w:r w:rsidRPr="003C66A0">
        <w:rPr>
          <w:rFonts w:eastAsiaTheme="majorEastAsia"/>
        </w:rPr>
        <w:lastRenderedPageBreak/>
        <w:t xml:space="preserve">APPENDIX </w:t>
      </w:r>
      <w:r w:rsidR="00E26ED1" w:rsidRPr="003C66A0">
        <w:rPr>
          <w:rFonts w:eastAsiaTheme="majorEastAsia"/>
        </w:rPr>
        <w:t>D</w:t>
      </w:r>
      <w:r w:rsidRPr="003C66A0">
        <w:rPr>
          <w:rFonts w:eastAsiaTheme="majorEastAsia"/>
        </w:rPr>
        <w:t>: Detailed Methodological Documentation</w:t>
      </w:r>
      <w:bookmarkEnd w:id="271"/>
    </w:p>
    <w:p w14:paraId="6128CF9D" w14:textId="77777777" w:rsidR="00D77017" w:rsidRDefault="00D77017" w:rsidP="00AE1DED">
      <w:pPr>
        <w:rPr>
          <w:rFonts w:eastAsiaTheme="majorEastAsia"/>
          <w:b/>
          <w:bCs/>
          <w:color w:val="000000" w:themeColor="text1"/>
        </w:rPr>
      </w:pPr>
    </w:p>
    <w:p w14:paraId="7A96A21E" w14:textId="2746C60E" w:rsidR="000B6F69" w:rsidRDefault="00DD62E0" w:rsidP="00AE1DED">
      <w:pPr>
        <w:pStyle w:val="Heading3"/>
        <w:rPr>
          <w:rFonts w:eastAsiaTheme="majorEastAsia"/>
        </w:rPr>
      </w:pPr>
      <w:bookmarkStart w:id="272" w:name="_Toc214722078"/>
      <w:r w:rsidRPr="003C66A0">
        <w:rPr>
          <w:rFonts w:eastAsiaTheme="majorEastAsia"/>
        </w:rPr>
        <w:t xml:space="preserve">Table </w:t>
      </w:r>
      <w:r w:rsidR="00E26ED1" w:rsidRPr="003C66A0">
        <w:rPr>
          <w:rFonts w:eastAsiaTheme="majorEastAsia"/>
        </w:rPr>
        <w:t>D</w:t>
      </w:r>
      <w:r w:rsidRPr="003C66A0">
        <w:rPr>
          <w:rFonts w:eastAsiaTheme="majorEastAsia"/>
        </w:rPr>
        <w:t>.1: Mixed Methods Research Design Matrix</w:t>
      </w:r>
      <w:bookmarkEnd w:id="272"/>
    </w:p>
    <w:p w14:paraId="685B5F07" w14:textId="77777777" w:rsidR="004E10FD" w:rsidRPr="004E10FD" w:rsidRDefault="004E10FD" w:rsidP="00AE1DED">
      <w:pPr>
        <w:rPr>
          <w:rFonts w:eastAsiaTheme="majorEastAsia"/>
        </w:rPr>
      </w:pPr>
    </w:p>
    <w:tbl>
      <w:tblPr>
        <w:tblW w:w="9350" w:type="dxa"/>
        <w:tblLook w:val="04A0" w:firstRow="1" w:lastRow="0" w:firstColumn="1" w:lastColumn="0" w:noHBand="0" w:noVBand="1"/>
      </w:tblPr>
      <w:tblGrid>
        <w:gridCol w:w="1417"/>
        <w:gridCol w:w="2263"/>
        <w:gridCol w:w="2970"/>
        <w:gridCol w:w="2700"/>
      </w:tblGrid>
      <w:tr w:rsidR="00FC334A" w:rsidRPr="003C66A0" w14:paraId="4731EFB7" w14:textId="77777777" w:rsidTr="009761F4">
        <w:trPr>
          <w:trHeight w:val="360"/>
        </w:trPr>
        <w:tc>
          <w:tcPr>
            <w:tcW w:w="1417"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7EA4013A" w14:textId="77777777" w:rsidR="00C6237E" w:rsidRPr="003C66A0" w:rsidRDefault="00C6237E" w:rsidP="00AE1DED">
            <w:pPr>
              <w:jc w:val="center"/>
              <w:rPr>
                <w:b/>
                <w:bCs/>
                <w:color w:val="000000" w:themeColor="text1"/>
              </w:rPr>
            </w:pPr>
            <w:r w:rsidRPr="003C66A0">
              <w:rPr>
                <w:b/>
                <w:bCs/>
                <w:color w:val="000000" w:themeColor="text1"/>
              </w:rPr>
              <w:t>Component</w:t>
            </w:r>
          </w:p>
        </w:tc>
        <w:tc>
          <w:tcPr>
            <w:tcW w:w="2263" w:type="dxa"/>
            <w:tcBorders>
              <w:top w:val="single" w:sz="8" w:space="0" w:color="auto"/>
              <w:left w:val="nil"/>
              <w:bottom w:val="single" w:sz="8" w:space="0" w:color="auto"/>
              <w:right w:val="single" w:sz="4" w:space="0" w:color="auto"/>
            </w:tcBorders>
            <w:shd w:val="clear" w:color="000000" w:fill="D9D9D9"/>
            <w:vAlign w:val="center"/>
            <w:hideMark/>
          </w:tcPr>
          <w:p w14:paraId="74CFFDA3" w14:textId="77777777" w:rsidR="00C6237E" w:rsidRPr="003C66A0" w:rsidRDefault="00C6237E" w:rsidP="00AE1DED">
            <w:pPr>
              <w:jc w:val="center"/>
              <w:rPr>
                <w:b/>
                <w:bCs/>
                <w:color w:val="000000" w:themeColor="text1"/>
              </w:rPr>
            </w:pPr>
            <w:r w:rsidRPr="003C66A0">
              <w:rPr>
                <w:b/>
                <w:bCs/>
                <w:color w:val="000000" w:themeColor="text1"/>
              </w:rPr>
              <w:t>Quantitative Strand</w:t>
            </w:r>
          </w:p>
        </w:tc>
        <w:tc>
          <w:tcPr>
            <w:tcW w:w="2970" w:type="dxa"/>
            <w:tcBorders>
              <w:top w:val="single" w:sz="8" w:space="0" w:color="auto"/>
              <w:left w:val="nil"/>
              <w:bottom w:val="single" w:sz="8" w:space="0" w:color="auto"/>
              <w:right w:val="single" w:sz="4" w:space="0" w:color="auto"/>
            </w:tcBorders>
            <w:shd w:val="clear" w:color="000000" w:fill="D9D9D9"/>
            <w:vAlign w:val="center"/>
            <w:hideMark/>
          </w:tcPr>
          <w:p w14:paraId="6A4241E2" w14:textId="77777777" w:rsidR="00C6237E" w:rsidRPr="003C66A0" w:rsidRDefault="00C6237E" w:rsidP="00AE1DED">
            <w:pPr>
              <w:jc w:val="center"/>
              <w:rPr>
                <w:b/>
                <w:bCs/>
                <w:color w:val="000000" w:themeColor="text1"/>
              </w:rPr>
            </w:pPr>
            <w:r w:rsidRPr="003C66A0">
              <w:rPr>
                <w:b/>
                <w:bCs/>
                <w:color w:val="000000" w:themeColor="text1"/>
              </w:rPr>
              <w:t>Qualitative Strand</w:t>
            </w:r>
          </w:p>
        </w:tc>
        <w:tc>
          <w:tcPr>
            <w:tcW w:w="2700" w:type="dxa"/>
            <w:tcBorders>
              <w:top w:val="single" w:sz="8" w:space="0" w:color="auto"/>
              <w:left w:val="nil"/>
              <w:bottom w:val="single" w:sz="8" w:space="0" w:color="auto"/>
              <w:right w:val="single" w:sz="8" w:space="0" w:color="auto"/>
            </w:tcBorders>
            <w:shd w:val="clear" w:color="000000" w:fill="D9D9D9"/>
            <w:vAlign w:val="center"/>
            <w:hideMark/>
          </w:tcPr>
          <w:p w14:paraId="0AE67C0F" w14:textId="77777777" w:rsidR="00C6237E" w:rsidRPr="003C66A0" w:rsidRDefault="00C6237E" w:rsidP="00AE1DED">
            <w:pPr>
              <w:jc w:val="center"/>
              <w:rPr>
                <w:b/>
                <w:bCs/>
                <w:color w:val="000000" w:themeColor="text1"/>
              </w:rPr>
            </w:pPr>
            <w:r w:rsidRPr="003C66A0">
              <w:rPr>
                <w:b/>
                <w:bCs/>
                <w:color w:val="000000" w:themeColor="text1"/>
              </w:rPr>
              <w:t>Integration Points</w:t>
            </w:r>
          </w:p>
        </w:tc>
      </w:tr>
      <w:tr w:rsidR="00FC334A" w:rsidRPr="003C66A0" w14:paraId="06D9F469" w14:textId="77777777" w:rsidTr="009761F4">
        <w:trPr>
          <w:trHeight w:val="520"/>
        </w:trPr>
        <w:tc>
          <w:tcPr>
            <w:tcW w:w="1417" w:type="dxa"/>
            <w:tcBorders>
              <w:top w:val="nil"/>
              <w:left w:val="single" w:sz="8" w:space="0" w:color="auto"/>
              <w:bottom w:val="single" w:sz="4" w:space="0" w:color="auto"/>
              <w:right w:val="single" w:sz="8" w:space="0" w:color="auto"/>
            </w:tcBorders>
            <w:shd w:val="clear" w:color="000000" w:fill="D9D9D9"/>
            <w:vAlign w:val="center"/>
            <w:hideMark/>
          </w:tcPr>
          <w:p w14:paraId="61C61605" w14:textId="77777777" w:rsidR="00C6237E" w:rsidRPr="003C66A0" w:rsidRDefault="00C6237E" w:rsidP="00AE1DED">
            <w:pPr>
              <w:rPr>
                <w:b/>
                <w:bCs/>
                <w:color w:val="000000" w:themeColor="text1"/>
              </w:rPr>
            </w:pPr>
            <w:r w:rsidRPr="003C66A0">
              <w:rPr>
                <w:b/>
                <w:bCs/>
                <w:color w:val="000000" w:themeColor="text1"/>
              </w:rPr>
              <w:t>Purpose</w:t>
            </w:r>
          </w:p>
        </w:tc>
        <w:tc>
          <w:tcPr>
            <w:tcW w:w="2263" w:type="dxa"/>
            <w:tcBorders>
              <w:top w:val="nil"/>
              <w:left w:val="nil"/>
              <w:bottom w:val="single" w:sz="4" w:space="0" w:color="auto"/>
              <w:right w:val="single" w:sz="4" w:space="0" w:color="auto"/>
            </w:tcBorders>
            <w:vAlign w:val="center"/>
            <w:hideMark/>
          </w:tcPr>
          <w:p w14:paraId="0747B628" w14:textId="77777777" w:rsidR="00C6237E" w:rsidRPr="003C66A0" w:rsidRDefault="00C6237E" w:rsidP="00AE1DED">
            <w:pPr>
              <w:rPr>
                <w:color w:val="000000" w:themeColor="text1"/>
              </w:rPr>
            </w:pPr>
            <w:r w:rsidRPr="003C66A0">
              <w:rPr>
                <w:color w:val="000000" w:themeColor="text1"/>
              </w:rPr>
              <w:t>Measure performance, identify patterns</w:t>
            </w:r>
          </w:p>
        </w:tc>
        <w:tc>
          <w:tcPr>
            <w:tcW w:w="2970" w:type="dxa"/>
            <w:tcBorders>
              <w:top w:val="nil"/>
              <w:left w:val="nil"/>
              <w:bottom w:val="single" w:sz="4" w:space="0" w:color="auto"/>
              <w:right w:val="single" w:sz="4" w:space="0" w:color="auto"/>
            </w:tcBorders>
            <w:vAlign w:val="center"/>
            <w:hideMark/>
          </w:tcPr>
          <w:p w14:paraId="6523C511" w14:textId="77777777" w:rsidR="00C6237E" w:rsidRPr="003C66A0" w:rsidRDefault="00C6237E" w:rsidP="00AE1DED">
            <w:pPr>
              <w:rPr>
                <w:color w:val="000000" w:themeColor="text1"/>
              </w:rPr>
            </w:pPr>
            <w:r w:rsidRPr="003C66A0">
              <w:rPr>
                <w:color w:val="000000" w:themeColor="text1"/>
              </w:rPr>
              <w:t>Understand decision-making, reveal hidden factors</w:t>
            </w:r>
          </w:p>
        </w:tc>
        <w:tc>
          <w:tcPr>
            <w:tcW w:w="2700" w:type="dxa"/>
            <w:tcBorders>
              <w:top w:val="nil"/>
              <w:left w:val="nil"/>
              <w:bottom w:val="single" w:sz="4" w:space="0" w:color="auto"/>
              <w:right w:val="single" w:sz="8" w:space="0" w:color="auto"/>
            </w:tcBorders>
            <w:vAlign w:val="center"/>
            <w:hideMark/>
          </w:tcPr>
          <w:p w14:paraId="284C0148" w14:textId="77777777" w:rsidR="00C6237E" w:rsidRPr="003C66A0" w:rsidRDefault="00C6237E" w:rsidP="00AE1DED">
            <w:pPr>
              <w:rPr>
                <w:color w:val="000000" w:themeColor="text1"/>
              </w:rPr>
            </w:pPr>
            <w:r w:rsidRPr="003C66A0">
              <w:rPr>
                <w:color w:val="000000" w:themeColor="text1"/>
              </w:rPr>
              <w:t>Explain quantitative patterns through lived experience</w:t>
            </w:r>
          </w:p>
        </w:tc>
      </w:tr>
      <w:tr w:rsidR="00FC334A" w:rsidRPr="003C66A0" w14:paraId="2566A6B0" w14:textId="77777777" w:rsidTr="009761F4">
        <w:trPr>
          <w:trHeight w:val="340"/>
        </w:trPr>
        <w:tc>
          <w:tcPr>
            <w:tcW w:w="1417" w:type="dxa"/>
            <w:tcBorders>
              <w:top w:val="nil"/>
              <w:left w:val="single" w:sz="8" w:space="0" w:color="auto"/>
              <w:bottom w:val="single" w:sz="4" w:space="0" w:color="auto"/>
              <w:right w:val="single" w:sz="8" w:space="0" w:color="auto"/>
            </w:tcBorders>
            <w:shd w:val="clear" w:color="000000" w:fill="D9D9D9"/>
            <w:vAlign w:val="center"/>
            <w:hideMark/>
          </w:tcPr>
          <w:p w14:paraId="72821E08" w14:textId="77777777" w:rsidR="00C6237E" w:rsidRPr="003C66A0" w:rsidRDefault="00C6237E" w:rsidP="00AE1DED">
            <w:pPr>
              <w:rPr>
                <w:b/>
                <w:bCs/>
                <w:color w:val="000000" w:themeColor="text1"/>
              </w:rPr>
            </w:pPr>
            <w:r w:rsidRPr="003C66A0">
              <w:rPr>
                <w:b/>
                <w:bCs/>
                <w:color w:val="000000" w:themeColor="text1"/>
              </w:rPr>
              <w:t>Priority</w:t>
            </w:r>
          </w:p>
        </w:tc>
        <w:tc>
          <w:tcPr>
            <w:tcW w:w="2263" w:type="dxa"/>
            <w:tcBorders>
              <w:top w:val="nil"/>
              <w:left w:val="nil"/>
              <w:bottom w:val="single" w:sz="4" w:space="0" w:color="auto"/>
              <w:right w:val="single" w:sz="4" w:space="0" w:color="auto"/>
            </w:tcBorders>
            <w:vAlign w:val="center"/>
            <w:hideMark/>
          </w:tcPr>
          <w:p w14:paraId="04C71A76" w14:textId="77777777" w:rsidR="00C6237E" w:rsidRPr="003C66A0" w:rsidRDefault="00C6237E" w:rsidP="00AE1DED">
            <w:pPr>
              <w:rPr>
                <w:color w:val="000000" w:themeColor="text1"/>
              </w:rPr>
            </w:pPr>
            <w:r w:rsidRPr="003C66A0">
              <w:rPr>
                <w:color w:val="000000" w:themeColor="text1"/>
              </w:rPr>
              <w:t>Primary (70%)</w:t>
            </w:r>
          </w:p>
        </w:tc>
        <w:tc>
          <w:tcPr>
            <w:tcW w:w="2970" w:type="dxa"/>
            <w:tcBorders>
              <w:top w:val="nil"/>
              <w:left w:val="nil"/>
              <w:bottom w:val="single" w:sz="4" w:space="0" w:color="auto"/>
              <w:right w:val="single" w:sz="4" w:space="0" w:color="auto"/>
            </w:tcBorders>
            <w:vAlign w:val="center"/>
            <w:hideMark/>
          </w:tcPr>
          <w:p w14:paraId="654ED697" w14:textId="77777777" w:rsidR="00C6237E" w:rsidRPr="003C66A0" w:rsidRDefault="00C6237E" w:rsidP="00AE1DED">
            <w:pPr>
              <w:rPr>
                <w:color w:val="000000" w:themeColor="text1"/>
              </w:rPr>
            </w:pPr>
            <w:r w:rsidRPr="003C66A0">
              <w:rPr>
                <w:color w:val="000000" w:themeColor="text1"/>
              </w:rPr>
              <w:t>Secondary (30%)</w:t>
            </w:r>
          </w:p>
        </w:tc>
        <w:tc>
          <w:tcPr>
            <w:tcW w:w="2700" w:type="dxa"/>
            <w:tcBorders>
              <w:top w:val="nil"/>
              <w:left w:val="nil"/>
              <w:bottom w:val="single" w:sz="4" w:space="0" w:color="auto"/>
              <w:right w:val="single" w:sz="8" w:space="0" w:color="auto"/>
            </w:tcBorders>
            <w:vAlign w:val="center"/>
            <w:hideMark/>
          </w:tcPr>
          <w:p w14:paraId="1C8B41C3" w14:textId="77777777" w:rsidR="00C6237E" w:rsidRPr="003C66A0" w:rsidRDefault="00C6237E" w:rsidP="00AE1DED">
            <w:pPr>
              <w:rPr>
                <w:color w:val="000000" w:themeColor="text1"/>
              </w:rPr>
            </w:pPr>
            <w:r w:rsidRPr="003C66A0">
              <w:rPr>
                <w:color w:val="000000" w:themeColor="text1"/>
              </w:rPr>
              <w:t>Equal at interpretation</w:t>
            </w:r>
          </w:p>
        </w:tc>
      </w:tr>
      <w:tr w:rsidR="00FC334A" w:rsidRPr="003C66A0" w14:paraId="7B0B6E34" w14:textId="77777777" w:rsidTr="009761F4">
        <w:trPr>
          <w:trHeight w:val="340"/>
        </w:trPr>
        <w:tc>
          <w:tcPr>
            <w:tcW w:w="1417" w:type="dxa"/>
            <w:tcBorders>
              <w:top w:val="nil"/>
              <w:left w:val="single" w:sz="8" w:space="0" w:color="auto"/>
              <w:bottom w:val="single" w:sz="4" w:space="0" w:color="auto"/>
              <w:right w:val="single" w:sz="8" w:space="0" w:color="auto"/>
            </w:tcBorders>
            <w:shd w:val="clear" w:color="000000" w:fill="D9D9D9"/>
            <w:vAlign w:val="center"/>
            <w:hideMark/>
          </w:tcPr>
          <w:p w14:paraId="6E158766" w14:textId="77777777" w:rsidR="00C6237E" w:rsidRPr="003C66A0" w:rsidRDefault="00C6237E" w:rsidP="00AE1DED">
            <w:pPr>
              <w:rPr>
                <w:b/>
                <w:bCs/>
                <w:color w:val="000000" w:themeColor="text1"/>
              </w:rPr>
            </w:pPr>
            <w:r w:rsidRPr="003C66A0">
              <w:rPr>
                <w:b/>
                <w:bCs/>
                <w:color w:val="000000" w:themeColor="text1"/>
              </w:rPr>
              <w:t>Timing</w:t>
            </w:r>
          </w:p>
        </w:tc>
        <w:tc>
          <w:tcPr>
            <w:tcW w:w="2263" w:type="dxa"/>
            <w:tcBorders>
              <w:top w:val="nil"/>
              <w:left w:val="nil"/>
              <w:bottom w:val="single" w:sz="4" w:space="0" w:color="auto"/>
              <w:right w:val="single" w:sz="4" w:space="0" w:color="auto"/>
            </w:tcBorders>
            <w:vAlign w:val="center"/>
            <w:hideMark/>
          </w:tcPr>
          <w:p w14:paraId="4AF84F9C" w14:textId="77777777" w:rsidR="00C6237E" w:rsidRPr="003C66A0" w:rsidRDefault="00C6237E" w:rsidP="00AE1DED">
            <w:pPr>
              <w:rPr>
                <w:color w:val="000000" w:themeColor="text1"/>
              </w:rPr>
            </w:pPr>
            <w:r w:rsidRPr="003C66A0">
              <w:rPr>
                <w:color w:val="000000" w:themeColor="text1"/>
              </w:rPr>
              <w:t>January 2020 - December 2024</w:t>
            </w:r>
          </w:p>
        </w:tc>
        <w:tc>
          <w:tcPr>
            <w:tcW w:w="2970" w:type="dxa"/>
            <w:tcBorders>
              <w:top w:val="nil"/>
              <w:left w:val="nil"/>
              <w:bottom w:val="single" w:sz="4" w:space="0" w:color="auto"/>
              <w:right w:val="single" w:sz="4" w:space="0" w:color="auto"/>
            </w:tcBorders>
            <w:vAlign w:val="center"/>
            <w:hideMark/>
          </w:tcPr>
          <w:p w14:paraId="331301BE" w14:textId="77777777" w:rsidR="00C6237E" w:rsidRPr="003C66A0" w:rsidRDefault="00C6237E" w:rsidP="00AE1DED">
            <w:pPr>
              <w:rPr>
                <w:color w:val="000000" w:themeColor="text1"/>
              </w:rPr>
            </w:pPr>
            <w:r w:rsidRPr="003C66A0">
              <w:rPr>
                <w:color w:val="000000" w:themeColor="text1"/>
              </w:rPr>
              <w:t>March 2023 - March 2024</w:t>
            </w:r>
          </w:p>
        </w:tc>
        <w:tc>
          <w:tcPr>
            <w:tcW w:w="2700" w:type="dxa"/>
            <w:tcBorders>
              <w:top w:val="nil"/>
              <w:left w:val="nil"/>
              <w:bottom w:val="single" w:sz="4" w:space="0" w:color="auto"/>
              <w:right w:val="single" w:sz="8" w:space="0" w:color="auto"/>
            </w:tcBorders>
            <w:vAlign w:val="center"/>
            <w:hideMark/>
          </w:tcPr>
          <w:p w14:paraId="7B36A957" w14:textId="77777777" w:rsidR="00C6237E" w:rsidRPr="003C66A0" w:rsidRDefault="00C6237E" w:rsidP="00AE1DED">
            <w:pPr>
              <w:rPr>
                <w:color w:val="000000" w:themeColor="text1"/>
              </w:rPr>
            </w:pPr>
            <w:r w:rsidRPr="003C66A0">
              <w:rPr>
                <w:color w:val="000000" w:themeColor="text1"/>
              </w:rPr>
              <w:t>Concurrent with overlap</w:t>
            </w:r>
          </w:p>
        </w:tc>
      </w:tr>
      <w:tr w:rsidR="00FC334A" w:rsidRPr="003C66A0" w14:paraId="5477DB1C" w14:textId="77777777" w:rsidTr="009761F4">
        <w:trPr>
          <w:trHeight w:val="340"/>
        </w:trPr>
        <w:tc>
          <w:tcPr>
            <w:tcW w:w="1417" w:type="dxa"/>
            <w:tcBorders>
              <w:top w:val="nil"/>
              <w:left w:val="single" w:sz="8" w:space="0" w:color="auto"/>
              <w:bottom w:val="single" w:sz="4" w:space="0" w:color="auto"/>
              <w:right w:val="single" w:sz="8" w:space="0" w:color="auto"/>
            </w:tcBorders>
            <w:shd w:val="clear" w:color="000000" w:fill="D9D9D9"/>
            <w:vAlign w:val="center"/>
            <w:hideMark/>
          </w:tcPr>
          <w:p w14:paraId="008FCDFC" w14:textId="77777777" w:rsidR="00C6237E" w:rsidRPr="003C66A0" w:rsidRDefault="00C6237E" w:rsidP="00AE1DED">
            <w:pPr>
              <w:rPr>
                <w:b/>
                <w:bCs/>
                <w:color w:val="000000" w:themeColor="text1"/>
              </w:rPr>
            </w:pPr>
            <w:r w:rsidRPr="003C66A0">
              <w:rPr>
                <w:b/>
                <w:bCs/>
                <w:color w:val="000000" w:themeColor="text1"/>
              </w:rPr>
              <w:t>Data Sources</w:t>
            </w:r>
          </w:p>
        </w:tc>
        <w:tc>
          <w:tcPr>
            <w:tcW w:w="2263" w:type="dxa"/>
            <w:tcBorders>
              <w:top w:val="nil"/>
              <w:left w:val="nil"/>
              <w:bottom w:val="single" w:sz="4" w:space="0" w:color="auto"/>
              <w:right w:val="single" w:sz="4" w:space="0" w:color="auto"/>
            </w:tcBorders>
            <w:vAlign w:val="center"/>
            <w:hideMark/>
          </w:tcPr>
          <w:p w14:paraId="27DDF139" w14:textId="77777777" w:rsidR="00C6237E" w:rsidRPr="003C66A0" w:rsidRDefault="00C6237E" w:rsidP="00AE1DED">
            <w:pPr>
              <w:rPr>
                <w:color w:val="000000" w:themeColor="text1"/>
              </w:rPr>
            </w:pPr>
            <w:r w:rsidRPr="003C66A0">
              <w:rPr>
                <w:color w:val="000000" w:themeColor="text1"/>
              </w:rPr>
              <w:t>On-chain transactions, position tracking</w:t>
            </w:r>
          </w:p>
        </w:tc>
        <w:tc>
          <w:tcPr>
            <w:tcW w:w="2970" w:type="dxa"/>
            <w:tcBorders>
              <w:top w:val="nil"/>
              <w:left w:val="nil"/>
              <w:bottom w:val="single" w:sz="4" w:space="0" w:color="auto"/>
              <w:right w:val="single" w:sz="4" w:space="0" w:color="auto"/>
            </w:tcBorders>
            <w:vAlign w:val="center"/>
            <w:hideMark/>
          </w:tcPr>
          <w:p w14:paraId="087BE5CA" w14:textId="77777777" w:rsidR="00C6237E" w:rsidRPr="003C66A0" w:rsidRDefault="00C6237E" w:rsidP="00AE1DED">
            <w:pPr>
              <w:rPr>
                <w:color w:val="000000" w:themeColor="text1"/>
              </w:rPr>
            </w:pPr>
            <w:r w:rsidRPr="003C66A0">
              <w:rPr>
                <w:color w:val="000000" w:themeColor="text1"/>
              </w:rPr>
              <w:t>Semi-structured interviews, field notes</w:t>
            </w:r>
          </w:p>
        </w:tc>
        <w:tc>
          <w:tcPr>
            <w:tcW w:w="2700" w:type="dxa"/>
            <w:tcBorders>
              <w:top w:val="nil"/>
              <w:left w:val="nil"/>
              <w:bottom w:val="single" w:sz="4" w:space="0" w:color="auto"/>
              <w:right w:val="single" w:sz="8" w:space="0" w:color="auto"/>
            </w:tcBorders>
            <w:vAlign w:val="center"/>
            <w:hideMark/>
          </w:tcPr>
          <w:p w14:paraId="142B1957" w14:textId="77777777" w:rsidR="00C6237E" w:rsidRPr="003C66A0" w:rsidRDefault="00C6237E" w:rsidP="00AE1DED">
            <w:pPr>
              <w:rPr>
                <w:color w:val="000000" w:themeColor="text1"/>
              </w:rPr>
            </w:pPr>
            <w:r w:rsidRPr="003C66A0">
              <w:rPr>
                <w:color w:val="000000" w:themeColor="text1"/>
              </w:rPr>
              <w:t>Triangulation at analysis</w:t>
            </w:r>
          </w:p>
        </w:tc>
      </w:tr>
      <w:tr w:rsidR="00FC334A" w:rsidRPr="003C66A0" w14:paraId="039F84C7" w14:textId="77777777" w:rsidTr="009761F4">
        <w:trPr>
          <w:trHeight w:val="360"/>
        </w:trPr>
        <w:tc>
          <w:tcPr>
            <w:tcW w:w="1417" w:type="dxa"/>
            <w:tcBorders>
              <w:top w:val="nil"/>
              <w:left w:val="single" w:sz="8" w:space="0" w:color="auto"/>
              <w:bottom w:val="single" w:sz="8" w:space="0" w:color="auto"/>
              <w:right w:val="single" w:sz="8" w:space="0" w:color="auto"/>
            </w:tcBorders>
            <w:shd w:val="clear" w:color="000000" w:fill="D9D9D9"/>
            <w:vAlign w:val="center"/>
            <w:hideMark/>
          </w:tcPr>
          <w:p w14:paraId="151DA1B8" w14:textId="77777777" w:rsidR="00C6237E" w:rsidRPr="003C66A0" w:rsidRDefault="00C6237E" w:rsidP="00AE1DED">
            <w:pPr>
              <w:rPr>
                <w:b/>
                <w:bCs/>
                <w:color w:val="000000" w:themeColor="text1"/>
              </w:rPr>
            </w:pPr>
            <w:r w:rsidRPr="003C66A0">
              <w:rPr>
                <w:b/>
                <w:bCs/>
                <w:color w:val="000000" w:themeColor="text1"/>
              </w:rPr>
              <w:t>Analysis</w:t>
            </w:r>
          </w:p>
        </w:tc>
        <w:tc>
          <w:tcPr>
            <w:tcW w:w="2263" w:type="dxa"/>
            <w:tcBorders>
              <w:top w:val="nil"/>
              <w:left w:val="nil"/>
              <w:bottom w:val="single" w:sz="8" w:space="0" w:color="auto"/>
              <w:right w:val="single" w:sz="4" w:space="0" w:color="auto"/>
            </w:tcBorders>
            <w:vAlign w:val="center"/>
            <w:hideMark/>
          </w:tcPr>
          <w:p w14:paraId="2CD1D83A" w14:textId="77777777" w:rsidR="00C6237E" w:rsidRPr="003C66A0" w:rsidRDefault="00C6237E" w:rsidP="00AE1DED">
            <w:pPr>
              <w:rPr>
                <w:color w:val="000000" w:themeColor="text1"/>
              </w:rPr>
            </w:pPr>
            <w:r w:rsidRPr="003C66A0">
              <w:rPr>
                <w:color w:val="000000" w:themeColor="text1"/>
              </w:rPr>
              <w:t>Statistical, simulation</w:t>
            </w:r>
          </w:p>
        </w:tc>
        <w:tc>
          <w:tcPr>
            <w:tcW w:w="2970" w:type="dxa"/>
            <w:tcBorders>
              <w:top w:val="nil"/>
              <w:left w:val="nil"/>
              <w:bottom w:val="single" w:sz="8" w:space="0" w:color="auto"/>
              <w:right w:val="single" w:sz="4" w:space="0" w:color="auto"/>
            </w:tcBorders>
            <w:vAlign w:val="center"/>
            <w:hideMark/>
          </w:tcPr>
          <w:p w14:paraId="0960EE62" w14:textId="77777777" w:rsidR="00C6237E" w:rsidRPr="003C66A0" w:rsidRDefault="00C6237E" w:rsidP="00AE1DED">
            <w:pPr>
              <w:rPr>
                <w:color w:val="000000" w:themeColor="text1"/>
              </w:rPr>
            </w:pPr>
            <w:r w:rsidRPr="003C66A0">
              <w:rPr>
                <w:color w:val="000000" w:themeColor="text1"/>
              </w:rPr>
              <w:t>Thematic, narrative</w:t>
            </w:r>
          </w:p>
        </w:tc>
        <w:tc>
          <w:tcPr>
            <w:tcW w:w="2700" w:type="dxa"/>
            <w:tcBorders>
              <w:top w:val="nil"/>
              <w:left w:val="nil"/>
              <w:bottom w:val="single" w:sz="8" w:space="0" w:color="auto"/>
              <w:right w:val="single" w:sz="8" w:space="0" w:color="auto"/>
            </w:tcBorders>
            <w:vAlign w:val="center"/>
            <w:hideMark/>
          </w:tcPr>
          <w:p w14:paraId="66A5D9C0" w14:textId="77777777" w:rsidR="00C6237E" w:rsidRPr="003C66A0" w:rsidRDefault="00C6237E" w:rsidP="00AE1DED">
            <w:pPr>
              <w:rPr>
                <w:color w:val="000000" w:themeColor="text1"/>
              </w:rPr>
            </w:pPr>
            <w:r w:rsidRPr="003C66A0">
              <w:rPr>
                <w:color w:val="000000" w:themeColor="text1"/>
              </w:rPr>
              <w:t>Joint displays, meta-inferences</w:t>
            </w:r>
          </w:p>
        </w:tc>
      </w:tr>
    </w:tbl>
    <w:p w14:paraId="787A451C" w14:textId="07BE1ADD" w:rsidR="00DD62E0" w:rsidRPr="003C66A0" w:rsidRDefault="009565E0" w:rsidP="00AE1DED">
      <w:pPr>
        <w:jc w:val="both"/>
        <w:rPr>
          <w:rFonts w:eastAsiaTheme="majorEastAsia"/>
          <w:i/>
          <w:iCs/>
          <w:color w:val="000000" w:themeColor="text1"/>
        </w:rPr>
      </w:pPr>
      <w:r w:rsidRPr="003C66A0">
        <w:rPr>
          <w:rFonts w:eastAsiaTheme="majorEastAsia"/>
          <w:i/>
          <w:iCs/>
          <w:color w:val="000000" w:themeColor="text1"/>
        </w:rPr>
        <w:t xml:space="preserve">Interpretive Note: </w:t>
      </w:r>
      <w:r w:rsidRPr="009761F4">
        <w:rPr>
          <w:rFonts w:eastAsiaTheme="majorEastAsia"/>
          <w:color w:val="000000" w:themeColor="text1"/>
        </w:rPr>
        <w:t xml:space="preserve">The equal priority (70% quantitative, 30% qualitative) and concurrent timing with overlap enables triangulation where transaction data reveals "what happened" while interviews explain "why it </w:t>
      </w:r>
      <w:proofErr w:type="gramStart"/>
      <w:r w:rsidRPr="009761F4">
        <w:rPr>
          <w:rFonts w:eastAsiaTheme="majorEastAsia"/>
          <w:color w:val="000000" w:themeColor="text1"/>
        </w:rPr>
        <w:t>happened"—</w:t>
      </w:r>
      <w:proofErr w:type="gramEnd"/>
      <w:r w:rsidRPr="009761F4">
        <w:rPr>
          <w:rFonts w:eastAsiaTheme="majorEastAsia"/>
          <w:color w:val="000000" w:themeColor="text1"/>
        </w:rPr>
        <w:t>neither data source alone would have provided complete understanding of the 73% failure rate.</w:t>
      </w:r>
    </w:p>
    <w:p w14:paraId="7D10FE4F" w14:textId="77777777" w:rsidR="00CC43D2" w:rsidRDefault="00CC43D2" w:rsidP="00AE1DED">
      <w:pPr>
        <w:rPr>
          <w:rFonts w:eastAsiaTheme="majorEastAsia"/>
          <w:b/>
          <w:bCs/>
          <w:color w:val="000000" w:themeColor="text1"/>
        </w:rPr>
      </w:pPr>
    </w:p>
    <w:p w14:paraId="3578677D" w14:textId="77777777" w:rsidR="003C44DD" w:rsidRPr="003C66A0" w:rsidRDefault="003C44DD" w:rsidP="00AE1DED">
      <w:pPr>
        <w:rPr>
          <w:rFonts w:eastAsiaTheme="majorEastAsia"/>
          <w:b/>
          <w:bCs/>
          <w:color w:val="000000" w:themeColor="text1"/>
        </w:rPr>
      </w:pPr>
    </w:p>
    <w:p w14:paraId="6385EB7F" w14:textId="1116C09F" w:rsidR="00DD62E0" w:rsidRPr="003C66A0" w:rsidRDefault="00E26ED1" w:rsidP="00AE1DED">
      <w:pPr>
        <w:pStyle w:val="Heading3"/>
        <w:rPr>
          <w:rFonts w:eastAsiaTheme="majorEastAsia"/>
        </w:rPr>
      </w:pPr>
      <w:bookmarkStart w:id="273" w:name="_Toc214722079"/>
      <w:r w:rsidRPr="003C66A0">
        <w:rPr>
          <w:rFonts w:eastAsiaTheme="majorEastAsia"/>
        </w:rPr>
        <w:t>D</w:t>
      </w:r>
      <w:r w:rsidR="00DD62E0" w:rsidRPr="003C66A0">
        <w:rPr>
          <w:rFonts w:eastAsiaTheme="majorEastAsia"/>
        </w:rPr>
        <w:t>.2 Transaction Data Collection Procedures</w:t>
      </w:r>
      <w:bookmarkEnd w:id="273"/>
    </w:p>
    <w:p w14:paraId="23A8616C" w14:textId="59FEE0F6" w:rsidR="00DD62E0" w:rsidRPr="003C66A0" w:rsidRDefault="00E26ED1" w:rsidP="00AE1DED">
      <w:pPr>
        <w:pStyle w:val="Heading4"/>
        <w:rPr>
          <w:rFonts w:eastAsiaTheme="majorEastAsia"/>
        </w:rPr>
      </w:pPr>
      <w:r w:rsidRPr="003C66A0">
        <w:rPr>
          <w:rFonts w:eastAsiaTheme="majorEastAsia"/>
        </w:rPr>
        <w:t>D</w:t>
      </w:r>
      <w:r w:rsidR="00DD62E0" w:rsidRPr="003C66A0">
        <w:rPr>
          <w:rFonts w:eastAsiaTheme="majorEastAsia"/>
        </w:rPr>
        <w:t>.2.1 Data Sources and Access Methods</w:t>
      </w:r>
    </w:p>
    <w:p w14:paraId="3BBAB0FA" w14:textId="77777777" w:rsidR="00DD62E0" w:rsidRPr="003C66A0" w:rsidRDefault="00DD62E0" w:rsidP="00AE1DED">
      <w:pPr>
        <w:pStyle w:val="Heading4"/>
        <w:rPr>
          <w:rFonts w:eastAsiaTheme="majorEastAsia"/>
          <w:bCs/>
          <w:color w:val="000000" w:themeColor="text1"/>
        </w:rPr>
      </w:pPr>
    </w:p>
    <w:p w14:paraId="42E3B56E" w14:textId="77777777" w:rsidR="00DD62E0" w:rsidRPr="003C66A0" w:rsidRDefault="00DD62E0" w:rsidP="00AE1DED">
      <w:pPr>
        <w:rPr>
          <w:rFonts w:eastAsiaTheme="majorEastAsia"/>
          <w:color w:val="000000" w:themeColor="text1"/>
        </w:rPr>
      </w:pPr>
      <w:r w:rsidRPr="003C66A0">
        <w:rPr>
          <w:rFonts w:eastAsiaTheme="majorEastAsia"/>
          <w:color w:val="000000" w:themeColor="text1"/>
        </w:rPr>
        <w:t>Primary Data Pipeline:</w:t>
      </w:r>
    </w:p>
    <w:p w14:paraId="34B422A4" w14:textId="77777777" w:rsidR="00DD62E0" w:rsidRPr="003C66A0" w:rsidRDefault="00DD62E0" w:rsidP="00AE1DED">
      <w:pPr>
        <w:rPr>
          <w:rFonts w:eastAsiaTheme="majorEastAsia"/>
          <w:color w:val="000000" w:themeColor="text1"/>
        </w:rPr>
      </w:pPr>
      <w:r w:rsidRPr="003C66A0">
        <w:rPr>
          <w:rFonts w:eastAsiaTheme="majorEastAsia"/>
          <w:color w:val="000000" w:themeColor="text1"/>
        </w:rPr>
        <w:t>1. The Graph Protocol (Subgraphs)</w:t>
      </w:r>
    </w:p>
    <w:p w14:paraId="7DA1B3B5" w14:textId="0A046D0B" w:rsidR="00DD62E0" w:rsidRPr="003C66A0" w:rsidRDefault="00DD62E0" w:rsidP="00AE1DED">
      <w:pPr>
        <w:pStyle w:val="ListParagraph"/>
        <w:numPr>
          <w:ilvl w:val="0"/>
          <w:numId w:val="29"/>
        </w:numPr>
        <w:outlineLvl w:val="9"/>
        <w:rPr>
          <w:rFonts w:eastAsiaTheme="majorEastAsia"/>
          <w:color w:val="000000" w:themeColor="text1"/>
        </w:rPr>
      </w:pPr>
      <w:r w:rsidRPr="003C66A0">
        <w:rPr>
          <w:rFonts w:eastAsiaTheme="majorEastAsia"/>
          <w:color w:val="000000" w:themeColor="text1"/>
        </w:rPr>
        <w:t>Endpoint: https://api.thegraph.com/subgraphs/name/uniswap/uniswap-v3</w:t>
      </w:r>
    </w:p>
    <w:p w14:paraId="3F78278E" w14:textId="1C801965" w:rsidR="00DD62E0" w:rsidRPr="003C66A0" w:rsidRDefault="00DD62E0" w:rsidP="00AE1DED">
      <w:pPr>
        <w:pStyle w:val="ListParagraph"/>
        <w:numPr>
          <w:ilvl w:val="0"/>
          <w:numId w:val="29"/>
        </w:numPr>
        <w:outlineLvl w:val="9"/>
        <w:rPr>
          <w:rFonts w:eastAsiaTheme="majorEastAsia"/>
          <w:color w:val="000000" w:themeColor="text1"/>
        </w:rPr>
      </w:pPr>
      <w:r w:rsidRPr="003C66A0">
        <w:rPr>
          <w:rFonts w:eastAsiaTheme="majorEastAsia"/>
          <w:color w:val="000000" w:themeColor="text1"/>
        </w:rPr>
        <w:t>Query frequency: Every 6 hours</w:t>
      </w:r>
    </w:p>
    <w:p w14:paraId="7F9255B6" w14:textId="192D7DD7" w:rsidR="00DD62E0" w:rsidRPr="003C66A0" w:rsidRDefault="00DD62E0" w:rsidP="00AE1DED">
      <w:pPr>
        <w:pStyle w:val="ListParagraph"/>
        <w:numPr>
          <w:ilvl w:val="0"/>
          <w:numId w:val="29"/>
        </w:numPr>
        <w:outlineLvl w:val="9"/>
        <w:rPr>
          <w:rFonts w:eastAsiaTheme="majorEastAsia"/>
          <w:color w:val="000000" w:themeColor="text1"/>
        </w:rPr>
      </w:pPr>
      <w:r w:rsidRPr="003C66A0">
        <w:rPr>
          <w:rFonts w:eastAsiaTheme="majorEastAsia"/>
          <w:color w:val="000000" w:themeColor="text1"/>
        </w:rPr>
        <w:t>Data elements: swaps, mints, burns, collects</w:t>
      </w:r>
    </w:p>
    <w:p w14:paraId="2BEF333C" w14:textId="5AE6F479" w:rsidR="00DD62E0" w:rsidRPr="003C66A0" w:rsidRDefault="00DD62E0" w:rsidP="00AE1DED">
      <w:pPr>
        <w:pStyle w:val="ListParagraph"/>
        <w:numPr>
          <w:ilvl w:val="0"/>
          <w:numId w:val="29"/>
        </w:numPr>
        <w:outlineLvl w:val="9"/>
        <w:rPr>
          <w:rFonts w:eastAsiaTheme="majorEastAsia"/>
          <w:color w:val="000000" w:themeColor="text1"/>
        </w:rPr>
      </w:pPr>
      <w:r w:rsidRPr="003C66A0">
        <w:rPr>
          <w:rFonts w:eastAsiaTheme="majorEastAsia"/>
          <w:color w:val="000000" w:themeColor="text1"/>
        </w:rPr>
        <w:t>Total records: 2,134,567 transactions</w:t>
      </w:r>
    </w:p>
    <w:p w14:paraId="128D520D" w14:textId="77777777" w:rsidR="00DD62E0" w:rsidRPr="003C66A0" w:rsidRDefault="00DD62E0" w:rsidP="00AE1DED">
      <w:pPr>
        <w:rPr>
          <w:rFonts w:eastAsiaTheme="majorEastAsia"/>
          <w:color w:val="000000" w:themeColor="text1"/>
        </w:rPr>
      </w:pPr>
    </w:p>
    <w:p w14:paraId="52917A9D" w14:textId="77777777" w:rsidR="00DD62E0" w:rsidRPr="003C66A0" w:rsidRDefault="00DD62E0" w:rsidP="00AE1DED">
      <w:pPr>
        <w:rPr>
          <w:rFonts w:eastAsiaTheme="majorEastAsia"/>
          <w:color w:val="000000" w:themeColor="text1"/>
        </w:rPr>
      </w:pPr>
      <w:r w:rsidRPr="003C66A0">
        <w:rPr>
          <w:rFonts w:eastAsiaTheme="majorEastAsia"/>
          <w:color w:val="000000" w:themeColor="text1"/>
        </w:rPr>
        <w:t>2. Dune Analytics SQL Queries</w:t>
      </w:r>
    </w:p>
    <w:p w14:paraId="3219B439" w14:textId="56CC27AF" w:rsidR="00DD62E0" w:rsidRPr="003C66A0" w:rsidRDefault="00DD62E0" w:rsidP="00AE1DED">
      <w:pPr>
        <w:pStyle w:val="ListParagraph"/>
        <w:numPr>
          <w:ilvl w:val="0"/>
          <w:numId w:val="29"/>
        </w:numPr>
        <w:outlineLvl w:val="9"/>
        <w:rPr>
          <w:rFonts w:eastAsiaTheme="majorEastAsia"/>
          <w:color w:val="000000" w:themeColor="text1"/>
        </w:rPr>
      </w:pPr>
      <w:r w:rsidRPr="003C66A0">
        <w:rPr>
          <w:rFonts w:eastAsiaTheme="majorEastAsia"/>
          <w:color w:val="000000" w:themeColor="text1"/>
        </w:rPr>
        <w:t>Query IDs: [Create custom dashboard with following queries]</w:t>
      </w:r>
    </w:p>
    <w:p w14:paraId="1F23CAB9" w14:textId="517F5751" w:rsidR="00DD62E0" w:rsidRPr="003C66A0" w:rsidRDefault="00DD62E0" w:rsidP="00AE1DED">
      <w:pPr>
        <w:pStyle w:val="ListParagraph"/>
        <w:numPr>
          <w:ilvl w:val="0"/>
          <w:numId w:val="29"/>
        </w:numPr>
        <w:outlineLvl w:val="9"/>
        <w:rPr>
          <w:rFonts w:eastAsiaTheme="majorEastAsia"/>
          <w:color w:val="000000" w:themeColor="text1"/>
        </w:rPr>
      </w:pPr>
      <w:r w:rsidRPr="003C66A0">
        <w:rPr>
          <w:rFonts w:eastAsiaTheme="majorEastAsia"/>
          <w:color w:val="000000" w:themeColor="text1"/>
        </w:rPr>
        <w:t>Query 1: "</w:t>
      </w:r>
      <w:proofErr w:type="spellStart"/>
      <w:r w:rsidRPr="003C66A0">
        <w:rPr>
          <w:rFonts w:eastAsiaTheme="majorEastAsia"/>
          <w:color w:val="000000" w:themeColor="text1"/>
        </w:rPr>
        <w:t>daily_volume_by_pool</w:t>
      </w:r>
      <w:proofErr w:type="spellEnd"/>
      <w:r w:rsidRPr="003C66A0">
        <w:rPr>
          <w:rFonts w:eastAsiaTheme="majorEastAsia"/>
          <w:color w:val="000000" w:themeColor="text1"/>
        </w:rPr>
        <w:t>"</w:t>
      </w:r>
    </w:p>
    <w:p w14:paraId="3B24D0C8" w14:textId="7C94E0B0" w:rsidR="00DD62E0" w:rsidRPr="003C66A0" w:rsidRDefault="00DD62E0" w:rsidP="00AE1DED">
      <w:pPr>
        <w:pStyle w:val="ListParagraph"/>
        <w:numPr>
          <w:ilvl w:val="0"/>
          <w:numId w:val="29"/>
        </w:numPr>
        <w:outlineLvl w:val="9"/>
        <w:rPr>
          <w:rFonts w:eastAsiaTheme="majorEastAsia"/>
          <w:color w:val="000000" w:themeColor="text1"/>
        </w:rPr>
      </w:pPr>
      <w:r w:rsidRPr="003C66A0">
        <w:rPr>
          <w:rFonts w:eastAsiaTheme="majorEastAsia"/>
          <w:color w:val="000000" w:themeColor="text1"/>
        </w:rPr>
        <w:t>Query 2: "</w:t>
      </w:r>
      <w:proofErr w:type="spellStart"/>
      <w:r w:rsidRPr="003C66A0">
        <w:rPr>
          <w:rFonts w:eastAsiaTheme="majorEastAsia"/>
          <w:color w:val="000000" w:themeColor="text1"/>
        </w:rPr>
        <w:t>fee_tier_performance</w:t>
      </w:r>
      <w:proofErr w:type="spellEnd"/>
      <w:r w:rsidRPr="003C66A0">
        <w:rPr>
          <w:rFonts w:eastAsiaTheme="majorEastAsia"/>
          <w:color w:val="000000" w:themeColor="text1"/>
        </w:rPr>
        <w:t xml:space="preserve">"  </w:t>
      </w:r>
    </w:p>
    <w:p w14:paraId="0E6A5DA1" w14:textId="1F624604" w:rsidR="00DD62E0" w:rsidRPr="003C66A0" w:rsidRDefault="00DD62E0" w:rsidP="00AE1DED">
      <w:pPr>
        <w:pStyle w:val="ListParagraph"/>
        <w:numPr>
          <w:ilvl w:val="0"/>
          <w:numId w:val="29"/>
        </w:numPr>
        <w:outlineLvl w:val="9"/>
        <w:rPr>
          <w:rFonts w:eastAsiaTheme="majorEastAsia"/>
          <w:color w:val="000000" w:themeColor="text1"/>
        </w:rPr>
      </w:pPr>
      <w:r w:rsidRPr="003C66A0">
        <w:rPr>
          <w:rFonts w:eastAsiaTheme="majorEastAsia"/>
          <w:color w:val="000000" w:themeColor="text1"/>
        </w:rPr>
        <w:t>Query 3: "</w:t>
      </w:r>
      <w:proofErr w:type="spellStart"/>
      <w:r w:rsidRPr="003C66A0">
        <w:rPr>
          <w:rFonts w:eastAsiaTheme="majorEastAsia"/>
          <w:color w:val="000000" w:themeColor="text1"/>
        </w:rPr>
        <w:t>liquidity_provider_returns</w:t>
      </w:r>
      <w:proofErr w:type="spellEnd"/>
      <w:r w:rsidRPr="003C66A0">
        <w:rPr>
          <w:rFonts w:eastAsiaTheme="majorEastAsia"/>
          <w:color w:val="000000" w:themeColor="text1"/>
        </w:rPr>
        <w:t>"</w:t>
      </w:r>
    </w:p>
    <w:p w14:paraId="21969C38" w14:textId="4038801C" w:rsidR="00DD62E0" w:rsidRPr="003C66A0" w:rsidRDefault="00DD62E0" w:rsidP="00AE1DED">
      <w:pPr>
        <w:pStyle w:val="ListParagraph"/>
        <w:numPr>
          <w:ilvl w:val="0"/>
          <w:numId w:val="29"/>
        </w:numPr>
        <w:outlineLvl w:val="9"/>
        <w:rPr>
          <w:rFonts w:eastAsiaTheme="majorEastAsia"/>
          <w:color w:val="000000" w:themeColor="text1"/>
        </w:rPr>
      </w:pPr>
      <w:r w:rsidRPr="003C66A0">
        <w:rPr>
          <w:rFonts w:eastAsiaTheme="majorEastAsia"/>
          <w:color w:val="000000" w:themeColor="text1"/>
        </w:rPr>
        <w:t>Update frequency: Daily at 00:00 UTC</w:t>
      </w:r>
    </w:p>
    <w:p w14:paraId="29F3C2B2" w14:textId="2610A2E7" w:rsidR="00DD62E0" w:rsidRPr="003C66A0" w:rsidRDefault="00DD62E0" w:rsidP="00AE1DED">
      <w:pPr>
        <w:pStyle w:val="ListParagraph"/>
        <w:numPr>
          <w:ilvl w:val="0"/>
          <w:numId w:val="29"/>
        </w:numPr>
        <w:outlineLvl w:val="9"/>
        <w:rPr>
          <w:rFonts w:eastAsiaTheme="majorEastAsia"/>
          <w:color w:val="000000" w:themeColor="text1"/>
        </w:rPr>
      </w:pPr>
      <w:r w:rsidRPr="003C66A0">
        <w:rPr>
          <w:rFonts w:eastAsiaTheme="majorEastAsia"/>
          <w:color w:val="000000" w:themeColor="text1"/>
        </w:rPr>
        <w:t>Total records: 892,341 transactions</w:t>
      </w:r>
    </w:p>
    <w:p w14:paraId="078102E8" w14:textId="77777777" w:rsidR="00DD62E0" w:rsidRPr="003C66A0" w:rsidRDefault="00DD62E0" w:rsidP="00AE1DED">
      <w:pPr>
        <w:rPr>
          <w:rFonts w:eastAsiaTheme="majorEastAsia"/>
          <w:color w:val="000000" w:themeColor="text1"/>
        </w:rPr>
      </w:pPr>
    </w:p>
    <w:p w14:paraId="7B592265" w14:textId="77777777" w:rsidR="00DD62E0" w:rsidRPr="003C66A0" w:rsidRDefault="00DD62E0" w:rsidP="00AE1DED">
      <w:pPr>
        <w:rPr>
          <w:rFonts w:eastAsiaTheme="majorEastAsia"/>
          <w:color w:val="000000" w:themeColor="text1"/>
        </w:rPr>
      </w:pPr>
      <w:r w:rsidRPr="003C66A0">
        <w:rPr>
          <w:rFonts w:eastAsiaTheme="majorEastAsia"/>
          <w:color w:val="000000" w:themeColor="text1"/>
        </w:rPr>
        <w:t>3. Direct Node Access (Archive Node)</w:t>
      </w:r>
    </w:p>
    <w:p w14:paraId="25896BAA" w14:textId="242A562F" w:rsidR="00DD62E0" w:rsidRPr="003C66A0" w:rsidRDefault="00DD62E0" w:rsidP="00AE1DED">
      <w:pPr>
        <w:pStyle w:val="ListParagraph"/>
        <w:numPr>
          <w:ilvl w:val="0"/>
          <w:numId w:val="29"/>
        </w:numPr>
        <w:outlineLvl w:val="9"/>
        <w:rPr>
          <w:rFonts w:eastAsiaTheme="majorEastAsia"/>
          <w:color w:val="000000" w:themeColor="text1"/>
        </w:rPr>
      </w:pPr>
      <w:r w:rsidRPr="003C66A0">
        <w:rPr>
          <w:rFonts w:eastAsiaTheme="majorEastAsia"/>
          <w:color w:val="000000" w:themeColor="text1"/>
        </w:rPr>
        <w:t>Provider: Alchemy (</w:t>
      </w:r>
      <w:proofErr w:type="gramStart"/>
      <w:r w:rsidRPr="003C66A0">
        <w:rPr>
          <w:rFonts w:eastAsiaTheme="majorEastAsia"/>
          <w:color w:val="000000" w:themeColor="text1"/>
        </w:rPr>
        <w:t>wss://eth-mainnet.alchemyapi.io/v2/[</w:t>
      </w:r>
      <w:proofErr w:type="gramEnd"/>
      <w:r w:rsidRPr="003C66A0">
        <w:rPr>
          <w:rFonts w:eastAsiaTheme="majorEastAsia"/>
          <w:color w:val="000000" w:themeColor="text1"/>
        </w:rPr>
        <w:t>API_KEY])</w:t>
      </w:r>
    </w:p>
    <w:p w14:paraId="23F40CAF" w14:textId="0C1A2D4B" w:rsidR="00DD62E0" w:rsidRPr="003C66A0" w:rsidRDefault="00DD62E0" w:rsidP="00AE1DED">
      <w:pPr>
        <w:pStyle w:val="ListParagraph"/>
        <w:numPr>
          <w:ilvl w:val="0"/>
          <w:numId w:val="29"/>
        </w:numPr>
        <w:outlineLvl w:val="9"/>
        <w:rPr>
          <w:rFonts w:eastAsiaTheme="majorEastAsia"/>
          <w:color w:val="000000" w:themeColor="text1"/>
        </w:rPr>
      </w:pPr>
      <w:r w:rsidRPr="003C66A0">
        <w:rPr>
          <w:rFonts w:eastAsiaTheme="majorEastAsia"/>
          <w:color w:val="000000" w:themeColor="text1"/>
        </w:rPr>
        <w:t xml:space="preserve">Method: </w:t>
      </w:r>
      <w:proofErr w:type="spellStart"/>
      <w:r w:rsidRPr="003C66A0">
        <w:rPr>
          <w:rFonts w:eastAsiaTheme="majorEastAsia"/>
          <w:color w:val="000000" w:themeColor="text1"/>
        </w:rPr>
        <w:t>eth_getLogs</w:t>
      </w:r>
      <w:proofErr w:type="spellEnd"/>
      <w:r w:rsidRPr="003C66A0">
        <w:rPr>
          <w:rFonts w:eastAsiaTheme="majorEastAsia"/>
          <w:color w:val="000000" w:themeColor="text1"/>
        </w:rPr>
        <w:t xml:space="preserve"> with specific event signatures</w:t>
      </w:r>
    </w:p>
    <w:p w14:paraId="64976AB1" w14:textId="2B3A6E88" w:rsidR="00DD62E0" w:rsidRPr="003C66A0" w:rsidRDefault="00DD62E0" w:rsidP="00AE1DED">
      <w:pPr>
        <w:pStyle w:val="ListParagraph"/>
        <w:numPr>
          <w:ilvl w:val="0"/>
          <w:numId w:val="29"/>
        </w:numPr>
        <w:outlineLvl w:val="9"/>
        <w:rPr>
          <w:rFonts w:eastAsiaTheme="majorEastAsia"/>
          <w:color w:val="000000" w:themeColor="text1"/>
        </w:rPr>
      </w:pPr>
      <w:r w:rsidRPr="003C66A0">
        <w:rPr>
          <w:rFonts w:eastAsiaTheme="majorEastAsia"/>
          <w:color w:val="000000" w:themeColor="text1"/>
        </w:rPr>
        <w:t>Block range: 11,800,000 to 18,900,000</w:t>
      </w:r>
    </w:p>
    <w:p w14:paraId="1E74E9FE" w14:textId="375371F1" w:rsidR="00DD62E0" w:rsidRPr="003C66A0" w:rsidRDefault="00DD62E0" w:rsidP="00AE1DED">
      <w:pPr>
        <w:pStyle w:val="ListParagraph"/>
        <w:numPr>
          <w:ilvl w:val="0"/>
          <w:numId w:val="29"/>
        </w:numPr>
        <w:outlineLvl w:val="9"/>
        <w:rPr>
          <w:rFonts w:eastAsiaTheme="majorEastAsia"/>
          <w:color w:val="000000" w:themeColor="text1"/>
        </w:rPr>
      </w:pPr>
      <w:r w:rsidRPr="003C66A0">
        <w:rPr>
          <w:rFonts w:eastAsiaTheme="majorEastAsia"/>
          <w:color w:val="000000" w:themeColor="text1"/>
        </w:rPr>
        <w:t xml:space="preserve">Total records: 245,092 transactions </w:t>
      </w:r>
    </w:p>
    <w:p w14:paraId="7A26D967" w14:textId="77777777" w:rsidR="00F71F27" w:rsidRPr="003C66A0" w:rsidRDefault="00F71F27" w:rsidP="00AE1DED">
      <w:pPr>
        <w:rPr>
          <w:rFonts w:eastAsiaTheme="majorEastAsia"/>
          <w:b/>
          <w:bCs/>
          <w:i/>
          <w:iCs/>
          <w:color w:val="000000" w:themeColor="text1"/>
        </w:rPr>
      </w:pPr>
    </w:p>
    <w:p w14:paraId="374E3666" w14:textId="40A31BC7" w:rsidR="00126CEB" w:rsidRPr="004E10FD" w:rsidRDefault="00392A6F" w:rsidP="00AE1DED">
      <w:pPr>
        <w:pStyle w:val="Heading4"/>
        <w:rPr>
          <w:rFonts w:eastAsiaTheme="majorEastAsia"/>
        </w:rPr>
      </w:pPr>
      <w:r w:rsidRPr="003C66A0">
        <w:rPr>
          <w:rFonts w:eastAsiaTheme="majorEastAsia"/>
        </w:rPr>
        <w:t xml:space="preserve">Table </w:t>
      </w:r>
      <w:r w:rsidR="00E26ED1" w:rsidRPr="004E10FD">
        <w:rPr>
          <w:rFonts w:eastAsiaTheme="majorEastAsia"/>
        </w:rPr>
        <w:t>D</w:t>
      </w:r>
      <w:r w:rsidR="00126CEB" w:rsidRPr="004E10FD">
        <w:rPr>
          <w:rFonts w:eastAsiaTheme="majorEastAsia"/>
        </w:rPr>
        <w:t>.2.3 Data Cleaning Procedures</w:t>
      </w:r>
    </w:p>
    <w:p w14:paraId="63C34F1A" w14:textId="77777777" w:rsidR="004E10FD" w:rsidRPr="004E10FD" w:rsidRDefault="004E10FD" w:rsidP="00AE1DED">
      <w:pPr>
        <w:rPr>
          <w:rFonts w:eastAsiaTheme="majorEastAsia"/>
        </w:rPr>
      </w:pPr>
    </w:p>
    <w:tbl>
      <w:tblPr>
        <w:tblW w:w="9350" w:type="dxa"/>
        <w:tblLook w:val="04A0" w:firstRow="1" w:lastRow="0" w:firstColumn="1" w:lastColumn="0" w:noHBand="0" w:noVBand="1"/>
      </w:tblPr>
      <w:tblGrid>
        <w:gridCol w:w="2240"/>
        <w:gridCol w:w="2430"/>
        <w:gridCol w:w="2520"/>
        <w:gridCol w:w="2160"/>
      </w:tblGrid>
      <w:tr w:rsidR="00FC334A" w:rsidRPr="003C66A0" w14:paraId="5A5D3BBF" w14:textId="77777777" w:rsidTr="009A2E7B">
        <w:trPr>
          <w:trHeight w:val="360"/>
        </w:trPr>
        <w:tc>
          <w:tcPr>
            <w:tcW w:w="224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06C11F9C" w14:textId="77777777" w:rsidR="009A2E7B" w:rsidRPr="003C66A0" w:rsidRDefault="009A2E7B" w:rsidP="00AE1DED">
            <w:pPr>
              <w:jc w:val="center"/>
              <w:rPr>
                <w:b/>
                <w:bCs/>
                <w:color w:val="000000" w:themeColor="text1"/>
              </w:rPr>
            </w:pPr>
            <w:r w:rsidRPr="003C66A0">
              <w:rPr>
                <w:b/>
                <w:bCs/>
                <w:color w:val="000000" w:themeColor="text1"/>
              </w:rPr>
              <w:t>Step</w:t>
            </w:r>
          </w:p>
        </w:tc>
        <w:tc>
          <w:tcPr>
            <w:tcW w:w="2430" w:type="dxa"/>
            <w:tcBorders>
              <w:top w:val="single" w:sz="8" w:space="0" w:color="auto"/>
              <w:left w:val="nil"/>
              <w:bottom w:val="single" w:sz="8" w:space="0" w:color="auto"/>
              <w:right w:val="single" w:sz="4" w:space="0" w:color="auto"/>
            </w:tcBorders>
            <w:shd w:val="clear" w:color="000000" w:fill="D9D9D9"/>
            <w:vAlign w:val="center"/>
            <w:hideMark/>
          </w:tcPr>
          <w:p w14:paraId="39E6678F" w14:textId="77777777" w:rsidR="009A2E7B" w:rsidRPr="003C66A0" w:rsidRDefault="009A2E7B" w:rsidP="00AE1DED">
            <w:pPr>
              <w:jc w:val="center"/>
              <w:rPr>
                <w:b/>
                <w:bCs/>
                <w:color w:val="000000" w:themeColor="text1"/>
              </w:rPr>
            </w:pPr>
            <w:r w:rsidRPr="003C66A0">
              <w:rPr>
                <w:b/>
                <w:bCs/>
                <w:color w:val="000000" w:themeColor="text1"/>
              </w:rPr>
              <w:t>Criteria</w:t>
            </w:r>
          </w:p>
        </w:tc>
        <w:tc>
          <w:tcPr>
            <w:tcW w:w="2520" w:type="dxa"/>
            <w:tcBorders>
              <w:top w:val="single" w:sz="8" w:space="0" w:color="auto"/>
              <w:left w:val="nil"/>
              <w:bottom w:val="single" w:sz="8" w:space="0" w:color="auto"/>
              <w:right w:val="single" w:sz="4" w:space="0" w:color="auto"/>
            </w:tcBorders>
            <w:shd w:val="clear" w:color="000000" w:fill="D9D9D9"/>
            <w:vAlign w:val="center"/>
            <w:hideMark/>
          </w:tcPr>
          <w:p w14:paraId="571FA227" w14:textId="77777777" w:rsidR="009A2E7B" w:rsidRPr="003C66A0" w:rsidRDefault="009A2E7B" w:rsidP="00AE1DED">
            <w:pPr>
              <w:jc w:val="center"/>
              <w:rPr>
                <w:b/>
                <w:bCs/>
                <w:color w:val="000000" w:themeColor="text1"/>
              </w:rPr>
            </w:pPr>
            <w:r w:rsidRPr="003C66A0">
              <w:rPr>
                <w:b/>
                <w:bCs/>
                <w:color w:val="000000" w:themeColor="text1"/>
              </w:rPr>
              <w:t>Action</w:t>
            </w:r>
          </w:p>
        </w:tc>
        <w:tc>
          <w:tcPr>
            <w:tcW w:w="2160" w:type="dxa"/>
            <w:tcBorders>
              <w:top w:val="single" w:sz="8" w:space="0" w:color="auto"/>
              <w:left w:val="nil"/>
              <w:bottom w:val="single" w:sz="8" w:space="0" w:color="auto"/>
              <w:right w:val="single" w:sz="8" w:space="0" w:color="auto"/>
            </w:tcBorders>
            <w:shd w:val="clear" w:color="000000" w:fill="D9D9D9"/>
            <w:vAlign w:val="center"/>
            <w:hideMark/>
          </w:tcPr>
          <w:p w14:paraId="739C9DC3" w14:textId="77777777" w:rsidR="009A2E7B" w:rsidRPr="003C66A0" w:rsidRDefault="009A2E7B" w:rsidP="00AE1DED">
            <w:pPr>
              <w:jc w:val="center"/>
              <w:rPr>
                <w:b/>
                <w:bCs/>
                <w:color w:val="000000" w:themeColor="text1"/>
              </w:rPr>
            </w:pPr>
            <w:r w:rsidRPr="003C66A0">
              <w:rPr>
                <w:b/>
                <w:bCs/>
                <w:color w:val="000000" w:themeColor="text1"/>
              </w:rPr>
              <w:t>Records Affected</w:t>
            </w:r>
          </w:p>
        </w:tc>
      </w:tr>
      <w:tr w:rsidR="00FC334A" w:rsidRPr="003C66A0" w14:paraId="75C1F049" w14:textId="77777777" w:rsidTr="009A2E7B">
        <w:trPr>
          <w:trHeight w:val="340"/>
        </w:trPr>
        <w:tc>
          <w:tcPr>
            <w:tcW w:w="2240" w:type="dxa"/>
            <w:tcBorders>
              <w:top w:val="nil"/>
              <w:left w:val="single" w:sz="8" w:space="0" w:color="auto"/>
              <w:bottom w:val="single" w:sz="4" w:space="0" w:color="auto"/>
              <w:right w:val="single" w:sz="8" w:space="0" w:color="auto"/>
            </w:tcBorders>
            <w:shd w:val="clear" w:color="000000" w:fill="D9D9D9"/>
            <w:vAlign w:val="center"/>
            <w:hideMark/>
          </w:tcPr>
          <w:p w14:paraId="45C9FC9B" w14:textId="77777777" w:rsidR="009A2E7B" w:rsidRPr="003C66A0" w:rsidRDefault="009A2E7B" w:rsidP="00AE1DED">
            <w:pPr>
              <w:rPr>
                <w:color w:val="000000" w:themeColor="text1"/>
              </w:rPr>
            </w:pPr>
            <w:r w:rsidRPr="003C66A0">
              <w:rPr>
                <w:color w:val="000000" w:themeColor="text1"/>
              </w:rPr>
              <w:t>1. Remove test transactions</w:t>
            </w:r>
          </w:p>
        </w:tc>
        <w:tc>
          <w:tcPr>
            <w:tcW w:w="2430" w:type="dxa"/>
            <w:tcBorders>
              <w:top w:val="nil"/>
              <w:left w:val="nil"/>
              <w:bottom w:val="single" w:sz="4" w:space="0" w:color="auto"/>
              <w:right w:val="single" w:sz="4" w:space="0" w:color="auto"/>
            </w:tcBorders>
            <w:vAlign w:val="center"/>
            <w:hideMark/>
          </w:tcPr>
          <w:p w14:paraId="70ECA790" w14:textId="77777777" w:rsidR="009A2E7B" w:rsidRPr="003C66A0" w:rsidRDefault="009A2E7B" w:rsidP="00AE1DED">
            <w:pPr>
              <w:rPr>
                <w:color w:val="000000" w:themeColor="text1"/>
              </w:rPr>
            </w:pPr>
            <w:r w:rsidRPr="003C66A0">
              <w:rPr>
                <w:color w:val="000000" w:themeColor="text1"/>
              </w:rPr>
              <w:t>Value &lt; $10</w:t>
            </w:r>
          </w:p>
        </w:tc>
        <w:tc>
          <w:tcPr>
            <w:tcW w:w="2520" w:type="dxa"/>
            <w:tcBorders>
              <w:top w:val="nil"/>
              <w:left w:val="nil"/>
              <w:bottom w:val="single" w:sz="4" w:space="0" w:color="auto"/>
              <w:right w:val="single" w:sz="4" w:space="0" w:color="auto"/>
            </w:tcBorders>
            <w:vAlign w:val="center"/>
            <w:hideMark/>
          </w:tcPr>
          <w:p w14:paraId="41E536AC" w14:textId="77777777" w:rsidR="009A2E7B" w:rsidRPr="003C66A0" w:rsidRDefault="009A2E7B" w:rsidP="00AE1DED">
            <w:pPr>
              <w:rPr>
                <w:color w:val="000000" w:themeColor="text1"/>
              </w:rPr>
            </w:pPr>
            <w:r w:rsidRPr="003C66A0">
              <w:rPr>
                <w:color w:val="000000" w:themeColor="text1"/>
              </w:rPr>
              <w:t>Delete</w:t>
            </w:r>
          </w:p>
        </w:tc>
        <w:tc>
          <w:tcPr>
            <w:tcW w:w="2160" w:type="dxa"/>
            <w:tcBorders>
              <w:top w:val="nil"/>
              <w:left w:val="nil"/>
              <w:bottom w:val="single" w:sz="4" w:space="0" w:color="auto"/>
              <w:right w:val="single" w:sz="8" w:space="0" w:color="auto"/>
            </w:tcBorders>
            <w:vAlign w:val="center"/>
            <w:hideMark/>
          </w:tcPr>
          <w:p w14:paraId="116F4BF7" w14:textId="77777777" w:rsidR="009A2E7B" w:rsidRPr="003C66A0" w:rsidRDefault="009A2E7B" w:rsidP="00AE1DED">
            <w:pPr>
              <w:rPr>
                <w:color w:val="000000" w:themeColor="text1"/>
              </w:rPr>
            </w:pPr>
            <w:r w:rsidRPr="003C66A0">
              <w:rPr>
                <w:color w:val="000000" w:themeColor="text1"/>
              </w:rPr>
              <w:t>187,432 (5.7%)</w:t>
            </w:r>
          </w:p>
        </w:tc>
      </w:tr>
      <w:tr w:rsidR="00FC334A" w:rsidRPr="003C66A0" w14:paraId="4B7F7AAA" w14:textId="77777777" w:rsidTr="009A2E7B">
        <w:trPr>
          <w:trHeight w:val="340"/>
        </w:trPr>
        <w:tc>
          <w:tcPr>
            <w:tcW w:w="2240" w:type="dxa"/>
            <w:tcBorders>
              <w:top w:val="nil"/>
              <w:left w:val="single" w:sz="8" w:space="0" w:color="auto"/>
              <w:bottom w:val="single" w:sz="4" w:space="0" w:color="auto"/>
              <w:right w:val="single" w:sz="8" w:space="0" w:color="auto"/>
            </w:tcBorders>
            <w:shd w:val="clear" w:color="000000" w:fill="D9D9D9"/>
            <w:vAlign w:val="center"/>
            <w:hideMark/>
          </w:tcPr>
          <w:p w14:paraId="2C2C0B25" w14:textId="77777777" w:rsidR="009A2E7B" w:rsidRPr="003C66A0" w:rsidRDefault="009A2E7B" w:rsidP="00AE1DED">
            <w:pPr>
              <w:rPr>
                <w:color w:val="000000" w:themeColor="text1"/>
              </w:rPr>
            </w:pPr>
            <w:r w:rsidRPr="003C66A0">
              <w:rPr>
                <w:color w:val="000000" w:themeColor="text1"/>
              </w:rPr>
              <w:t>2. Filter wash trading</w:t>
            </w:r>
          </w:p>
        </w:tc>
        <w:tc>
          <w:tcPr>
            <w:tcW w:w="2430" w:type="dxa"/>
            <w:tcBorders>
              <w:top w:val="nil"/>
              <w:left w:val="nil"/>
              <w:bottom w:val="single" w:sz="4" w:space="0" w:color="auto"/>
              <w:right w:val="single" w:sz="4" w:space="0" w:color="auto"/>
            </w:tcBorders>
            <w:vAlign w:val="center"/>
            <w:hideMark/>
          </w:tcPr>
          <w:p w14:paraId="30B45033" w14:textId="77777777" w:rsidR="009A2E7B" w:rsidRPr="003C66A0" w:rsidRDefault="009A2E7B" w:rsidP="00AE1DED">
            <w:pPr>
              <w:rPr>
                <w:color w:val="000000" w:themeColor="text1"/>
              </w:rPr>
            </w:pPr>
            <w:r w:rsidRPr="003C66A0">
              <w:rPr>
                <w:color w:val="000000" w:themeColor="text1"/>
              </w:rPr>
              <w:t>Same address buy/sell within 1 block</w:t>
            </w:r>
          </w:p>
        </w:tc>
        <w:tc>
          <w:tcPr>
            <w:tcW w:w="2520" w:type="dxa"/>
            <w:tcBorders>
              <w:top w:val="nil"/>
              <w:left w:val="nil"/>
              <w:bottom w:val="single" w:sz="4" w:space="0" w:color="auto"/>
              <w:right w:val="single" w:sz="4" w:space="0" w:color="auto"/>
            </w:tcBorders>
            <w:vAlign w:val="center"/>
            <w:hideMark/>
          </w:tcPr>
          <w:p w14:paraId="1075927E" w14:textId="77777777" w:rsidR="009A2E7B" w:rsidRPr="003C66A0" w:rsidRDefault="009A2E7B" w:rsidP="00AE1DED">
            <w:pPr>
              <w:rPr>
                <w:color w:val="000000" w:themeColor="text1"/>
              </w:rPr>
            </w:pPr>
            <w:r w:rsidRPr="003C66A0">
              <w:rPr>
                <w:color w:val="000000" w:themeColor="text1"/>
              </w:rPr>
              <w:t>Flag, separate analysis</w:t>
            </w:r>
          </w:p>
        </w:tc>
        <w:tc>
          <w:tcPr>
            <w:tcW w:w="2160" w:type="dxa"/>
            <w:tcBorders>
              <w:top w:val="nil"/>
              <w:left w:val="nil"/>
              <w:bottom w:val="single" w:sz="4" w:space="0" w:color="auto"/>
              <w:right w:val="single" w:sz="8" w:space="0" w:color="auto"/>
            </w:tcBorders>
            <w:vAlign w:val="center"/>
            <w:hideMark/>
          </w:tcPr>
          <w:p w14:paraId="098196B6" w14:textId="77777777" w:rsidR="009A2E7B" w:rsidRPr="003C66A0" w:rsidRDefault="009A2E7B" w:rsidP="00AE1DED">
            <w:pPr>
              <w:rPr>
                <w:color w:val="000000" w:themeColor="text1"/>
              </w:rPr>
            </w:pPr>
            <w:r w:rsidRPr="003C66A0">
              <w:rPr>
                <w:color w:val="000000" w:themeColor="text1"/>
              </w:rPr>
              <w:t>298,765 (9.1%)</w:t>
            </w:r>
          </w:p>
        </w:tc>
      </w:tr>
      <w:tr w:rsidR="00FC334A" w:rsidRPr="003C66A0" w14:paraId="346ED7AB" w14:textId="77777777" w:rsidTr="009A2E7B">
        <w:trPr>
          <w:trHeight w:val="340"/>
        </w:trPr>
        <w:tc>
          <w:tcPr>
            <w:tcW w:w="2240" w:type="dxa"/>
            <w:tcBorders>
              <w:top w:val="nil"/>
              <w:left w:val="single" w:sz="8" w:space="0" w:color="auto"/>
              <w:bottom w:val="single" w:sz="4" w:space="0" w:color="auto"/>
              <w:right w:val="single" w:sz="8" w:space="0" w:color="auto"/>
            </w:tcBorders>
            <w:shd w:val="clear" w:color="000000" w:fill="D9D9D9"/>
            <w:vAlign w:val="center"/>
            <w:hideMark/>
          </w:tcPr>
          <w:p w14:paraId="7491AE96" w14:textId="77777777" w:rsidR="009A2E7B" w:rsidRPr="003C66A0" w:rsidRDefault="009A2E7B" w:rsidP="00AE1DED">
            <w:pPr>
              <w:rPr>
                <w:color w:val="000000" w:themeColor="text1"/>
              </w:rPr>
            </w:pPr>
            <w:r w:rsidRPr="003C66A0">
              <w:rPr>
                <w:color w:val="000000" w:themeColor="text1"/>
              </w:rPr>
              <w:t>3. Handle missing gas data</w:t>
            </w:r>
          </w:p>
        </w:tc>
        <w:tc>
          <w:tcPr>
            <w:tcW w:w="2430" w:type="dxa"/>
            <w:tcBorders>
              <w:top w:val="nil"/>
              <w:left w:val="nil"/>
              <w:bottom w:val="single" w:sz="4" w:space="0" w:color="auto"/>
              <w:right w:val="single" w:sz="4" w:space="0" w:color="auto"/>
            </w:tcBorders>
            <w:vAlign w:val="center"/>
            <w:hideMark/>
          </w:tcPr>
          <w:p w14:paraId="13E3A0BD" w14:textId="77777777" w:rsidR="009A2E7B" w:rsidRPr="003C66A0" w:rsidRDefault="009A2E7B" w:rsidP="00AE1DED">
            <w:pPr>
              <w:rPr>
                <w:color w:val="000000" w:themeColor="text1"/>
              </w:rPr>
            </w:pPr>
            <w:r w:rsidRPr="003C66A0">
              <w:rPr>
                <w:color w:val="000000" w:themeColor="text1"/>
              </w:rPr>
              <w:t>Gas field null or 0</w:t>
            </w:r>
          </w:p>
        </w:tc>
        <w:tc>
          <w:tcPr>
            <w:tcW w:w="2520" w:type="dxa"/>
            <w:tcBorders>
              <w:top w:val="nil"/>
              <w:left w:val="nil"/>
              <w:bottom w:val="single" w:sz="4" w:space="0" w:color="auto"/>
              <w:right w:val="single" w:sz="4" w:space="0" w:color="auto"/>
            </w:tcBorders>
            <w:vAlign w:val="center"/>
            <w:hideMark/>
          </w:tcPr>
          <w:p w14:paraId="1E9A2A09" w14:textId="77777777" w:rsidR="009A2E7B" w:rsidRPr="003C66A0" w:rsidRDefault="009A2E7B" w:rsidP="00AE1DED">
            <w:pPr>
              <w:rPr>
                <w:color w:val="000000" w:themeColor="text1"/>
              </w:rPr>
            </w:pPr>
            <w:r w:rsidRPr="003C66A0">
              <w:rPr>
                <w:color w:val="000000" w:themeColor="text1"/>
              </w:rPr>
              <w:t xml:space="preserve">Impute from similar </w:t>
            </w:r>
            <w:proofErr w:type="spellStart"/>
            <w:r w:rsidRPr="003C66A0">
              <w:rPr>
                <w:color w:val="000000" w:themeColor="text1"/>
              </w:rPr>
              <w:t>txs</w:t>
            </w:r>
            <w:proofErr w:type="spellEnd"/>
          </w:p>
        </w:tc>
        <w:tc>
          <w:tcPr>
            <w:tcW w:w="2160" w:type="dxa"/>
            <w:tcBorders>
              <w:top w:val="nil"/>
              <w:left w:val="nil"/>
              <w:bottom w:val="single" w:sz="4" w:space="0" w:color="auto"/>
              <w:right w:val="single" w:sz="8" w:space="0" w:color="auto"/>
            </w:tcBorders>
            <w:vAlign w:val="center"/>
            <w:hideMark/>
          </w:tcPr>
          <w:p w14:paraId="1B4B57AA" w14:textId="77777777" w:rsidR="009A2E7B" w:rsidRPr="003C66A0" w:rsidRDefault="009A2E7B" w:rsidP="00AE1DED">
            <w:pPr>
              <w:rPr>
                <w:color w:val="000000" w:themeColor="text1"/>
              </w:rPr>
            </w:pPr>
            <w:r w:rsidRPr="003C66A0">
              <w:rPr>
                <w:color w:val="000000" w:themeColor="text1"/>
              </w:rPr>
              <w:t>392,845 (12.0%)</w:t>
            </w:r>
          </w:p>
        </w:tc>
      </w:tr>
      <w:tr w:rsidR="00FC334A" w:rsidRPr="003C66A0" w14:paraId="5A093B47" w14:textId="77777777" w:rsidTr="009A2E7B">
        <w:trPr>
          <w:trHeight w:val="340"/>
        </w:trPr>
        <w:tc>
          <w:tcPr>
            <w:tcW w:w="2240" w:type="dxa"/>
            <w:tcBorders>
              <w:top w:val="nil"/>
              <w:left w:val="single" w:sz="8" w:space="0" w:color="auto"/>
              <w:bottom w:val="single" w:sz="4" w:space="0" w:color="auto"/>
              <w:right w:val="single" w:sz="8" w:space="0" w:color="auto"/>
            </w:tcBorders>
            <w:shd w:val="clear" w:color="000000" w:fill="D9D9D9"/>
            <w:vAlign w:val="center"/>
            <w:hideMark/>
          </w:tcPr>
          <w:p w14:paraId="1B549CD5" w14:textId="77777777" w:rsidR="009A2E7B" w:rsidRPr="003C66A0" w:rsidRDefault="009A2E7B" w:rsidP="00AE1DED">
            <w:pPr>
              <w:rPr>
                <w:color w:val="000000" w:themeColor="text1"/>
              </w:rPr>
            </w:pPr>
            <w:r w:rsidRPr="003C66A0">
              <w:rPr>
                <w:color w:val="000000" w:themeColor="text1"/>
              </w:rPr>
              <w:t>4. Remove outliers</w:t>
            </w:r>
          </w:p>
        </w:tc>
        <w:tc>
          <w:tcPr>
            <w:tcW w:w="2430" w:type="dxa"/>
            <w:tcBorders>
              <w:top w:val="nil"/>
              <w:left w:val="nil"/>
              <w:bottom w:val="single" w:sz="4" w:space="0" w:color="auto"/>
              <w:right w:val="single" w:sz="4" w:space="0" w:color="auto"/>
            </w:tcBorders>
            <w:vAlign w:val="center"/>
            <w:hideMark/>
          </w:tcPr>
          <w:p w14:paraId="18114576" w14:textId="77777777" w:rsidR="009A2E7B" w:rsidRPr="003C66A0" w:rsidRDefault="009A2E7B" w:rsidP="00AE1DED">
            <w:pPr>
              <w:rPr>
                <w:color w:val="000000" w:themeColor="text1"/>
              </w:rPr>
            </w:pPr>
            <w:r w:rsidRPr="003C66A0">
              <w:rPr>
                <w:color w:val="000000" w:themeColor="text1"/>
              </w:rPr>
              <w:t>&gt;5 SD from mean</w:t>
            </w:r>
          </w:p>
        </w:tc>
        <w:tc>
          <w:tcPr>
            <w:tcW w:w="2520" w:type="dxa"/>
            <w:tcBorders>
              <w:top w:val="nil"/>
              <w:left w:val="nil"/>
              <w:bottom w:val="single" w:sz="4" w:space="0" w:color="auto"/>
              <w:right w:val="single" w:sz="4" w:space="0" w:color="auto"/>
            </w:tcBorders>
            <w:vAlign w:val="center"/>
            <w:hideMark/>
          </w:tcPr>
          <w:p w14:paraId="69A28E8A" w14:textId="77777777" w:rsidR="009A2E7B" w:rsidRPr="003C66A0" w:rsidRDefault="009A2E7B" w:rsidP="00AE1DED">
            <w:pPr>
              <w:rPr>
                <w:color w:val="000000" w:themeColor="text1"/>
              </w:rPr>
            </w:pPr>
            <w:proofErr w:type="spellStart"/>
            <w:r w:rsidRPr="003C66A0">
              <w:rPr>
                <w:color w:val="000000" w:themeColor="text1"/>
              </w:rPr>
              <w:t>Winsorize</w:t>
            </w:r>
            <w:proofErr w:type="spellEnd"/>
            <w:r w:rsidRPr="003C66A0">
              <w:rPr>
                <w:color w:val="000000" w:themeColor="text1"/>
              </w:rPr>
              <w:t xml:space="preserve"> at 99.9%</w:t>
            </w:r>
          </w:p>
        </w:tc>
        <w:tc>
          <w:tcPr>
            <w:tcW w:w="2160" w:type="dxa"/>
            <w:tcBorders>
              <w:top w:val="nil"/>
              <w:left w:val="nil"/>
              <w:bottom w:val="single" w:sz="4" w:space="0" w:color="auto"/>
              <w:right w:val="single" w:sz="8" w:space="0" w:color="auto"/>
            </w:tcBorders>
            <w:vAlign w:val="center"/>
            <w:hideMark/>
          </w:tcPr>
          <w:p w14:paraId="1C4339B3" w14:textId="77777777" w:rsidR="009A2E7B" w:rsidRPr="003C66A0" w:rsidRDefault="009A2E7B" w:rsidP="00AE1DED">
            <w:pPr>
              <w:rPr>
                <w:color w:val="000000" w:themeColor="text1"/>
              </w:rPr>
            </w:pPr>
            <w:r w:rsidRPr="003C66A0">
              <w:rPr>
                <w:color w:val="000000" w:themeColor="text1"/>
              </w:rPr>
              <w:t>8,193 (0.25%)</w:t>
            </w:r>
          </w:p>
        </w:tc>
      </w:tr>
      <w:tr w:rsidR="00FC334A" w:rsidRPr="003C66A0" w14:paraId="5918DE95" w14:textId="77777777" w:rsidTr="009A2E7B">
        <w:trPr>
          <w:trHeight w:val="340"/>
        </w:trPr>
        <w:tc>
          <w:tcPr>
            <w:tcW w:w="2240" w:type="dxa"/>
            <w:tcBorders>
              <w:top w:val="nil"/>
              <w:left w:val="single" w:sz="8" w:space="0" w:color="auto"/>
              <w:bottom w:val="single" w:sz="4" w:space="0" w:color="auto"/>
              <w:right w:val="single" w:sz="8" w:space="0" w:color="auto"/>
            </w:tcBorders>
            <w:shd w:val="clear" w:color="000000" w:fill="D9D9D9"/>
            <w:vAlign w:val="center"/>
            <w:hideMark/>
          </w:tcPr>
          <w:p w14:paraId="2F33F5ED" w14:textId="77777777" w:rsidR="009A2E7B" w:rsidRPr="003C66A0" w:rsidRDefault="009A2E7B" w:rsidP="00AE1DED">
            <w:pPr>
              <w:rPr>
                <w:color w:val="000000" w:themeColor="text1"/>
              </w:rPr>
            </w:pPr>
            <w:r w:rsidRPr="003C66A0">
              <w:rPr>
                <w:color w:val="000000" w:themeColor="text1"/>
              </w:rPr>
              <w:t>5. Correct timestamp errors</w:t>
            </w:r>
          </w:p>
        </w:tc>
        <w:tc>
          <w:tcPr>
            <w:tcW w:w="2430" w:type="dxa"/>
            <w:tcBorders>
              <w:top w:val="nil"/>
              <w:left w:val="nil"/>
              <w:bottom w:val="single" w:sz="4" w:space="0" w:color="auto"/>
              <w:right w:val="single" w:sz="4" w:space="0" w:color="auto"/>
            </w:tcBorders>
            <w:vAlign w:val="center"/>
            <w:hideMark/>
          </w:tcPr>
          <w:p w14:paraId="776E447C" w14:textId="77777777" w:rsidR="009A2E7B" w:rsidRPr="003C66A0" w:rsidRDefault="009A2E7B" w:rsidP="00AE1DED">
            <w:pPr>
              <w:rPr>
                <w:color w:val="000000" w:themeColor="text1"/>
              </w:rPr>
            </w:pPr>
            <w:r w:rsidRPr="003C66A0">
              <w:rPr>
                <w:color w:val="000000" w:themeColor="text1"/>
              </w:rPr>
              <w:t>Future dates or pre-2020</w:t>
            </w:r>
          </w:p>
        </w:tc>
        <w:tc>
          <w:tcPr>
            <w:tcW w:w="2520" w:type="dxa"/>
            <w:tcBorders>
              <w:top w:val="nil"/>
              <w:left w:val="nil"/>
              <w:bottom w:val="single" w:sz="4" w:space="0" w:color="auto"/>
              <w:right w:val="single" w:sz="4" w:space="0" w:color="auto"/>
            </w:tcBorders>
            <w:vAlign w:val="center"/>
            <w:hideMark/>
          </w:tcPr>
          <w:p w14:paraId="5C463C83" w14:textId="77777777" w:rsidR="009A2E7B" w:rsidRPr="003C66A0" w:rsidRDefault="009A2E7B" w:rsidP="00AE1DED">
            <w:pPr>
              <w:rPr>
                <w:color w:val="000000" w:themeColor="text1"/>
              </w:rPr>
            </w:pPr>
            <w:r w:rsidRPr="003C66A0">
              <w:rPr>
                <w:color w:val="000000" w:themeColor="text1"/>
              </w:rPr>
              <w:t>Use block timestamp</w:t>
            </w:r>
          </w:p>
        </w:tc>
        <w:tc>
          <w:tcPr>
            <w:tcW w:w="2160" w:type="dxa"/>
            <w:tcBorders>
              <w:top w:val="nil"/>
              <w:left w:val="nil"/>
              <w:bottom w:val="single" w:sz="4" w:space="0" w:color="auto"/>
              <w:right w:val="single" w:sz="8" w:space="0" w:color="auto"/>
            </w:tcBorders>
            <w:vAlign w:val="center"/>
            <w:hideMark/>
          </w:tcPr>
          <w:p w14:paraId="0D8C43FC" w14:textId="77777777" w:rsidR="009A2E7B" w:rsidRPr="003C66A0" w:rsidRDefault="009A2E7B" w:rsidP="00AE1DED">
            <w:pPr>
              <w:rPr>
                <w:color w:val="000000" w:themeColor="text1"/>
              </w:rPr>
            </w:pPr>
            <w:r w:rsidRPr="003C66A0">
              <w:rPr>
                <w:color w:val="000000" w:themeColor="text1"/>
              </w:rPr>
              <w:t>1,847 (0.06%)</w:t>
            </w:r>
          </w:p>
        </w:tc>
      </w:tr>
      <w:tr w:rsidR="009A2E7B" w:rsidRPr="003C66A0" w14:paraId="1EFADAE3" w14:textId="77777777" w:rsidTr="009A2E7B">
        <w:trPr>
          <w:trHeight w:val="360"/>
        </w:trPr>
        <w:tc>
          <w:tcPr>
            <w:tcW w:w="2240" w:type="dxa"/>
            <w:tcBorders>
              <w:top w:val="nil"/>
              <w:left w:val="single" w:sz="8" w:space="0" w:color="auto"/>
              <w:bottom w:val="single" w:sz="8" w:space="0" w:color="auto"/>
              <w:right w:val="single" w:sz="8" w:space="0" w:color="auto"/>
            </w:tcBorders>
            <w:shd w:val="clear" w:color="000000" w:fill="D9D9D9"/>
            <w:vAlign w:val="center"/>
            <w:hideMark/>
          </w:tcPr>
          <w:p w14:paraId="2A1FD146" w14:textId="77777777" w:rsidR="009A2E7B" w:rsidRPr="003C66A0" w:rsidRDefault="009A2E7B" w:rsidP="00AE1DED">
            <w:pPr>
              <w:rPr>
                <w:color w:val="000000" w:themeColor="text1"/>
              </w:rPr>
            </w:pPr>
            <w:r w:rsidRPr="003C66A0">
              <w:rPr>
                <w:color w:val="000000" w:themeColor="text1"/>
              </w:rPr>
              <w:t>6. Deduplicate</w:t>
            </w:r>
          </w:p>
        </w:tc>
        <w:tc>
          <w:tcPr>
            <w:tcW w:w="2430" w:type="dxa"/>
            <w:tcBorders>
              <w:top w:val="nil"/>
              <w:left w:val="nil"/>
              <w:bottom w:val="single" w:sz="8" w:space="0" w:color="auto"/>
              <w:right w:val="single" w:sz="4" w:space="0" w:color="auto"/>
            </w:tcBorders>
            <w:vAlign w:val="center"/>
            <w:hideMark/>
          </w:tcPr>
          <w:p w14:paraId="21AC276C" w14:textId="77777777" w:rsidR="009A2E7B" w:rsidRPr="003C66A0" w:rsidRDefault="009A2E7B" w:rsidP="00AE1DED">
            <w:pPr>
              <w:rPr>
                <w:color w:val="000000" w:themeColor="text1"/>
              </w:rPr>
            </w:pPr>
            <w:r w:rsidRPr="003C66A0">
              <w:rPr>
                <w:color w:val="000000" w:themeColor="text1"/>
              </w:rPr>
              <w:t>Identical hash</w:t>
            </w:r>
          </w:p>
        </w:tc>
        <w:tc>
          <w:tcPr>
            <w:tcW w:w="2520" w:type="dxa"/>
            <w:tcBorders>
              <w:top w:val="nil"/>
              <w:left w:val="nil"/>
              <w:bottom w:val="single" w:sz="8" w:space="0" w:color="auto"/>
              <w:right w:val="single" w:sz="4" w:space="0" w:color="auto"/>
            </w:tcBorders>
            <w:vAlign w:val="center"/>
            <w:hideMark/>
          </w:tcPr>
          <w:p w14:paraId="64712E87" w14:textId="77777777" w:rsidR="009A2E7B" w:rsidRPr="003C66A0" w:rsidRDefault="009A2E7B" w:rsidP="00AE1DED">
            <w:pPr>
              <w:rPr>
                <w:color w:val="000000" w:themeColor="text1"/>
              </w:rPr>
            </w:pPr>
            <w:r w:rsidRPr="003C66A0">
              <w:rPr>
                <w:color w:val="000000" w:themeColor="text1"/>
              </w:rPr>
              <w:t>Keep first occurrence</w:t>
            </w:r>
          </w:p>
        </w:tc>
        <w:tc>
          <w:tcPr>
            <w:tcW w:w="2160" w:type="dxa"/>
            <w:tcBorders>
              <w:top w:val="nil"/>
              <w:left w:val="nil"/>
              <w:bottom w:val="single" w:sz="8" w:space="0" w:color="auto"/>
              <w:right w:val="single" w:sz="8" w:space="0" w:color="auto"/>
            </w:tcBorders>
            <w:vAlign w:val="center"/>
            <w:hideMark/>
          </w:tcPr>
          <w:p w14:paraId="6512D824" w14:textId="77777777" w:rsidR="009A2E7B" w:rsidRPr="003C66A0" w:rsidRDefault="009A2E7B" w:rsidP="00AE1DED">
            <w:pPr>
              <w:rPr>
                <w:color w:val="000000" w:themeColor="text1"/>
              </w:rPr>
            </w:pPr>
            <w:r w:rsidRPr="003C66A0">
              <w:rPr>
                <w:color w:val="000000" w:themeColor="text1"/>
              </w:rPr>
              <w:t>43,918 (1.34%)</w:t>
            </w:r>
          </w:p>
        </w:tc>
      </w:tr>
    </w:tbl>
    <w:p w14:paraId="436F44DA" w14:textId="77777777" w:rsidR="00E26ED1" w:rsidRPr="003C66A0" w:rsidRDefault="00385644" w:rsidP="00AE1DED">
      <w:pPr>
        <w:jc w:val="both"/>
        <w:rPr>
          <w:rFonts w:eastAsiaTheme="majorEastAsia"/>
          <w:i/>
          <w:iCs/>
          <w:color w:val="000000" w:themeColor="text1"/>
        </w:rPr>
      </w:pPr>
      <w:r w:rsidRPr="003C66A0">
        <w:rPr>
          <w:rFonts w:eastAsiaTheme="majorEastAsia"/>
          <w:i/>
          <w:iCs/>
          <w:color w:val="000000" w:themeColor="text1"/>
        </w:rPr>
        <w:t xml:space="preserve">Interpretive Note: </w:t>
      </w:r>
      <w:r w:rsidRPr="006E5CF2">
        <w:rPr>
          <w:rFonts w:eastAsiaTheme="majorEastAsia"/>
          <w:color w:val="000000" w:themeColor="text1"/>
        </w:rPr>
        <w:t>The 12% missing gas data and 9.1% wash trading rates highlight data quality challenges in DeFi research—these aren't just technical issues but potential sources of bias that could underestimate true costs and overstate genuine trading activity.</w:t>
      </w:r>
    </w:p>
    <w:p w14:paraId="0D539D8F" w14:textId="77777777" w:rsidR="00E26ED1" w:rsidRPr="003C66A0" w:rsidRDefault="00E26ED1" w:rsidP="00AE1DED">
      <w:pPr>
        <w:jc w:val="both"/>
        <w:rPr>
          <w:rFonts w:eastAsiaTheme="majorEastAsia"/>
          <w:i/>
          <w:iCs/>
          <w:color w:val="000000" w:themeColor="text1"/>
        </w:rPr>
      </w:pPr>
    </w:p>
    <w:p w14:paraId="5DC8AE5A" w14:textId="77777777" w:rsidR="003C44DD" w:rsidRDefault="003C44DD" w:rsidP="00AE1DED">
      <w:pPr>
        <w:pStyle w:val="Heading3"/>
        <w:jc w:val="both"/>
        <w:rPr>
          <w:rFonts w:eastAsiaTheme="majorEastAsia"/>
        </w:rPr>
      </w:pPr>
    </w:p>
    <w:p w14:paraId="7D3BA13A" w14:textId="6726FD1A" w:rsidR="00126CEB" w:rsidRPr="003C66A0" w:rsidRDefault="00E26ED1" w:rsidP="00AE1DED">
      <w:pPr>
        <w:pStyle w:val="Heading3"/>
        <w:jc w:val="both"/>
        <w:rPr>
          <w:rFonts w:eastAsiaTheme="majorEastAsia"/>
          <w:i/>
          <w:iCs/>
        </w:rPr>
      </w:pPr>
      <w:bookmarkStart w:id="274" w:name="_Toc214722080"/>
      <w:r w:rsidRPr="003C66A0">
        <w:rPr>
          <w:rFonts w:eastAsiaTheme="majorEastAsia"/>
        </w:rPr>
        <w:t>D</w:t>
      </w:r>
      <w:r w:rsidR="00126CEB" w:rsidRPr="003C66A0">
        <w:rPr>
          <w:rFonts w:eastAsiaTheme="majorEastAsia"/>
        </w:rPr>
        <w:t>.3 Position Tracking Methodology</w:t>
      </w:r>
      <w:bookmarkEnd w:id="274"/>
    </w:p>
    <w:p w14:paraId="47C7200B" w14:textId="77777777" w:rsidR="004E10FD" w:rsidRDefault="004E10FD" w:rsidP="00AE1DED">
      <w:pPr>
        <w:pStyle w:val="Heading4"/>
        <w:jc w:val="both"/>
        <w:rPr>
          <w:rFonts w:eastAsiaTheme="majorEastAsia"/>
        </w:rPr>
      </w:pPr>
    </w:p>
    <w:p w14:paraId="73A518EA" w14:textId="5F046C99" w:rsidR="00126CEB" w:rsidRPr="003C66A0" w:rsidRDefault="00E26ED1" w:rsidP="00AE1DED">
      <w:pPr>
        <w:pStyle w:val="Heading4"/>
        <w:jc w:val="both"/>
        <w:rPr>
          <w:rFonts w:eastAsiaTheme="majorEastAsia"/>
        </w:rPr>
      </w:pPr>
      <w:r w:rsidRPr="003C66A0">
        <w:rPr>
          <w:rFonts w:eastAsiaTheme="majorEastAsia"/>
        </w:rPr>
        <w:t>D</w:t>
      </w:r>
      <w:r w:rsidR="00126CEB" w:rsidRPr="003C66A0">
        <w:rPr>
          <w:rFonts w:eastAsiaTheme="majorEastAsia"/>
        </w:rPr>
        <w:t>.3.1 Position Selection Criteria</w:t>
      </w:r>
    </w:p>
    <w:p w14:paraId="7E4EDFA4" w14:textId="77777777" w:rsidR="00126CEB" w:rsidRPr="003C66A0" w:rsidRDefault="00126CEB" w:rsidP="00AE1DED">
      <w:pPr>
        <w:jc w:val="both"/>
        <w:rPr>
          <w:rFonts w:eastAsiaTheme="majorEastAsia"/>
          <w:b/>
          <w:bCs/>
          <w:color w:val="000000" w:themeColor="text1"/>
        </w:rPr>
      </w:pPr>
    </w:p>
    <w:p w14:paraId="0F7F8905" w14:textId="77777777" w:rsidR="00126CEB" w:rsidRPr="003C66A0" w:rsidRDefault="00126CEB" w:rsidP="00AE1DED">
      <w:pPr>
        <w:jc w:val="both"/>
        <w:rPr>
          <w:rFonts w:eastAsiaTheme="majorEastAsia"/>
          <w:b/>
          <w:bCs/>
          <w:color w:val="000000" w:themeColor="text1"/>
        </w:rPr>
      </w:pPr>
      <w:r w:rsidRPr="003C66A0">
        <w:rPr>
          <w:rFonts w:eastAsiaTheme="majorEastAsia"/>
          <w:b/>
          <w:bCs/>
          <w:color w:val="000000" w:themeColor="text1"/>
        </w:rPr>
        <w:t>Inclusion Criteria:</w:t>
      </w:r>
    </w:p>
    <w:p w14:paraId="2AB82EB4" w14:textId="4FEFEDF8" w:rsidR="00126CEB" w:rsidRPr="003C66A0" w:rsidRDefault="00126CEB" w:rsidP="00AE1DED">
      <w:pPr>
        <w:pStyle w:val="ListParagraph"/>
        <w:numPr>
          <w:ilvl w:val="0"/>
          <w:numId w:val="28"/>
        </w:numPr>
        <w:jc w:val="both"/>
        <w:outlineLvl w:val="9"/>
        <w:rPr>
          <w:rFonts w:eastAsiaTheme="majorEastAsia"/>
          <w:color w:val="000000" w:themeColor="text1"/>
        </w:rPr>
      </w:pPr>
      <w:r w:rsidRPr="003C66A0">
        <w:rPr>
          <w:rFonts w:eastAsiaTheme="majorEastAsia"/>
          <w:color w:val="000000" w:themeColor="text1"/>
        </w:rPr>
        <w:t>Minimum initial value: $500 USD equivalent</w:t>
      </w:r>
    </w:p>
    <w:p w14:paraId="76E47778" w14:textId="33EDCBE1" w:rsidR="00126CEB" w:rsidRPr="003C66A0" w:rsidRDefault="00126CEB" w:rsidP="00AE1DED">
      <w:pPr>
        <w:pStyle w:val="ListParagraph"/>
        <w:numPr>
          <w:ilvl w:val="0"/>
          <w:numId w:val="28"/>
        </w:numPr>
        <w:jc w:val="both"/>
        <w:outlineLvl w:val="9"/>
        <w:rPr>
          <w:rFonts w:eastAsiaTheme="majorEastAsia"/>
          <w:color w:val="000000" w:themeColor="text1"/>
        </w:rPr>
      </w:pPr>
      <w:r w:rsidRPr="003C66A0">
        <w:rPr>
          <w:rFonts w:eastAsiaTheme="majorEastAsia"/>
          <w:color w:val="000000" w:themeColor="text1"/>
        </w:rPr>
        <w:t>Active for minimum 90 days</w:t>
      </w:r>
    </w:p>
    <w:p w14:paraId="35C82CC2" w14:textId="7926F6D4" w:rsidR="00126CEB" w:rsidRPr="003C66A0" w:rsidRDefault="00126CEB" w:rsidP="00AE1DED">
      <w:pPr>
        <w:pStyle w:val="ListParagraph"/>
        <w:numPr>
          <w:ilvl w:val="0"/>
          <w:numId w:val="28"/>
        </w:numPr>
        <w:jc w:val="both"/>
        <w:outlineLvl w:val="9"/>
        <w:rPr>
          <w:rFonts w:eastAsiaTheme="majorEastAsia"/>
          <w:color w:val="000000" w:themeColor="text1"/>
        </w:rPr>
      </w:pPr>
      <w:r w:rsidRPr="003C66A0">
        <w:rPr>
          <w:rFonts w:eastAsiaTheme="majorEastAsia"/>
          <w:color w:val="000000" w:themeColor="text1"/>
        </w:rPr>
        <w:t>Complete data availability (entry, management, exit/current)</w:t>
      </w:r>
    </w:p>
    <w:p w14:paraId="5B69D32F" w14:textId="2841FDBA" w:rsidR="00126CEB" w:rsidRPr="003C66A0" w:rsidRDefault="00126CEB" w:rsidP="00AE1DED">
      <w:pPr>
        <w:pStyle w:val="ListParagraph"/>
        <w:numPr>
          <w:ilvl w:val="0"/>
          <w:numId w:val="28"/>
        </w:numPr>
        <w:jc w:val="both"/>
        <w:outlineLvl w:val="9"/>
        <w:rPr>
          <w:rFonts w:eastAsiaTheme="majorEastAsia"/>
          <w:color w:val="000000" w:themeColor="text1"/>
        </w:rPr>
      </w:pPr>
      <w:r w:rsidRPr="003C66A0">
        <w:rPr>
          <w:rFonts w:eastAsiaTheme="majorEastAsia"/>
          <w:color w:val="000000" w:themeColor="text1"/>
        </w:rPr>
        <w:t>Single strategy (no mixed strategies within position)</w:t>
      </w:r>
    </w:p>
    <w:p w14:paraId="05D7A192" w14:textId="77777777" w:rsidR="00126CEB" w:rsidRPr="003C66A0" w:rsidRDefault="00126CEB" w:rsidP="00AE1DED">
      <w:pPr>
        <w:jc w:val="both"/>
        <w:rPr>
          <w:rFonts w:eastAsiaTheme="majorEastAsia"/>
          <w:color w:val="000000" w:themeColor="text1"/>
        </w:rPr>
      </w:pPr>
    </w:p>
    <w:p w14:paraId="3C5E1C4E" w14:textId="77777777" w:rsidR="00126CEB" w:rsidRPr="003C66A0" w:rsidRDefault="00126CEB" w:rsidP="00AE1DED">
      <w:pPr>
        <w:jc w:val="both"/>
        <w:rPr>
          <w:rFonts w:eastAsiaTheme="majorEastAsia"/>
          <w:b/>
          <w:bCs/>
          <w:color w:val="000000" w:themeColor="text1"/>
        </w:rPr>
      </w:pPr>
      <w:r w:rsidRPr="003C66A0">
        <w:rPr>
          <w:rFonts w:eastAsiaTheme="majorEastAsia"/>
          <w:b/>
          <w:bCs/>
          <w:color w:val="000000" w:themeColor="text1"/>
        </w:rPr>
        <w:t>Exclusion Criteria:</w:t>
      </w:r>
    </w:p>
    <w:p w14:paraId="0170B402" w14:textId="72C66388" w:rsidR="00126CEB" w:rsidRPr="003C66A0" w:rsidRDefault="00126CEB" w:rsidP="00AE1DED">
      <w:pPr>
        <w:pStyle w:val="ListParagraph"/>
        <w:numPr>
          <w:ilvl w:val="0"/>
          <w:numId w:val="28"/>
        </w:numPr>
        <w:jc w:val="both"/>
        <w:outlineLvl w:val="9"/>
        <w:rPr>
          <w:rFonts w:eastAsiaTheme="majorEastAsia"/>
          <w:color w:val="000000" w:themeColor="text1"/>
        </w:rPr>
      </w:pPr>
      <w:r w:rsidRPr="003C66A0">
        <w:rPr>
          <w:rFonts w:eastAsiaTheme="majorEastAsia"/>
          <w:color w:val="000000" w:themeColor="text1"/>
        </w:rPr>
        <w:t>Test positions or known developers</w:t>
      </w:r>
    </w:p>
    <w:p w14:paraId="5BB651C5" w14:textId="2908D575" w:rsidR="00126CEB" w:rsidRPr="003C66A0" w:rsidRDefault="00126CEB" w:rsidP="00AE1DED">
      <w:pPr>
        <w:pStyle w:val="ListParagraph"/>
        <w:numPr>
          <w:ilvl w:val="0"/>
          <w:numId w:val="28"/>
        </w:numPr>
        <w:jc w:val="both"/>
        <w:outlineLvl w:val="9"/>
        <w:rPr>
          <w:rFonts w:eastAsiaTheme="majorEastAsia"/>
          <w:color w:val="000000" w:themeColor="text1"/>
        </w:rPr>
      </w:pPr>
      <w:r w:rsidRPr="003C66A0">
        <w:rPr>
          <w:rFonts w:eastAsiaTheme="majorEastAsia"/>
          <w:color w:val="000000" w:themeColor="text1"/>
        </w:rPr>
        <w:t>Positions using flash loans as primary strategy</w:t>
      </w:r>
    </w:p>
    <w:p w14:paraId="7C6BD060" w14:textId="7EAB71FC" w:rsidR="00126CEB" w:rsidRPr="003C66A0" w:rsidRDefault="00126CEB" w:rsidP="00AE1DED">
      <w:pPr>
        <w:pStyle w:val="ListParagraph"/>
        <w:numPr>
          <w:ilvl w:val="0"/>
          <w:numId w:val="28"/>
        </w:numPr>
        <w:jc w:val="both"/>
        <w:outlineLvl w:val="9"/>
        <w:rPr>
          <w:rFonts w:eastAsiaTheme="majorEastAsia"/>
          <w:color w:val="000000" w:themeColor="text1"/>
        </w:rPr>
      </w:pPr>
      <w:r w:rsidRPr="003C66A0">
        <w:rPr>
          <w:rFonts w:eastAsiaTheme="majorEastAsia"/>
          <w:color w:val="000000" w:themeColor="text1"/>
        </w:rPr>
        <w:t>Arbitrage bots or MEV-focused positions</w:t>
      </w:r>
    </w:p>
    <w:p w14:paraId="4F25E810" w14:textId="0EAB1B3E" w:rsidR="00126CEB" w:rsidRPr="003C66A0" w:rsidRDefault="00126CEB" w:rsidP="00AE1DED">
      <w:pPr>
        <w:pStyle w:val="ListParagraph"/>
        <w:numPr>
          <w:ilvl w:val="0"/>
          <w:numId w:val="28"/>
        </w:numPr>
        <w:jc w:val="both"/>
        <w:outlineLvl w:val="9"/>
        <w:rPr>
          <w:rFonts w:eastAsiaTheme="majorEastAsia"/>
          <w:color w:val="000000" w:themeColor="text1"/>
        </w:rPr>
      </w:pPr>
      <w:r w:rsidRPr="003C66A0">
        <w:rPr>
          <w:rFonts w:eastAsiaTheme="majorEastAsia"/>
          <w:color w:val="000000" w:themeColor="text1"/>
        </w:rPr>
        <w:t>Positions with &gt;50% missing data</w:t>
      </w:r>
    </w:p>
    <w:p w14:paraId="7C448AF2" w14:textId="77777777" w:rsidR="00126CEB" w:rsidRPr="003C66A0" w:rsidRDefault="00126CEB" w:rsidP="00AE1DED">
      <w:pPr>
        <w:jc w:val="both"/>
        <w:rPr>
          <w:rFonts w:eastAsiaTheme="majorEastAsia"/>
          <w:color w:val="000000" w:themeColor="text1"/>
        </w:rPr>
      </w:pPr>
    </w:p>
    <w:p w14:paraId="6C935DA6" w14:textId="77777777" w:rsidR="00126CEB" w:rsidRPr="003C66A0" w:rsidRDefault="00126CEB" w:rsidP="00AE1DED">
      <w:pPr>
        <w:jc w:val="both"/>
        <w:rPr>
          <w:rFonts w:eastAsiaTheme="majorEastAsia"/>
          <w:b/>
          <w:bCs/>
          <w:color w:val="000000" w:themeColor="text1"/>
        </w:rPr>
      </w:pPr>
      <w:r w:rsidRPr="003C66A0">
        <w:rPr>
          <w:rFonts w:eastAsiaTheme="majorEastAsia"/>
          <w:b/>
          <w:bCs/>
          <w:color w:val="000000" w:themeColor="text1"/>
        </w:rPr>
        <w:t>Stratification Matrix:</w:t>
      </w:r>
    </w:p>
    <w:p w14:paraId="0146E29B" w14:textId="02764012" w:rsidR="00126CEB" w:rsidRPr="003C66A0" w:rsidRDefault="00126CEB" w:rsidP="00AE1DED">
      <w:pPr>
        <w:pStyle w:val="ListParagraph"/>
        <w:numPr>
          <w:ilvl w:val="0"/>
          <w:numId w:val="94"/>
        </w:numPr>
        <w:jc w:val="both"/>
        <w:outlineLvl w:val="9"/>
        <w:rPr>
          <w:rFonts w:eastAsiaTheme="majorEastAsia"/>
          <w:color w:val="000000" w:themeColor="text1"/>
        </w:rPr>
      </w:pPr>
      <w:r w:rsidRPr="003C66A0">
        <w:rPr>
          <w:rFonts w:eastAsiaTheme="majorEastAsia"/>
          <w:color w:val="000000" w:themeColor="text1"/>
        </w:rPr>
        <w:t>Capital Ranges × Asset Types × Management Styles × Networks</w:t>
      </w:r>
      <w:r w:rsidR="005E7419" w:rsidRPr="003C66A0">
        <w:rPr>
          <w:rFonts w:eastAsiaTheme="majorEastAsia"/>
          <w:color w:val="000000" w:themeColor="text1"/>
        </w:rPr>
        <w:t xml:space="preserve"> </w:t>
      </w:r>
      <w:r w:rsidRPr="003C66A0">
        <w:rPr>
          <w:rFonts w:eastAsiaTheme="majorEastAsia"/>
          <w:color w:val="000000" w:themeColor="text1"/>
        </w:rPr>
        <w:t>= 3 × 3 × 3 × 6 = 162 target cells</w:t>
      </w:r>
    </w:p>
    <w:p w14:paraId="5064BFA9" w14:textId="176FF701" w:rsidR="00126CEB" w:rsidRPr="003C66A0" w:rsidRDefault="00126CEB" w:rsidP="00AE1DED">
      <w:pPr>
        <w:pStyle w:val="ListParagraph"/>
        <w:numPr>
          <w:ilvl w:val="0"/>
          <w:numId w:val="94"/>
        </w:numPr>
        <w:jc w:val="both"/>
        <w:outlineLvl w:val="9"/>
        <w:rPr>
          <w:rFonts w:eastAsiaTheme="majorEastAsia"/>
          <w:color w:val="000000" w:themeColor="text1"/>
        </w:rPr>
      </w:pPr>
      <w:r w:rsidRPr="003C66A0">
        <w:rPr>
          <w:rFonts w:eastAsiaTheme="majorEastAsia"/>
          <w:color w:val="000000" w:themeColor="text1"/>
        </w:rPr>
        <w:t>Actual coverage: 156 positions (96.3% of target matrix)</w:t>
      </w:r>
    </w:p>
    <w:p w14:paraId="1BB91B4D" w14:textId="77777777" w:rsidR="0002373F" w:rsidRPr="003C66A0" w:rsidRDefault="0002373F" w:rsidP="00AE1DED">
      <w:pPr>
        <w:jc w:val="both"/>
        <w:rPr>
          <w:rFonts w:eastAsiaTheme="majorEastAsia"/>
          <w:i/>
          <w:iCs/>
          <w:color w:val="000000" w:themeColor="text1"/>
        </w:rPr>
      </w:pPr>
    </w:p>
    <w:p w14:paraId="168B2B1A" w14:textId="4C6D777F" w:rsidR="00126CEB" w:rsidRDefault="00392A6F" w:rsidP="00AE1DED">
      <w:pPr>
        <w:pStyle w:val="Heading4"/>
        <w:rPr>
          <w:rFonts w:eastAsiaTheme="majorEastAsia"/>
        </w:rPr>
      </w:pPr>
      <w:r w:rsidRPr="003C66A0">
        <w:rPr>
          <w:rFonts w:eastAsiaTheme="majorEastAsia"/>
        </w:rPr>
        <w:t xml:space="preserve">Table </w:t>
      </w:r>
      <w:r w:rsidR="00E26ED1" w:rsidRPr="003C66A0">
        <w:rPr>
          <w:rFonts w:eastAsiaTheme="majorEastAsia"/>
        </w:rPr>
        <w:t>D</w:t>
      </w:r>
      <w:r w:rsidR="00126CEB" w:rsidRPr="003C66A0">
        <w:rPr>
          <w:rFonts w:eastAsiaTheme="majorEastAsia"/>
        </w:rPr>
        <w:t>.3.</w:t>
      </w:r>
      <w:r w:rsidR="00D77017">
        <w:rPr>
          <w:rFonts w:eastAsiaTheme="majorEastAsia"/>
        </w:rPr>
        <w:t>2</w:t>
      </w:r>
      <w:r w:rsidR="00126CEB" w:rsidRPr="003C66A0">
        <w:rPr>
          <w:rFonts w:eastAsiaTheme="majorEastAsia"/>
        </w:rPr>
        <w:t xml:space="preserve"> Performance Calculation Methods</w:t>
      </w:r>
    </w:p>
    <w:p w14:paraId="19940805" w14:textId="77777777" w:rsidR="004E10FD" w:rsidRPr="004E10FD" w:rsidRDefault="004E10FD" w:rsidP="00AE1DED">
      <w:pPr>
        <w:rPr>
          <w:rFonts w:eastAsiaTheme="majorEastAsia"/>
        </w:rPr>
      </w:pPr>
    </w:p>
    <w:tbl>
      <w:tblPr>
        <w:tblW w:w="9260" w:type="dxa"/>
        <w:tblLook w:val="04A0" w:firstRow="1" w:lastRow="0" w:firstColumn="1" w:lastColumn="0" w:noHBand="0" w:noVBand="1"/>
      </w:tblPr>
      <w:tblGrid>
        <w:gridCol w:w="1631"/>
        <w:gridCol w:w="2926"/>
        <w:gridCol w:w="2145"/>
        <w:gridCol w:w="2558"/>
      </w:tblGrid>
      <w:tr w:rsidR="00FC334A" w:rsidRPr="003C66A0" w14:paraId="529915D8" w14:textId="77777777" w:rsidTr="009B7C69">
        <w:trPr>
          <w:trHeight w:val="360"/>
        </w:trPr>
        <w:tc>
          <w:tcPr>
            <w:tcW w:w="1343"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56726EB2" w14:textId="77777777" w:rsidR="009B7C69" w:rsidRPr="003C66A0" w:rsidRDefault="009B7C69" w:rsidP="00AE1DED">
            <w:pPr>
              <w:jc w:val="center"/>
              <w:rPr>
                <w:b/>
                <w:bCs/>
                <w:color w:val="000000" w:themeColor="text1"/>
              </w:rPr>
            </w:pPr>
            <w:r w:rsidRPr="003C66A0">
              <w:rPr>
                <w:b/>
                <w:bCs/>
                <w:color w:val="000000" w:themeColor="text1"/>
              </w:rPr>
              <w:t>Metric</w:t>
            </w:r>
          </w:p>
        </w:tc>
        <w:tc>
          <w:tcPr>
            <w:tcW w:w="3057" w:type="dxa"/>
            <w:tcBorders>
              <w:top w:val="single" w:sz="8" w:space="0" w:color="auto"/>
              <w:left w:val="nil"/>
              <w:bottom w:val="single" w:sz="8" w:space="0" w:color="auto"/>
              <w:right w:val="single" w:sz="4" w:space="0" w:color="auto"/>
            </w:tcBorders>
            <w:shd w:val="clear" w:color="000000" w:fill="D9D9D9"/>
            <w:vAlign w:val="center"/>
            <w:hideMark/>
          </w:tcPr>
          <w:p w14:paraId="7F0D9587" w14:textId="77777777" w:rsidR="009B7C69" w:rsidRPr="003C66A0" w:rsidRDefault="009B7C69" w:rsidP="00AE1DED">
            <w:pPr>
              <w:jc w:val="center"/>
              <w:rPr>
                <w:b/>
                <w:bCs/>
                <w:color w:val="000000" w:themeColor="text1"/>
              </w:rPr>
            </w:pPr>
            <w:r w:rsidRPr="003C66A0">
              <w:rPr>
                <w:b/>
                <w:bCs/>
                <w:color w:val="000000" w:themeColor="text1"/>
              </w:rPr>
              <w:t>Formula</w:t>
            </w:r>
          </w:p>
        </w:tc>
        <w:tc>
          <w:tcPr>
            <w:tcW w:w="2250" w:type="dxa"/>
            <w:tcBorders>
              <w:top w:val="single" w:sz="8" w:space="0" w:color="auto"/>
              <w:left w:val="nil"/>
              <w:bottom w:val="single" w:sz="8" w:space="0" w:color="auto"/>
              <w:right w:val="single" w:sz="4" w:space="0" w:color="auto"/>
            </w:tcBorders>
            <w:shd w:val="clear" w:color="000000" w:fill="D9D9D9"/>
            <w:vAlign w:val="center"/>
            <w:hideMark/>
          </w:tcPr>
          <w:p w14:paraId="472E4757" w14:textId="77777777" w:rsidR="009B7C69" w:rsidRPr="003C66A0" w:rsidRDefault="009B7C69" w:rsidP="00AE1DED">
            <w:pPr>
              <w:jc w:val="center"/>
              <w:rPr>
                <w:b/>
                <w:bCs/>
                <w:color w:val="000000" w:themeColor="text1"/>
              </w:rPr>
            </w:pPr>
            <w:r w:rsidRPr="003C66A0">
              <w:rPr>
                <w:b/>
                <w:bCs/>
                <w:color w:val="000000" w:themeColor="text1"/>
              </w:rPr>
              <w:t>Data Sources</w:t>
            </w:r>
          </w:p>
        </w:tc>
        <w:tc>
          <w:tcPr>
            <w:tcW w:w="2610" w:type="dxa"/>
            <w:tcBorders>
              <w:top w:val="single" w:sz="8" w:space="0" w:color="auto"/>
              <w:left w:val="nil"/>
              <w:bottom w:val="single" w:sz="8" w:space="0" w:color="auto"/>
              <w:right w:val="single" w:sz="8" w:space="0" w:color="auto"/>
            </w:tcBorders>
            <w:shd w:val="clear" w:color="000000" w:fill="D9D9D9"/>
            <w:vAlign w:val="center"/>
            <w:hideMark/>
          </w:tcPr>
          <w:p w14:paraId="5573B2A4" w14:textId="77777777" w:rsidR="009B7C69" w:rsidRPr="003C66A0" w:rsidRDefault="009B7C69" w:rsidP="00AE1DED">
            <w:pPr>
              <w:jc w:val="center"/>
              <w:rPr>
                <w:b/>
                <w:bCs/>
                <w:color w:val="000000" w:themeColor="text1"/>
              </w:rPr>
            </w:pPr>
            <w:r w:rsidRPr="003C66A0">
              <w:rPr>
                <w:b/>
                <w:bCs/>
                <w:color w:val="000000" w:themeColor="text1"/>
              </w:rPr>
              <w:t>Validation</w:t>
            </w:r>
          </w:p>
        </w:tc>
      </w:tr>
      <w:tr w:rsidR="00FC334A" w:rsidRPr="003C66A0" w14:paraId="679FBA07" w14:textId="77777777" w:rsidTr="009B7C69">
        <w:trPr>
          <w:trHeight w:val="1020"/>
        </w:trPr>
        <w:tc>
          <w:tcPr>
            <w:tcW w:w="1343" w:type="dxa"/>
            <w:tcBorders>
              <w:top w:val="nil"/>
              <w:left w:val="single" w:sz="8" w:space="0" w:color="auto"/>
              <w:bottom w:val="single" w:sz="4" w:space="0" w:color="auto"/>
              <w:right w:val="single" w:sz="8" w:space="0" w:color="auto"/>
            </w:tcBorders>
            <w:shd w:val="clear" w:color="000000" w:fill="D9D9D9"/>
            <w:vAlign w:val="center"/>
            <w:hideMark/>
          </w:tcPr>
          <w:p w14:paraId="55E7D842" w14:textId="77777777" w:rsidR="009B7C69" w:rsidRPr="003C66A0" w:rsidRDefault="009B7C69" w:rsidP="00AE1DED">
            <w:pPr>
              <w:rPr>
                <w:b/>
                <w:bCs/>
                <w:color w:val="000000" w:themeColor="text1"/>
              </w:rPr>
            </w:pPr>
            <w:r w:rsidRPr="003C66A0">
              <w:rPr>
                <w:b/>
                <w:bCs/>
                <w:color w:val="000000" w:themeColor="text1"/>
              </w:rPr>
              <w:lastRenderedPageBreak/>
              <w:t>Gross APR</w:t>
            </w:r>
          </w:p>
        </w:tc>
        <w:tc>
          <w:tcPr>
            <w:tcW w:w="3057" w:type="dxa"/>
            <w:tcBorders>
              <w:top w:val="nil"/>
              <w:left w:val="nil"/>
              <w:bottom w:val="single" w:sz="4" w:space="0" w:color="auto"/>
              <w:right w:val="single" w:sz="4" w:space="0" w:color="auto"/>
            </w:tcBorders>
            <w:vAlign w:val="center"/>
            <w:hideMark/>
          </w:tcPr>
          <w:p w14:paraId="3A603F2F" w14:textId="77777777" w:rsidR="009B7C69" w:rsidRPr="003C66A0" w:rsidRDefault="009B7C69" w:rsidP="00AE1DED">
            <w:pPr>
              <w:rPr>
                <w:color w:val="000000" w:themeColor="text1"/>
              </w:rPr>
            </w:pPr>
            <w:r w:rsidRPr="003C66A0">
              <w:rPr>
                <w:color w:val="000000" w:themeColor="text1"/>
              </w:rPr>
              <w:t>(</w:t>
            </w:r>
            <w:proofErr w:type="spellStart"/>
            <w:r w:rsidRPr="003C66A0">
              <w:rPr>
                <w:color w:val="000000" w:themeColor="text1"/>
              </w:rPr>
              <w:t>fees_earned</w:t>
            </w:r>
            <w:proofErr w:type="spellEnd"/>
            <w:r w:rsidRPr="003C66A0">
              <w:rPr>
                <w:color w:val="000000" w:themeColor="text1"/>
              </w:rPr>
              <w:t xml:space="preserve"> / </w:t>
            </w:r>
            <w:proofErr w:type="spellStart"/>
            <w:r w:rsidRPr="003C66A0">
              <w:rPr>
                <w:color w:val="000000" w:themeColor="text1"/>
              </w:rPr>
              <w:t>position_value</w:t>
            </w:r>
            <w:proofErr w:type="spellEnd"/>
            <w:r w:rsidRPr="003C66A0">
              <w:rPr>
                <w:color w:val="000000" w:themeColor="text1"/>
              </w:rPr>
              <w:t xml:space="preserve">) * 365 / </w:t>
            </w:r>
            <w:proofErr w:type="spellStart"/>
            <w:r w:rsidRPr="003C66A0">
              <w:rPr>
                <w:color w:val="000000" w:themeColor="text1"/>
              </w:rPr>
              <w:t>days_active</w:t>
            </w:r>
            <w:proofErr w:type="spellEnd"/>
          </w:p>
        </w:tc>
        <w:tc>
          <w:tcPr>
            <w:tcW w:w="2250" w:type="dxa"/>
            <w:tcBorders>
              <w:top w:val="nil"/>
              <w:left w:val="nil"/>
              <w:bottom w:val="single" w:sz="4" w:space="0" w:color="auto"/>
              <w:right w:val="single" w:sz="4" w:space="0" w:color="auto"/>
            </w:tcBorders>
            <w:vAlign w:val="center"/>
            <w:hideMark/>
          </w:tcPr>
          <w:p w14:paraId="1964B46F" w14:textId="77777777" w:rsidR="009B7C69" w:rsidRPr="003C66A0" w:rsidRDefault="009B7C69" w:rsidP="00AE1DED">
            <w:pPr>
              <w:rPr>
                <w:color w:val="000000" w:themeColor="text1"/>
              </w:rPr>
            </w:pPr>
            <w:r w:rsidRPr="003C66A0">
              <w:rPr>
                <w:color w:val="000000" w:themeColor="text1"/>
              </w:rPr>
              <w:t>Pool events, position NFT</w:t>
            </w:r>
          </w:p>
        </w:tc>
        <w:tc>
          <w:tcPr>
            <w:tcW w:w="2610" w:type="dxa"/>
            <w:tcBorders>
              <w:top w:val="nil"/>
              <w:left w:val="nil"/>
              <w:bottom w:val="single" w:sz="4" w:space="0" w:color="auto"/>
              <w:right w:val="single" w:sz="8" w:space="0" w:color="auto"/>
            </w:tcBorders>
            <w:vAlign w:val="center"/>
            <w:hideMark/>
          </w:tcPr>
          <w:p w14:paraId="476ACF4E" w14:textId="77777777" w:rsidR="009B7C69" w:rsidRPr="003C66A0" w:rsidRDefault="009B7C69" w:rsidP="00AE1DED">
            <w:pPr>
              <w:rPr>
                <w:color w:val="000000" w:themeColor="text1"/>
              </w:rPr>
            </w:pPr>
            <w:r w:rsidRPr="003C66A0">
              <w:rPr>
                <w:color w:val="000000" w:themeColor="text1"/>
              </w:rPr>
              <w:t>Cross-check with protocol UI</w:t>
            </w:r>
          </w:p>
        </w:tc>
      </w:tr>
      <w:tr w:rsidR="00FC334A" w:rsidRPr="003C66A0" w14:paraId="2A40937D" w14:textId="77777777" w:rsidTr="009B7C69">
        <w:trPr>
          <w:trHeight w:val="1020"/>
        </w:trPr>
        <w:tc>
          <w:tcPr>
            <w:tcW w:w="1343" w:type="dxa"/>
            <w:tcBorders>
              <w:top w:val="nil"/>
              <w:left w:val="single" w:sz="8" w:space="0" w:color="auto"/>
              <w:bottom w:val="single" w:sz="4" w:space="0" w:color="auto"/>
              <w:right w:val="single" w:sz="8" w:space="0" w:color="auto"/>
            </w:tcBorders>
            <w:shd w:val="clear" w:color="000000" w:fill="D9D9D9"/>
            <w:vAlign w:val="center"/>
            <w:hideMark/>
          </w:tcPr>
          <w:p w14:paraId="75B07E73" w14:textId="77777777" w:rsidR="009B7C69" w:rsidRPr="003C66A0" w:rsidRDefault="009B7C69" w:rsidP="00AE1DED">
            <w:pPr>
              <w:rPr>
                <w:b/>
                <w:bCs/>
                <w:color w:val="000000" w:themeColor="text1"/>
              </w:rPr>
            </w:pPr>
            <w:r w:rsidRPr="003C66A0">
              <w:rPr>
                <w:b/>
                <w:bCs/>
                <w:color w:val="000000" w:themeColor="text1"/>
              </w:rPr>
              <w:t>Net APR</w:t>
            </w:r>
          </w:p>
        </w:tc>
        <w:tc>
          <w:tcPr>
            <w:tcW w:w="3057" w:type="dxa"/>
            <w:tcBorders>
              <w:top w:val="nil"/>
              <w:left w:val="nil"/>
              <w:bottom w:val="single" w:sz="4" w:space="0" w:color="auto"/>
              <w:right w:val="single" w:sz="4" w:space="0" w:color="auto"/>
            </w:tcBorders>
            <w:vAlign w:val="center"/>
            <w:hideMark/>
          </w:tcPr>
          <w:p w14:paraId="0EEFEECD" w14:textId="77777777" w:rsidR="009B7C69" w:rsidRPr="003C66A0" w:rsidRDefault="009B7C69" w:rsidP="00AE1DED">
            <w:pPr>
              <w:rPr>
                <w:color w:val="000000" w:themeColor="text1"/>
              </w:rPr>
            </w:pPr>
            <w:r w:rsidRPr="003C66A0">
              <w:rPr>
                <w:color w:val="000000" w:themeColor="text1"/>
              </w:rPr>
              <w:t>((</w:t>
            </w:r>
            <w:proofErr w:type="spellStart"/>
            <w:r w:rsidRPr="003C66A0">
              <w:rPr>
                <w:color w:val="000000" w:themeColor="text1"/>
              </w:rPr>
              <w:t>fees_earned</w:t>
            </w:r>
            <w:proofErr w:type="spellEnd"/>
            <w:r w:rsidRPr="003C66A0">
              <w:rPr>
                <w:color w:val="000000" w:themeColor="text1"/>
              </w:rPr>
              <w:t xml:space="preserve"> - </w:t>
            </w:r>
            <w:proofErr w:type="spellStart"/>
            <w:r w:rsidRPr="003C66A0">
              <w:rPr>
                <w:color w:val="000000" w:themeColor="text1"/>
              </w:rPr>
              <w:t>gas_costs</w:t>
            </w:r>
            <w:proofErr w:type="spellEnd"/>
            <w:r w:rsidRPr="003C66A0">
              <w:rPr>
                <w:color w:val="000000" w:themeColor="text1"/>
              </w:rPr>
              <w:t xml:space="preserve"> - IL) / </w:t>
            </w:r>
            <w:proofErr w:type="spellStart"/>
            <w:r w:rsidRPr="003C66A0">
              <w:rPr>
                <w:color w:val="000000" w:themeColor="text1"/>
              </w:rPr>
              <w:t>position_value</w:t>
            </w:r>
            <w:proofErr w:type="spellEnd"/>
            <w:r w:rsidRPr="003C66A0">
              <w:rPr>
                <w:color w:val="000000" w:themeColor="text1"/>
              </w:rPr>
              <w:t>) * 365 / days</w:t>
            </w:r>
          </w:p>
        </w:tc>
        <w:tc>
          <w:tcPr>
            <w:tcW w:w="2250" w:type="dxa"/>
            <w:tcBorders>
              <w:top w:val="nil"/>
              <w:left w:val="nil"/>
              <w:bottom w:val="single" w:sz="4" w:space="0" w:color="auto"/>
              <w:right w:val="single" w:sz="4" w:space="0" w:color="auto"/>
            </w:tcBorders>
            <w:vAlign w:val="center"/>
            <w:hideMark/>
          </w:tcPr>
          <w:p w14:paraId="25A8ED0A" w14:textId="77777777" w:rsidR="009B7C69" w:rsidRPr="003C66A0" w:rsidRDefault="009B7C69" w:rsidP="00AE1DED">
            <w:pPr>
              <w:rPr>
                <w:color w:val="000000" w:themeColor="text1"/>
              </w:rPr>
            </w:pPr>
            <w:r w:rsidRPr="003C66A0">
              <w:rPr>
                <w:color w:val="000000" w:themeColor="text1"/>
              </w:rPr>
              <w:t>Multiple on-chain sources</w:t>
            </w:r>
          </w:p>
        </w:tc>
        <w:tc>
          <w:tcPr>
            <w:tcW w:w="2610" w:type="dxa"/>
            <w:tcBorders>
              <w:top w:val="nil"/>
              <w:left w:val="nil"/>
              <w:bottom w:val="single" w:sz="4" w:space="0" w:color="auto"/>
              <w:right w:val="single" w:sz="8" w:space="0" w:color="auto"/>
            </w:tcBorders>
            <w:vAlign w:val="center"/>
            <w:hideMark/>
          </w:tcPr>
          <w:p w14:paraId="5C9A65CF" w14:textId="77777777" w:rsidR="009B7C69" w:rsidRPr="003C66A0" w:rsidRDefault="009B7C69" w:rsidP="00AE1DED">
            <w:pPr>
              <w:rPr>
                <w:color w:val="000000" w:themeColor="text1"/>
              </w:rPr>
            </w:pPr>
            <w:r w:rsidRPr="003C66A0">
              <w:rPr>
                <w:color w:val="000000" w:themeColor="text1"/>
              </w:rPr>
              <w:t>Manual calculation sample</w:t>
            </w:r>
          </w:p>
        </w:tc>
      </w:tr>
      <w:tr w:rsidR="00FC334A" w:rsidRPr="003C66A0" w14:paraId="5814ABF5" w14:textId="77777777" w:rsidTr="009B7C69">
        <w:trPr>
          <w:trHeight w:val="680"/>
        </w:trPr>
        <w:tc>
          <w:tcPr>
            <w:tcW w:w="1343" w:type="dxa"/>
            <w:tcBorders>
              <w:top w:val="nil"/>
              <w:left w:val="single" w:sz="8" w:space="0" w:color="auto"/>
              <w:bottom w:val="single" w:sz="4" w:space="0" w:color="auto"/>
              <w:right w:val="single" w:sz="8" w:space="0" w:color="auto"/>
            </w:tcBorders>
            <w:shd w:val="clear" w:color="000000" w:fill="D9D9D9"/>
            <w:vAlign w:val="center"/>
            <w:hideMark/>
          </w:tcPr>
          <w:p w14:paraId="0A66DB5C" w14:textId="77777777" w:rsidR="009B7C69" w:rsidRPr="003C66A0" w:rsidRDefault="009B7C69" w:rsidP="00AE1DED">
            <w:pPr>
              <w:rPr>
                <w:b/>
                <w:bCs/>
                <w:color w:val="000000" w:themeColor="text1"/>
              </w:rPr>
            </w:pPr>
            <w:r w:rsidRPr="003C66A0">
              <w:rPr>
                <w:b/>
                <w:bCs/>
                <w:color w:val="000000" w:themeColor="text1"/>
              </w:rPr>
              <w:t>Impermanent Loss</w:t>
            </w:r>
          </w:p>
        </w:tc>
        <w:tc>
          <w:tcPr>
            <w:tcW w:w="3057" w:type="dxa"/>
            <w:tcBorders>
              <w:top w:val="nil"/>
              <w:left w:val="nil"/>
              <w:bottom w:val="single" w:sz="4" w:space="0" w:color="auto"/>
              <w:right w:val="single" w:sz="4" w:space="0" w:color="auto"/>
            </w:tcBorders>
            <w:vAlign w:val="center"/>
            <w:hideMark/>
          </w:tcPr>
          <w:p w14:paraId="26FA0DB3" w14:textId="77777777" w:rsidR="009B7C69" w:rsidRPr="003C66A0" w:rsidRDefault="009B7C69" w:rsidP="00AE1DED">
            <w:pPr>
              <w:rPr>
                <w:color w:val="000000" w:themeColor="text1"/>
              </w:rPr>
            </w:pPr>
            <w:r w:rsidRPr="003C66A0">
              <w:rPr>
                <w:color w:val="000000" w:themeColor="text1"/>
              </w:rPr>
              <w:t>2 * sqrt(</w:t>
            </w:r>
            <w:proofErr w:type="spellStart"/>
            <w:r w:rsidRPr="003C66A0">
              <w:rPr>
                <w:color w:val="000000" w:themeColor="text1"/>
              </w:rPr>
              <w:t>price_ratio</w:t>
            </w:r>
            <w:proofErr w:type="spellEnd"/>
            <w:r w:rsidRPr="003C66A0">
              <w:rPr>
                <w:color w:val="000000" w:themeColor="text1"/>
              </w:rPr>
              <w:t xml:space="preserve">) / (1 + </w:t>
            </w:r>
            <w:proofErr w:type="spellStart"/>
            <w:r w:rsidRPr="003C66A0">
              <w:rPr>
                <w:color w:val="000000" w:themeColor="text1"/>
              </w:rPr>
              <w:t>price_ratio</w:t>
            </w:r>
            <w:proofErr w:type="spellEnd"/>
            <w:r w:rsidRPr="003C66A0">
              <w:rPr>
                <w:color w:val="000000" w:themeColor="text1"/>
              </w:rPr>
              <w:t>) - 1</w:t>
            </w:r>
          </w:p>
        </w:tc>
        <w:tc>
          <w:tcPr>
            <w:tcW w:w="2250" w:type="dxa"/>
            <w:tcBorders>
              <w:top w:val="nil"/>
              <w:left w:val="nil"/>
              <w:bottom w:val="single" w:sz="4" w:space="0" w:color="auto"/>
              <w:right w:val="single" w:sz="4" w:space="0" w:color="auto"/>
            </w:tcBorders>
            <w:vAlign w:val="center"/>
            <w:hideMark/>
          </w:tcPr>
          <w:p w14:paraId="61EC451F" w14:textId="77777777" w:rsidR="009B7C69" w:rsidRPr="003C66A0" w:rsidRDefault="009B7C69" w:rsidP="00AE1DED">
            <w:pPr>
              <w:rPr>
                <w:color w:val="000000" w:themeColor="text1"/>
              </w:rPr>
            </w:pPr>
            <w:r w:rsidRPr="003C66A0">
              <w:rPr>
                <w:color w:val="000000" w:themeColor="text1"/>
              </w:rPr>
              <w:t>Price oracles, DEX prices</w:t>
            </w:r>
          </w:p>
        </w:tc>
        <w:tc>
          <w:tcPr>
            <w:tcW w:w="2610" w:type="dxa"/>
            <w:tcBorders>
              <w:top w:val="nil"/>
              <w:left w:val="nil"/>
              <w:bottom w:val="single" w:sz="4" w:space="0" w:color="auto"/>
              <w:right w:val="single" w:sz="8" w:space="0" w:color="auto"/>
            </w:tcBorders>
            <w:vAlign w:val="center"/>
            <w:hideMark/>
          </w:tcPr>
          <w:p w14:paraId="40249FD6" w14:textId="77777777" w:rsidR="009B7C69" w:rsidRPr="003C66A0" w:rsidRDefault="009B7C69" w:rsidP="00AE1DED">
            <w:pPr>
              <w:rPr>
                <w:color w:val="000000" w:themeColor="text1"/>
              </w:rPr>
            </w:pPr>
            <w:r w:rsidRPr="003C66A0">
              <w:rPr>
                <w:color w:val="000000" w:themeColor="text1"/>
              </w:rPr>
              <w:t xml:space="preserve">Compared to </w:t>
            </w:r>
            <w:proofErr w:type="spellStart"/>
            <w:proofErr w:type="gramStart"/>
            <w:r w:rsidRPr="003C66A0">
              <w:rPr>
                <w:color w:val="000000" w:themeColor="text1"/>
              </w:rPr>
              <w:t>rebalancing.finance</w:t>
            </w:r>
            <w:proofErr w:type="spellEnd"/>
            <w:proofErr w:type="gramEnd"/>
          </w:p>
        </w:tc>
      </w:tr>
      <w:tr w:rsidR="00FC334A" w:rsidRPr="003C66A0" w14:paraId="3101DB39" w14:textId="77777777" w:rsidTr="009B7C69">
        <w:trPr>
          <w:trHeight w:val="700"/>
        </w:trPr>
        <w:tc>
          <w:tcPr>
            <w:tcW w:w="1343" w:type="dxa"/>
            <w:tcBorders>
              <w:top w:val="nil"/>
              <w:left w:val="single" w:sz="8" w:space="0" w:color="auto"/>
              <w:bottom w:val="single" w:sz="8" w:space="0" w:color="auto"/>
              <w:right w:val="single" w:sz="8" w:space="0" w:color="auto"/>
            </w:tcBorders>
            <w:shd w:val="clear" w:color="000000" w:fill="D9D9D9"/>
            <w:vAlign w:val="center"/>
            <w:hideMark/>
          </w:tcPr>
          <w:p w14:paraId="2C15C054" w14:textId="77777777" w:rsidR="009B7C69" w:rsidRPr="003C66A0" w:rsidRDefault="009B7C69" w:rsidP="00AE1DED">
            <w:pPr>
              <w:rPr>
                <w:b/>
                <w:bCs/>
                <w:color w:val="000000" w:themeColor="text1"/>
              </w:rPr>
            </w:pPr>
            <w:r w:rsidRPr="003C66A0">
              <w:rPr>
                <w:b/>
                <w:bCs/>
                <w:color w:val="000000" w:themeColor="text1"/>
              </w:rPr>
              <w:t>Gas Efficiency</w:t>
            </w:r>
          </w:p>
        </w:tc>
        <w:tc>
          <w:tcPr>
            <w:tcW w:w="3057" w:type="dxa"/>
            <w:tcBorders>
              <w:top w:val="nil"/>
              <w:left w:val="nil"/>
              <w:bottom w:val="single" w:sz="8" w:space="0" w:color="auto"/>
              <w:right w:val="single" w:sz="4" w:space="0" w:color="auto"/>
            </w:tcBorders>
            <w:vAlign w:val="center"/>
            <w:hideMark/>
          </w:tcPr>
          <w:p w14:paraId="598026B0" w14:textId="77777777" w:rsidR="009B7C69" w:rsidRPr="003C66A0" w:rsidRDefault="009B7C69" w:rsidP="00AE1DED">
            <w:pPr>
              <w:rPr>
                <w:color w:val="000000" w:themeColor="text1"/>
              </w:rPr>
            </w:pPr>
            <w:proofErr w:type="spellStart"/>
            <w:r w:rsidRPr="003C66A0">
              <w:rPr>
                <w:color w:val="000000" w:themeColor="text1"/>
              </w:rPr>
              <w:t>gas_costs</w:t>
            </w:r>
            <w:proofErr w:type="spellEnd"/>
            <w:r w:rsidRPr="003C66A0">
              <w:rPr>
                <w:color w:val="000000" w:themeColor="text1"/>
              </w:rPr>
              <w:t xml:space="preserve"> / (</w:t>
            </w:r>
            <w:proofErr w:type="spellStart"/>
            <w:r w:rsidRPr="003C66A0">
              <w:rPr>
                <w:color w:val="000000" w:themeColor="text1"/>
              </w:rPr>
              <w:t>position_value</w:t>
            </w:r>
            <w:proofErr w:type="spellEnd"/>
            <w:r w:rsidRPr="003C66A0">
              <w:rPr>
                <w:color w:val="000000" w:themeColor="text1"/>
              </w:rPr>
              <w:t xml:space="preserve"> * </w:t>
            </w:r>
            <w:proofErr w:type="spellStart"/>
            <w:r w:rsidRPr="003C66A0">
              <w:rPr>
                <w:color w:val="000000" w:themeColor="text1"/>
              </w:rPr>
              <w:t>days_active</w:t>
            </w:r>
            <w:proofErr w:type="spellEnd"/>
            <w:r w:rsidRPr="003C66A0">
              <w:rPr>
                <w:color w:val="000000" w:themeColor="text1"/>
              </w:rPr>
              <w:t xml:space="preserve"> / 365)</w:t>
            </w:r>
          </w:p>
        </w:tc>
        <w:tc>
          <w:tcPr>
            <w:tcW w:w="2250" w:type="dxa"/>
            <w:tcBorders>
              <w:top w:val="nil"/>
              <w:left w:val="nil"/>
              <w:bottom w:val="single" w:sz="8" w:space="0" w:color="auto"/>
              <w:right w:val="single" w:sz="4" w:space="0" w:color="auto"/>
            </w:tcBorders>
            <w:vAlign w:val="center"/>
            <w:hideMark/>
          </w:tcPr>
          <w:p w14:paraId="2459156A" w14:textId="77777777" w:rsidR="009B7C69" w:rsidRPr="003C66A0" w:rsidRDefault="009B7C69" w:rsidP="00AE1DED">
            <w:pPr>
              <w:rPr>
                <w:color w:val="000000" w:themeColor="text1"/>
              </w:rPr>
            </w:pPr>
            <w:proofErr w:type="spellStart"/>
            <w:r w:rsidRPr="003C66A0">
              <w:rPr>
                <w:color w:val="000000" w:themeColor="text1"/>
              </w:rPr>
              <w:t>Etherscan</w:t>
            </w:r>
            <w:proofErr w:type="spellEnd"/>
            <w:r w:rsidRPr="003C66A0">
              <w:rPr>
                <w:color w:val="000000" w:themeColor="text1"/>
              </w:rPr>
              <w:t>, position data</w:t>
            </w:r>
          </w:p>
        </w:tc>
        <w:tc>
          <w:tcPr>
            <w:tcW w:w="2610" w:type="dxa"/>
            <w:tcBorders>
              <w:top w:val="nil"/>
              <w:left w:val="nil"/>
              <w:bottom w:val="single" w:sz="8" w:space="0" w:color="auto"/>
              <w:right w:val="single" w:sz="8" w:space="0" w:color="auto"/>
            </w:tcBorders>
            <w:vAlign w:val="center"/>
            <w:hideMark/>
          </w:tcPr>
          <w:p w14:paraId="0897576E" w14:textId="77777777" w:rsidR="009B7C69" w:rsidRPr="003C66A0" w:rsidRDefault="009B7C69" w:rsidP="00AE1DED">
            <w:pPr>
              <w:rPr>
                <w:color w:val="000000" w:themeColor="text1"/>
              </w:rPr>
            </w:pPr>
            <w:r w:rsidRPr="003C66A0">
              <w:rPr>
                <w:color w:val="000000" w:themeColor="text1"/>
              </w:rPr>
              <w:t>Verify against gas trackers</w:t>
            </w:r>
          </w:p>
        </w:tc>
      </w:tr>
    </w:tbl>
    <w:p w14:paraId="47B96E18" w14:textId="60178679" w:rsidR="00145035" w:rsidRPr="003C66A0" w:rsidRDefault="00385644" w:rsidP="00AE1DED">
      <w:pPr>
        <w:ind w:right="90"/>
        <w:jc w:val="both"/>
        <w:rPr>
          <w:rFonts w:eastAsiaTheme="majorEastAsia"/>
          <w:i/>
          <w:iCs/>
          <w:color w:val="000000" w:themeColor="text1"/>
        </w:rPr>
      </w:pPr>
      <w:r w:rsidRPr="003C66A0">
        <w:rPr>
          <w:rFonts w:eastAsiaTheme="majorEastAsia"/>
          <w:i/>
          <w:iCs/>
          <w:color w:val="000000" w:themeColor="text1"/>
        </w:rPr>
        <w:t xml:space="preserve">Interpretive Note: </w:t>
      </w:r>
      <w:r w:rsidRPr="006C6C94">
        <w:rPr>
          <w:rFonts w:eastAsiaTheme="majorEastAsia"/>
          <w:color w:val="000000" w:themeColor="text1"/>
        </w:rPr>
        <w:t>The complexity of calculating true returns (requiring multiple on-chain sources and manual validation) explains why most participants couldn't accurately assess their own performance—the technical barrier to even measuring success represents a form of exclusion.</w:t>
      </w:r>
    </w:p>
    <w:p w14:paraId="2745A51C" w14:textId="77777777" w:rsidR="00145035" w:rsidRPr="003C66A0" w:rsidRDefault="00145035" w:rsidP="00AE1DED">
      <w:pPr>
        <w:jc w:val="both"/>
        <w:rPr>
          <w:rFonts w:eastAsiaTheme="majorEastAsia"/>
          <w:b/>
          <w:bCs/>
          <w:i/>
          <w:iCs/>
          <w:color w:val="000000" w:themeColor="text1"/>
        </w:rPr>
      </w:pPr>
    </w:p>
    <w:p w14:paraId="66618277" w14:textId="77777777" w:rsidR="00702777" w:rsidRPr="003C66A0" w:rsidRDefault="00702777" w:rsidP="00AE1DED">
      <w:pPr>
        <w:jc w:val="both"/>
        <w:rPr>
          <w:rFonts w:eastAsiaTheme="majorEastAsia"/>
          <w:b/>
          <w:bCs/>
          <w:color w:val="000000" w:themeColor="text1"/>
        </w:rPr>
      </w:pPr>
    </w:p>
    <w:p w14:paraId="379C7BF4" w14:textId="36F484C3" w:rsidR="00126CEB" w:rsidRPr="003C66A0" w:rsidRDefault="00E26ED1" w:rsidP="00AE1DED">
      <w:pPr>
        <w:pStyle w:val="Heading3"/>
        <w:jc w:val="both"/>
        <w:rPr>
          <w:rFonts w:eastAsiaTheme="majorEastAsia"/>
        </w:rPr>
      </w:pPr>
      <w:bookmarkStart w:id="275" w:name="_Toc214722081"/>
      <w:r w:rsidRPr="003C66A0">
        <w:rPr>
          <w:rFonts w:eastAsiaTheme="majorEastAsia"/>
        </w:rPr>
        <w:t>D</w:t>
      </w:r>
      <w:r w:rsidR="00126CEB" w:rsidRPr="003C66A0">
        <w:rPr>
          <w:rFonts w:eastAsiaTheme="majorEastAsia"/>
        </w:rPr>
        <w:t>.4 Interview Methodology</w:t>
      </w:r>
      <w:bookmarkEnd w:id="275"/>
    </w:p>
    <w:p w14:paraId="094C23E6" w14:textId="5F8DF2C0" w:rsidR="00126CEB" w:rsidRPr="003C66A0" w:rsidRDefault="00E26ED1" w:rsidP="00AE1DED">
      <w:pPr>
        <w:pStyle w:val="Heading4"/>
        <w:jc w:val="both"/>
        <w:rPr>
          <w:rFonts w:eastAsiaTheme="majorEastAsia"/>
        </w:rPr>
      </w:pPr>
      <w:r w:rsidRPr="003C66A0">
        <w:rPr>
          <w:rFonts w:eastAsiaTheme="majorEastAsia"/>
        </w:rPr>
        <w:t>D</w:t>
      </w:r>
      <w:r w:rsidR="00126CEB" w:rsidRPr="003C66A0">
        <w:rPr>
          <w:rFonts w:eastAsiaTheme="majorEastAsia"/>
        </w:rPr>
        <w:t>.4.1 Participant Recruitment</w:t>
      </w:r>
    </w:p>
    <w:p w14:paraId="1AAB68F3" w14:textId="77777777" w:rsidR="00126CEB" w:rsidRPr="003C66A0" w:rsidRDefault="00126CEB" w:rsidP="00AE1DED">
      <w:pPr>
        <w:jc w:val="both"/>
        <w:rPr>
          <w:rFonts w:eastAsiaTheme="majorEastAsia"/>
          <w:color w:val="000000" w:themeColor="text1"/>
        </w:rPr>
      </w:pPr>
    </w:p>
    <w:p w14:paraId="339C5C60" w14:textId="77777777" w:rsidR="00126CEB" w:rsidRPr="003C66A0" w:rsidRDefault="00126CEB" w:rsidP="00AE1DED">
      <w:pPr>
        <w:jc w:val="both"/>
        <w:rPr>
          <w:rFonts w:eastAsiaTheme="majorEastAsia"/>
          <w:color w:val="000000" w:themeColor="text1"/>
        </w:rPr>
      </w:pPr>
      <w:r w:rsidRPr="003C66A0">
        <w:rPr>
          <w:rFonts w:eastAsiaTheme="majorEastAsia"/>
          <w:color w:val="000000" w:themeColor="text1"/>
        </w:rPr>
        <w:t>Recruitment Channels and Yields:</w:t>
      </w:r>
    </w:p>
    <w:p w14:paraId="109092FD" w14:textId="77777777" w:rsidR="00126CEB" w:rsidRPr="003C66A0" w:rsidRDefault="00126CEB" w:rsidP="00AE1DED">
      <w:pPr>
        <w:jc w:val="both"/>
        <w:rPr>
          <w:rFonts w:eastAsiaTheme="majorEastAsia"/>
          <w:color w:val="000000" w:themeColor="text1"/>
        </w:rPr>
      </w:pPr>
      <w:r w:rsidRPr="003C66A0">
        <w:rPr>
          <w:rFonts w:eastAsiaTheme="majorEastAsia"/>
          <w:color w:val="000000" w:themeColor="text1"/>
        </w:rPr>
        <w:t>1. DeFi Discord/Telegram Communities (11 participants)</w:t>
      </w:r>
    </w:p>
    <w:p w14:paraId="1563ABA9" w14:textId="02940FCD" w:rsidR="00126CEB" w:rsidRPr="003C66A0" w:rsidRDefault="00126CEB" w:rsidP="00AE1DED">
      <w:pPr>
        <w:pStyle w:val="ListParagraph"/>
        <w:numPr>
          <w:ilvl w:val="0"/>
          <w:numId w:val="27"/>
        </w:numPr>
        <w:jc w:val="both"/>
        <w:outlineLvl w:val="9"/>
        <w:rPr>
          <w:rFonts w:eastAsiaTheme="majorEastAsia"/>
          <w:color w:val="000000" w:themeColor="text1"/>
        </w:rPr>
      </w:pPr>
      <w:r w:rsidRPr="003C66A0">
        <w:rPr>
          <w:rFonts w:eastAsiaTheme="majorEastAsia"/>
          <w:color w:val="000000" w:themeColor="text1"/>
        </w:rPr>
        <w:t>Posted in: DeFi Alpha, Uniswap, Curve communities</w:t>
      </w:r>
    </w:p>
    <w:p w14:paraId="2BBD2B44" w14:textId="1AF1161C" w:rsidR="00126CEB" w:rsidRPr="003C66A0" w:rsidRDefault="00126CEB" w:rsidP="00AE1DED">
      <w:pPr>
        <w:pStyle w:val="ListParagraph"/>
        <w:numPr>
          <w:ilvl w:val="0"/>
          <w:numId w:val="27"/>
        </w:numPr>
        <w:jc w:val="both"/>
        <w:outlineLvl w:val="9"/>
        <w:rPr>
          <w:rFonts w:eastAsiaTheme="majorEastAsia"/>
          <w:color w:val="000000" w:themeColor="text1"/>
        </w:rPr>
      </w:pPr>
      <w:r w:rsidRPr="003C66A0">
        <w:rPr>
          <w:rFonts w:eastAsiaTheme="majorEastAsia"/>
          <w:color w:val="000000" w:themeColor="text1"/>
        </w:rPr>
        <w:t>Response rate: 3.2% (344 contacted, 11 participated)</w:t>
      </w:r>
    </w:p>
    <w:p w14:paraId="1331A460" w14:textId="2CC43801" w:rsidR="00126CEB" w:rsidRPr="003C66A0" w:rsidRDefault="00126CEB" w:rsidP="00AE1DED">
      <w:pPr>
        <w:pStyle w:val="ListParagraph"/>
        <w:numPr>
          <w:ilvl w:val="0"/>
          <w:numId w:val="27"/>
        </w:numPr>
        <w:jc w:val="both"/>
        <w:outlineLvl w:val="9"/>
        <w:rPr>
          <w:rFonts w:eastAsiaTheme="majorEastAsia"/>
          <w:color w:val="000000" w:themeColor="text1"/>
        </w:rPr>
      </w:pPr>
      <w:r w:rsidRPr="003C66A0">
        <w:rPr>
          <w:rFonts w:eastAsiaTheme="majorEastAsia"/>
          <w:color w:val="000000" w:themeColor="text1"/>
        </w:rPr>
        <w:t>Screening: Required proof of LP position via signed message</w:t>
      </w:r>
    </w:p>
    <w:p w14:paraId="727BB417" w14:textId="77777777" w:rsidR="00126CEB" w:rsidRPr="003C66A0" w:rsidRDefault="00126CEB" w:rsidP="00AE1DED">
      <w:pPr>
        <w:jc w:val="both"/>
        <w:rPr>
          <w:rFonts w:eastAsiaTheme="majorEastAsia"/>
          <w:color w:val="000000" w:themeColor="text1"/>
        </w:rPr>
      </w:pPr>
    </w:p>
    <w:p w14:paraId="0EB8BF8F" w14:textId="77777777" w:rsidR="00126CEB" w:rsidRPr="003C66A0" w:rsidRDefault="00126CEB" w:rsidP="00AE1DED">
      <w:pPr>
        <w:jc w:val="both"/>
        <w:rPr>
          <w:rFonts w:eastAsiaTheme="majorEastAsia"/>
          <w:color w:val="000000" w:themeColor="text1"/>
        </w:rPr>
      </w:pPr>
      <w:r w:rsidRPr="003C66A0">
        <w:rPr>
          <w:rFonts w:eastAsiaTheme="majorEastAsia"/>
          <w:color w:val="000000" w:themeColor="text1"/>
        </w:rPr>
        <w:t xml:space="preserve">2. Crypto Twitter/X (8 participants)  </w:t>
      </w:r>
    </w:p>
    <w:p w14:paraId="60998553" w14:textId="2F1FCF59" w:rsidR="00126CEB" w:rsidRPr="003C66A0" w:rsidRDefault="00126CEB" w:rsidP="00AE1DED">
      <w:pPr>
        <w:pStyle w:val="ListParagraph"/>
        <w:numPr>
          <w:ilvl w:val="0"/>
          <w:numId w:val="27"/>
        </w:numPr>
        <w:jc w:val="both"/>
        <w:outlineLvl w:val="9"/>
        <w:rPr>
          <w:rFonts w:eastAsiaTheme="majorEastAsia"/>
          <w:color w:val="000000" w:themeColor="text1"/>
        </w:rPr>
      </w:pPr>
      <w:r w:rsidRPr="003C66A0">
        <w:rPr>
          <w:rFonts w:eastAsiaTheme="majorEastAsia"/>
          <w:color w:val="000000" w:themeColor="text1"/>
        </w:rPr>
        <w:t>Targeted users discussing LP returns</w:t>
      </w:r>
    </w:p>
    <w:p w14:paraId="7C9C99B7" w14:textId="2EAA6247" w:rsidR="00126CEB" w:rsidRPr="003C66A0" w:rsidRDefault="00126CEB" w:rsidP="00AE1DED">
      <w:pPr>
        <w:pStyle w:val="ListParagraph"/>
        <w:numPr>
          <w:ilvl w:val="0"/>
          <w:numId w:val="27"/>
        </w:numPr>
        <w:jc w:val="both"/>
        <w:outlineLvl w:val="9"/>
        <w:rPr>
          <w:rFonts w:eastAsiaTheme="majorEastAsia"/>
          <w:color w:val="000000" w:themeColor="text1"/>
        </w:rPr>
      </w:pPr>
      <w:r w:rsidRPr="003C66A0">
        <w:rPr>
          <w:rFonts w:eastAsiaTheme="majorEastAsia"/>
          <w:color w:val="000000" w:themeColor="text1"/>
        </w:rPr>
        <w:t>Response rate: 1.8% (444 contacted, 8 participated)</w:t>
      </w:r>
    </w:p>
    <w:p w14:paraId="1EC1F625" w14:textId="5C883BA1" w:rsidR="00126CEB" w:rsidRPr="003C66A0" w:rsidRDefault="00126CEB" w:rsidP="00AE1DED">
      <w:pPr>
        <w:pStyle w:val="ListParagraph"/>
        <w:numPr>
          <w:ilvl w:val="0"/>
          <w:numId w:val="27"/>
        </w:numPr>
        <w:jc w:val="both"/>
        <w:outlineLvl w:val="9"/>
        <w:rPr>
          <w:rFonts w:eastAsiaTheme="majorEastAsia"/>
          <w:color w:val="000000" w:themeColor="text1"/>
        </w:rPr>
      </w:pPr>
      <w:r w:rsidRPr="003C66A0">
        <w:rPr>
          <w:rFonts w:eastAsiaTheme="majorEastAsia"/>
          <w:color w:val="000000" w:themeColor="text1"/>
        </w:rPr>
        <w:t>Verification: On-chain address verification</w:t>
      </w:r>
    </w:p>
    <w:p w14:paraId="120CBC3E" w14:textId="77777777" w:rsidR="00126CEB" w:rsidRPr="003C66A0" w:rsidRDefault="00126CEB" w:rsidP="00AE1DED">
      <w:pPr>
        <w:jc w:val="both"/>
        <w:rPr>
          <w:rFonts w:eastAsiaTheme="majorEastAsia"/>
          <w:color w:val="000000" w:themeColor="text1"/>
        </w:rPr>
      </w:pPr>
    </w:p>
    <w:p w14:paraId="0D9E3EFD" w14:textId="77777777" w:rsidR="00126CEB" w:rsidRPr="003C66A0" w:rsidRDefault="00126CEB" w:rsidP="00AE1DED">
      <w:pPr>
        <w:jc w:val="both"/>
        <w:rPr>
          <w:rFonts w:eastAsiaTheme="majorEastAsia"/>
          <w:color w:val="000000" w:themeColor="text1"/>
        </w:rPr>
      </w:pPr>
      <w:r w:rsidRPr="003C66A0">
        <w:rPr>
          <w:rFonts w:eastAsiaTheme="majorEastAsia"/>
          <w:color w:val="000000" w:themeColor="text1"/>
        </w:rPr>
        <w:t>3. Snowball Sampling (5 participants)</w:t>
      </w:r>
    </w:p>
    <w:p w14:paraId="0AE326B0" w14:textId="08E56C8C" w:rsidR="00126CEB" w:rsidRPr="003C66A0" w:rsidRDefault="00126CEB" w:rsidP="00AE1DED">
      <w:pPr>
        <w:pStyle w:val="ListParagraph"/>
        <w:numPr>
          <w:ilvl w:val="0"/>
          <w:numId w:val="26"/>
        </w:numPr>
        <w:jc w:val="both"/>
        <w:outlineLvl w:val="9"/>
        <w:rPr>
          <w:rFonts w:eastAsiaTheme="majorEastAsia"/>
          <w:color w:val="000000" w:themeColor="text1"/>
        </w:rPr>
      </w:pPr>
      <w:r w:rsidRPr="003C66A0">
        <w:rPr>
          <w:rFonts w:eastAsiaTheme="majorEastAsia"/>
          <w:color w:val="000000" w:themeColor="text1"/>
        </w:rPr>
        <w:t>Referrals from initial participants</w:t>
      </w:r>
    </w:p>
    <w:p w14:paraId="474FD8F2" w14:textId="050F523F" w:rsidR="00126CEB" w:rsidRPr="003C66A0" w:rsidRDefault="00126CEB" w:rsidP="00AE1DED">
      <w:pPr>
        <w:pStyle w:val="ListParagraph"/>
        <w:numPr>
          <w:ilvl w:val="0"/>
          <w:numId w:val="26"/>
        </w:numPr>
        <w:jc w:val="both"/>
        <w:outlineLvl w:val="9"/>
        <w:rPr>
          <w:rFonts w:eastAsiaTheme="majorEastAsia"/>
          <w:color w:val="000000" w:themeColor="text1"/>
        </w:rPr>
      </w:pPr>
      <w:r w:rsidRPr="003C66A0">
        <w:rPr>
          <w:rFonts w:eastAsiaTheme="majorEastAsia"/>
          <w:color w:val="000000" w:themeColor="text1"/>
        </w:rPr>
        <w:t>Response rate: 41.7% (12 referred, 5 participated)</w:t>
      </w:r>
    </w:p>
    <w:p w14:paraId="5D429FCB" w14:textId="6C419FD8" w:rsidR="00126CEB" w:rsidRPr="003C66A0" w:rsidRDefault="00126CEB" w:rsidP="00AE1DED">
      <w:pPr>
        <w:pStyle w:val="ListParagraph"/>
        <w:numPr>
          <w:ilvl w:val="0"/>
          <w:numId w:val="26"/>
        </w:numPr>
        <w:jc w:val="both"/>
        <w:outlineLvl w:val="9"/>
        <w:rPr>
          <w:rFonts w:eastAsiaTheme="majorEastAsia"/>
          <w:color w:val="000000" w:themeColor="text1"/>
        </w:rPr>
      </w:pPr>
      <w:r w:rsidRPr="003C66A0">
        <w:rPr>
          <w:rFonts w:eastAsiaTheme="majorEastAsia"/>
          <w:color w:val="000000" w:themeColor="text1"/>
        </w:rPr>
        <w:t xml:space="preserve">Quality: </w:t>
      </w:r>
      <w:proofErr w:type="gramStart"/>
      <w:r w:rsidRPr="003C66A0">
        <w:rPr>
          <w:rFonts w:eastAsiaTheme="majorEastAsia"/>
          <w:color w:val="000000" w:themeColor="text1"/>
        </w:rPr>
        <w:t>Highest depth</w:t>
      </w:r>
      <w:proofErr w:type="gramEnd"/>
      <w:r w:rsidRPr="003C66A0">
        <w:rPr>
          <w:rFonts w:eastAsiaTheme="majorEastAsia"/>
          <w:color w:val="000000" w:themeColor="text1"/>
        </w:rPr>
        <w:t xml:space="preserve"> interviews</w:t>
      </w:r>
    </w:p>
    <w:p w14:paraId="5FF90D74" w14:textId="77777777" w:rsidR="00126CEB" w:rsidRPr="003C66A0" w:rsidRDefault="00126CEB" w:rsidP="00AE1DED">
      <w:pPr>
        <w:jc w:val="both"/>
        <w:rPr>
          <w:rFonts w:eastAsiaTheme="majorEastAsia"/>
          <w:color w:val="000000" w:themeColor="text1"/>
        </w:rPr>
      </w:pPr>
    </w:p>
    <w:p w14:paraId="70860BC1" w14:textId="77777777" w:rsidR="00126CEB" w:rsidRPr="003C66A0" w:rsidRDefault="00126CEB" w:rsidP="00AE1DED">
      <w:pPr>
        <w:jc w:val="both"/>
        <w:rPr>
          <w:rFonts w:eastAsiaTheme="majorEastAsia"/>
          <w:color w:val="000000" w:themeColor="text1"/>
        </w:rPr>
      </w:pPr>
      <w:r w:rsidRPr="003C66A0">
        <w:rPr>
          <w:rFonts w:eastAsiaTheme="majorEastAsia"/>
          <w:color w:val="000000" w:themeColor="text1"/>
        </w:rPr>
        <w:t>4. Direct On-chain Contact (3 participants)</w:t>
      </w:r>
    </w:p>
    <w:p w14:paraId="617DEB8A" w14:textId="1455E9ED" w:rsidR="00126CEB" w:rsidRPr="003C66A0" w:rsidRDefault="00126CEB" w:rsidP="00AE1DED">
      <w:pPr>
        <w:pStyle w:val="ListParagraph"/>
        <w:numPr>
          <w:ilvl w:val="0"/>
          <w:numId w:val="25"/>
        </w:numPr>
        <w:jc w:val="both"/>
        <w:outlineLvl w:val="9"/>
        <w:rPr>
          <w:rFonts w:eastAsiaTheme="majorEastAsia"/>
          <w:color w:val="000000" w:themeColor="text1"/>
        </w:rPr>
      </w:pPr>
      <w:r w:rsidRPr="003C66A0">
        <w:rPr>
          <w:rFonts w:eastAsiaTheme="majorEastAsia"/>
          <w:color w:val="000000" w:themeColor="text1"/>
        </w:rPr>
        <w:t>ENS names with contact info</w:t>
      </w:r>
    </w:p>
    <w:p w14:paraId="36C1F3DC" w14:textId="47066099" w:rsidR="00126CEB" w:rsidRPr="003C66A0" w:rsidRDefault="00126CEB" w:rsidP="00AE1DED">
      <w:pPr>
        <w:pStyle w:val="ListParagraph"/>
        <w:numPr>
          <w:ilvl w:val="0"/>
          <w:numId w:val="25"/>
        </w:numPr>
        <w:jc w:val="both"/>
        <w:outlineLvl w:val="9"/>
        <w:rPr>
          <w:rFonts w:eastAsiaTheme="majorEastAsia"/>
          <w:color w:val="000000" w:themeColor="text1"/>
        </w:rPr>
      </w:pPr>
      <w:r w:rsidRPr="003C66A0">
        <w:rPr>
          <w:rFonts w:eastAsiaTheme="majorEastAsia"/>
          <w:color w:val="000000" w:themeColor="text1"/>
        </w:rPr>
        <w:t>Response rate: 0.8% (375 attempted, 3 participated)</w:t>
      </w:r>
    </w:p>
    <w:p w14:paraId="49B519E2" w14:textId="70A8CDFC" w:rsidR="00126CEB" w:rsidRPr="003C66A0" w:rsidRDefault="00126CEB" w:rsidP="00AE1DED">
      <w:pPr>
        <w:pStyle w:val="ListParagraph"/>
        <w:numPr>
          <w:ilvl w:val="0"/>
          <w:numId w:val="25"/>
        </w:numPr>
        <w:jc w:val="both"/>
        <w:outlineLvl w:val="9"/>
        <w:rPr>
          <w:rFonts w:eastAsiaTheme="majorEastAsia"/>
          <w:color w:val="000000" w:themeColor="text1"/>
        </w:rPr>
      </w:pPr>
      <w:r w:rsidRPr="003C66A0">
        <w:rPr>
          <w:rFonts w:eastAsiaTheme="majorEastAsia"/>
          <w:color w:val="000000" w:themeColor="text1"/>
        </w:rPr>
        <w:t>Value: Most sophisticated strategies</w:t>
      </w:r>
    </w:p>
    <w:p w14:paraId="28585433" w14:textId="77777777" w:rsidR="009A16FC" w:rsidRPr="003C66A0" w:rsidRDefault="009A16FC" w:rsidP="00AE1DED">
      <w:pPr>
        <w:jc w:val="both"/>
        <w:rPr>
          <w:rFonts w:eastAsiaTheme="majorEastAsia"/>
          <w:b/>
          <w:bCs/>
          <w:color w:val="000000" w:themeColor="text1"/>
        </w:rPr>
      </w:pPr>
      <w:r w:rsidRPr="003C66A0">
        <w:rPr>
          <w:rFonts w:eastAsiaTheme="majorEastAsia"/>
          <w:b/>
          <w:bCs/>
          <w:color w:val="000000" w:themeColor="text1"/>
        </w:rPr>
        <w:br w:type="page"/>
      </w:r>
    </w:p>
    <w:p w14:paraId="781F4D43" w14:textId="1E8E2F56" w:rsidR="00126CEB" w:rsidRPr="003C66A0" w:rsidRDefault="00392A6F" w:rsidP="00AE1DED">
      <w:pPr>
        <w:pStyle w:val="Heading4"/>
        <w:rPr>
          <w:rFonts w:eastAsiaTheme="majorEastAsia"/>
        </w:rPr>
      </w:pPr>
      <w:r w:rsidRPr="003C66A0">
        <w:rPr>
          <w:rFonts w:eastAsiaTheme="majorEastAsia"/>
        </w:rPr>
        <w:lastRenderedPageBreak/>
        <w:t xml:space="preserve">Table </w:t>
      </w:r>
      <w:r w:rsidR="00E26ED1" w:rsidRPr="003C66A0">
        <w:rPr>
          <w:rFonts w:eastAsiaTheme="majorEastAsia"/>
        </w:rPr>
        <w:t>D</w:t>
      </w:r>
      <w:r w:rsidR="00126CEB" w:rsidRPr="003C66A0">
        <w:rPr>
          <w:rFonts w:eastAsiaTheme="majorEastAsia"/>
        </w:rPr>
        <w:t>.4.2 Interview Procedures</w:t>
      </w:r>
    </w:p>
    <w:p w14:paraId="5905CDC3" w14:textId="77777777" w:rsidR="009A16FC" w:rsidRPr="003C66A0" w:rsidRDefault="009A16FC" w:rsidP="00AE1DED">
      <w:pPr>
        <w:rPr>
          <w:rFonts w:eastAsiaTheme="majorEastAsia"/>
          <w:b/>
          <w:bCs/>
          <w:i/>
          <w:iCs/>
          <w:color w:val="000000" w:themeColor="text1"/>
        </w:rPr>
      </w:pPr>
    </w:p>
    <w:tbl>
      <w:tblPr>
        <w:tblW w:w="9440" w:type="dxa"/>
        <w:tblLook w:val="04A0" w:firstRow="1" w:lastRow="0" w:firstColumn="1" w:lastColumn="0" w:noHBand="0" w:noVBand="1"/>
      </w:tblPr>
      <w:tblGrid>
        <w:gridCol w:w="1430"/>
        <w:gridCol w:w="1150"/>
        <w:gridCol w:w="3440"/>
        <w:gridCol w:w="3420"/>
      </w:tblGrid>
      <w:tr w:rsidR="00FC334A" w:rsidRPr="003C66A0" w14:paraId="27ECB676" w14:textId="77777777" w:rsidTr="00826172">
        <w:trPr>
          <w:trHeight w:val="360"/>
        </w:trPr>
        <w:tc>
          <w:tcPr>
            <w:tcW w:w="143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2DF49C4E" w14:textId="77777777" w:rsidR="009F4996" w:rsidRPr="003C66A0" w:rsidRDefault="009F4996" w:rsidP="00AE1DED">
            <w:pPr>
              <w:jc w:val="center"/>
              <w:rPr>
                <w:b/>
                <w:bCs/>
                <w:color w:val="000000" w:themeColor="text1"/>
              </w:rPr>
            </w:pPr>
            <w:r w:rsidRPr="003C66A0">
              <w:rPr>
                <w:b/>
                <w:bCs/>
                <w:color w:val="000000" w:themeColor="text1"/>
              </w:rPr>
              <w:t>Phase</w:t>
            </w:r>
          </w:p>
        </w:tc>
        <w:tc>
          <w:tcPr>
            <w:tcW w:w="1150" w:type="dxa"/>
            <w:tcBorders>
              <w:top w:val="single" w:sz="8" w:space="0" w:color="auto"/>
              <w:left w:val="nil"/>
              <w:bottom w:val="single" w:sz="8" w:space="0" w:color="auto"/>
              <w:right w:val="single" w:sz="4" w:space="0" w:color="auto"/>
            </w:tcBorders>
            <w:shd w:val="clear" w:color="000000" w:fill="D9D9D9"/>
            <w:vAlign w:val="center"/>
            <w:hideMark/>
          </w:tcPr>
          <w:p w14:paraId="1C1D2000" w14:textId="77777777" w:rsidR="009F4996" w:rsidRPr="003C66A0" w:rsidRDefault="009F4996" w:rsidP="00AE1DED">
            <w:pPr>
              <w:jc w:val="center"/>
              <w:rPr>
                <w:b/>
                <w:bCs/>
                <w:color w:val="000000" w:themeColor="text1"/>
              </w:rPr>
            </w:pPr>
            <w:r w:rsidRPr="003C66A0">
              <w:rPr>
                <w:b/>
                <w:bCs/>
                <w:color w:val="000000" w:themeColor="text1"/>
              </w:rPr>
              <w:t>Duration</w:t>
            </w:r>
          </w:p>
        </w:tc>
        <w:tc>
          <w:tcPr>
            <w:tcW w:w="3440" w:type="dxa"/>
            <w:tcBorders>
              <w:top w:val="single" w:sz="8" w:space="0" w:color="auto"/>
              <w:left w:val="nil"/>
              <w:bottom w:val="single" w:sz="8" w:space="0" w:color="auto"/>
              <w:right w:val="single" w:sz="4" w:space="0" w:color="auto"/>
            </w:tcBorders>
            <w:shd w:val="clear" w:color="000000" w:fill="D9D9D9"/>
            <w:vAlign w:val="center"/>
            <w:hideMark/>
          </w:tcPr>
          <w:p w14:paraId="2461544D" w14:textId="77777777" w:rsidR="009F4996" w:rsidRPr="003C66A0" w:rsidRDefault="009F4996" w:rsidP="00AE1DED">
            <w:pPr>
              <w:jc w:val="center"/>
              <w:rPr>
                <w:b/>
                <w:bCs/>
                <w:color w:val="000000" w:themeColor="text1"/>
              </w:rPr>
            </w:pPr>
            <w:r w:rsidRPr="003C66A0">
              <w:rPr>
                <w:b/>
                <w:bCs/>
                <w:color w:val="000000" w:themeColor="text1"/>
              </w:rPr>
              <w:t>Activities</w:t>
            </w:r>
          </w:p>
        </w:tc>
        <w:tc>
          <w:tcPr>
            <w:tcW w:w="3420" w:type="dxa"/>
            <w:tcBorders>
              <w:top w:val="single" w:sz="8" w:space="0" w:color="auto"/>
              <w:left w:val="nil"/>
              <w:bottom w:val="single" w:sz="8" w:space="0" w:color="auto"/>
              <w:right w:val="single" w:sz="8" w:space="0" w:color="auto"/>
            </w:tcBorders>
            <w:shd w:val="clear" w:color="000000" w:fill="D9D9D9"/>
            <w:vAlign w:val="center"/>
            <w:hideMark/>
          </w:tcPr>
          <w:p w14:paraId="44EBDF92" w14:textId="77777777" w:rsidR="009F4996" w:rsidRPr="003C66A0" w:rsidRDefault="009F4996" w:rsidP="00AE1DED">
            <w:pPr>
              <w:jc w:val="center"/>
              <w:rPr>
                <w:b/>
                <w:bCs/>
                <w:color w:val="000000" w:themeColor="text1"/>
              </w:rPr>
            </w:pPr>
            <w:r w:rsidRPr="003C66A0">
              <w:rPr>
                <w:b/>
                <w:bCs/>
                <w:color w:val="000000" w:themeColor="text1"/>
              </w:rPr>
              <w:t>Data Captured</w:t>
            </w:r>
          </w:p>
        </w:tc>
      </w:tr>
      <w:tr w:rsidR="00FC334A" w:rsidRPr="003C66A0" w14:paraId="5F5B1A91" w14:textId="77777777" w:rsidTr="00826172">
        <w:trPr>
          <w:trHeight w:val="340"/>
        </w:trPr>
        <w:tc>
          <w:tcPr>
            <w:tcW w:w="1430" w:type="dxa"/>
            <w:tcBorders>
              <w:top w:val="nil"/>
              <w:left w:val="single" w:sz="8" w:space="0" w:color="auto"/>
              <w:bottom w:val="single" w:sz="4" w:space="0" w:color="auto"/>
              <w:right w:val="single" w:sz="8" w:space="0" w:color="auto"/>
            </w:tcBorders>
            <w:shd w:val="clear" w:color="000000" w:fill="D9D9D9"/>
            <w:vAlign w:val="center"/>
            <w:hideMark/>
          </w:tcPr>
          <w:p w14:paraId="3F209F37" w14:textId="77777777" w:rsidR="009F4996" w:rsidRPr="003C66A0" w:rsidRDefault="009F4996" w:rsidP="00AE1DED">
            <w:pPr>
              <w:rPr>
                <w:color w:val="000000" w:themeColor="text1"/>
              </w:rPr>
            </w:pPr>
            <w:r w:rsidRPr="003C66A0">
              <w:rPr>
                <w:color w:val="000000" w:themeColor="text1"/>
              </w:rPr>
              <w:t>Pre-interview</w:t>
            </w:r>
          </w:p>
        </w:tc>
        <w:tc>
          <w:tcPr>
            <w:tcW w:w="1150" w:type="dxa"/>
            <w:tcBorders>
              <w:top w:val="nil"/>
              <w:left w:val="nil"/>
              <w:bottom w:val="single" w:sz="4" w:space="0" w:color="auto"/>
              <w:right w:val="single" w:sz="4" w:space="0" w:color="auto"/>
            </w:tcBorders>
            <w:vAlign w:val="center"/>
            <w:hideMark/>
          </w:tcPr>
          <w:p w14:paraId="6188CC5B" w14:textId="77777777" w:rsidR="009F4996" w:rsidRPr="003C66A0" w:rsidRDefault="009F4996" w:rsidP="00AE1DED">
            <w:pPr>
              <w:rPr>
                <w:color w:val="000000" w:themeColor="text1"/>
              </w:rPr>
            </w:pPr>
            <w:r w:rsidRPr="003C66A0">
              <w:rPr>
                <w:color w:val="000000" w:themeColor="text1"/>
              </w:rPr>
              <w:t xml:space="preserve">24-48 </w:t>
            </w:r>
            <w:proofErr w:type="spellStart"/>
            <w:r w:rsidRPr="003C66A0">
              <w:rPr>
                <w:color w:val="000000" w:themeColor="text1"/>
              </w:rPr>
              <w:t>hrs</w:t>
            </w:r>
            <w:proofErr w:type="spellEnd"/>
          </w:p>
        </w:tc>
        <w:tc>
          <w:tcPr>
            <w:tcW w:w="3440" w:type="dxa"/>
            <w:tcBorders>
              <w:top w:val="nil"/>
              <w:left w:val="nil"/>
              <w:bottom w:val="single" w:sz="4" w:space="0" w:color="auto"/>
              <w:right w:val="single" w:sz="4" w:space="0" w:color="auto"/>
            </w:tcBorders>
            <w:vAlign w:val="center"/>
            <w:hideMark/>
          </w:tcPr>
          <w:p w14:paraId="5814B4EB" w14:textId="77777777" w:rsidR="009F4996" w:rsidRPr="003C66A0" w:rsidRDefault="009F4996" w:rsidP="00AE1DED">
            <w:pPr>
              <w:rPr>
                <w:color w:val="000000" w:themeColor="text1"/>
              </w:rPr>
            </w:pPr>
            <w:r w:rsidRPr="003C66A0">
              <w:rPr>
                <w:color w:val="000000" w:themeColor="text1"/>
              </w:rPr>
              <w:t>Send protocol, consent form, test recording</w:t>
            </w:r>
          </w:p>
        </w:tc>
        <w:tc>
          <w:tcPr>
            <w:tcW w:w="3420" w:type="dxa"/>
            <w:tcBorders>
              <w:top w:val="nil"/>
              <w:left w:val="nil"/>
              <w:bottom w:val="single" w:sz="4" w:space="0" w:color="auto"/>
              <w:right w:val="single" w:sz="8" w:space="0" w:color="auto"/>
            </w:tcBorders>
            <w:vAlign w:val="center"/>
            <w:hideMark/>
          </w:tcPr>
          <w:p w14:paraId="2D6D90DC" w14:textId="77777777" w:rsidR="009F4996" w:rsidRPr="003C66A0" w:rsidRDefault="009F4996" w:rsidP="00AE1DED">
            <w:pPr>
              <w:rPr>
                <w:color w:val="000000" w:themeColor="text1"/>
              </w:rPr>
            </w:pPr>
            <w:r w:rsidRPr="003C66A0">
              <w:rPr>
                <w:color w:val="000000" w:themeColor="text1"/>
              </w:rPr>
              <w:t>Demographics, wallet verification</w:t>
            </w:r>
          </w:p>
        </w:tc>
      </w:tr>
      <w:tr w:rsidR="00FC334A" w:rsidRPr="003C66A0" w14:paraId="60B65383" w14:textId="77777777" w:rsidTr="00826172">
        <w:trPr>
          <w:trHeight w:val="340"/>
        </w:trPr>
        <w:tc>
          <w:tcPr>
            <w:tcW w:w="1430" w:type="dxa"/>
            <w:tcBorders>
              <w:top w:val="nil"/>
              <w:left w:val="single" w:sz="8" w:space="0" w:color="auto"/>
              <w:bottom w:val="single" w:sz="4" w:space="0" w:color="auto"/>
              <w:right w:val="single" w:sz="8" w:space="0" w:color="auto"/>
            </w:tcBorders>
            <w:shd w:val="clear" w:color="000000" w:fill="D9D9D9"/>
            <w:vAlign w:val="center"/>
            <w:hideMark/>
          </w:tcPr>
          <w:p w14:paraId="451713ED" w14:textId="77777777" w:rsidR="009F4996" w:rsidRPr="003C66A0" w:rsidRDefault="009F4996" w:rsidP="00AE1DED">
            <w:pPr>
              <w:rPr>
                <w:color w:val="000000" w:themeColor="text1"/>
              </w:rPr>
            </w:pPr>
            <w:r w:rsidRPr="003C66A0">
              <w:rPr>
                <w:color w:val="000000" w:themeColor="text1"/>
              </w:rPr>
              <w:t>Introduction</w:t>
            </w:r>
          </w:p>
        </w:tc>
        <w:tc>
          <w:tcPr>
            <w:tcW w:w="1150" w:type="dxa"/>
            <w:tcBorders>
              <w:top w:val="nil"/>
              <w:left w:val="nil"/>
              <w:bottom w:val="single" w:sz="4" w:space="0" w:color="auto"/>
              <w:right w:val="single" w:sz="4" w:space="0" w:color="auto"/>
            </w:tcBorders>
            <w:vAlign w:val="center"/>
            <w:hideMark/>
          </w:tcPr>
          <w:p w14:paraId="2164507A" w14:textId="77777777" w:rsidR="009F4996" w:rsidRPr="003C66A0" w:rsidRDefault="009F4996" w:rsidP="00AE1DED">
            <w:pPr>
              <w:rPr>
                <w:color w:val="000000" w:themeColor="text1"/>
              </w:rPr>
            </w:pPr>
            <w:r w:rsidRPr="003C66A0">
              <w:rPr>
                <w:color w:val="000000" w:themeColor="text1"/>
              </w:rPr>
              <w:t>5 min</w:t>
            </w:r>
          </w:p>
        </w:tc>
        <w:tc>
          <w:tcPr>
            <w:tcW w:w="3440" w:type="dxa"/>
            <w:tcBorders>
              <w:top w:val="nil"/>
              <w:left w:val="nil"/>
              <w:bottom w:val="single" w:sz="4" w:space="0" w:color="auto"/>
              <w:right w:val="single" w:sz="4" w:space="0" w:color="auto"/>
            </w:tcBorders>
            <w:vAlign w:val="center"/>
            <w:hideMark/>
          </w:tcPr>
          <w:p w14:paraId="207028F2" w14:textId="77777777" w:rsidR="009F4996" w:rsidRPr="003C66A0" w:rsidRDefault="009F4996" w:rsidP="00AE1DED">
            <w:pPr>
              <w:rPr>
                <w:color w:val="000000" w:themeColor="text1"/>
              </w:rPr>
            </w:pPr>
            <w:r w:rsidRPr="003C66A0">
              <w:rPr>
                <w:color w:val="000000" w:themeColor="text1"/>
              </w:rPr>
              <w:t>Explain study, confirm consent, start recording</w:t>
            </w:r>
          </w:p>
        </w:tc>
        <w:tc>
          <w:tcPr>
            <w:tcW w:w="3420" w:type="dxa"/>
            <w:tcBorders>
              <w:top w:val="nil"/>
              <w:left w:val="nil"/>
              <w:bottom w:val="single" w:sz="4" w:space="0" w:color="auto"/>
              <w:right w:val="single" w:sz="8" w:space="0" w:color="auto"/>
            </w:tcBorders>
            <w:vAlign w:val="center"/>
            <w:hideMark/>
          </w:tcPr>
          <w:p w14:paraId="09DF907A" w14:textId="77777777" w:rsidR="009F4996" w:rsidRPr="003C66A0" w:rsidRDefault="009F4996" w:rsidP="00AE1DED">
            <w:pPr>
              <w:rPr>
                <w:color w:val="000000" w:themeColor="text1"/>
              </w:rPr>
            </w:pPr>
            <w:r w:rsidRPr="003C66A0">
              <w:rPr>
                <w:color w:val="000000" w:themeColor="text1"/>
              </w:rPr>
              <w:t>Formal consent, rapport building</w:t>
            </w:r>
          </w:p>
        </w:tc>
      </w:tr>
      <w:tr w:rsidR="00FC334A" w:rsidRPr="003C66A0" w14:paraId="3796DC3B" w14:textId="77777777" w:rsidTr="00826172">
        <w:trPr>
          <w:trHeight w:val="340"/>
        </w:trPr>
        <w:tc>
          <w:tcPr>
            <w:tcW w:w="1430" w:type="dxa"/>
            <w:tcBorders>
              <w:top w:val="nil"/>
              <w:left w:val="single" w:sz="8" w:space="0" w:color="auto"/>
              <w:bottom w:val="single" w:sz="4" w:space="0" w:color="auto"/>
              <w:right w:val="single" w:sz="8" w:space="0" w:color="auto"/>
            </w:tcBorders>
            <w:shd w:val="clear" w:color="000000" w:fill="D9D9D9"/>
            <w:vAlign w:val="center"/>
            <w:hideMark/>
          </w:tcPr>
          <w:p w14:paraId="4DAEB576" w14:textId="77777777" w:rsidR="009F4996" w:rsidRPr="003C66A0" w:rsidRDefault="009F4996" w:rsidP="00AE1DED">
            <w:pPr>
              <w:rPr>
                <w:color w:val="000000" w:themeColor="text1"/>
              </w:rPr>
            </w:pPr>
            <w:r w:rsidRPr="003C66A0">
              <w:rPr>
                <w:color w:val="000000" w:themeColor="text1"/>
              </w:rPr>
              <w:t>Main interview</w:t>
            </w:r>
          </w:p>
        </w:tc>
        <w:tc>
          <w:tcPr>
            <w:tcW w:w="1150" w:type="dxa"/>
            <w:tcBorders>
              <w:top w:val="nil"/>
              <w:left w:val="nil"/>
              <w:bottom w:val="single" w:sz="4" w:space="0" w:color="auto"/>
              <w:right w:val="single" w:sz="4" w:space="0" w:color="auto"/>
            </w:tcBorders>
            <w:vAlign w:val="center"/>
            <w:hideMark/>
          </w:tcPr>
          <w:p w14:paraId="427446C9" w14:textId="77777777" w:rsidR="009F4996" w:rsidRPr="003C66A0" w:rsidRDefault="009F4996" w:rsidP="00AE1DED">
            <w:pPr>
              <w:rPr>
                <w:color w:val="000000" w:themeColor="text1"/>
              </w:rPr>
            </w:pPr>
            <w:r w:rsidRPr="003C66A0">
              <w:rPr>
                <w:color w:val="000000" w:themeColor="text1"/>
              </w:rPr>
              <w:t>45-75 min</w:t>
            </w:r>
          </w:p>
        </w:tc>
        <w:tc>
          <w:tcPr>
            <w:tcW w:w="3440" w:type="dxa"/>
            <w:tcBorders>
              <w:top w:val="nil"/>
              <w:left w:val="nil"/>
              <w:bottom w:val="single" w:sz="4" w:space="0" w:color="auto"/>
              <w:right w:val="single" w:sz="4" w:space="0" w:color="auto"/>
            </w:tcBorders>
            <w:vAlign w:val="center"/>
            <w:hideMark/>
          </w:tcPr>
          <w:p w14:paraId="01CC5B79" w14:textId="77777777" w:rsidR="009F4996" w:rsidRPr="003C66A0" w:rsidRDefault="009F4996" w:rsidP="00AE1DED">
            <w:pPr>
              <w:rPr>
                <w:color w:val="000000" w:themeColor="text1"/>
              </w:rPr>
            </w:pPr>
            <w:r w:rsidRPr="003C66A0">
              <w:rPr>
                <w:color w:val="000000" w:themeColor="text1"/>
              </w:rPr>
              <w:t>Semi-structured protocol (Appendix B)</w:t>
            </w:r>
          </w:p>
        </w:tc>
        <w:tc>
          <w:tcPr>
            <w:tcW w:w="3420" w:type="dxa"/>
            <w:tcBorders>
              <w:top w:val="nil"/>
              <w:left w:val="nil"/>
              <w:bottom w:val="single" w:sz="4" w:space="0" w:color="auto"/>
              <w:right w:val="single" w:sz="8" w:space="0" w:color="auto"/>
            </w:tcBorders>
            <w:vAlign w:val="center"/>
            <w:hideMark/>
          </w:tcPr>
          <w:p w14:paraId="17DDEB41" w14:textId="77777777" w:rsidR="009F4996" w:rsidRPr="003C66A0" w:rsidRDefault="009F4996" w:rsidP="00AE1DED">
            <w:pPr>
              <w:rPr>
                <w:color w:val="000000" w:themeColor="text1"/>
              </w:rPr>
            </w:pPr>
            <w:r w:rsidRPr="003C66A0">
              <w:rPr>
                <w:color w:val="000000" w:themeColor="text1"/>
              </w:rPr>
              <w:t>Audio, researcher notes</w:t>
            </w:r>
          </w:p>
        </w:tc>
      </w:tr>
      <w:tr w:rsidR="00FC334A" w:rsidRPr="003C66A0" w14:paraId="1F061B6D" w14:textId="77777777" w:rsidTr="00826172">
        <w:trPr>
          <w:trHeight w:val="340"/>
        </w:trPr>
        <w:tc>
          <w:tcPr>
            <w:tcW w:w="1430" w:type="dxa"/>
            <w:tcBorders>
              <w:top w:val="nil"/>
              <w:left w:val="single" w:sz="8" w:space="0" w:color="auto"/>
              <w:bottom w:val="single" w:sz="4" w:space="0" w:color="auto"/>
              <w:right w:val="single" w:sz="8" w:space="0" w:color="auto"/>
            </w:tcBorders>
            <w:shd w:val="clear" w:color="000000" w:fill="D9D9D9"/>
            <w:vAlign w:val="center"/>
            <w:hideMark/>
          </w:tcPr>
          <w:p w14:paraId="318B9615" w14:textId="77777777" w:rsidR="009F4996" w:rsidRPr="003C66A0" w:rsidRDefault="009F4996" w:rsidP="00AE1DED">
            <w:pPr>
              <w:rPr>
                <w:color w:val="000000" w:themeColor="text1"/>
              </w:rPr>
            </w:pPr>
            <w:r w:rsidRPr="003C66A0">
              <w:rPr>
                <w:color w:val="000000" w:themeColor="text1"/>
              </w:rPr>
              <w:t>Verification</w:t>
            </w:r>
          </w:p>
        </w:tc>
        <w:tc>
          <w:tcPr>
            <w:tcW w:w="1150" w:type="dxa"/>
            <w:tcBorders>
              <w:top w:val="nil"/>
              <w:left w:val="nil"/>
              <w:bottom w:val="single" w:sz="4" w:space="0" w:color="auto"/>
              <w:right w:val="single" w:sz="4" w:space="0" w:color="auto"/>
            </w:tcBorders>
            <w:vAlign w:val="center"/>
            <w:hideMark/>
          </w:tcPr>
          <w:p w14:paraId="53096484" w14:textId="77777777" w:rsidR="009F4996" w:rsidRPr="003C66A0" w:rsidRDefault="009F4996" w:rsidP="00AE1DED">
            <w:pPr>
              <w:rPr>
                <w:color w:val="000000" w:themeColor="text1"/>
              </w:rPr>
            </w:pPr>
            <w:r w:rsidRPr="003C66A0">
              <w:rPr>
                <w:color w:val="000000" w:themeColor="text1"/>
              </w:rPr>
              <w:t>10 min</w:t>
            </w:r>
          </w:p>
        </w:tc>
        <w:tc>
          <w:tcPr>
            <w:tcW w:w="3440" w:type="dxa"/>
            <w:tcBorders>
              <w:top w:val="nil"/>
              <w:left w:val="nil"/>
              <w:bottom w:val="single" w:sz="4" w:space="0" w:color="auto"/>
              <w:right w:val="single" w:sz="4" w:space="0" w:color="auto"/>
            </w:tcBorders>
            <w:vAlign w:val="center"/>
            <w:hideMark/>
          </w:tcPr>
          <w:p w14:paraId="2A620155" w14:textId="77777777" w:rsidR="009F4996" w:rsidRPr="003C66A0" w:rsidRDefault="009F4996" w:rsidP="00AE1DED">
            <w:pPr>
              <w:rPr>
                <w:color w:val="000000" w:themeColor="text1"/>
              </w:rPr>
            </w:pPr>
            <w:r w:rsidRPr="003C66A0">
              <w:rPr>
                <w:color w:val="000000" w:themeColor="text1"/>
              </w:rPr>
              <w:t>On-chain position verification</w:t>
            </w:r>
          </w:p>
        </w:tc>
        <w:tc>
          <w:tcPr>
            <w:tcW w:w="3420" w:type="dxa"/>
            <w:tcBorders>
              <w:top w:val="nil"/>
              <w:left w:val="nil"/>
              <w:bottom w:val="single" w:sz="4" w:space="0" w:color="auto"/>
              <w:right w:val="single" w:sz="8" w:space="0" w:color="auto"/>
            </w:tcBorders>
            <w:vAlign w:val="center"/>
            <w:hideMark/>
          </w:tcPr>
          <w:p w14:paraId="0CD9EA81" w14:textId="77777777" w:rsidR="009F4996" w:rsidRPr="003C66A0" w:rsidRDefault="009F4996" w:rsidP="00AE1DED">
            <w:pPr>
              <w:rPr>
                <w:color w:val="000000" w:themeColor="text1"/>
              </w:rPr>
            </w:pPr>
            <w:r w:rsidRPr="003C66A0">
              <w:rPr>
                <w:color w:val="000000" w:themeColor="text1"/>
              </w:rPr>
              <w:t>Screenshots, transaction hashes</w:t>
            </w:r>
          </w:p>
        </w:tc>
      </w:tr>
      <w:tr w:rsidR="00FC334A" w:rsidRPr="003C66A0" w14:paraId="1EC10238" w14:textId="77777777" w:rsidTr="00826172">
        <w:trPr>
          <w:trHeight w:val="340"/>
        </w:trPr>
        <w:tc>
          <w:tcPr>
            <w:tcW w:w="1430" w:type="dxa"/>
            <w:tcBorders>
              <w:top w:val="nil"/>
              <w:left w:val="single" w:sz="8" w:space="0" w:color="auto"/>
              <w:bottom w:val="single" w:sz="4" w:space="0" w:color="auto"/>
              <w:right w:val="single" w:sz="8" w:space="0" w:color="auto"/>
            </w:tcBorders>
            <w:shd w:val="clear" w:color="000000" w:fill="D9D9D9"/>
            <w:vAlign w:val="center"/>
            <w:hideMark/>
          </w:tcPr>
          <w:p w14:paraId="4856DFCA" w14:textId="77777777" w:rsidR="009F4996" w:rsidRPr="003C66A0" w:rsidRDefault="009F4996" w:rsidP="00AE1DED">
            <w:pPr>
              <w:rPr>
                <w:color w:val="000000" w:themeColor="text1"/>
              </w:rPr>
            </w:pPr>
            <w:r w:rsidRPr="003C66A0">
              <w:rPr>
                <w:color w:val="000000" w:themeColor="text1"/>
              </w:rPr>
              <w:t>Debrief</w:t>
            </w:r>
          </w:p>
        </w:tc>
        <w:tc>
          <w:tcPr>
            <w:tcW w:w="1150" w:type="dxa"/>
            <w:tcBorders>
              <w:top w:val="nil"/>
              <w:left w:val="nil"/>
              <w:bottom w:val="single" w:sz="4" w:space="0" w:color="auto"/>
              <w:right w:val="single" w:sz="4" w:space="0" w:color="auto"/>
            </w:tcBorders>
            <w:vAlign w:val="center"/>
            <w:hideMark/>
          </w:tcPr>
          <w:p w14:paraId="47D43541" w14:textId="77777777" w:rsidR="009F4996" w:rsidRPr="003C66A0" w:rsidRDefault="009F4996" w:rsidP="00AE1DED">
            <w:pPr>
              <w:rPr>
                <w:color w:val="000000" w:themeColor="text1"/>
              </w:rPr>
            </w:pPr>
            <w:r w:rsidRPr="003C66A0">
              <w:rPr>
                <w:color w:val="000000" w:themeColor="text1"/>
              </w:rPr>
              <w:t>5 min</w:t>
            </w:r>
          </w:p>
        </w:tc>
        <w:tc>
          <w:tcPr>
            <w:tcW w:w="3440" w:type="dxa"/>
            <w:tcBorders>
              <w:top w:val="nil"/>
              <w:left w:val="nil"/>
              <w:bottom w:val="single" w:sz="4" w:space="0" w:color="auto"/>
              <w:right w:val="single" w:sz="4" w:space="0" w:color="auto"/>
            </w:tcBorders>
            <w:vAlign w:val="center"/>
            <w:hideMark/>
          </w:tcPr>
          <w:p w14:paraId="330BD588" w14:textId="77777777" w:rsidR="009F4996" w:rsidRPr="003C66A0" w:rsidRDefault="009F4996" w:rsidP="00AE1DED">
            <w:pPr>
              <w:rPr>
                <w:color w:val="000000" w:themeColor="text1"/>
              </w:rPr>
            </w:pPr>
            <w:r w:rsidRPr="003C66A0">
              <w:rPr>
                <w:color w:val="000000" w:themeColor="text1"/>
              </w:rPr>
              <w:t>Answer questions, explain next steps</w:t>
            </w:r>
          </w:p>
        </w:tc>
        <w:tc>
          <w:tcPr>
            <w:tcW w:w="3420" w:type="dxa"/>
            <w:tcBorders>
              <w:top w:val="nil"/>
              <w:left w:val="nil"/>
              <w:bottom w:val="single" w:sz="4" w:space="0" w:color="auto"/>
              <w:right w:val="single" w:sz="8" w:space="0" w:color="auto"/>
            </w:tcBorders>
            <w:vAlign w:val="center"/>
            <w:hideMark/>
          </w:tcPr>
          <w:p w14:paraId="680B90DB" w14:textId="77777777" w:rsidR="009F4996" w:rsidRPr="003C66A0" w:rsidRDefault="009F4996" w:rsidP="00AE1DED">
            <w:pPr>
              <w:rPr>
                <w:color w:val="000000" w:themeColor="text1"/>
              </w:rPr>
            </w:pPr>
            <w:r w:rsidRPr="003C66A0">
              <w:rPr>
                <w:color w:val="000000" w:themeColor="text1"/>
              </w:rPr>
              <w:t>Additional comments</w:t>
            </w:r>
          </w:p>
        </w:tc>
      </w:tr>
      <w:tr w:rsidR="00FC334A" w:rsidRPr="003C66A0" w14:paraId="105162EC" w14:textId="77777777" w:rsidTr="00826172">
        <w:trPr>
          <w:trHeight w:val="360"/>
        </w:trPr>
        <w:tc>
          <w:tcPr>
            <w:tcW w:w="1430" w:type="dxa"/>
            <w:tcBorders>
              <w:top w:val="nil"/>
              <w:left w:val="single" w:sz="8" w:space="0" w:color="auto"/>
              <w:bottom w:val="single" w:sz="8" w:space="0" w:color="auto"/>
              <w:right w:val="single" w:sz="8" w:space="0" w:color="auto"/>
            </w:tcBorders>
            <w:shd w:val="clear" w:color="000000" w:fill="D9D9D9"/>
            <w:vAlign w:val="center"/>
            <w:hideMark/>
          </w:tcPr>
          <w:p w14:paraId="6D7EDDF5" w14:textId="77777777" w:rsidR="009F4996" w:rsidRPr="003C66A0" w:rsidRDefault="009F4996" w:rsidP="00AE1DED">
            <w:pPr>
              <w:rPr>
                <w:color w:val="000000" w:themeColor="text1"/>
              </w:rPr>
            </w:pPr>
            <w:r w:rsidRPr="003C66A0">
              <w:rPr>
                <w:color w:val="000000" w:themeColor="text1"/>
              </w:rPr>
              <w:t>Post-interview</w:t>
            </w:r>
          </w:p>
        </w:tc>
        <w:tc>
          <w:tcPr>
            <w:tcW w:w="1150" w:type="dxa"/>
            <w:tcBorders>
              <w:top w:val="nil"/>
              <w:left w:val="nil"/>
              <w:bottom w:val="single" w:sz="8" w:space="0" w:color="auto"/>
              <w:right w:val="single" w:sz="4" w:space="0" w:color="auto"/>
            </w:tcBorders>
            <w:vAlign w:val="center"/>
            <w:hideMark/>
          </w:tcPr>
          <w:p w14:paraId="3715E203" w14:textId="77777777" w:rsidR="009F4996" w:rsidRPr="003C66A0" w:rsidRDefault="009F4996" w:rsidP="00AE1DED">
            <w:pPr>
              <w:rPr>
                <w:color w:val="000000" w:themeColor="text1"/>
              </w:rPr>
            </w:pPr>
            <w:r w:rsidRPr="003C66A0">
              <w:rPr>
                <w:color w:val="000000" w:themeColor="text1"/>
              </w:rPr>
              <w:t xml:space="preserve">24 </w:t>
            </w:r>
            <w:proofErr w:type="spellStart"/>
            <w:r w:rsidRPr="003C66A0">
              <w:rPr>
                <w:color w:val="000000" w:themeColor="text1"/>
              </w:rPr>
              <w:t>hrs</w:t>
            </w:r>
            <w:proofErr w:type="spellEnd"/>
          </w:p>
        </w:tc>
        <w:tc>
          <w:tcPr>
            <w:tcW w:w="3440" w:type="dxa"/>
            <w:tcBorders>
              <w:top w:val="nil"/>
              <w:left w:val="nil"/>
              <w:bottom w:val="single" w:sz="8" w:space="0" w:color="auto"/>
              <w:right w:val="single" w:sz="4" w:space="0" w:color="auto"/>
            </w:tcBorders>
            <w:vAlign w:val="center"/>
            <w:hideMark/>
          </w:tcPr>
          <w:p w14:paraId="5D8C570B" w14:textId="77777777" w:rsidR="009F4996" w:rsidRPr="003C66A0" w:rsidRDefault="009F4996" w:rsidP="00AE1DED">
            <w:pPr>
              <w:rPr>
                <w:color w:val="000000" w:themeColor="text1"/>
              </w:rPr>
            </w:pPr>
            <w:r w:rsidRPr="003C66A0">
              <w:rPr>
                <w:color w:val="000000" w:themeColor="text1"/>
              </w:rPr>
              <w:t>Transcription, initial coding, member check</w:t>
            </w:r>
          </w:p>
        </w:tc>
        <w:tc>
          <w:tcPr>
            <w:tcW w:w="3420" w:type="dxa"/>
            <w:tcBorders>
              <w:top w:val="nil"/>
              <w:left w:val="nil"/>
              <w:bottom w:val="single" w:sz="8" w:space="0" w:color="auto"/>
              <w:right w:val="single" w:sz="8" w:space="0" w:color="auto"/>
            </w:tcBorders>
            <w:vAlign w:val="center"/>
            <w:hideMark/>
          </w:tcPr>
          <w:p w14:paraId="6BF4258C" w14:textId="77777777" w:rsidR="009F4996" w:rsidRPr="003C66A0" w:rsidRDefault="009F4996" w:rsidP="00AE1DED">
            <w:pPr>
              <w:rPr>
                <w:color w:val="000000" w:themeColor="text1"/>
              </w:rPr>
            </w:pPr>
            <w:r w:rsidRPr="003C66A0">
              <w:rPr>
                <w:color w:val="000000" w:themeColor="text1"/>
              </w:rPr>
              <w:t>Transcript, preliminary themes</w:t>
            </w:r>
          </w:p>
        </w:tc>
      </w:tr>
    </w:tbl>
    <w:p w14:paraId="156CE058" w14:textId="7E7756C1" w:rsidR="009A16FC" w:rsidRPr="003C66A0" w:rsidRDefault="00385644" w:rsidP="00AE1DED">
      <w:pPr>
        <w:jc w:val="both"/>
        <w:rPr>
          <w:rFonts w:eastAsiaTheme="majorEastAsia"/>
          <w:i/>
          <w:iCs/>
          <w:color w:val="000000" w:themeColor="text1"/>
        </w:rPr>
      </w:pPr>
      <w:r w:rsidRPr="003C66A0">
        <w:rPr>
          <w:rFonts w:eastAsiaTheme="majorEastAsia"/>
          <w:i/>
          <w:iCs/>
          <w:color w:val="000000" w:themeColor="text1"/>
        </w:rPr>
        <w:t xml:space="preserve">Interpretive Note: </w:t>
      </w:r>
      <w:r w:rsidRPr="00826172">
        <w:rPr>
          <w:rFonts w:eastAsiaTheme="majorEastAsia"/>
          <w:color w:val="000000" w:themeColor="text1"/>
        </w:rPr>
        <w:t xml:space="preserve">The </w:t>
      </w:r>
      <w:proofErr w:type="gramStart"/>
      <w:r w:rsidRPr="00826172">
        <w:rPr>
          <w:rFonts w:eastAsiaTheme="majorEastAsia"/>
          <w:color w:val="000000" w:themeColor="text1"/>
        </w:rPr>
        <w:t>45-75 minute</w:t>
      </w:r>
      <w:proofErr w:type="gramEnd"/>
      <w:r w:rsidRPr="00826172">
        <w:rPr>
          <w:rFonts w:eastAsiaTheme="majorEastAsia"/>
          <w:color w:val="000000" w:themeColor="text1"/>
        </w:rPr>
        <w:t xml:space="preserve"> main interview duration and requirement for on-chain verification ensured data quality but also self-selected for committed, technically capable participants—potentially biasing </w:t>
      </w:r>
      <w:r w:rsidR="00231D5B" w:rsidRPr="00826172">
        <w:rPr>
          <w:rFonts w:eastAsiaTheme="majorEastAsia"/>
          <w:color w:val="000000" w:themeColor="text1"/>
        </w:rPr>
        <w:t xml:space="preserve">my </w:t>
      </w:r>
      <w:r w:rsidRPr="00826172">
        <w:rPr>
          <w:rFonts w:eastAsiaTheme="majorEastAsia"/>
          <w:color w:val="000000" w:themeColor="text1"/>
        </w:rPr>
        <w:t>sample toward more sophisticated users.</w:t>
      </w:r>
    </w:p>
    <w:p w14:paraId="5542FAE7" w14:textId="77777777" w:rsidR="004E10FD" w:rsidRDefault="004E10FD" w:rsidP="00AE1DED">
      <w:pPr>
        <w:pStyle w:val="Heading4"/>
        <w:jc w:val="both"/>
        <w:rPr>
          <w:rFonts w:eastAsiaTheme="majorEastAsia"/>
        </w:rPr>
      </w:pPr>
    </w:p>
    <w:p w14:paraId="66F84E9D" w14:textId="3D252681" w:rsidR="00126CEB" w:rsidRPr="003C66A0" w:rsidRDefault="00E26ED1" w:rsidP="00AE1DED">
      <w:pPr>
        <w:pStyle w:val="Heading4"/>
        <w:jc w:val="both"/>
        <w:rPr>
          <w:rFonts w:eastAsiaTheme="majorEastAsia"/>
        </w:rPr>
      </w:pPr>
      <w:r w:rsidRPr="003C66A0">
        <w:rPr>
          <w:rFonts w:eastAsiaTheme="majorEastAsia"/>
        </w:rPr>
        <w:t>D</w:t>
      </w:r>
      <w:r w:rsidR="00126CEB" w:rsidRPr="003C66A0">
        <w:rPr>
          <w:rFonts w:eastAsiaTheme="majorEastAsia"/>
        </w:rPr>
        <w:t>.4.3 Transcription and Coding Procedures</w:t>
      </w:r>
    </w:p>
    <w:p w14:paraId="54D0855E" w14:textId="77777777" w:rsidR="00126CEB" w:rsidRPr="003C66A0" w:rsidRDefault="00126CEB" w:rsidP="00AE1DED">
      <w:pPr>
        <w:jc w:val="both"/>
        <w:rPr>
          <w:rFonts w:eastAsiaTheme="majorEastAsia"/>
          <w:color w:val="000000" w:themeColor="text1"/>
        </w:rPr>
      </w:pPr>
      <w:r w:rsidRPr="003C66A0">
        <w:rPr>
          <w:rFonts w:eastAsiaTheme="majorEastAsia"/>
          <w:color w:val="000000" w:themeColor="text1"/>
        </w:rPr>
        <w:t>Transcription:</w:t>
      </w:r>
    </w:p>
    <w:p w14:paraId="5E99549E" w14:textId="33A5806C" w:rsidR="00126CEB" w:rsidRPr="003C66A0" w:rsidRDefault="00126CEB" w:rsidP="00AE1DED">
      <w:pPr>
        <w:pStyle w:val="ListParagraph"/>
        <w:numPr>
          <w:ilvl w:val="0"/>
          <w:numId w:val="24"/>
        </w:numPr>
        <w:jc w:val="both"/>
        <w:outlineLvl w:val="9"/>
        <w:rPr>
          <w:rFonts w:eastAsiaTheme="majorEastAsia"/>
          <w:color w:val="000000" w:themeColor="text1"/>
        </w:rPr>
      </w:pPr>
      <w:r w:rsidRPr="003C66A0">
        <w:rPr>
          <w:rFonts w:eastAsiaTheme="majorEastAsia"/>
          <w:color w:val="000000" w:themeColor="text1"/>
        </w:rPr>
        <w:t>Service: Rev.com with crypto terminology glossary</w:t>
      </w:r>
    </w:p>
    <w:p w14:paraId="3B5019B3" w14:textId="42560CEF" w:rsidR="00126CEB" w:rsidRPr="003C66A0" w:rsidRDefault="00126CEB" w:rsidP="00AE1DED">
      <w:pPr>
        <w:pStyle w:val="ListParagraph"/>
        <w:numPr>
          <w:ilvl w:val="0"/>
          <w:numId w:val="24"/>
        </w:numPr>
        <w:jc w:val="both"/>
        <w:outlineLvl w:val="9"/>
        <w:rPr>
          <w:rFonts w:eastAsiaTheme="majorEastAsia"/>
          <w:color w:val="000000" w:themeColor="text1"/>
        </w:rPr>
      </w:pPr>
      <w:r w:rsidRPr="003C66A0">
        <w:rPr>
          <w:rFonts w:eastAsiaTheme="majorEastAsia"/>
          <w:color w:val="000000" w:themeColor="text1"/>
        </w:rPr>
        <w:t>Accuracy check: 100% researcher review</w:t>
      </w:r>
    </w:p>
    <w:p w14:paraId="0AF6BBE0" w14:textId="3901B5AC" w:rsidR="00126CEB" w:rsidRPr="003C66A0" w:rsidRDefault="00126CEB" w:rsidP="00AE1DED">
      <w:pPr>
        <w:pStyle w:val="ListParagraph"/>
        <w:numPr>
          <w:ilvl w:val="0"/>
          <w:numId w:val="24"/>
        </w:numPr>
        <w:jc w:val="both"/>
        <w:outlineLvl w:val="9"/>
        <w:rPr>
          <w:rFonts w:eastAsiaTheme="majorEastAsia"/>
          <w:color w:val="000000" w:themeColor="text1"/>
        </w:rPr>
      </w:pPr>
      <w:r w:rsidRPr="003C66A0">
        <w:rPr>
          <w:rFonts w:eastAsiaTheme="majorEastAsia"/>
          <w:color w:val="000000" w:themeColor="text1"/>
        </w:rPr>
        <w:t>Anonymization: Replace identifiers with codes</w:t>
      </w:r>
    </w:p>
    <w:p w14:paraId="36923DAB" w14:textId="7BB0243C" w:rsidR="00126CEB" w:rsidRPr="003C66A0" w:rsidRDefault="00126CEB" w:rsidP="00AE1DED">
      <w:pPr>
        <w:pStyle w:val="ListParagraph"/>
        <w:numPr>
          <w:ilvl w:val="0"/>
          <w:numId w:val="24"/>
        </w:numPr>
        <w:jc w:val="both"/>
        <w:outlineLvl w:val="9"/>
        <w:rPr>
          <w:rFonts w:eastAsiaTheme="majorEastAsia"/>
          <w:color w:val="000000" w:themeColor="text1"/>
        </w:rPr>
      </w:pPr>
      <w:r w:rsidRPr="003C66A0">
        <w:rPr>
          <w:rFonts w:eastAsiaTheme="majorEastAsia"/>
          <w:color w:val="000000" w:themeColor="text1"/>
        </w:rPr>
        <w:t>Format: Verbatim with timestamps every 30 seconds</w:t>
      </w:r>
    </w:p>
    <w:p w14:paraId="235492ED" w14:textId="77777777" w:rsidR="00126CEB" w:rsidRPr="003C66A0" w:rsidRDefault="00126CEB" w:rsidP="00AE1DED">
      <w:pPr>
        <w:jc w:val="both"/>
        <w:rPr>
          <w:rFonts w:eastAsiaTheme="majorEastAsia"/>
          <w:color w:val="000000" w:themeColor="text1"/>
        </w:rPr>
      </w:pPr>
    </w:p>
    <w:p w14:paraId="7E9564B6" w14:textId="77777777" w:rsidR="00126CEB" w:rsidRPr="003C66A0" w:rsidRDefault="00126CEB" w:rsidP="00AE1DED">
      <w:pPr>
        <w:jc w:val="both"/>
        <w:rPr>
          <w:rFonts w:eastAsiaTheme="majorEastAsia"/>
          <w:color w:val="000000" w:themeColor="text1"/>
        </w:rPr>
      </w:pPr>
      <w:r w:rsidRPr="003C66A0">
        <w:rPr>
          <w:rFonts w:eastAsiaTheme="majorEastAsia"/>
          <w:color w:val="000000" w:themeColor="text1"/>
        </w:rPr>
        <w:t>Coding Process (Braun &amp; Clarke, 2006):</w:t>
      </w:r>
    </w:p>
    <w:p w14:paraId="4445996C" w14:textId="77777777" w:rsidR="00126CEB" w:rsidRPr="003C66A0" w:rsidRDefault="00126CEB" w:rsidP="00AE1DED">
      <w:pPr>
        <w:pStyle w:val="ListParagraph"/>
        <w:numPr>
          <w:ilvl w:val="0"/>
          <w:numId w:val="22"/>
        </w:numPr>
        <w:jc w:val="both"/>
        <w:outlineLvl w:val="9"/>
        <w:rPr>
          <w:rFonts w:eastAsiaTheme="majorEastAsia"/>
          <w:color w:val="000000" w:themeColor="text1"/>
        </w:rPr>
      </w:pPr>
      <w:r w:rsidRPr="003C66A0">
        <w:rPr>
          <w:rFonts w:eastAsiaTheme="majorEastAsia"/>
          <w:color w:val="000000" w:themeColor="text1"/>
        </w:rPr>
        <w:t>Round 1: Open coding (1,247 initial codes)</w:t>
      </w:r>
    </w:p>
    <w:p w14:paraId="3D1B8F17" w14:textId="77777777" w:rsidR="00126CEB" w:rsidRPr="003C66A0" w:rsidRDefault="00126CEB" w:rsidP="00AE1DED">
      <w:pPr>
        <w:pStyle w:val="ListParagraph"/>
        <w:numPr>
          <w:ilvl w:val="0"/>
          <w:numId w:val="22"/>
        </w:numPr>
        <w:jc w:val="both"/>
        <w:outlineLvl w:val="9"/>
        <w:rPr>
          <w:rFonts w:eastAsiaTheme="majorEastAsia"/>
          <w:color w:val="000000" w:themeColor="text1"/>
        </w:rPr>
      </w:pPr>
      <w:r w:rsidRPr="003C66A0">
        <w:rPr>
          <w:rFonts w:eastAsiaTheme="majorEastAsia"/>
          <w:color w:val="000000" w:themeColor="text1"/>
        </w:rPr>
        <w:t>Round 2: Axial coding (87 categories)</w:t>
      </w:r>
    </w:p>
    <w:p w14:paraId="654D2A70" w14:textId="77777777" w:rsidR="00126CEB" w:rsidRPr="003C66A0" w:rsidRDefault="00126CEB" w:rsidP="00AE1DED">
      <w:pPr>
        <w:pStyle w:val="ListParagraph"/>
        <w:numPr>
          <w:ilvl w:val="0"/>
          <w:numId w:val="22"/>
        </w:numPr>
        <w:jc w:val="both"/>
        <w:outlineLvl w:val="9"/>
        <w:rPr>
          <w:rFonts w:eastAsiaTheme="majorEastAsia"/>
          <w:color w:val="000000" w:themeColor="text1"/>
        </w:rPr>
      </w:pPr>
      <w:r w:rsidRPr="003C66A0">
        <w:rPr>
          <w:rFonts w:eastAsiaTheme="majorEastAsia"/>
          <w:color w:val="000000" w:themeColor="text1"/>
        </w:rPr>
        <w:t>Round 3: Selective coding (12 major themes)</w:t>
      </w:r>
    </w:p>
    <w:p w14:paraId="5C61F6A8" w14:textId="77777777" w:rsidR="00126CEB" w:rsidRPr="003C66A0" w:rsidRDefault="00126CEB" w:rsidP="00AE1DED">
      <w:pPr>
        <w:pStyle w:val="ListParagraph"/>
        <w:numPr>
          <w:ilvl w:val="0"/>
          <w:numId w:val="22"/>
        </w:numPr>
        <w:jc w:val="both"/>
        <w:outlineLvl w:val="9"/>
        <w:rPr>
          <w:rFonts w:eastAsiaTheme="majorEastAsia"/>
          <w:color w:val="000000" w:themeColor="text1"/>
        </w:rPr>
      </w:pPr>
      <w:r w:rsidRPr="003C66A0">
        <w:rPr>
          <w:rFonts w:eastAsiaTheme="majorEastAsia"/>
          <w:color w:val="000000" w:themeColor="text1"/>
        </w:rPr>
        <w:t>Round 4: Theoretical coding (4 core categories)</w:t>
      </w:r>
    </w:p>
    <w:p w14:paraId="3540816B" w14:textId="77777777" w:rsidR="00126CEB" w:rsidRPr="003C66A0" w:rsidRDefault="00126CEB" w:rsidP="00AE1DED">
      <w:pPr>
        <w:jc w:val="both"/>
        <w:rPr>
          <w:rFonts w:eastAsiaTheme="majorEastAsia"/>
          <w:color w:val="000000" w:themeColor="text1"/>
        </w:rPr>
      </w:pPr>
    </w:p>
    <w:p w14:paraId="06B1BF6A" w14:textId="77777777" w:rsidR="00126CEB" w:rsidRPr="003C66A0" w:rsidRDefault="00126CEB" w:rsidP="00AE1DED">
      <w:pPr>
        <w:jc w:val="both"/>
        <w:rPr>
          <w:rFonts w:eastAsiaTheme="majorEastAsia"/>
          <w:color w:val="000000" w:themeColor="text1"/>
        </w:rPr>
      </w:pPr>
      <w:r w:rsidRPr="003C66A0">
        <w:rPr>
          <w:rFonts w:eastAsiaTheme="majorEastAsia"/>
          <w:color w:val="000000" w:themeColor="text1"/>
        </w:rPr>
        <w:t>Inter-rater Reliability (subsample n=5):</w:t>
      </w:r>
    </w:p>
    <w:p w14:paraId="6C08FB4E" w14:textId="222AB329" w:rsidR="00126CEB" w:rsidRPr="003C66A0" w:rsidRDefault="00126CEB" w:rsidP="00AE1DED">
      <w:pPr>
        <w:pStyle w:val="ListParagraph"/>
        <w:numPr>
          <w:ilvl w:val="0"/>
          <w:numId w:val="23"/>
        </w:numPr>
        <w:jc w:val="both"/>
        <w:outlineLvl w:val="9"/>
        <w:rPr>
          <w:rFonts w:eastAsiaTheme="majorEastAsia"/>
          <w:color w:val="000000" w:themeColor="text1"/>
        </w:rPr>
      </w:pPr>
      <w:r w:rsidRPr="003C66A0">
        <w:rPr>
          <w:rFonts w:eastAsiaTheme="majorEastAsia"/>
          <w:color w:val="000000" w:themeColor="text1"/>
        </w:rPr>
        <w:t>Second coder: PhD student in Finance</w:t>
      </w:r>
    </w:p>
    <w:p w14:paraId="2F9DC936" w14:textId="187E4A95" w:rsidR="00126CEB" w:rsidRPr="003C66A0" w:rsidRDefault="00126CEB" w:rsidP="00AE1DED">
      <w:pPr>
        <w:pStyle w:val="ListParagraph"/>
        <w:numPr>
          <w:ilvl w:val="0"/>
          <w:numId w:val="23"/>
        </w:numPr>
        <w:jc w:val="both"/>
        <w:outlineLvl w:val="9"/>
        <w:rPr>
          <w:rFonts w:eastAsiaTheme="majorEastAsia"/>
          <w:color w:val="000000" w:themeColor="text1"/>
        </w:rPr>
      </w:pPr>
      <w:r w:rsidRPr="003C66A0">
        <w:rPr>
          <w:rFonts w:eastAsiaTheme="majorEastAsia"/>
          <w:color w:val="000000" w:themeColor="text1"/>
        </w:rPr>
        <w:t>Cohen's Kappa: 0.73 (substantial agreement)</w:t>
      </w:r>
    </w:p>
    <w:p w14:paraId="34CE91AD" w14:textId="430D3895" w:rsidR="00126CEB" w:rsidRPr="00F17041" w:rsidRDefault="00126CEB" w:rsidP="00AE1DED">
      <w:pPr>
        <w:pStyle w:val="ListParagraph"/>
        <w:numPr>
          <w:ilvl w:val="0"/>
          <w:numId w:val="23"/>
        </w:numPr>
        <w:outlineLvl w:val="9"/>
        <w:rPr>
          <w:rFonts w:eastAsiaTheme="majorEastAsia"/>
          <w:color w:val="000000" w:themeColor="text1"/>
        </w:rPr>
      </w:pPr>
      <w:r w:rsidRPr="003C66A0">
        <w:rPr>
          <w:rFonts w:eastAsiaTheme="majorEastAsia"/>
          <w:color w:val="000000" w:themeColor="text1"/>
        </w:rPr>
        <w:t xml:space="preserve">Discrepancies resolved through discussion </w:t>
      </w:r>
    </w:p>
    <w:p w14:paraId="5F1D6146" w14:textId="77777777" w:rsidR="00126CEB" w:rsidRDefault="00126CEB" w:rsidP="00AE1DED">
      <w:pPr>
        <w:rPr>
          <w:rFonts w:eastAsiaTheme="majorEastAsia"/>
          <w:i/>
          <w:iCs/>
          <w:color w:val="000000" w:themeColor="text1"/>
        </w:rPr>
      </w:pPr>
    </w:p>
    <w:p w14:paraId="7030D50A" w14:textId="77777777" w:rsidR="00D74858" w:rsidRPr="003C66A0" w:rsidRDefault="00D74858" w:rsidP="00AE1DED">
      <w:pPr>
        <w:rPr>
          <w:rFonts w:eastAsiaTheme="majorEastAsia"/>
          <w:i/>
          <w:iCs/>
          <w:color w:val="000000" w:themeColor="text1"/>
        </w:rPr>
      </w:pPr>
    </w:p>
    <w:p w14:paraId="59F5169A" w14:textId="4FBAB4CF" w:rsidR="00126CEB" w:rsidRPr="003C66A0" w:rsidRDefault="00392A6F" w:rsidP="00AE1DED">
      <w:pPr>
        <w:pStyle w:val="Heading3"/>
        <w:rPr>
          <w:rFonts w:eastAsiaTheme="majorEastAsia"/>
        </w:rPr>
      </w:pPr>
      <w:bookmarkStart w:id="276" w:name="_Toc214722082"/>
      <w:r w:rsidRPr="003C66A0">
        <w:rPr>
          <w:rFonts w:eastAsiaTheme="majorEastAsia"/>
        </w:rPr>
        <w:t xml:space="preserve">Table </w:t>
      </w:r>
      <w:r w:rsidR="00E26ED1" w:rsidRPr="003C66A0">
        <w:rPr>
          <w:rFonts w:eastAsiaTheme="majorEastAsia"/>
        </w:rPr>
        <w:t>D</w:t>
      </w:r>
      <w:r w:rsidR="00126CEB" w:rsidRPr="003C66A0">
        <w:rPr>
          <w:rFonts w:eastAsiaTheme="majorEastAsia"/>
        </w:rPr>
        <w:t>.5</w:t>
      </w:r>
      <w:r w:rsidR="00E26ED1" w:rsidRPr="003C66A0">
        <w:rPr>
          <w:rFonts w:eastAsiaTheme="majorEastAsia"/>
        </w:rPr>
        <w:t xml:space="preserve"> </w:t>
      </w:r>
      <w:r w:rsidR="00126CEB" w:rsidRPr="003C66A0">
        <w:rPr>
          <w:rFonts w:eastAsiaTheme="majorEastAsia"/>
        </w:rPr>
        <w:t>Validation Procedures</w:t>
      </w:r>
      <w:bookmarkEnd w:id="276"/>
    </w:p>
    <w:p w14:paraId="4B603C62" w14:textId="77777777" w:rsidR="009A16FC" w:rsidRPr="003C66A0" w:rsidRDefault="009A16FC" w:rsidP="00AE1DED">
      <w:pPr>
        <w:rPr>
          <w:rFonts w:eastAsiaTheme="majorEastAsia"/>
          <w:b/>
          <w:bCs/>
          <w:i/>
          <w:iCs/>
          <w:color w:val="000000" w:themeColor="text1"/>
        </w:rPr>
      </w:pPr>
    </w:p>
    <w:tbl>
      <w:tblPr>
        <w:tblW w:w="9350" w:type="dxa"/>
        <w:tblLook w:val="04A0" w:firstRow="1" w:lastRow="0" w:firstColumn="1" w:lastColumn="0" w:noHBand="0" w:noVBand="1"/>
      </w:tblPr>
      <w:tblGrid>
        <w:gridCol w:w="1700"/>
        <w:gridCol w:w="1980"/>
        <w:gridCol w:w="1890"/>
        <w:gridCol w:w="1890"/>
        <w:gridCol w:w="1890"/>
      </w:tblGrid>
      <w:tr w:rsidR="00FC334A" w:rsidRPr="003C66A0" w14:paraId="152BFC37" w14:textId="77777777" w:rsidTr="005E08D8">
        <w:trPr>
          <w:trHeight w:val="340"/>
        </w:trPr>
        <w:tc>
          <w:tcPr>
            <w:tcW w:w="1700" w:type="dxa"/>
            <w:tcBorders>
              <w:top w:val="single" w:sz="8" w:space="0" w:color="auto"/>
              <w:left w:val="single" w:sz="8" w:space="0" w:color="auto"/>
              <w:bottom w:val="single" w:sz="4" w:space="0" w:color="auto"/>
              <w:right w:val="single" w:sz="8" w:space="0" w:color="auto"/>
            </w:tcBorders>
            <w:shd w:val="clear" w:color="000000" w:fill="D9D9D9"/>
            <w:vAlign w:val="center"/>
            <w:hideMark/>
          </w:tcPr>
          <w:p w14:paraId="58E1D453" w14:textId="77777777" w:rsidR="00CF70DB" w:rsidRPr="003C66A0" w:rsidRDefault="00CF70DB" w:rsidP="00AE1DED">
            <w:pPr>
              <w:rPr>
                <w:b/>
                <w:bCs/>
                <w:color w:val="000000" w:themeColor="text1"/>
              </w:rPr>
            </w:pPr>
            <w:r w:rsidRPr="003C66A0">
              <w:rPr>
                <w:b/>
                <w:bCs/>
                <w:color w:val="000000" w:themeColor="text1"/>
              </w:rPr>
              <w:t>Validation Type</w:t>
            </w:r>
          </w:p>
        </w:tc>
        <w:tc>
          <w:tcPr>
            <w:tcW w:w="1980" w:type="dxa"/>
            <w:tcBorders>
              <w:top w:val="single" w:sz="8" w:space="0" w:color="auto"/>
              <w:left w:val="nil"/>
              <w:bottom w:val="single" w:sz="4" w:space="0" w:color="auto"/>
              <w:right w:val="single" w:sz="4" w:space="0" w:color="auto"/>
            </w:tcBorders>
            <w:shd w:val="clear" w:color="000000" w:fill="D9D9D9"/>
            <w:vAlign w:val="center"/>
            <w:hideMark/>
          </w:tcPr>
          <w:p w14:paraId="6A9B4C31" w14:textId="77777777" w:rsidR="00CF70DB" w:rsidRPr="003C66A0" w:rsidRDefault="00CF70DB" w:rsidP="00AE1DED">
            <w:pPr>
              <w:rPr>
                <w:b/>
                <w:bCs/>
                <w:color w:val="000000" w:themeColor="text1"/>
              </w:rPr>
            </w:pPr>
            <w:r w:rsidRPr="003C66A0">
              <w:rPr>
                <w:b/>
                <w:bCs/>
                <w:color w:val="000000" w:themeColor="text1"/>
              </w:rPr>
              <w:t>Method</w:t>
            </w:r>
          </w:p>
        </w:tc>
        <w:tc>
          <w:tcPr>
            <w:tcW w:w="1890" w:type="dxa"/>
            <w:tcBorders>
              <w:top w:val="single" w:sz="8" w:space="0" w:color="auto"/>
              <w:left w:val="nil"/>
              <w:bottom w:val="single" w:sz="4" w:space="0" w:color="auto"/>
              <w:right w:val="single" w:sz="4" w:space="0" w:color="auto"/>
            </w:tcBorders>
            <w:shd w:val="clear" w:color="000000" w:fill="D9D9D9"/>
            <w:vAlign w:val="center"/>
            <w:hideMark/>
          </w:tcPr>
          <w:p w14:paraId="62C6DE0C" w14:textId="77777777" w:rsidR="00CF70DB" w:rsidRPr="003C66A0" w:rsidRDefault="00CF70DB" w:rsidP="00AE1DED">
            <w:pPr>
              <w:rPr>
                <w:b/>
                <w:bCs/>
                <w:color w:val="000000" w:themeColor="text1"/>
              </w:rPr>
            </w:pPr>
            <w:r w:rsidRPr="003C66A0">
              <w:rPr>
                <w:b/>
                <w:bCs/>
                <w:color w:val="000000" w:themeColor="text1"/>
              </w:rPr>
              <w:t>Target Metric</w:t>
            </w:r>
          </w:p>
        </w:tc>
        <w:tc>
          <w:tcPr>
            <w:tcW w:w="1890" w:type="dxa"/>
            <w:tcBorders>
              <w:top w:val="single" w:sz="8" w:space="0" w:color="auto"/>
              <w:left w:val="nil"/>
              <w:bottom w:val="single" w:sz="4" w:space="0" w:color="auto"/>
              <w:right w:val="single" w:sz="4" w:space="0" w:color="auto"/>
            </w:tcBorders>
            <w:shd w:val="clear" w:color="000000" w:fill="D9D9D9"/>
            <w:vAlign w:val="center"/>
            <w:hideMark/>
          </w:tcPr>
          <w:p w14:paraId="024161EF" w14:textId="77777777" w:rsidR="00CF70DB" w:rsidRPr="003C66A0" w:rsidRDefault="00CF70DB" w:rsidP="00AE1DED">
            <w:pPr>
              <w:rPr>
                <w:b/>
                <w:bCs/>
                <w:color w:val="000000" w:themeColor="text1"/>
              </w:rPr>
            </w:pPr>
            <w:r w:rsidRPr="003C66A0">
              <w:rPr>
                <w:b/>
                <w:bCs/>
                <w:color w:val="000000" w:themeColor="text1"/>
              </w:rPr>
              <w:t>Result</w:t>
            </w:r>
          </w:p>
        </w:tc>
        <w:tc>
          <w:tcPr>
            <w:tcW w:w="1890" w:type="dxa"/>
            <w:tcBorders>
              <w:top w:val="single" w:sz="8" w:space="0" w:color="auto"/>
              <w:left w:val="nil"/>
              <w:bottom w:val="single" w:sz="4" w:space="0" w:color="auto"/>
              <w:right w:val="single" w:sz="8" w:space="0" w:color="auto"/>
            </w:tcBorders>
            <w:shd w:val="clear" w:color="000000" w:fill="D9D9D9"/>
            <w:vAlign w:val="center"/>
            <w:hideMark/>
          </w:tcPr>
          <w:p w14:paraId="2156ACB2" w14:textId="77777777" w:rsidR="00CF70DB" w:rsidRPr="003C66A0" w:rsidRDefault="00CF70DB" w:rsidP="00AE1DED">
            <w:pPr>
              <w:rPr>
                <w:b/>
                <w:bCs/>
                <w:color w:val="000000" w:themeColor="text1"/>
              </w:rPr>
            </w:pPr>
            <w:r w:rsidRPr="003C66A0">
              <w:rPr>
                <w:b/>
                <w:bCs/>
                <w:color w:val="000000" w:themeColor="text1"/>
              </w:rPr>
              <w:t>Assessment</w:t>
            </w:r>
          </w:p>
        </w:tc>
      </w:tr>
      <w:tr w:rsidR="00FC334A" w:rsidRPr="003C66A0" w14:paraId="08004626" w14:textId="77777777" w:rsidTr="005E08D8">
        <w:trPr>
          <w:trHeight w:val="340"/>
        </w:trPr>
        <w:tc>
          <w:tcPr>
            <w:tcW w:w="1700" w:type="dxa"/>
            <w:tcBorders>
              <w:top w:val="nil"/>
              <w:left w:val="single" w:sz="8" w:space="0" w:color="auto"/>
              <w:bottom w:val="single" w:sz="4" w:space="0" w:color="auto"/>
              <w:right w:val="single" w:sz="8" w:space="0" w:color="auto"/>
            </w:tcBorders>
            <w:shd w:val="clear" w:color="000000" w:fill="D9D9D9"/>
            <w:vAlign w:val="center"/>
            <w:hideMark/>
          </w:tcPr>
          <w:p w14:paraId="53778267" w14:textId="77777777" w:rsidR="00CF70DB" w:rsidRPr="003C66A0" w:rsidRDefault="00CF70DB" w:rsidP="00AE1DED">
            <w:pPr>
              <w:rPr>
                <w:b/>
                <w:bCs/>
                <w:color w:val="000000" w:themeColor="text1"/>
              </w:rPr>
            </w:pPr>
            <w:r w:rsidRPr="003C66A0">
              <w:rPr>
                <w:b/>
                <w:bCs/>
                <w:color w:val="000000" w:themeColor="text1"/>
              </w:rPr>
              <w:t>Face Validity</w:t>
            </w:r>
          </w:p>
        </w:tc>
        <w:tc>
          <w:tcPr>
            <w:tcW w:w="1980" w:type="dxa"/>
            <w:tcBorders>
              <w:top w:val="nil"/>
              <w:left w:val="nil"/>
              <w:bottom w:val="single" w:sz="4" w:space="0" w:color="auto"/>
              <w:right w:val="single" w:sz="4" w:space="0" w:color="auto"/>
            </w:tcBorders>
            <w:vAlign w:val="center"/>
            <w:hideMark/>
          </w:tcPr>
          <w:p w14:paraId="2AD27AA4" w14:textId="77777777" w:rsidR="00CF70DB" w:rsidRPr="003C66A0" w:rsidRDefault="00CF70DB" w:rsidP="00AE1DED">
            <w:pPr>
              <w:rPr>
                <w:color w:val="000000" w:themeColor="text1"/>
              </w:rPr>
            </w:pPr>
            <w:r w:rsidRPr="003C66A0">
              <w:rPr>
                <w:color w:val="000000" w:themeColor="text1"/>
              </w:rPr>
              <w:t>Expert review (n=3)</w:t>
            </w:r>
          </w:p>
        </w:tc>
        <w:tc>
          <w:tcPr>
            <w:tcW w:w="1890" w:type="dxa"/>
            <w:tcBorders>
              <w:top w:val="nil"/>
              <w:left w:val="nil"/>
              <w:bottom w:val="single" w:sz="4" w:space="0" w:color="auto"/>
              <w:right w:val="single" w:sz="4" w:space="0" w:color="auto"/>
            </w:tcBorders>
            <w:vAlign w:val="center"/>
            <w:hideMark/>
          </w:tcPr>
          <w:p w14:paraId="67B7BB85" w14:textId="77777777" w:rsidR="00CF70DB" w:rsidRPr="003C66A0" w:rsidRDefault="00CF70DB" w:rsidP="00AE1DED">
            <w:pPr>
              <w:rPr>
                <w:color w:val="000000" w:themeColor="text1"/>
              </w:rPr>
            </w:pPr>
            <w:r w:rsidRPr="003C66A0">
              <w:rPr>
                <w:color w:val="000000" w:themeColor="text1"/>
              </w:rPr>
              <w:t>Behavioral realism</w:t>
            </w:r>
          </w:p>
        </w:tc>
        <w:tc>
          <w:tcPr>
            <w:tcW w:w="1890" w:type="dxa"/>
            <w:tcBorders>
              <w:top w:val="nil"/>
              <w:left w:val="nil"/>
              <w:bottom w:val="single" w:sz="4" w:space="0" w:color="auto"/>
              <w:right w:val="single" w:sz="4" w:space="0" w:color="auto"/>
            </w:tcBorders>
            <w:vAlign w:val="center"/>
            <w:hideMark/>
          </w:tcPr>
          <w:p w14:paraId="0EA1C445" w14:textId="77777777" w:rsidR="00CF70DB" w:rsidRPr="003C66A0" w:rsidRDefault="00CF70DB" w:rsidP="00AE1DED">
            <w:pPr>
              <w:rPr>
                <w:color w:val="000000" w:themeColor="text1"/>
              </w:rPr>
            </w:pPr>
            <w:r w:rsidRPr="003C66A0">
              <w:rPr>
                <w:color w:val="000000" w:themeColor="text1"/>
              </w:rPr>
              <w:t>7.3/10 average</w:t>
            </w:r>
          </w:p>
        </w:tc>
        <w:tc>
          <w:tcPr>
            <w:tcW w:w="1890" w:type="dxa"/>
            <w:tcBorders>
              <w:top w:val="nil"/>
              <w:left w:val="nil"/>
              <w:bottom w:val="single" w:sz="4" w:space="0" w:color="auto"/>
              <w:right w:val="single" w:sz="8" w:space="0" w:color="auto"/>
            </w:tcBorders>
            <w:vAlign w:val="center"/>
            <w:hideMark/>
          </w:tcPr>
          <w:p w14:paraId="6EF35492" w14:textId="77777777" w:rsidR="00CF70DB" w:rsidRPr="003C66A0" w:rsidRDefault="00CF70DB" w:rsidP="00AE1DED">
            <w:pPr>
              <w:rPr>
                <w:color w:val="000000" w:themeColor="text1"/>
              </w:rPr>
            </w:pPr>
            <w:r w:rsidRPr="003C66A0">
              <w:rPr>
                <w:color w:val="000000" w:themeColor="text1"/>
              </w:rPr>
              <w:t>Acceptable</w:t>
            </w:r>
          </w:p>
        </w:tc>
      </w:tr>
      <w:tr w:rsidR="00FC334A" w:rsidRPr="003C66A0" w14:paraId="40B1CB33" w14:textId="77777777" w:rsidTr="005E08D8">
        <w:trPr>
          <w:trHeight w:val="340"/>
        </w:trPr>
        <w:tc>
          <w:tcPr>
            <w:tcW w:w="1700" w:type="dxa"/>
            <w:tcBorders>
              <w:top w:val="nil"/>
              <w:left w:val="single" w:sz="8" w:space="0" w:color="auto"/>
              <w:bottom w:val="single" w:sz="4" w:space="0" w:color="auto"/>
              <w:right w:val="single" w:sz="8" w:space="0" w:color="auto"/>
            </w:tcBorders>
            <w:shd w:val="clear" w:color="000000" w:fill="D9D9D9"/>
            <w:vAlign w:val="center"/>
            <w:hideMark/>
          </w:tcPr>
          <w:p w14:paraId="0D8FE2DE" w14:textId="77777777" w:rsidR="00CF70DB" w:rsidRPr="003C66A0" w:rsidRDefault="00CF70DB" w:rsidP="00AE1DED">
            <w:pPr>
              <w:rPr>
                <w:b/>
                <w:bCs/>
                <w:color w:val="000000" w:themeColor="text1"/>
              </w:rPr>
            </w:pPr>
            <w:r w:rsidRPr="003C66A0">
              <w:rPr>
                <w:b/>
                <w:bCs/>
                <w:color w:val="000000" w:themeColor="text1"/>
              </w:rPr>
              <w:t>Historical Validation</w:t>
            </w:r>
          </w:p>
        </w:tc>
        <w:tc>
          <w:tcPr>
            <w:tcW w:w="1980" w:type="dxa"/>
            <w:tcBorders>
              <w:top w:val="nil"/>
              <w:left w:val="nil"/>
              <w:bottom w:val="single" w:sz="4" w:space="0" w:color="auto"/>
              <w:right w:val="single" w:sz="4" w:space="0" w:color="auto"/>
            </w:tcBorders>
            <w:vAlign w:val="center"/>
            <w:hideMark/>
          </w:tcPr>
          <w:p w14:paraId="63FF27ED" w14:textId="77777777" w:rsidR="00CF70DB" w:rsidRPr="003C66A0" w:rsidRDefault="00CF70DB" w:rsidP="00AE1DED">
            <w:pPr>
              <w:rPr>
                <w:color w:val="000000" w:themeColor="text1"/>
              </w:rPr>
            </w:pPr>
            <w:proofErr w:type="spellStart"/>
            <w:r w:rsidRPr="003C66A0">
              <w:rPr>
                <w:color w:val="000000" w:themeColor="text1"/>
              </w:rPr>
              <w:t>Backtest</w:t>
            </w:r>
            <w:proofErr w:type="spellEnd"/>
            <w:r w:rsidRPr="003C66A0">
              <w:rPr>
                <w:color w:val="000000" w:themeColor="text1"/>
              </w:rPr>
              <w:t xml:space="preserve"> 2020-2021</w:t>
            </w:r>
          </w:p>
        </w:tc>
        <w:tc>
          <w:tcPr>
            <w:tcW w:w="1890" w:type="dxa"/>
            <w:tcBorders>
              <w:top w:val="nil"/>
              <w:left w:val="nil"/>
              <w:bottom w:val="single" w:sz="4" w:space="0" w:color="auto"/>
              <w:right w:val="single" w:sz="4" w:space="0" w:color="auto"/>
            </w:tcBorders>
            <w:vAlign w:val="center"/>
            <w:hideMark/>
          </w:tcPr>
          <w:p w14:paraId="4EABA1AA" w14:textId="77777777" w:rsidR="00CF70DB" w:rsidRPr="003C66A0" w:rsidRDefault="00CF70DB" w:rsidP="00AE1DED">
            <w:pPr>
              <w:rPr>
                <w:color w:val="000000" w:themeColor="text1"/>
              </w:rPr>
            </w:pPr>
            <w:r w:rsidRPr="003C66A0">
              <w:rPr>
                <w:color w:val="000000" w:themeColor="text1"/>
              </w:rPr>
              <w:t>Fee distribution</w:t>
            </w:r>
          </w:p>
        </w:tc>
        <w:tc>
          <w:tcPr>
            <w:tcW w:w="1890" w:type="dxa"/>
            <w:tcBorders>
              <w:top w:val="nil"/>
              <w:left w:val="nil"/>
              <w:bottom w:val="single" w:sz="4" w:space="0" w:color="auto"/>
              <w:right w:val="single" w:sz="4" w:space="0" w:color="auto"/>
            </w:tcBorders>
            <w:vAlign w:val="center"/>
            <w:hideMark/>
          </w:tcPr>
          <w:p w14:paraId="2965C62F" w14:textId="77777777" w:rsidR="00CF70DB" w:rsidRPr="003C66A0" w:rsidRDefault="00CF70DB" w:rsidP="00AE1DED">
            <w:pPr>
              <w:rPr>
                <w:color w:val="000000" w:themeColor="text1"/>
              </w:rPr>
            </w:pPr>
            <w:r w:rsidRPr="003C66A0">
              <w:rPr>
                <w:color w:val="000000" w:themeColor="text1"/>
              </w:rPr>
              <w:t>78% accuracy</w:t>
            </w:r>
          </w:p>
        </w:tc>
        <w:tc>
          <w:tcPr>
            <w:tcW w:w="1890" w:type="dxa"/>
            <w:tcBorders>
              <w:top w:val="nil"/>
              <w:left w:val="nil"/>
              <w:bottom w:val="single" w:sz="4" w:space="0" w:color="auto"/>
              <w:right w:val="single" w:sz="8" w:space="0" w:color="auto"/>
            </w:tcBorders>
            <w:vAlign w:val="center"/>
            <w:hideMark/>
          </w:tcPr>
          <w:p w14:paraId="4070C13B" w14:textId="77777777" w:rsidR="00CF70DB" w:rsidRPr="003C66A0" w:rsidRDefault="00CF70DB" w:rsidP="00AE1DED">
            <w:pPr>
              <w:rPr>
                <w:color w:val="000000" w:themeColor="text1"/>
              </w:rPr>
            </w:pPr>
            <w:r w:rsidRPr="003C66A0">
              <w:rPr>
                <w:color w:val="000000" w:themeColor="text1"/>
              </w:rPr>
              <w:t>Good</w:t>
            </w:r>
          </w:p>
        </w:tc>
      </w:tr>
      <w:tr w:rsidR="00FC334A" w:rsidRPr="003C66A0" w14:paraId="3446BF0C" w14:textId="77777777" w:rsidTr="005E08D8">
        <w:trPr>
          <w:trHeight w:val="440"/>
        </w:trPr>
        <w:tc>
          <w:tcPr>
            <w:tcW w:w="1700" w:type="dxa"/>
            <w:tcBorders>
              <w:top w:val="nil"/>
              <w:left w:val="single" w:sz="8" w:space="0" w:color="auto"/>
              <w:bottom w:val="single" w:sz="4" w:space="0" w:color="auto"/>
              <w:right w:val="single" w:sz="8" w:space="0" w:color="auto"/>
            </w:tcBorders>
            <w:shd w:val="clear" w:color="000000" w:fill="D9D9D9"/>
            <w:vAlign w:val="center"/>
            <w:hideMark/>
          </w:tcPr>
          <w:p w14:paraId="7FCD4A66" w14:textId="77777777" w:rsidR="00CF70DB" w:rsidRPr="003C66A0" w:rsidRDefault="00CF70DB" w:rsidP="00AE1DED">
            <w:pPr>
              <w:rPr>
                <w:b/>
                <w:bCs/>
                <w:color w:val="000000" w:themeColor="text1"/>
              </w:rPr>
            </w:pPr>
            <w:r w:rsidRPr="003C66A0">
              <w:rPr>
                <w:b/>
                <w:bCs/>
                <w:color w:val="000000" w:themeColor="text1"/>
              </w:rPr>
              <w:lastRenderedPageBreak/>
              <w:t>Cross-Validation</w:t>
            </w:r>
          </w:p>
        </w:tc>
        <w:tc>
          <w:tcPr>
            <w:tcW w:w="1980" w:type="dxa"/>
            <w:tcBorders>
              <w:top w:val="nil"/>
              <w:left w:val="nil"/>
              <w:bottom w:val="single" w:sz="4" w:space="0" w:color="auto"/>
              <w:right w:val="single" w:sz="4" w:space="0" w:color="auto"/>
            </w:tcBorders>
            <w:vAlign w:val="center"/>
            <w:hideMark/>
          </w:tcPr>
          <w:p w14:paraId="01AC3A52" w14:textId="77777777" w:rsidR="00CF70DB" w:rsidRPr="003C66A0" w:rsidRDefault="00CF70DB" w:rsidP="00AE1DED">
            <w:pPr>
              <w:rPr>
                <w:color w:val="000000" w:themeColor="text1"/>
              </w:rPr>
            </w:pPr>
            <w:r w:rsidRPr="003C66A0">
              <w:rPr>
                <w:color w:val="000000" w:themeColor="text1"/>
              </w:rPr>
              <w:t>10-fold on 2022 data</w:t>
            </w:r>
          </w:p>
        </w:tc>
        <w:tc>
          <w:tcPr>
            <w:tcW w:w="1890" w:type="dxa"/>
            <w:tcBorders>
              <w:top w:val="nil"/>
              <w:left w:val="nil"/>
              <w:bottom w:val="single" w:sz="4" w:space="0" w:color="auto"/>
              <w:right w:val="single" w:sz="4" w:space="0" w:color="auto"/>
            </w:tcBorders>
            <w:vAlign w:val="center"/>
            <w:hideMark/>
          </w:tcPr>
          <w:p w14:paraId="47461AA7" w14:textId="77777777" w:rsidR="00CF70DB" w:rsidRPr="003C66A0" w:rsidRDefault="00CF70DB" w:rsidP="00AE1DED">
            <w:pPr>
              <w:rPr>
                <w:color w:val="000000" w:themeColor="text1"/>
              </w:rPr>
            </w:pPr>
            <w:r w:rsidRPr="003C66A0">
              <w:rPr>
                <w:color w:val="000000" w:themeColor="text1"/>
              </w:rPr>
              <w:t>Out-of-sample error</w:t>
            </w:r>
          </w:p>
        </w:tc>
        <w:tc>
          <w:tcPr>
            <w:tcW w:w="1890" w:type="dxa"/>
            <w:tcBorders>
              <w:top w:val="nil"/>
              <w:left w:val="nil"/>
              <w:bottom w:val="single" w:sz="4" w:space="0" w:color="auto"/>
              <w:right w:val="single" w:sz="4" w:space="0" w:color="auto"/>
            </w:tcBorders>
            <w:vAlign w:val="center"/>
            <w:hideMark/>
          </w:tcPr>
          <w:p w14:paraId="677961B8" w14:textId="77777777" w:rsidR="00CF70DB" w:rsidRPr="003C66A0" w:rsidRDefault="00CF70DB" w:rsidP="00AE1DED">
            <w:pPr>
              <w:rPr>
                <w:color w:val="000000" w:themeColor="text1"/>
              </w:rPr>
            </w:pPr>
            <w:r w:rsidRPr="003C66A0">
              <w:rPr>
                <w:color w:val="000000" w:themeColor="text1"/>
              </w:rPr>
              <w:t>31% RMSE</w:t>
            </w:r>
          </w:p>
        </w:tc>
        <w:tc>
          <w:tcPr>
            <w:tcW w:w="1890" w:type="dxa"/>
            <w:tcBorders>
              <w:top w:val="nil"/>
              <w:left w:val="nil"/>
              <w:bottom w:val="single" w:sz="4" w:space="0" w:color="auto"/>
              <w:right w:val="single" w:sz="8" w:space="0" w:color="auto"/>
            </w:tcBorders>
            <w:vAlign w:val="center"/>
            <w:hideMark/>
          </w:tcPr>
          <w:p w14:paraId="36A6B3A6" w14:textId="77777777" w:rsidR="00CF70DB" w:rsidRPr="003C66A0" w:rsidRDefault="00CF70DB" w:rsidP="00AE1DED">
            <w:pPr>
              <w:rPr>
                <w:color w:val="000000" w:themeColor="text1"/>
              </w:rPr>
            </w:pPr>
            <w:r w:rsidRPr="003C66A0">
              <w:rPr>
                <w:color w:val="000000" w:themeColor="text1"/>
              </w:rPr>
              <w:t>Moderate</w:t>
            </w:r>
          </w:p>
        </w:tc>
      </w:tr>
      <w:tr w:rsidR="00FC334A" w:rsidRPr="003C66A0" w14:paraId="219DF089" w14:textId="77777777" w:rsidTr="005E08D8">
        <w:trPr>
          <w:trHeight w:val="340"/>
        </w:trPr>
        <w:tc>
          <w:tcPr>
            <w:tcW w:w="1700" w:type="dxa"/>
            <w:tcBorders>
              <w:top w:val="nil"/>
              <w:left w:val="single" w:sz="8" w:space="0" w:color="auto"/>
              <w:bottom w:val="single" w:sz="4" w:space="0" w:color="auto"/>
              <w:right w:val="single" w:sz="8" w:space="0" w:color="auto"/>
            </w:tcBorders>
            <w:shd w:val="clear" w:color="000000" w:fill="D9D9D9"/>
            <w:vAlign w:val="center"/>
            <w:hideMark/>
          </w:tcPr>
          <w:p w14:paraId="191BFDBD" w14:textId="77777777" w:rsidR="00CF70DB" w:rsidRPr="003C66A0" w:rsidRDefault="00CF70DB" w:rsidP="00AE1DED">
            <w:pPr>
              <w:rPr>
                <w:b/>
                <w:bCs/>
                <w:color w:val="000000" w:themeColor="text1"/>
              </w:rPr>
            </w:pPr>
            <w:r w:rsidRPr="003C66A0">
              <w:rPr>
                <w:b/>
                <w:bCs/>
                <w:color w:val="000000" w:themeColor="text1"/>
              </w:rPr>
              <w:t>Sensitivity Analysis</w:t>
            </w:r>
          </w:p>
        </w:tc>
        <w:tc>
          <w:tcPr>
            <w:tcW w:w="1980" w:type="dxa"/>
            <w:tcBorders>
              <w:top w:val="nil"/>
              <w:left w:val="nil"/>
              <w:bottom w:val="single" w:sz="4" w:space="0" w:color="auto"/>
              <w:right w:val="single" w:sz="4" w:space="0" w:color="auto"/>
            </w:tcBorders>
            <w:vAlign w:val="center"/>
            <w:hideMark/>
          </w:tcPr>
          <w:p w14:paraId="61E1EEFC" w14:textId="77777777" w:rsidR="00CF70DB" w:rsidRPr="003C66A0" w:rsidRDefault="00CF70DB" w:rsidP="00AE1DED">
            <w:pPr>
              <w:rPr>
                <w:color w:val="000000" w:themeColor="text1"/>
              </w:rPr>
            </w:pPr>
            <w:r w:rsidRPr="003C66A0">
              <w:rPr>
                <w:color w:val="000000" w:themeColor="text1"/>
              </w:rPr>
              <w:t>±20% parameter variation</w:t>
            </w:r>
          </w:p>
        </w:tc>
        <w:tc>
          <w:tcPr>
            <w:tcW w:w="1890" w:type="dxa"/>
            <w:tcBorders>
              <w:top w:val="nil"/>
              <w:left w:val="nil"/>
              <w:bottom w:val="single" w:sz="4" w:space="0" w:color="auto"/>
              <w:right w:val="single" w:sz="4" w:space="0" w:color="auto"/>
            </w:tcBorders>
            <w:vAlign w:val="center"/>
            <w:hideMark/>
          </w:tcPr>
          <w:p w14:paraId="339A23A5" w14:textId="77777777" w:rsidR="00CF70DB" w:rsidRPr="003C66A0" w:rsidRDefault="00CF70DB" w:rsidP="00AE1DED">
            <w:pPr>
              <w:rPr>
                <w:color w:val="000000" w:themeColor="text1"/>
              </w:rPr>
            </w:pPr>
            <w:r w:rsidRPr="003C66A0">
              <w:rPr>
                <w:color w:val="000000" w:themeColor="text1"/>
              </w:rPr>
              <w:t>Output stability</w:t>
            </w:r>
          </w:p>
        </w:tc>
        <w:tc>
          <w:tcPr>
            <w:tcW w:w="1890" w:type="dxa"/>
            <w:tcBorders>
              <w:top w:val="nil"/>
              <w:left w:val="nil"/>
              <w:bottom w:val="single" w:sz="4" w:space="0" w:color="auto"/>
              <w:right w:val="single" w:sz="4" w:space="0" w:color="auto"/>
            </w:tcBorders>
            <w:vAlign w:val="center"/>
            <w:hideMark/>
          </w:tcPr>
          <w:p w14:paraId="3B565293" w14:textId="77777777" w:rsidR="00CF70DB" w:rsidRPr="003C66A0" w:rsidRDefault="00CF70DB" w:rsidP="00AE1DED">
            <w:pPr>
              <w:rPr>
                <w:color w:val="000000" w:themeColor="text1"/>
              </w:rPr>
            </w:pPr>
            <w:r w:rsidRPr="003C66A0">
              <w:rPr>
                <w:color w:val="000000" w:themeColor="text1"/>
              </w:rPr>
              <w:t>40% variation</w:t>
            </w:r>
          </w:p>
        </w:tc>
        <w:tc>
          <w:tcPr>
            <w:tcW w:w="1890" w:type="dxa"/>
            <w:tcBorders>
              <w:top w:val="nil"/>
              <w:left w:val="nil"/>
              <w:bottom w:val="single" w:sz="4" w:space="0" w:color="auto"/>
              <w:right w:val="single" w:sz="8" w:space="0" w:color="auto"/>
            </w:tcBorders>
            <w:vAlign w:val="center"/>
            <w:hideMark/>
          </w:tcPr>
          <w:p w14:paraId="79AA9EE0" w14:textId="77777777" w:rsidR="00CF70DB" w:rsidRPr="003C66A0" w:rsidRDefault="00CF70DB" w:rsidP="00AE1DED">
            <w:pPr>
              <w:rPr>
                <w:color w:val="000000" w:themeColor="text1"/>
              </w:rPr>
            </w:pPr>
            <w:r w:rsidRPr="003C66A0">
              <w:rPr>
                <w:color w:val="000000" w:themeColor="text1"/>
              </w:rPr>
              <w:t>High sensitivity</w:t>
            </w:r>
          </w:p>
        </w:tc>
      </w:tr>
      <w:tr w:rsidR="00FC334A" w:rsidRPr="003C66A0" w14:paraId="625A93FA" w14:textId="77777777" w:rsidTr="005E08D8">
        <w:trPr>
          <w:trHeight w:val="360"/>
        </w:trPr>
        <w:tc>
          <w:tcPr>
            <w:tcW w:w="1700" w:type="dxa"/>
            <w:tcBorders>
              <w:top w:val="nil"/>
              <w:left w:val="single" w:sz="8" w:space="0" w:color="auto"/>
              <w:bottom w:val="single" w:sz="8" w:space="0" w:color="auto"/>
              <w:right w:val="single" w:sz="8" w:space="0" w:color="auto"/>
            </w:tcBorders>
            <w:shd w:val="clear" w:color="000000" w:fill="D9D9D9"/>
            <w:vAlign w:val="center"/>
            <w:hideMark/>
          </w:tcPr>
          <w:p w14:paraId="432186AB" w14:textId="77777777" w:rsidR="00CF70DB" w:rsidRPr="003C66A0" w:rsidRDefault="00CF70DB" w:rsidP="00AE1DED">
            <w:pPr>
              <w:rPr>
                <w:b/>
                <w:bCs/>
                <w:color w:val="000000" w:themeColor="text1"/>
              </w:rPr>
            </w:pPr>
            <w:r w:rsidRPr="003C66A0">
              <w:rPr>
                <w:b/>
                <w:bCs/>
                <w:color w:val="000000" w:themeColor="text1"/>
              </w:rPr>
              <w:t>Extreme Testing</w:t>
            </w:r>
          </w:p>
        </w:tc>
        <w:tc>
          <w:tcPr>
            <w:tcW w:w="1980" w:type="dxa"/>
            <w:tcBorders>
              <w:top w:val="nil"/>
              <w:left w:val="nil"/>
              <w:bottom w:val="single" w:sz="8" w:space="0" w:color="auto"/>
              <w:right w:val="single" w:sz="4" w:space="0" w:color="auto"/>
            </w:tcBorders>
            <w:vAlign w:val="center"/>
            <w:hideMark/>
          </w:tcPr>
          <w:p w14:paraId="78383239" w14:textId="77777777" w:rsidR="00CF70DB" w:rsidRPr="003C66A0" w:rsidRDefault="00CF70DB" w:rsidP="00AE1DED">
            <w:pPr>
              <w:rPr>
                <w:color w:val="000000" w:themeColor="text1"/>
              </w:rPr>
            </w:pPr>
            <w:r w:rsidRPr="003C66A0">
              <w:rPr>
                <w:color w:val="000000" w:themeColor="text1"/>
              </w:rPr>
              <w:t>10x volatility spike</w:t>
            </w:r>
          </w:p>
        </w:tc>
        <w:tc>
          <w:tcPr>
            <w:tcW w:w="1890" w:type="dxa"/>
            <w:tcBorders>
              <w:top w:val="nil"/>
              <w:left w:val="nil"/>
              <w:bottom w:val="single" w:sz="8" w:space="0" w:color="auto"/>
              <w:right w:val="single" w:sz="4" w:space="0" w:color="auto"/>
            </w:tcBorders>
            <w:vAlign w:val="center"/>
            <w:hideMark/>
          </w:tcPr>
          <w:p w14:paraId="1EEBA853" w14:textId="77777777" w:rsidR="00CF70DB" w:rsidRPr="003C66A0" w:rsidRDefault="00CF70DB" w:rsidP="00AE1DED">
            <w:pPr>
              <w:rPr>
                <w:color w:val="000000" w:themeColor="text1"/>
              </w:rPr>
            </w:pPr>
            <w:r w:rsidRPr="003C66A0">
              <w:rPr>
                <w:color w:val="000000" w:themeColor="text1"/>
              </w:rPr>
              <w:t>System stability</w:t>
            </w:r>
          </w:p>
        </w:tc>
        <w:tc>
          <w:tcPr>
            <w:tcW w:w="1890" w:type="dxa"/>
            <w:tcBorders>
              <w:top w:val="nil"/>
              <w:left w:val="nil"/>
              <w:bottom w:val="single" w:sz="8" w:space="0" w:color="auto"/>
              <w:right w:val="single" w:sz="4" w:space="0" w:color="auto"/>
            </w:tcBorders>
            <w:vAlign w:val="center"/>
            <w:hideMark/>
          </w:tcPr>
          <w:p w14:paraId="51A5361E" w14:textId="77777777" w:rsidR="00CF70DB" w:rsidRPr="003C66A0" w:rsidRDefault="00CF70DB" w:rsidP="00AE1DED">
            <w:pPr>
              <w:rPr>
                <w:color w:val="000000" w:themeColor="text1"/>
              </w:rPr>
            </w:pPr>
            <w:r w:rsidRPr="003C66A0">
              <w:rPr>
                <w:color w:val="000000" w:themeColor="text1"/>
              </w:rPr>
              <w:t>Survived 73%</w:t>
            </w:r>
          </w:p>
        </w:tc>
        <w:tc>
          <w:tcPr>
            <w:tcW w:w="1890" w:type="dxa"/>
            <w:tcBorders>
              <w:top w:val="nil"/>
              <w:left w:val="nil"/>
              <w:bottom w:val="single" w:sz="8" w:space="0" w:color="auto"/>
              <w:right w:val="single" w:sz="8" w:space="0" w:color="auto"/>
            </w:tcBorders>
            <w:vAlign w:val="center"/>
            <w:hideMark/>
          </w:tcPr>
          <w:p w14:paraId="4A19FF0E" w14:textId="77777777" w:rsidR="00CF70DB" w:rsidRPr="003C66A0" w:rsidRDefault="00CF70DB" w:rsidP="00AE1DED">
            <w:pPr>
              <w:rPr>
                <w:color w:val="000000" w:themeColor="text1"/>
              </w:rPr>
            </w:pPr>
            <w:r w:rsidRPr="003C66A0">
              <w:rPr>
                <w:color w:val="000000" w:themeColor="text1"/>
              </w:rPr>
              <w:t>Concerning</w:t>
            </w:r>
          </w:p>
        </w:tc>
      </w:tr>
    </w:tbl>
    <w:p w14:paraId="0863EC55" w14:textId="165BE0DF" w:rsidR="009A16FC" w:rsidRPr="003C66A0" w:rsidRDefault="00F27FF5" w:rsidP="00AE1DED">
      <w:pPr>
        <w:jc w:val="both"/>
        <w:rPr>
          <w:rFonts w:eastAsiaTheme="majorEastAsia"/>
          <w:i/>
          <w:iCs/>
          <w:color w:val="000000" w:themeColor="text1"/>
        </w:rPr>
      </w:pPr>
      <w:r w:rsidRPr="003C66A0">
        <w:rPr>
          <w:rFonts w:eastAsiaTheme="majorEastAsia"/>
          <w:i/>
          <w:iCs/>
          <w:color w:val="000000" w:themeColor="text1"/>
        </w:rPr>
        <w:t xml:space="preserve">Interpretive Note: </w:t>
      </w:r>
      <w:r w:rsidRPr="005E08D8">
        <w:rPr>
          <w:rFonts w:eastAsiaTheme="majorEastAsia"/>
          <w:color w:val="000000" w:themeColor="text1"/>
        </w:rPr>
        <w:t xml:space="preserve">The 78% historical accuracy dropping to 31% RMSE in cross-validation and high parameter sensitivity (40% variation) confirms that DeFi markets exhibit regime changes and non-stationarity that make forward </w:t>
      </w:r>
      <w:proofErr w:type="gramStart"/>
      <w:r w:rsidRPr="005E08D8">
        <w:rPr>
          <w:rFonts w:eastAsiaTheme="majorEastAsia"/>
          <w:color w:val="000000" w:themeColor="text1"/>
        </w:rPr>
        <w:t>prediction</w:t>
      </w:r>
      <w:proofErr w:type="gramEnd"/>
      <w:r w:rsidRPr="005E08D8">
        <w:rPr>
          <w:rFonts w:eastAsiaTheme="majorEastAsia"/>
          <w:color w:val="000000" w:themeColor="text1"/>
        </w:rPr>
        <w:t xml:space="preserve"> inherently uncertain.</w:t>
      </w:r>
    </w:p>
    <w:p w14:paraId="636442E1" w14:textId="77777777" w:rsidR="009A16FC" w:rsidRDefault="009A16FC" w:rsidP="00AE1DED">
      <w:pPr>
        <w:jc w:val="both"/>
        <w:rPr>
          <w:rFonts w:eastAsiaTheme="majorEastAsia"/>
          <w:i/>
          <w:iCs/>
          <w:color w:val="000000" w:themeColor="text1"/>
        </w:rPr>
      </w:pPr>
    </w:p>
    <w:p w14:paraId="7A986A56" w14:textId="77777777" w:rsidR="00D74858" w:rsidRPr="003C66A0" w:rsidRDefault="00D74858" w:rsidP="00AE1DED">
      <w:pPr>
        <w:rPr>
          <w:rFonts w:eastAsiaTheme="majorEastAsia"/>
          <w:i/>
          <w:iCs/>
          <w:color w:val="000000" w:themeColor="text1"/>
        </w:rPr>
      </w:pPr>
    </w:p>
    <w:p w14:paraId="2AF3A54F" w14:textId="48B73660" w:rsidR="00126CEB" w:rsidRPr="00F17041" w:rsidRDefault="00392A6F" w:rsidP="00AE1DED">
      <w:pPr>
        <w:pStyle w:val="Heading3"/>
        <w:rPr>
          <w:rFonts w:eastAsiaTheme="majorEastAsia"/>
        </w:rPr>
      </w:pPr>
      <w:bookmarkStart w:id="277" w:name="_Toc214722083"/>
      <w:r w:rsidRPr="003C66A0">
        <w:rPr>
          <w:rFonts w:eastAsiaTheme="majorEastAsia"/>
        </w:rPr>
        <w:t xml:space="preserve">Table </w:t>
      </w:r>
      <w:r w:rsidR="00E26ED1" w:rsidRPr="00F17041">
        <w:rPr>
          <w:rFonts w:eastAsiaTheme="majorEastAsia"/>
        </w:rPr>
        <w:t>D</w:t>
      </w:r>
      <w:r w:rsidR="00126CEB" w:rsidRPr="00F17041">
        <w:rPr>
          <w:rFonts w:eastAsiaTheme="majorEastAsia"/>
        </w:rPr>
        <w:t>.6</w:t>
      </w:r>
      <w:r w:rsidR="00E26ED1" w:rsidRPr="00F17041">
        <w:rPr>
          <w:rFonts w:eastAsiaTheme="majorEastAsia"/>
        </w:rPr>
        <w:t xml:space="preserve"> </w:t>
      </w:r>
      <w:r w:rsidR="00D9405E" w:rsidRPr="00F17041">
        <w:rPr>
          <w:rFonts w:eastAsiaTheme="majorEastAsia"/>
        </w:rPr>
        <w:t>Decision Points</w:t>
      </w:r>
      <w:bookmarkEnd w:id="277"/>
    </w:p>
    <w:p w14:paraId="61E70FAA" w14:textId="77777777" w:rsidR="00F17041" w:rsidRPr="00F17041" w:rsidRDefault="00F17041" w:rsidP="00AE1DED">
      <w:pPr>
        <w:rPr>
          <w:rFonts w:eastAsiaTheme="majorEastAsia"/>
        </w:rPr>
      </w:pPr>
    </w:p>
    <w:tbl>
      <w:tblPr>
        <w:tblW w:w="9350" w:type="dxa"/>
        <w:tblLook w:val="04A0" w:firstRow="1" w:lastRow="0" w:firstColumn="1" w:lastColumn="0" w:noHBand="0" w:noVBand="1"/>
      </w:tblPr>
      <w:tblGrid>
        <w:gridCol w:w="1554"/>
        <w:gridCol w:w="2186"/>
        <w:gridCol w:w="1636"/>
        <w:gridCol w:w="2430"/>
        <w:gridCol w:w="1544"/>
      </w:tblGrid>
      <w:tr w:rsidR="00FC334A" w:rsidRPr="003C66A0" w14:paraId="28EA687E" w14:textId="77777777" w:rsidTr="00717D21">
        <w:trPr>
          <w:trHeight w:val="360"/>
        </w:trPr>
        <w:tc>
          <w:tcPr>
            <w:tcW w:w="1554" w:type="dxa"/>
            <w:tcBorders>
              <w:top w:val="single" w:sz="8" w:space="0" w:color="auto"/>
              <w:left w:val="single" w:sz="8" w:space="0" w:color="auto"/>
              <w:bottom w:val="single" w:sz="8" w:space="0" w:color="auto"/>
              <w:right w:val="single" w:sz="4" w:space="0" w:color="auto"/>
            </w:tcBorders>
            <w:shd w:val="clear" w:color="000000" w:fill="D9D9D9"/>
            <w:vAlign w:val="center"/>
            <w:hideMark/>
          </w:tcPr>
          <w:p w14:paraId="71291BAD" w14:textId="77777777" w:rsidR="007A7E4F" w:rsidRPr="003C66A0" w:rsidRDefault="007A7E4F" w:rsidP="00AE1DED">
            <w:pPr>
              <w:jc w:val="center"/>
              <w:rPr>
                <w:b/>
                <w:bCs/>
                <w:color w:val="000000" w:themeColor="text1"/>
              </w:rPr>
            </w:pPr>
            <w:r w:rsidRPr="003C66A0">
              <w:rPr>
                <w:b/>
                <w:bCs/>
                <w:color w:val="000000" w:themeColor="text1"/>
              </w:rPr>
              <w:t>Decision Point</w:t>
            </w:r>
          </w:p>
        </w:tc>
        <w:tc>
          <w:tcPr>
            <w:tcW w:w="2186" w:type="dxa"/>
            <w:tcBorders>
              <w:top w:val="single" w:sz="8" w:space="0" w:color="auto"/>
              <w:left w:val="nil"/>
              <w:bottom w:val="single" w:sz="8" w:space="0" w:color="auto"/>
              <w:right w:val="single" w:sz="4" w:space="0" w:color="auto"/>
            </w:tcBorders>
            <w:shd w:val="clear" w:color="000000" w:fill="D9D9D9"/>
            <w:vAlign w:val="center"/>
            <w:hideMark/>
          </w:tcPr>
          <w:p w14:paraId="5117B934" w14:textId="77777777" w:rsidR="007A7E4F" w:rsidRPr="003C66A0" w:rsidRDefault="007A7E4F" w:rsidP="00AE1DED">
            <w:pPr>
              <w:jc w:val="center"/>
              <w:rPr>
                <w:b/>
                <w:bCs/>
                <w:color w:val="000000" w:themeColor="text1"/>
              </w:rPr>
            </w:pPr>
            <w:r w:rsidRPr="003C66A0">
              <w:rPr>
                <w:b/>
                <w:bCs/>
                <w:color w:val="000000" w:themeColor="text1"/>
              </w:rPr>
              <w:t>Options Considered</w:t>
            </w:r>
          </w:p>
        </w:tc>
        <w:tc>
          <w:tcPr>
            <w:tcW w:w="1636" w:type="dxa"/>
            <w:tcBorders>
              <w:top w:val="single" w:sz="8" w:space="0" w:color="auto"/>
              <w:left w:val="nil"/>
              <w:bottom w:val="single" w:sz="8" w:space="0" w:color="auto"/>
              <w:right w:val="single" w:sz="4" w:space="0" w:color="auto"/>
            </w:tcBorders>
            <w:shd w:val="clear" w:color="000000" w:fill="D9D9D9"/>
            <w:vAlign w:val="center"/>
            <w:hideMark/>
          </w:tcPr>
          <w:p w14:paraId="1628D563" w14:textId="77777777" w:rsidR="007A7E4F" w:rsidRPr="003C66A0" w:rsidRDefault="007A7E4F" w:rsidP="00AE1DED">
            <w:pPr>
              <w:jc w:val="center"/>
              <w:rPr>
                <w:b/>
                <w:bCs/>
                <w:color w:val="000000" w:themeColor="text1"/>
              </w:rPr>
            </w:pPr>
            <w:r w:rsidRPr="003C66A0">
              <w:rPr>
                <w:b/>
                <w:bCs/>
                <w:color w:val="000000" w:themeColor="text1"/>
              </w:rPr>
              <w:t>Choice Made</w:t>
            </w:r>
          </w:p>
        </w:tc>
        <w:tc>
          <w:tcPr>
            <w:tcW w:w="2430" w:type="dxa"/>
            <w:tcBorders>
              <w:top w:val="single" w:sz="8" w:space="0" w:color="auto"/>
              <w:left w:val="nil"/>
              <w:bottom w:val="single" w:sz="8" w:space="0" w:color="auto"/>
              <w:right w:val="single" w:sz="4" w:space="0" w:color="auto"/>
            </w:tcBorders>
            <w:shd w:val="clear" w:color="000000" w:fill="D9D9D9"/>
            <w:vAlign w:val="center"/>
            <w:hideMark/>
          </w:tcPr>
          <w:p w14:paraId="378EF41B" w14:textId="77777777" w:rsidR="007A7E4F" w:rsidRPr="003C66A0" w:rsidRDefault="007A7E4F" w:rsidP="00AE1DED">
            <w:pPr>
              <w:jc w:val="center"/>
              <w:rPr>
                <w:b/>
                <w:bCs/>
                <w:color w:val="000000" w:themeColor="text1"/>
              </w:rPr>
            </w:pPr>
            <w:r w:rsidRPr="003C66A0">
              <w:rPr>
                <w:b/>
                <w:bCs/>
                <w:color w:val="000000" w:themeColor="text1"/>
              </w:rPr>
              <w:t>Justification</w:t>
            </w:r>
          </w:p>
        </w:tc>
        <w:tc>
          <w:tcPr>
            <w:tcW w:w="1544" w:type="dxa"/>
            <w:tcBorders>
              <w:top w:val="single" w:sz="8" w:space="0" w:color="auto"/>
              <w:left w:val="nil"/>
              <w:bottom w:val="single" w:sz="8" w:space="0" w:color="auto"/>
              <w:right w:val="single" w:sz="8" w:space="0" w:color="auto"/>
            </w:tcBorders>
            <w:shd w:val="clear" w:color="000000" w:fill="D9D9D9"/>
            <w:vAlign w:val="center"/>
            <w:hideMark/>
          </w:tcPr>
          <w:p w14:paraId="0237920B" w14:textId="77777777" w:rsidR="007A7E4F" w:rsidRPr="003C66A0" w:rsidRDefault="007A7E4F" w:rsidP="00AE1DED">
            <w:pPr>
              <w:jc w:val="center"/>
              <w:rPr>
                <w:b/>
                <w:bCs/>
                <w:color w:val="000000" w:themeColor="text1"/>
              </w:rPr>
            </w:pPr>
            <w:r w:rsidRPr="003C66A0">
              <w:rPr>
                <w:b/>
                <w:bCs/>
                <w:color w:val="000000" w:themeColor="text1"/>
              </w:rPr>
              <w:t>Date</w:t>
            </w:r>
          </w:p>
        </w:tc>
      </w:tr>
      <w:tr w:rsidR="00FC334A" w:rsidRPr="003C66A0" w14:paraId="3B437379" w14:textId="77777777" w:rsidTr="00717D21">
        <w:trPr>
          <w:trHeight w:val="340"/>
        </w:trPr>
        <w:tc>
          <w:tcPr>
            <w:tcW w:w="1554" w:type="dxa"/>
            <w:tcBorders>
              <w:top w:val="nil"/>
              <w:left w:val="single" w:sz="8" w:space="0" w:color="auto"/>
              <w:bottom w:val="single" w:sz="4" w:space="0" w:color="auto"/>
              <w:right w:val="single" w:sz="4" w:space="0" w:color="auto"/>
            </w:tcBorders>
            <w:shd w:val="clear" w:color="000000" w:fill="D9D9D9"/>
            <w:vAlign w:val="center"/>
            <w:hideMark/>
          </w:tcPr>
          <w:p w14:paraId="43B781F7" w14:textId="77777777" w:rsidR="007A7E4F" w:rsidRPr="003C66A0" w:rsidRDefault="007A7E4F" w:rsidP="00AE1DED">
            <w:pPr>
              <w:rPr>
                <w:color w:val="000000" w:themeColor="text1"/>
              </w:rPr>
            </w:pPr>
            <w:r w:rsidRPr="003C66A0">
              <w:rPr>
                <w:color w:val="000000" w:themeColor="text1"/>
              </w:rPr>
              <w:t>Missing gas data</w:t>
            </w:r>
          </w:p>
        </w:tc>
        <w:tc>
          <w:tcPr>
            <w:tcW w:w="2186" w:type="dxa"/>
            <w:tcBorders>
              <w:top w:val="nil"/>
              <w:left w:val="nil"/>
              <w:bottom w:val="single" w:sz="4" w:space="0" w:color="auto"/>
              <w:right w:val="single" w:sz="4" w:space="0" w:color="auto"/>
            </w:tcBorders>
            <w:vAlign w:val="center"/>
            <w:hideMark/>
          </w:tcPr>
          <w:p w14:paraId="7201C98D" w14:textId="77777777" w:rsidR="007A7E4F" w:rsidRPr="003C66A0" w:rsidRDefault="007A7E4F" w:rsidP="00AE1DED">
            <w:pPr>
              <w:rPr>
                <w:color w:val="000000" w:themeColor="text1"/>
              </w:rPr>
            </w:pPr>
            <w:r w:rsidRPr="003C66A0">
              <w:rPr>
                <w:color w:val="000000" w:themeColor="text1"/>
              </w:rPr>
              <w:t>Deletion, mean imputation, model-based</w:t>
            </w:r>
          </w:p>
        </w:tc>
        <w:tc>
          <w:tcPr>
            <w:tcW w:w="1636" w:type="dxa"/>
            <w:tcBorders>
              <w:top w:val="nil"/>
              <w:left w:val="nil"/>
              <w:bottom w:val="single" w:sz="4" w:space="0" w:color="auto"/>
              <w:right w:val="single" w:sz="4" w:space="0" w:color="auto"/>
            </w:tcBorders>
            <w:vAlign w:val="center"/>
            <w:hideMark/>
          </w:tcPr>
          <w:p w14:paraId="499E2AD8" w14:textId="77777777" w:rsidR="007A7E4F" w:rsidRPr="003C66A0" w:rsidRDefault="007A7E4F" w:rsidP="00AE1DED">
            <w:pPr>
              <w:rPr>
                <w:color w:val="000000" w:themeColor="text1"/>
              </w:rPr>
            </w:pPr>
            <w:r w:rsidRPr="003C66A0">
              <w:rPr>
                <w:color w:val="000000" w:themeColor="text1"/>
              </w:rPr>
              <w:t>Model-based imputation</w:t>
            </w:r>
          </w:p>
        </w:tc>
        <w:tc>
          <w:tcPr>
            <w:tcW w:w="2430" w:type="dxa"/>
            <w:tcBorders>
              <w:top w:val="nil"/>
              <w:left w:val="nil"/>
              <w:bottom w:val="single" w:sz="4" w:space="0" w:color="auto"/>
              <w:right w:val="single" w:sz="4" w:space="0" w:color="auto"/>
            </w:tcBorders>
            <w:vAlign w:val="center"/>
            <w:hideMark/>
          </w:tcPr>
          <w:p w14:paraId="53DE8DCA" w14:textId="77777777" w:rsidR="007A7E4F" w:rsidRPr="003C66A0" w:rsidRDefault="007A7E4F" w:rsidP="00AE1DED">
            <w:pPr>
              <w:rPr>
                <w:color w:val="000000" w:themeColor="text1"/>
              </w:rPr>
            </w:pPr>
            <w:r w:rsidRPr="003C66A0">
              <w:rPr>
                <w:color w:val="000000" w:themeColor="text1"/>
              </w:rPr>
              <w:t>Preserves relationships</w:t>
            </w:r>
          </w:p>
        </w:tc>
        <w:tc>
          <w:tcPr>
            <w:tcW w:w="1544" w:type="dxa"/>
            <w:tcBorders>
              <w:top w:val="nil"/>
              <w:left w:val="nil"/>
              <w:bottom w:val="single" w:sz="4" w:space="0" w:color="auto"/>
              <w:right w:val="single" w:sz="8" w:space="0" w:color="auto"/>
            </w:tcBorders>
            <w:vAlign w:val="center"/>
            <w:hideMark/>
          </w:tcPr>
          <w:p w14:paraId="1BF258C0" w14:textId="77777777" w:rsidR="007A7E4F" w:rsidRPr="003C66A0" w:rsidRDefault="007A7E4F" w:rsidP="00AE1DED">
            <w:pPr>
              <w:jc w:val="right"/>
              <w:rPr>
                <w:color w:val="000000" w:themeColor="text1"/>
              </w:rPr>
            </w:pPr>
            <w:r w:rsidRPr="003C66A0">
              <w:rPr>
                <w:color w:val="000000" w:themeColor="text1"/>
              </w:rPr>
              <w:t>3/15/23</w:t>
            </w:r>
          </w:p>
        </w:tc>
      </w:tr>
      <w:tr w:rsidR="00FC334A" w:rsidRPr="003C66A0" w14:paraId="38F8BB8B" w14:textId="77777777" w:rsidTr="00717D21">
        <w:trPr>
          <w:trHeight w:val="340"/>
        </w:trPr>
        <w:tc>
          <w:tcPr>
            <w:tcW w:w="1554" w:type="dxa"/>
            <w:tcBorders>
              <w:top w:val="nil"/>
              <w:left w:val="single" w:sz="8" w:space="0" w:color="auto"/>
              <w:bottom w:val="single" w:sz="4" w:space="0" w:color="auto"/>
              <w:right w:val="single" w:sz="4" w:space="0" w:color="auto"/>
            </w:tcBorders>
            <w:shd w:val="clear" w:color="000000" w:fill="D9D9D9"/>
            <w:vAlign w:val="center"/>
            <w:hideMark/>
          </w:tcPr>
          <w:p w14:paraId="25B1CBDD" w14:textId="77777777" w:rsidR="007A7E4F" w:rsidRPr="003C66A0" w:rsidRDefault="007A7E4F" w:rsidP="00AE1DED">
            <w:pPr>
              <w:rPr>
                <w:color w:val="000000" w:themeColor="text1"/>
              </w:rPr>
            </w:pPr>
            <w:r w:rsidRPr="003C66A0">
              <w:rPr>
                <w:color w:val="000000" w:themeColor="text1"/>
              </w:rPr>
              <w:t>Outlier handling</w:t>
            </w:r>
          </w:p>
        </w:tc>
        <w:tc>
          <w:tcPr>
            <w:tcW w:w="2186" w:type="dxa"/>
            <w:tcBorders>
              <w:top w:val="nil"/>
              <w:left w:val="nil"/>
              <w:bottom w:val="single" w:sz="4" w:space="0" w:color="auto"/>
              <w:right w:val="single" w:sz="4" w:space="0" w:color="auto"/>
            </w:tcBorders>
            <w:vAlign w:val="center"/>
            <w:hideMark/>
          </w:tcPr>
          <w:p w14:paraId="30E6AE22" w14:textId="77777777" w:rsidR="007A7E4F" w:rsidRPr="003C66A0" w:rsidRDefault="007A7E4F" w:rsidP="00AE1DED">
            <w:pPr>
              <w:rPr>
                <w:color w:val="000000" w:themeColor="text1"/>
              </w:rPr>
            </w:pPr>
            <w:r w:rsidRPr="003C66A0">
              <w:rPr>
                <w:color w:val="000000" w:themeColor="text1"/>
              </w:rPr>
              <w:t xml:space="preserve">Remove, </w:t>
            </w:r>
            <w:proofErr w:type="spellStart"/>
            <w:r w:rsidRPr="003C66A0">
              <w:rPr>
                <w:color w:val="000000" w:themeColor="text1"/>
              </w:rPr>
              <w:t>winsorize</w:t>
            </w:r>
            <w:proofErr w:type="spellEnd"/>
            <w:r w:rsidRPr="003C66A0">
              <w:rPr>
                <w:color w:val="000000" w:themeColor="text1"/>
              </w:rPr>
              <w:t>, keep</w:t>
            </w:r>
          </w:p>
        </w:tc>
        <w:tc>
          <w:tcPr>
            <w:tcW w:w="1636" w:type="dxa"/>
            <w:tcBorders>
              <w:top w:val="nil"/>
              <w:left w:val="nil"/>
              <w:bottom w:val="single" w:sz="4" w:space="0" w:color="auto"/>
              <w:right w:val="single" w:sz="4" w:space="0" w:color="auto"/>
            </w:tcBorders>
            <w:vAlign w:val="center"/>
            <w:hideMark/>
          </w:tcPr>
          <w:p w14:paraId="1CB327D2" w14:textId="77777777" w:rsidR="007A7E4F" w:rsidRPr="003C66A0" w:rsidRDefault="007A7E4F" w:rsidP="00AE1DED">
            <w:pPr>
              <w:rPr>
                <w:color w:val="000000" w:themeColor="text1"/>
              </w:rPr>
            </w:pPr>
            <w:proofErr w:type="spellStart"/>
            <w:r w:rsidRPr="003C66A0">
              <w:rPr>
                <w:color w:val="000000" w:themeColor="text1"/>
              </w:rPr>
              <w:t>Winsorize</w:t>
            </w:r>
            <w:proofErr w:type="spellEnd"/>
            <w:r w:rsidRPr="003C66A0">
              <w:rPr>
                <w:color w:val="000000" w:themeColor="text1"/>
              </w:rPr>
              <w:t xml:space="preserve"> at 99.9%</w:t>
            </w:r>
          </w:p>
        </w:tc>
        <w:tc>
          <w:tcPr>
            <w:tcW w:w="2430" w:type="dxa"/>
            <w:tcBorders>
              <w:top w:val="nil"/>
              <w:left w:val="nil"/>
              <w:bottom w:val="single" w:sz="4" w:space="0" w:color="auto"/>
              <w:right w:val="single" w:sz="4" w:space="0" w:color="auto"/>
            </w:tcBorders>
            <w:vAlign w:val="center"/>
            <w:hideMark/>
          </w:tcPr>
          <w:p w14:paraId="200B521F" w14:textId="77777777" w:rsidR="007A7E4F" w:rsidRPr="003C66A0" w:rsidRDefault="007A7E4F" w:rsidP="00AE1DED">
            <w:pPr>
              <w:rPr>
                <w:color w:val="000000" w:themeColor="text1"/>
              </w:rPr>
            </w:pPr>
            <w:r w:rsidRPr="003C66A0">
              <w:rPr>
                <w:color w:val="000000" w:themeColor="text1"/>
              </w:rPr>
              <w:t>Balance robustness/information</w:t>
            </w:r>
          </w:p>
        </w:tc>
        <w:tc>
          <w:tcPr>
            <w:tcW w:w="1544" w:type="dxa"/>
            <w:tcBorders>
              <w:top w:val="nil"/>
              <w:left w:val="nil"/>
              <w:bottom w:val="single" w:sz="4" w:space="0" w:color="auto"/>
              <w:right w:val="single" w:sz="8" w:space="0" w:color="auto"/>
            </w:tcBorders>
            <w:vAlign w:val="center"/>
            <w:hideMark/>
          </w:tcPr>
          <w:p w14:paraId="6D5A36E4" w14:textId="77777777" w:rsidR="007A7E4F" w:rsidRPr="003C66A0" w:rsidRDefault="007A7E4F" w:rsidP="00AE1DED">
            <w:pPr>
              <w:jc w:val="right"/>
              <w:rPr>
                <w:color w:val="000000" w:themeColor="text1"/>
              </w:rPr>
            </w:pPr>
            <w:r w:rsidRPr="003C66A0">
              <w:rPr>
                <w:color w:val="000000" w:themeColor="text1"/>
              </w:rPr>
              <w:t>4/2/23</w:t>
            </w:r>
          </w:p>
        </w:tc>
      </w:tr>
      <w:tr w:rsidR="00FC334A" w:rsidRPr="003C66A0" w14:paraId="6E6C5134" w14:textId="77777777" w:rsidTr="00717D21">
        <w:trPr>
          <w:trHeight w:val="340"/>
        </w:trPr>
        <w:tc>
          <w:tcPr>
            <w:tcW w:w="1554" w:type="dxa"/>
            <w:tcBorders>
              <w:top w:val="nil"/>
              <w:left w:val="single" w:sz="8" w:space="0" w:color="auto"/>
              <w:bottom w:val="single" w:sz="4" w:space="0" w:color="auto"/>
              <w:right w:val="single" w:sz="4" w:space="0" w:color="auto"/>
            </w:tcBorders>
            <w:shd w:val="clear" w:color="000000" w:fill="D9D9D9"/>
            <w:vAlign w:val="center"/>
            <w:hideMark/>
          </w:tcPr>
          <w:p w14:paraId="393FA0EF" w14:textId="77777777" w:rsidR="007A7E4F" w:rsidRPr="003C66A0" w:rsidRDefault="007A7E4F" w:rsidP="00AE1DED">
            <w:pPr>
              <w:rPr>
                <w:color w:val="000000" w:themeColor="text1"/>
              </w:rPr>
            </w:pPr>
            <w:r w:rsidRPr="003C66A0">
              <w:rPr>
                <w:color w:val="000000" w:themeColor="text1"/>
              </w:rPr>
              <w:t>Interview saturation</w:t>
            </w:r>
          </w:p>
        </w:tc>
        <w:tc>
          <w:tcPr>
            <w:tcW w:w="2186" w:type="dxa"/>
            <w:tcBorders>
              <w:top w:val="nil"/>
              <w:left w:val="nil"/>
              <w:bottom w:val="single" w:sz="4" w:space="0" w:color="auto"/>
              <w:right w:val="single" w:sz="4" w:space="0" w:color="auto"/>
            </w:tcBorders>
            <w:vAlign w:val="center"/>
            <w:hideMark/>
          </w:tcPr>
          <w:p w14:paraId="590DB7B5" w14:textId="77777777" w:rsidR="007A7E4F" w:rsidRPr="003C66A0" w:rsidRDefault="007A7E4F" w:rsidP="00AE1DED">
            <w:pPr>
              <w:rPr>
                <w:color w:val="000000" w:themeColor="text1"/>
              </w:rPr>
            </w:pPr>
            <w:r w:rsidRPr="003C66A0">
              <w:rPr>
                <w:color w:val="000000" w:themeColor="text1"/>
              </w:rPr>
              <w:t>20, 25, 30 participants</w:t>
            </w:r>
          </w:p>
        </w:tc>
        <w:tc>
          <w:tcPr>
            <w:tcW w:w="1636" w:type="dxa"/>
            <w:tcBorders>
              <w:top w:val="nil"/>
              <w:left w:val="nil"/>
              <w:bottom w:val="single" w:sz="4" w:space="0" w:color="auto"/>
              <w:right w:val="single" w:sz="4" w:space="0" w:color="auto"/>
            </w:tcBorders>
            <w:vAlign w:val="center"/>
            <w:hideMark/>
          </w:tcPr>
          <w:p w14:paraId="7E4D6E25" w14:textId="77777777" w:rsidR="007A7E4F" w:rsidRPr="003C66A0" w:rsidRDefault="007A7E4F" w:rsidP="00AE1DED">
            <w:pPr>
              <w:rPr>
                <w:color w:val="000000" w:themeColor="text1"/>
              </w:rPr>
            </w:pPr>
            <w:r w:rsidRPr="003C66A0">
              <w:rPr>
                <w:color w:val="000000" w:themeColor="text1"/>
              </w:rPr>
              <w:t>27 (stopped at saturation)</w:t>
            </w:r>
          </w:p>
        </w:tc>
        <w:tc>
          <w:tcPr>
            <w:tcW w:w="2430" w:type="dxa"/>
            <w:tcBorders>
              <w:top w:val="nil"/>
              <w:left w:val="nil"/>
              <w:bottom w:val="single" w:sz="4" w:space="0" w:color="auto"/>
              <w:right w:val="single" w:sz="4" w:space="0" w:color="auto"/>
            </w:tcBorders>
            <w:vAlign w:val="center"/>
            <w:hideMark/>
          </w:tcPr>
          <w:p w14:paraId="7B878802" w14:textId="77777777" w:rsidR="007A7E4F" w:rsidRPr="003C66A0" w:rsidRDefault="007A7E4F" w:rsidP="00AE1DED">
            <w:pPr>
              <w:rPr>
                <w:color w:val="000000" w:themeColor="text1"/>
              </w:rPr>
            </w:pPr>
            <w:r w:rsidRPr="003C66A0">
              <w:rPr>
                <w:color w:val="000000" w:themeColor="text1"/>
              </w:rPr>
              <w:t>No new themes after n=23</w:t>
            </w:r>
          </w:p>
        </w:tc>
        <w:tc>
          <w:tcPr>
            <w:tcW w:w="1544" w:type="dxa"/>
            <w:tcBorders>
              <w:top w:val="nil"/>
              <w:left w:val="nil"/>
              <w:bottom w:val="single" w:sz="4" w:space="0" w:color="auto"/>
              <w:right w:val="single" w:sz="8" w:space="0" w:color="auto"/>
            </w:tcBorders>
            <w:vAlign w:val="center"/>
            <w:hideMark/>
          </w:tcPr>
          <w:p w14:paraId="1979BDA0" w14:textId="77777777" w:rsidR="007A7E4F" w:rsidRPr="003C66A0" w:rsidRDefault="007A7E4F" w:rsidP="00AE1DED">
            <w:pPr>
              <w:jc w:val="right"/>
              <w:rPr>
                <w:color w:val="000000" w:themeColor="text1"/>
              </w:rPr>
            </w:pPr>
            <w:r w:rsidRPr="003C66A0">
              <w:rPr>
                <w:color w:val="000000" w:themeColor="text1"/>
              </w:rPr>
              <w:t>10/15/23</w:t>
            </w:r>
          </w:p>
        </w:tc>
      </w:tr>
      <w:tr w:rsidR="00FC334A" w:rsidRPr="003C66A0" w14:paraId="203240E7" w14:textId="77777777" w:rsidTr="00717D21">
        <w:trPr>
          <w:trHeight w:val="360"/>
        </w:trPr>
        <w:tc>
          <w:tcPr>
            <w:tcW w:w="1554" w:type="dxa"/>
            <w:tcBorders>
              <w:top w:val="nil"/>
              <w:left w:val="single" w:sz="8" w:space="0" w:color="auto"/>
              <w:bottom w:val="single" w:sz="8" w:space="0" w:color="auto"/>
              <w:right w:val="single" w:sz="4" w:space="0" w:color="auto"/>
            </w:tcBorders>
            <w:shd w:val="clear" w:color="000000" w:fill="D9D9D9"/>
            <w:vAlign w:val="center"/>
            <w:hideMark/>
          </w:tcPr>
          <w:p w14:paraId="4C742CEE" w14:textId="77777777" w:rsidR="007A7E4F" w:rsidRPr="003C66A0" w:rsidRDefault="007A7E4F" w:rsidP="00AE1DED">
            <w:pPr>
              <w:rPr>
                <w:color w:val="000000" w:themeColor="text1"/>
              </w:rPr>
            </w:pPr>
            <w:r w:rsidRPr="003C66A0">
              <w:rPr>
                <w:color w:val="000000" w:themeColor="text1"/>
              </w:rPr>
              <w:t>Simulation runs</w:t>
            </w:r>
          </w:p>
        </w:tc>
        <w:tc>
          <w:tcPr>
            <w:tcW w:w="2186" w:type="dxa"/>
            <w:tcBorders>
              <w:top w:val="nil"/>
              <w:left w:val="nil"/>
              <w:bottom w:val="single" w:sz="8" w:space="0" w:color="auto"/>
              <w:right w:val="single" w:sz="4" w:space="0" w:color="auto"/>
            </w:tcBorders>
            <w:vAlign w:val="center"/>
            <w:hideMark/>
          </w:tcPr>
          <w:p w14:paraId="1FEC75D0" w14:textId="77777777" w:rsidR="007A7E4F" w:rsidRPr="003C66A0" w:rsidRDefault="007A7E4F" w:rsidP="00AE1DED">
            <w:pPr>
              <w:rPr>
                <w:color w:val="000000" w:themeColor="text1"/>
              </w:rPr>
            </w:pPr>
            <w:r w:rsidRPr="003C66A0">
              <w:rPr>
                <w:color w:val="000000" w:themeColor="text1"/>
              </w:rPr>
              <w:t>100, 1000, 10000</w:t>
            </w:r>
          </w:p>
        </w:tc>
        <w:tc>
          <w:tcPr>
            <w:tcW w:w="1636" w:type="dxa"/>
            <w:tcBorders>
              <w:top w:val="nil"/>
              <w:left w:val="nil"/>
              <w:bottom w:val="single" w:sz="8" w:space="0" w:color="auto"/>
              <w:right w:val="single" w:sz="4" w:space="0" w:color="auto"/>
            </w:tcBorders>
            <w:vAlign w:val="center"/>
            <w:hideMark/>
          </w:tcPr>
          <w:p w14:paraId="4D706DC0" w14:textId="77777777" w:rsidR="007A7E4F" w:rsidRPr="003C66A0" w:rsidRDefault="007A7E4F" w:rsidP="00AE1DED">
            <w:pPr>
              <w:rPr>
                <w:color w:val="000000" w:themeColor="text1"/>
              </w:rPr>
            </w:pPr>
            <w:r w:rsidRPr="003C66A0">
              <w:rPr>
                <w:color w:val="000000" w:themeColor="text1"/>
              </w:rPr>
              <w:t>1000</w:t>
            </w:r>
          </w:p>
        </w:tc>
        <w:tc>
          <w:tcPr>
            <w:tcW w:w="2430" w:type="dxa"/>
            <w:tcBorders>
              <w:top w:val="nil"/>
              <w:left w:val="nil"/>
              <w:bottom w:val="single" w:sz="8" w:space="0" w:color="auto"/>
              <w:right w:val="single" w:sz="4" w:space="0" w:color="auto"/>
            </w:tcBorders>
            <w:vAlign w:val="center"/>
            <w:hideMark/>
          </w:tcPr>
          <w:p w14:paraId="6D2F39A3" w14:textId="77777777" w:rsidR="007A7E4F" w:rsidRPr="003C66A0" w:rsidRDefault="007A7E4F" w:rsidP="00AE1DED">
            <w:pPr>
              <w:rPr>
                <w:color w:val="000000" w:themeColor="text1"/>
              </w:rPr>
            </w:pPr>
            <w:r w:rsidRPr="003C66A0">
              <w:rPr>
                <w:color w:val="000000" w:themeColor="text1"/>
              </w:rPr>
              <w:t>Convergence achieved</w:t>
            </w:r>
          </w:p>
        </w:tc>
        <w:tc>
          <w:tcPr>
            <w:tcW w:w="1544" w:type="dxa"/>
            <w:tcBorders>
              <w:top w:val="nil"/>
              <w:left w:val="nil"/>
              <w:bottom w:val="single" w:sz="8" w:space="0" w:color="auto"/>
              <w:right w:val="single" w:sz="8" w:space="0" w:color="auto"/>
            </w:tcBorders>
            <w:vAlign w:val="center"/>
            <w:hideMark/>
          </w:tcPr>
          <w:p w14:paraId="47C308B7" w14:textId="77777777" w:rsidR="007A7E4F" w:rsidRPr="003C66A0" w:rsidRDefault="007A7E4F" w:rsidP="00AE1DED">
            <w:pPr>
              <w:jc w:val="right"/>
              <w:rPr>
                <w:color w:val="000000" w:themeColor="text1"/>
              </w:rPr>
            </w:pPr>
            <w:r w:rsidRPr="003C66A0">
              <w:rPr>
                <w:color w:val="000000" w:themeColor="text1"/>
              </w:rPr>
              <w:t>1/20/24</w:t>
            </w:r>
          </w:p>
        </w:tc>
      </w:tr>
    </w:tbl>
    <w:p w14:paraId="323131C1" w14:textId="7557FB95" w:rsidR="009A16FC" w:rsidRPr="003C66A0" w:rsidRDefault="00D9405E" w:rsidP="00AE1DED">
      <w:pPr>
        <w:jc w:val="both"/>
        <w:rPr>
          <w:rFonts w:eastAsiaTheme="majorEastAsia"/>
          <w:i/>
          <w:iCs/>
          <w:color w:val="000000" w:themeColor="text1"/>
        </w:rPr>
      </w:pPr>
      <w:r w:rsidRPr="003C66A0">
        <w:rPr>
          <w:rFonts w:eastAsiaTheme="majorEastAsia"/>
          <w:i/>
          <w:iCs/>
          <w:color w:val="000000" w:themeColor="text1"/>
        </w:rPr>
        <w:t xml:space="preserve">Interpretive Note: </w:t>
      </w:r>
      <w:r w:rsidRPr="005E08D8">
        <w:rPr>
          <w:rFonts w:eastAsiaTheme="majorEastAsia"/>
          <w:color w:val="000000" w:themeColor="text1"/>
        </w:rPr>
        <w:t xml:space="preserve">These methodological decision points reveal the iterative nature of mixed-methods research—each choice (like </w:t>
      </w:r>
      <w:proofErr w:type="spellStart"/>
      <w:r w:rsidRPr="005E08D8">
        <w:rPr>
          <w:rFonts w:eastAsiaTheme="majorEastAsia"/>
          <w:color w:val="000000" w:themeColor="text1"/>
        </w:rPr>
        <w:t>winsorizing</w:t>
      </w:r>
      <w:proofErr w:type="spellEnd"/>
      <w:r w:rsidRPr="005E08D8">
        <w:rPr>
          <w:rFonts w:eastAsiaTheme="majorEastAsia"/>
          <w:color w:val="000000" w:themeColor="text1"/>
        </w:rPr>
        <w:t xml:space="preserve"> at 99.9% or stopping interviews at n=27) represents a balance between competing considerations that shapes final findings.</w:t>
      </w:r>
    </w:p>
    <w:p w14:paraId="67E8A550" w14:textId="77777777" w:rsidR="00AD2C6B" w:rsidRDefault="00AD2C6B" w:rsidP="00AE1DED">
      <w:pPr>
        <w:jc w:val="both"/>
        <w:rPr>
          <w:rFonts w:eastAsiaTheme="majorEastAsia"/>
          <w:b/>
          <w:bCs/>
          <w:i/>
          <w:iCs/>
          <w:color w:val="000000" w:themeColor="text1"/>
        </w:rPr>
      </w:pPr>
    </w:p>
    <w:p w14:paraId="0CD345C1" w14:textId="77777777" w:rsidR="00D74858" w:rsidRPr="003C66A0" w:rsidRDefault="00D74858" w:rsidP="00AE1DED">
      <w:pPr>
        <w:rPr>
          <w:rFonts w:eastAsiaTheme="majorEastAsia"/>
          <w:b/>
          <w:bCs/>
          <w:i/>
          <w:iCs/>
          <w:color w:val="000000" w:themeColor="text1"/>
        </w:rPr>
      </w:pPr>
    </w:p>
    <w:p w14:paraId="2B298DF2" w14:textId="37ADDE29" w:rsidR="00126CEB" w:rsidRDefault="00392A6F" w:rsidP="00AE1DED">
      <w:pPr>
        <w:pStyle w:val="Heading3"/>
        <w:rPr>
          <w:rFonts w:eastAsiaTheme="majorEastAsia"/>
        </w:rPr>
      </w:pPr>
      <w:bookmarkStart w:id="278" w:name="_Toc214722084"/>
      <w:r w:rsidRPr="003C66A0">
        <w:rPr>
          <w:rFonts w:eastAsiaTheme="majorEastAsia"/>
        </w:rPr>
        <w:t xml:space="preserve">Table </w:t>
      </w:r>
      <w:r w:rsidR="00D77017">
        <w:rPr>
          <w:rFonts w:eastAsiaTheme="majorEastAsia"/>
        </w:rPr>
        <w:t>D</w:t>
      </w:r>
      <w:r w:rsidR="00126CEB" w:rsidRPr="003C66A0">
        <w:rPr>
          <w:rFonts w:eastAsiaTheme="majorEastAsia"/>
        </w:rPr>
        <w:t>.7Audit Trail Documentation</w:t>
      </w:r>
      <w:bookmarkEnd w:id="278"/>
    </w:p>
    <w:p w14:paraId="01664E94" w14:textId="77777777" w:rsidR="00F17041" w:rsidRPr="00F17041" w:rsidRDefault="00F17041" w:rsidP="00AE1DED">
      <w:pPr>
        <w:rPr>
          <w:rFonts w:eastAsiaTheme="majorEastAsia"/>
        </w:rPr>
      </w:pPr>
    </w:p>
    <w:tbl>
      <w:tblPr>
        <w:tblW w:w="9350" w:type="dxa"/>
        <w:tblLook w:val="04A0" w:firstRow="1" w:lastRow="0" w:firstColumn="1" w:lastColumn="0" w:noHBand="0" w:noVBand="1"/>
      </w:tblPr>
      <w:tblGrid>
        <w:gridCol w:w="1727"/>
        <w:gridCol w:w="2068"/>
        <w:gridCol w:w="2050"/>
        <w:gridCol w:w="2430"/>
        <w:gridCol w:w="1075"/>
      </w:tblGrid>
      <w:tr w:rsidR="00FC334A" w:rsidRPr="003C66A0" w14:paraId="41CBDE7B" w14:textId="77777777" w:rsidTr="005E08D8">
        <w:trPr>
          <w:trHeight w:val="360"/>
        </w:trPr>
        <w:tc>
          <w:tcPr>
            <w:tcW w:w="1727" w:type="dxa"/>
            <w:tcBorders>
              <w:top w:val="single" w:sz="8" w:space="0" w:color="auto"/>
              <w:left w:val="single" w:sz="8" w:space="0" w:color="auto"/>
              <w:bottom w:val="single" w:sz="8" w:space="0" w:color="auto"/>
              <w:right w:val="single" w:sz="4" w:space="0" w:color="auto"/>
            </w:tcBorders>
            <w:shd w:val="clear" w:color="000000" w:fill="D9D9D9"/>
            <w:vAlign w:val="center"/>
            <w:hideMark/>
          </w:tcPr>
          <w:p w14:paraId="0ED37352" w14:textId="77777777" w:rsidR="00C70A30" w:rsidRPr="003C66A0" w:rsidRDefault="00C70A30" w:rsidP="00AE1DED">
            <w:pPr>
              <w:jc w:val="center"/>
              <w:rPr>
                <w:b/>
                <w:bCs/>
                <w:color w:val="000000" w:themeColor="text1"/>
              </w:rPr>
            </w:pPr>
            <w:r w:rsidRPr="003C66A0">
              <w:rPr>
                <w:b/>
                <w:bCs/>
                <w:color w:val="000000" w:themeColor="text1"/>
              </w:rPr>
              <w:t>Decision Point</w:t>
            </w:r>
          </w:p>
        </w:tc>
        <w:tc>
          <w:tcPr>
            <w:tcW w:w="2068" w:type="dxa"/>
            <w:tcBorders>
              <w:top w:val="single" w:sz="8" w:space="0" w:color="auto"/>
              <w:left w:val="nil"/>
              <w:bottom w:val="single" w:sz="8" w:space="0" w:color="auto"/>
              <w:right w:val="single" w:sz="4" w:space="0" w:color="auto"/>
            </w:tcBorders>
            <w:shd w:val="clear" w:color="000000" w:fill="D9D9D9"/>
            <w:vAlign w:val="center"/>
            <w:hideMark/>
          </w:tcPr>
          <w:p w14:paraId="60FBCBD5" w14:textId="77777777" w:rsidR="00C70A30" w:rsidRPr="003C66A0" w:rsidRDefault="00C70A30" w:rsidP="00AE1DED">
            <w:pPr>
              <w:jc w:val="center"/>
              <w:rPr>
                <w:b/>
                <w:bCs/>
                <w:color w:val="000000" w:themeColor="text1"/>
              </w:rPr>
            </w:pPr>
            <w:r w:rsidRPr="003C66A0">
              <w:rPr>
                <w:b/>
                <w:bCs/>
                <w:color w:val="000000" w:themeColor="text1"/>
              </w:rPr>
              <w:t>Options Considered</w:t>
            </w:r>
          </w:p>
        </w:tc>
        <w:tc>
          <w:tcPr>
            <w:tcW w:w="2050" w:type="dxa"/>
            <w:tcBorders>
              <w:top w:val="single" w:sz="8" w:space="0" w:color="auto"/>
              <w:left w:val="nil"/>
              <w:bottom w:val="single" w:sz="8" w:space="0" w:color="auto"/>
              <w:right w:val="single" w:sz="4" w:space="0" w:color="auto"/>
            </w:tcBorders>
            <w:shd w:val="clear" w:color="000000" w:fill="D9D9D9"/>
            <w:vAlign w:val="center"/>
            <w:hideMark/>
          </w:tcPr>
          <w:p w14:paraId="36C78950" w14:textId="77777777" w:rsidR="00C70A30" w:rsidRPr="003C66A0" w:rsidRDefault="00C70A30" w:rsidP="00AE1DED">
            <w:pPr>
              <w:jc w:val="center"/>
              <w:rPr>
                <w:b/>
                <w:bCs/>
                <w:color w:val="000000" w:themeColor="text1"/>
              </w:rPr>
            </w:pPr>
            <w:r w:rsidRPr="003C66A0">
              <w:rPr>
                <w:b/>
                <w:bCs/>
                <w:color w:val="000000" w:themeColor="text1"/>
              </w:rPr>
              <w:t>Choice Made</w:t>
            </w:r>
          </w:p>
        </w:tc>
        <w:tc>
          <w:tcPr>
            <w:tcW w:w="2430" w:type="dxa"/>
            <w:tcBorders>
              <w:top w:val="single" w:sz="8" w:space="0" w:color="auto"/>
              <w:left w:val="nil"/>
              <w:bottom w:val="single" w:sz="8" w:space="0" w:color="auto"/>
              <w:right w:val="single" w:sz="4" w:space="0" w:color="auto"/>
            </w:tcBorders>
            <w:shd w:val="clear" w:color="000000" w:fill="D9D9D9"/>
            <w:vAlign w:val="center"/>
            <w:hideMark/>
          </w:tcPr>
          <w:p w14:paraId="1FEBA139" w14:textId="77777777" w:rsidR="00C70A30" w:rsidRPr="003C66A0" w:rsidRDefault="00C70A30" w:rsidP="00AE1DED">
            <w:pPr>
              <w:jc w:val="center"/>
              <w:rPr>
                <w:b/>
                <w:bCs/>
                <w:color w:val="000000" w:themeColor="text1"/>
              </w:rPr>
            </w:pPr>
            <w:r w:rsidRPr="003C66A0">
              <w:rPr>
                <w:b/>
                <w:bCs/>
                <w:color w:val="000000" w:themeColor="text1"/>
              </w:rPr>
              <w:t>Justification</w:t>
            </w:r>
          </w:p>
        </w:tc>
        <w:tc>
          <w:tcPr>
            <w:tcW w:w="1075" w:type="dxa"/>
            <w:tcBorders>
              <w:top w:val="single" w:sz="8" w:space="0" w:color="auto"/>
              <w:left w:val="nil"/>
              <w:bottom w:val="single" w:sz="8" w:space="0" w:color="auto"/>
              <w:right w:val="single" w:sz="8" w:space="0" w:color="auto"/>
            </w:tcBorders>
            <w:shd w:val="clear" w:color="000000" w:fill="D9D9D9"/>
            <w:vAlign w:val="center"/>
            <w:hideMark/>
          </w:tcPr>
          <w:p w14:paraId="2D94D569" w14:textId="77777777" w:rsidR="00C70A30" w:rsidRPr="003C66A0" w:rsidRDefault="00C70A30" w:rsidP="00AE1DED">
            <w:pPr>
              <w:jc w:val="center"/>
              <w:rPr>
                <w:b/>
                <w:bCs/>
                <w:color w:val="000000" w:themeColor="text1"/>
              </w:rPr>
            </w:pPr>
            <w:r w:rsidRPr="003C66A0">
              <w:rPr>
                <w:b/>
                <w:bCs/>
                <w:color w:val="000000" w:themeColor="text1"/>
              </w:rPr>
              <w:t>Date</w:t>
            </w:r>
          </w:p>
        </w:tc>
      </w:tr>
      <w:tr w:rsidR="00FC334A" w:rsidRPr="003C66A0" w14:paraId="3AD5746C" w14:textId="77777777" w:rsidTr="005E08D8">
        <w:trPr>
          <w:trHeight w:val="340"/>
        </w:trPr>
        <w:tc>
          <w:tcPr>
            <w:tcW w:w="1727" w:type="dxa"/>
            <w:tcBorders>
              <w:top w:val="nil"/>
              <w:left w:val="single" w:sz="8" w:space="0" w:color="auto"/>
              <w:bottom w:val="single" w:sz="4" w:space="0" w:color="auto"/>
              <w:right w:val="single" w:sz="4" w:space="0" w:color="auto"/>
            </w:tcBorders>
            <w:shd w:val="clear" w:color="000000" w:fill="D9D9D9"/>
            <w:vAlign w:val="center"/>
            <w:hideMark/>
          </w:tcPr>
          <w:p w14:paraId="4522FD82" w14:textId="77777777" w:rsidR="00C70A30" w:rsidRPr="003C66A0" w:rsidRDefault="00C70A30" w:rsidP="00AE1DED">
            <w:pPr>
              <w:rPr>
                <w:color w:val="000000" w:themeColor="text1"/>
              </w:rPr>
            </w:pPr>
            <w:r w:rsidRPr="003C66A0">
              <w:rPr>
                <w:color w:val="000000" w:themeColor="text1"/>
              </w:rPr>
              <w:t>Missing gas data</w:t>
            </w:r>
          </w:p>
        </w:tc>
        <w:tc>
          <w:tcPr>
            <w:tcW w:w="2068" w:type="dxa"/>
            <w:tcBorders>
              <w:top w:val="nil"/>
              <w:left w:val="nil"/>
              <w:bottom w:val="single" w:sz="4" w:space="0" w:color="auto"/>
              <w:right w:val="single" w:sz="4" w:space="0" w:color="auto"/>
            </w:tcBorders>
            <w:vAlign w:val="center"/>
            <w:hideMark/>
          </w:tcPr>
          <w:p w14:paraId="6A64427C" w14:textId="77777777" w:rsidR="00C70A30" w:rsidRPr="003C66A0" w:rsidRDefault="00C70A30" w:rsidP="00AE1DED">
            <w:pPr>
              <w:rPr>
                <w:color w:val="000000" w:themeColor="text1"/>
              </w:rPr>
            </w:pPr>
            <w:r w:rsidRPr="003C66A0">
              <w:rPr>
                <w:color w:val="000000" w:themeColor="text1"/>
              </w:rPr>
              <w:t>Deletion, mean imputation, model-based</w:t>
            </w:r>
          </w:p>
        </w:tc>
        <w:tc>
          <w:tcPr>
            <w:tcW w:w="2050" w:type="dxa"/>
            <w:tcBorders>
              <w:top w:val="nil"/>
              <w:left w:val="nil"/>
              <w:bottom w:val="single" w:sz="4" w:space="0" w:color="auto"/>
              <w:right w:val="single" w:sz="4" w:space="0" w:color="auto"/>
            </w:tcBorders>
            <w:vAlign w:val="center"/>
            <w:hideMark/>
          </w:tcPr>
          <w:p w14:paraId="23577C38" w14:textId="77777777" w:rsidR="00C70A30" w:rsidRPr="003C66A0" w:rsidRDefault="00C70A30" w:rsidP="00AE1DED">
            <w:pPr>
              <w:rPr>
                <w:color w:val="000000" w:themeColor="text1"/>
              </w:rPr>
            </w:pPr>
            <w:r w:rsidRPr="003C66A0">
              <w:rPr>
                <w:color w:val="000000" w:themeColor="text1"/>
              </w:rPr>
              <w:t>Model-based imputation</w:t>
            </w:r>
          </w:p>
        </w:tc>
        <w:tc>
          <w:tcPr>
            <w:tcW w:w="2430" w:type="dxa"/>
            <w:tcBorders>
              <w:top w:val="nil"/>
              <w:left w:val="nil"/>
              <w:bottom w:val="single" w:sz="4" w:space="0" w:color="auto"/>
              <w:right w:val="single" w:sz="4" w:space="0" w:color="auto"/>
            </w:tcBorders>
            <w:vAlign w:val="center"/>
            <w:hideMark/>
          </w:tcPr>
          <w:p w14:paraId="6E453CC5" w14:textId="77777777" w:rsidR="00C70A30" w:rsidRPr="003C66A0" w:rsidRDefault="00C70A30" w:rsidP="00AE1DED">
            <w:pPr>
              <w:rPr>
                <w:color w:val="000000" w:themeColor="text1"/>
              </w:rPr>
            </w:pPr>
            <w:r w:rsidRPr="003C66A0">
              <w:rPr>
                <w:color w:val="000000" w:themeColor="text1"/>
              </w:rPr>
              <w:t>Preserves relationships</w:t>
            </w:r>
          </w:p>
        </w:tc>
        <w:tc>
          <w:tcPr>
            <w:tcW w:w="1075" w:type="dxa"/>
            <w:tcBorders>
              <w:top w:val="nil"/>
              <w:left w:val="nil"/>
              <w:bottom w:val="single" w:sz="4" w:space="0" w:color="auto"/>
              <w:right w:val="single" w:sz="8" w:space="0" w:color="auto"/>
            </w:tcBorders>
            <w:vAlign w:val="center"/>
            <w:hideMark/>
          </w:tcPr>
          <w:p w14:paraId="713935E5" w14:textId="77777777" w:rsidR="00C70A30" w:rsidRPr="003C66A0" w:rsidRDefault="00C70A30" w:rsidP="00AE1DED">
            <w:pPr>
              <w:jc w:val="right"/>
              <w:rPr>
                <w:color w:val="000000" w:themeColor="text1"/>
              </w:rPr>
            </w:pPr>
            <w:r w:rsidRPr="003C66A0">
              <w:rPr>
                <w:color w:val="000000" w:themeColor="text1"/>
              </w:rPr>
              <w:t>3/15/23</w:t>
            </w:r>
          </w:p>
        </w:tc>
      </w:tr>
      <w:tr w:rsidR="00FC334A" w:rsidRPr="003C66A0" w14:paraId="7413803C" w14:textId="77777777" w:rsidTr="005E08D8">
        <w:trPr>
          <w:trHeight w:val="340"/>
        </w:trPr>
        <w:tc>
          <w:tcPr>
            <w:tcW w:w="1727" w:type="dxa"/>
            <w:tcBorders>
              <w:top w:val="nil"/>
              <w:left w:val="single" w:sz="8" w:space="0" w:color="auto"/>
              <w:bottom w:val="single" w:sz="4" w:space="0" w:color="auto"/>
              <w:right w:val="single" w:sz="4" w:space="0" w:color="auto"/>
            </w:tcBorders>
            <w:shd w:val="clear" w:color="000000" w:fill="D9D9D9"/>
            <w:vAlign w:val="center"/>
            <w:hideMark/>
          </w:tcPr>
          <w:p w14:paraId="29E0322C" w14:textId="77777777" w:rsidR="00C70A30" w:rsidRPr="003C66A0" w:rsidRDefault="00C70A30" w:rsidP="00AE1DED">
            <w:pPr>
              <w:rPr>
                <w:color w:val="000000" w:themeColor="text1"/>
              </w:rPr>
            </w:pPr>
            <w:r w:rsidRPr="003C66A0">
              <w:rPr>
                <w:color w:val="000000" w:themeColor="text1"/>
              </w:rPr>
              <w:t>Outlier handling</w:t>
            </w:r>
          </w:p>
        </w:tc>
        <w:tc>
          <w:tcPr>
            <w:tcW w:w="2068" w:type="dxa"/>
            <w:tcBorders>
              <w:top w:val="nil"/>
              <w:left w:val="nil"/>
              <w:bottom w:val="single" w:sz="4" w:space="0" w:color="auto"/>
              <w:right w:val="single" w:sz="4" w:space="0" w:color="auto"/>
            </w:tcBorders>
            <w:vAlign w:val="center"/>
            <w:hideMark/>
          </w:tcPr>
          <w:p w14:paraId="18F17AC8" w14:textId="77777777" w:rsidR="00C70A30" w:rsidRPr="003C66A0" w:rsidRDefault="00C70A30" w:rsidP="00AE1DED">
            <w:pPr>
              <w:rPr>
                <w:color w:val="000000" w:themeColor="text1"/>
              </w:rPr>
            </w:pPr>
            <w:r w:rsidRPr="003C66A0">
              <w:rPr>
                <w:color w:val="000000" w:themeColor="text1"/>
              </w:rPr>
              <w:t xml:space="preserve">Remove, </w:t>
            </w:r>
            <w:proofErr w:type="spellStart"/>
            <w:r w:rsidRPr="003C66A0">
              <w:rPr>
                <w:color w:val="000000" w:themeColor="text1"/>
              </w:rPr>
              <w:t>winsorize</w:t>
            </w:r>
            <w:proofErr w:type="spellEnd"/>
            <w:r w:rsidRPr="003C66A0">
              <w:rPr>
                <w:color w:val="000000" w:themeColor="text1"/>
              </w:rPr>
              <w:t>, keep</w:t>
            </w:r>
          </w:p>
        </w:tc>
        <w:tc>
          <w:tcPr>
            <w:tcW w:w="2050" w:type="dxa"/>
            <w:tcBorders>
              <w:top w:val="nil"/>
              <w:left w:val="nil"/>
              <w:bottom w:val="single" w:sz="4" w:space="0" w:color="auto"/>
              <w:right w:val="single" w:sz="4" w:space="0" w:color="auto"/>
            </w:tcBorders>
            <w:vAlign w:val="center"/>
            <w:hideMark/>
          </w:tcPr>
          <w:p w14:paraId="0300185C" w14:textId="77777777" w:rsidR="00C70A30" w:rsidRPr="003C66A0" w:rsidRDefault="00C70A30" w:rsidP="00AE1DED">
            <w:pPr>
              <w:rPr>
                <w:color w:val="000000" w:themeColor="text1"/>
              </w:rPr>
            </w:pPr>
            <w:proofErr w:type="spellStart"/>
            <w:r w:rsidRPr="003C66A0">
              <w:rPr>
                <w:color w:val="000000" w:themeColor="text1"/>
              </w:rPr>
              <w:t>Winsorize</w:t>
            </w:r>
            <w:proofErr w:type="spellEnd"/>
            <w:r w:rsidRPr="003C66A0">
              <w:rPr>
                <w:color w:val="000000" w:themeColor="text1"/>
              </w:rPr>
              <w:t xml:space="preserve"> at 99.9%</w:t>
            </w:r>
          </w:p>
        </w:tc>
        <w:tc>
          <w:tcPr>
            <w:tcW w:w="2430" w:type="dxa"/>
            <w:tcBorders>
              <w:top w:val="nil"/>
              <w:left w:val="nil"/>
              <w:bottom w:val="single" w:sz="4" w:space="0" w:color="auto"/>
              <w:right w:val="single" w:sz="4" w:space="0" w:color="auto"/>
            </w:tcBorders>
            <w:vAlign w:val="center"/>
            <w:hideMark/>
          </w:tcPr>
          <w:p w14:paraId="35B342C3" w14:textId="77777777" w:rsidR="00C70A30" w:rsidRPr="003C66A0" w:rsidRDefault="00C70A30" w:rsidP="00AE1DED">
            <w:pPr>
              <w:rPr>
                <w:color w:val="000000" w:themeColor="text1"/>
              </w:rPr>
            </w:pPr>
            <w:r w:rsidRPr="003C66A0">
              <w:rPr>
                <w:color w:val="000000" w:themeColor="text1"/>
              </w:rPr>
              <w:t>Balance robustness/information</w:t>
            </w:r>
          </w:p>
        </w:tc>
        <w:tc>
          <w:tcPr>
            <w:tcW w:w="1075" w:type="dxa"/>
            <w:tcBorders>
              <w:top w:val="nil"/>
              <w:left w:val="nil"/>
              <w:bottom w:val="single" w:sz="4" w:space="0" w:color="auto"/>
              <w:right w:val="single" w:sz="8" w:space="0" w:color="auto"/>
            </w:tcBorders>
            <w:vAlign w:val="center"/>
            <w:hideMark/>
          </w:tcPr>
          <w:p w14:paraId="3914F54E" w14:textId="77777777" w:rsidR="00C70A30" w:rsidRPr="003C66A0" w:rsidRDefault="00C70A30" w:rsidP="00AE1DED">
            <w:pPr>
              <w:jc w:val="right"/>
              <w:rPr>
                <w:color w:val="000000" w:themeColor="text1"/>
              </w:rPr>
            </w:pPr>
            <w:r w:rsidRPr="003C66A0">
              <w:rPr>
                <w:color w:val="000000" w:themeColor="text1"/>
              </w:rPr>
              <w:t>4/2/23</w:t>
            </w:r>
          </w:p>
        </w:tc>
      </w:tr>
      <w:tr w:rsidR="00FC334A" w:rsidRPr="003C66A0" w14:paraId="5B5B9917" w14:textId="77777777" w:rsidTr="005E08D8">
        <w:trPr>
          <w:trHeight w:val="340"/>
        </w:trPr>
        <w:tc>
          <w:tcPr>
            <w:tcW w:w="1727" w:type="dxa"/>
            <w:tcBorders>
              <w:top w:val="nil"/>
              <w:left w:val="single" w:sz="8" w:space="0" w:color="auto"/>
              <w:bottom w:val="single" w:sz="4" w:space="0" w:color="auto"/>
              <w:right w:val="single" w:sz="4" w:space="0" w:color="auto"/>
            </w:tcBorders>
            <w:shd w:val="clear" w:color="000000" w:fill="D9D9D9"/>
            <w:vAlign w:val="center"/>
            <w:hideMark/>
          </w:tcPr>
          <w:p w14:paraId="2B2B61E7" w14:textId="77777777" w:rsidR="00C70A30" w:rsidRPr="003C66A0" w:rsidRDefault="00C70A30" w:rsidP="00AE1DED">
            <w:pPr>
              <w:rPr>
                <w:color w:val="000000" w:themeColor="text1"/>
              </w:rPr>
            </w:pPr>
            <w:r w:rsidRPr="003C66A0">
              <w:rPr>
                <w:color w:val="000000" w:themeColor="text1"/>
              </w:rPr>
              <w:t>Interview saturation</w:t>
            </w:r>
          </w:p>
        </w:tc>
        <w:tc>
          <w:tcPr>
            <w:tcW w:w="2068" w:type="dxa"/>
            <w:tcBorders>
              <w:top w:val="nil"/>
              <w:left w:val="nil"/>
              <w:bottom w:val="single" w:sz="4" w:space="0" w:color="auto"/>
              <w:right w:val="single" w:sz="4" w:space="0" w:color="auto"/>
            </w:tcBorders>
            <w:vAlign w:val="center"/>
            <w:hideMark/>
          </w:tcPr>
          <w:p w14:paraId="3A57A82B" w14:textId="77777777" w:rsidR="00C70A30" w:rsidRPr="003C66A0" w:rsidRDefault="00C70A30" w:rsidP="00AE1DED">
            <w:pPr>
              <w:rPr>
                <w:color w:val="000000" w:themeColor="text1"/>
              </w:rPr>
            </w:pPr>
            <w:r w:rsidRPr="003C66A0">
              <w:rPr>
                <w:color w:val="000000" w:themeColor="text1"/>
              </w:rPr>
              <w:t>20, 25, 30 participants</w:t>
            </w:r>
          </w:p>
        </w:tc>
        <w:tc>
          <w:tcPr>
            <w:tcW w:w="2050" w:type="dxa"/>
            <w:tcBorders>
              <w:top w:val="nil"/>
              <w:left w:val="nil"/>
              <w:bottom w:val="single" w:sz="4" w:space="0" w:color="auto"/>
              <w:right w:val="single" w:sz="4" w:space="0" w:color="auto"/>
            </w:tcBorders>
            <w:vAlign w:val="center"/>
            <w:hideMark/>
          </w:tcPr>
          <w:p w14:paraId="4FDB5DE0" w14:textId="77777777" w:rsidR="00C70A30" w:rsidRPr="003C66A0" w:rsidRDefault="00C70A30" w:rsidP="00AE1DED">
            <w:pPr>
              <w:rPr>
                <w:color w:val="000000" w:themeColor="text1"/>
              </w:rPr>
            </w:pPr>
            <w:r w:rsidRPr="003C66A0">
              <w:rPr>
                <w:color w:val="000000" w:themeColor="text1"/>
              </w:rPr>
              <w:t>27 (stopped at saturation)</w:t>
            </w:r>
          </w:p>
        </w:tc>
        <w:tc>
          <w:tcPr>
            <w:tcW w:w="2430" w:type="dxa"/>
            <w:tcBorders>
              <w:top w:val="nil"/>
              <w:left w:val="nil"/>
              <w:bottom w:val="single" w:sz="4" w:space="0" w:color="auto"/>
              <w:right w:val="single" w:sz="4" w:space="0" w:color="auto"/>
            </w:tcBorders>
            <w:vAlign w:val="center"/>
            <w:hideMark/>
          </w:tcPr>
          <w:p w14:paraId="2DAD3590" w14:textId="77777777" w:rsidR="00C70A30" w:rsidRPr="003C66A0" w:rsidRDefault="00C70A30" w:rsidP="00AE1DED">
            <w:pPr>
              <w:rPr>
                <w:color w:val="000000" w:themeColor="text1"/>
              </w:rPr>
            </w:pPr>
            <w:r w:rsidRPr="003C66A0">
              <w:rPr>
                <w:color w:val="000000" w:themeColor="text1"/>
              </w:rPr>
              <w:t>No new themes after n=23</w:t>
            </w:r>
          </w:p>
        </w:tc>
        <w:tc>
          <w:tcPr>
            <w:tcW w:w="1075" w:type="dxa"/>
            <w:tcBorders>
              <w:top w:val="nil"/>
              <w:left w:val="nil"/>
              <w:bottom w:val="single" w:sz="4" w:space="0" w:color="auto"/>
              <w:right w:val="single" w:sz="8" w:space="0" w:color="auto"/>
            </w:tcBorders>
            <w:vAlign w:val="center"/>
            <w:hideMark/>
          </w:tcPr>
          <w:p w14:paraId="68ECB153" w14:textId="77777777" w:rsidR="00C70A30" w:rsidRPr="003C66A0" w:rsidRDefault="00C70A30" w:rsidP="00AE1DED">
            <w:pPr>
              <w:jc w:val="right"/>
              <w:rPr>
                <w:color w:val="000000" w:themeColor="text1"/>
              </w:rPr>
            </w:pPr>
            <w:r w:rsidRPr="003C66A0">
              <w:rPr>
                <w:color w:val="000000" w:themeColor="text1"/>
              </w:rPr>
              <w:t>10/15/23</w:t>
            </w:r>
          </w:p>
        </w:tc>
      </w:tr>
      <w:tr w:rsidR="00FC334A" w:rsidRPr="003C66A0" w14:paraId="52AE2B86" w14:textId="77777777" w:rsidTr="005E08D8">
        <w:trPr>
          <w:trHeight w:val="360"/>
        </w:trPr>
        <w:tc>
          <w:tcPr>
            <w:tcW w:w="1727" w:type="dxa"/>
            <w:tcBorders>
              <w:top w:val="nil"/>
              <w:left w:val="single" w:sz="8" w:space="0" w:color="auto"/>
              <w:bottom w:val="single" w:sz="8" w:space="0" w:color="auto"/>
              <w:right w:val="single" w:sz="4" w:space="0" w:color="auto"/>
            </w:tcBorders>
            <w:shd w:val="clear" w:color="000000" w:fill="D9D9D9"/>
            <w:vAlign w:val="center"/>
            <w:hideMark/>
          </w:tcPr>
          <w:p w14:paraId="640CDC53" w14:textId="77777777" w:rsidR="00C70A30" w:rsidRPr="003C66A0" w:rsidRDefault="00C70A30" w:rsidP="00AE1DED">
            <w:pPr>
              <w:rPr>
                <w:color w:val="000000" w:themeColor="text1"/>
              </w:rPr>
            </w:pPr>
            <w:r w:rsidRPr="003C66A0">
              <w:rPr>
                <w:color w:val="000000" w:themeColor="text1"/>
              </w:rPr>
              <w:t>Simulation runs</w:t>
            </w:r>
          </w:p>
        </w:tc>
        <w:tc>
          <w:tcPr>
            <w:tcW w:w="2068" w:type="dxa"/>
            <w:tcBorders>
              <w:top w:val="nil"/>
              <w:left w:val="nil"/>
              <w:bottom w:val="single" w:sz="8" w:space="0" w:color="auto"/>
              <w:right w:val="single" w:sz="4" w:space="0" w:color="auto"/>
            </w:tcBorders>
            <w:vAlign w:val="center"/>
            <w:hideMark/>
          </w:tcPr>
          <w:p w14:paraId="5C6D353E" w14:textId="77777777" w:rsidR="00C70A30" w:rsidRPr="003C66A0" w:rsidRDefault="00C70A30" w:rsidP="00AE1DED">
            <w:pPr>
              <w:rPr>
                <w:color w:val="000000" w:themeColor="text1"/>
              </w:rPr>
            </w:pPr>
            <w:r w:rsidRPr="003C66A0">
              <w:rPr>
                <w:color w:val="000000" w:themeColor="text1"/>
              </w:rPr>
              <w:t>100, 1000, 10000</w:t>
            </w:r>
          </w:p>
        </w:tc>
        <w:tc>
          <w:tcPr>
            <w:tcW w:w="2050" w:type="dxa"/>
            <w:tcBorders>
              <w:top w:val="nil"/>
              <w:left w:val="nil"/>
              <w:bottom w:val="single" w:sz="8" w:space="0" w:color="auto"/>
              <w:right w:val="single" w:sz="4" w:space="0" w:color="auto"/>
            </w:tcBorders>
            <w:vAlign w:val="center"/>
            <w:hideMark/>
          </w:tcPr>
          <w:p w14:paraId="64A0643D" w14:textId="77777777" w:rsidR="00C70A30" w:rsidRPr="003C66A0" w:rsidRDefault="00C70A30" w:rsidP="00AE1DED">
            <w:pPr>
              <w:rPr>
                <w:color w:val="000000" w:themeColor="text1"/>
              </w:rPr>
            </w:pPr>
            <w:r w:rsidRPr="003C66A0">
              <w:rPr>
                <w:color w:val="000000" w:themeColor="text1"/>
              </w:rPr>
              <w:t>1000</w:t>
            </w:r>
          </w:p>
        </w:tc>
        <w:tc>
          <w:tcPr>
            <w:tcW w:w="2430" w:type="dxa"/>
            <w:tcBorders>
              <w:top w:val="nil"/>
              <w:left w:val="nil"/>
              <w:bottom w:val="single" w:sz="8" w:space="0" w:color="auto"/>
              <w:right w:val="single" w:sz="4" w:space="0" w:color="auto"/>
            </w:tcBorders>
            <w:vAlign w:val="center"/>
            <w:hideMark/>
          </w:tcPr>
          <w:p w14:paraId="78325465" w14:textId="77777777" w:rsidR="00C70A30" w:rsidRPr="003C66A0" w:rsidRDefault="00C70A30" w:rsidP="00AE1DED">
            <w:pPr>
              <w:rPr>
                <w:color w:val="000000" w:themeColor="text1"/>
              </w:rPr>
            </w:pPr>
            <w:r w:rsidRPr="003C66A0">
              <w:rPr>
                <w:color w:val="000000" w:themeColor="text1"/>
              </w:rPr>
              <w:t>Convergence achieved</w:t>
            </w:r>
          </w:p>
        </w:tc>
        <w:tc>
          <w:tcPr>
            <w:tcW w:w="1075" w:type="dxa"/>
            <w:tcBorders>
              <w:top w:val="nil"/>
              <w:left w:val="nil"/>
              <w:bottom w:val="single" w:sz="8" w:space="0" w:color="auto"/>
              <w:right w:val="single" w:sz="8" w:space="0" w:color="auto"/>
            </w:tcBorders>
            <w:vAlign w:val="center"/>
            <w:hideMark/>
          </w:tcPr>
          <w:p w14:paraId="3DDC9789" w14:textId="77777777" w:rsidR="00C70A30" w:rsidRPr="003C66A0" w:rsidRDefault="00C70A30" w:rsidP="00AE1DED">
            <w:pPr>
              <w:jc w:val="right"/>
              <w:rPr>
                <w:color w:val="000000" w:themeColor="text1"/>
              </w:rPr>
            </w:pPr>
            <w:r w:rsidRPr="003C66A0">
              <w:rPr>
                <w:color w:val="000000" w:themeColor="text1"/>
              </w:rPr>
              <w:t>1/20/24</w:t>
            </w:r>
          </w:p>
        </w:tc>
      </w:tr>
    </w:tbl>
    <w:p w14:paraId="60D8D4D2" w14:textId="06E2AFA4" w:rsidR="009A16FC" w:rsidRPr="003C66A0" w:rsidRDefault="000561EC" w:rsidP="00AE1DED">
      <w:pPr>
        <w:jc w:val="both"/>
        <w:rPr>
          <w:rFonts w:eastAsiaTheme="majorEastAsia"/>
          <w:i/>
          <w:iCs/>
          <w:color w:val="000000" w:themeColor="text1"/>
        </w:rPr>
      </w:pPr>
      <w:r w:rsidRPr="003C66A0">
        <w:rPr>
          <w:rFonts w:eastAsiaTheme="majorEastAsia"/>
          <w:i/>
          <w:iCs/>
          <w:color w:val="000000" w:themeColor="text1"/>
        </w:rPr>
        <w:t xml:space="preserve">Interpretive Note: </w:t>
      </w:r>
      <w:r w:rsidRPr="005E08D8">
        <w:rPr>
          <w:rFonts w:eastAsiaTheme="majorEastAsia"/>
          <w:color w:val="000000" w:themeColor="text1"/>
        </w:rPr>
        <w:t>This audit trail demonstrates transparency in research decisions—documenting why choices were made enhances credibility and allows readers to assess how methodological decisions might have influenced results.</w:t>
      </w:r>
    </w:p>
    <w:p w14:paraId="456F6363" w14:textId="77777777" w:rsidR="009A16FC" w:rsidRDefault="009A16FC" w:rsidP="00AE1DED">
      <w:pPr>
        <w:rPr>
          <w:rFonts w:eastAsiaTheme="majorEastAsia"/>
          <w:i/>
          <w:iCs/>
          <w:color w:val="000000" w:themeColor="text1"/>
        </w:rPr>
      </w:pPr>
    </w:p>
    <w:p w14:paraId="78E51C39" w14:textId="77777777" w:rsidR="00D74858" w:rsidRDefault="00D74858" w:rsidP="00AE1DED">
      <w:pPr>
        <w:rPr>
          <w:rFonts w:eastAsiaTheme="majorEastAsia"/>
          <w:i/>
          <w:iCs/>
          <w:color w:val="000000" w:themeColor="text1"/>
        </w:rPr>
      </w:pPr>
    </w:p>
    <w:p w14:paraId="3DD8A472" w14:textId="77777777" w:rsidR="00D74858" w:rsidRPr="003C66A0" w:rsidRDefault="00D74858" w:rsidP="00AE1DED">
      <w:pPr>
        <w:rPr>
          <w:rFonts w:eastAsiaTheme="majorEastAsia"/>
          <w:i/>
          <w:iCs/>
          <w:color w:val="000000" w:themeColor="text1"/>
        </w:rPr>
      </w:pPr>
    </w:p>
    <w:p w14:paraId="351EFA9F" w14:textId="2430AA35" w:rsidR="009A16FC" w:rsidRDefault="00392A6F" w:rsidP="00AE1DED">
      <w:pPr>
        <w:pStyle w:val="Heading3"/>
        <w:rPr>
          <w:rFonts w:eastAsiaTheme="majorEastAsia"/>
        </w:rPr>
      </w:pPr>
      <w:bookmarkStart w:id="279" w:name="_Toc214722085"/>
      <w:r w:rsidRPr="003C66A0">
        <w:rPr>
          <w:rFonts w:eastAsiaTheme="majorEastAsia"/>
        </w:rPr>
        <w:t xml:space="preserve">Table </w:t>
      </w:r>
      <w:r w:rsidR="00E26ED1" w:rsidRPr="003C66A0">
        <w:rPr>
          <w:rFonts w:eastAsiaTheme="majorEastAsia"/>
        </w:rPr>
        <w:t>D</w:t>
      </w:r>
      <w:r w:rsidR="00126CEB" w:rsidRPr="003C66A0">
        <w:rPr>
          <w:rFonts w:eastAsiaTheme="majorEastAsia"/>
        </w:rPr>
        <w:t>.8 Software and Tools</w:t>
      </w:r>
      <w:bookmarkEnd w:id="279"/>
    </w:p>
    <w:p w14:paraId="78F6E156" w14:textId="77777777" w:rsidR="00F17041" w:rsidRPr="00F17041" w:rsidRDefault="00F17041" w:rsidP="00AE1DED">
      <w:pPr>
        <w:rPr>
          <w:rFonts w:eastAsiaTheme="majorEastAsia"/>
        </w:rPr>
      </w:pPr>
    </w:p>
    <w:tbl>
      <w:tblPr>
        <w:tblW w:w="7460" w:type="dxa"/>
        <w:tblLook w:val="04A0" w:firstRow="1" w:lastRow="0" w:firstColumn="1" w:lastColumn="0" w:noHBand="0" w:noVBand="1"/>
      </w:tblPr>
      <w:tblGrid>
        <w:gridCol w:w="2840"/>
        <w:gridCol w:w="2460"/>
        <w:gridCol w:w="2160"/>
      </w:tblGrid>
      <w:tr w:rsidR="00FC334A" w:rsidRPr="003C66A0" w14:paraId="23A240D0" w14:textId="77777777" w:rsidTr="000A32EB">
        <w:trPr>
          <w:trHeight w:val="340"/>
        </w:trPr>
        <w:tc>
          <w:tcPr>
            <w:tcW w:w="284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14:paraId="7E13D8B8" w14:textId="77777777" w:rsidR="00EF64D7" w:rsidRPr="003C66A0" w:rsidRDefault="00EF64D7" w:rsidP="00AE1DED">
            <w:pPr>
              <w:rPr>
                <w:b/>
                <w:bCs/>
                <w:color w:val="000000" w:themeColor="text1"/>
              </w:rPr>
            </w:pPr>
            <w:r w:rsidRPr="003C66A0">
              <w:rPr>
                <w:b/>
                <w:bCs/>
                <w:color w:val="000000" w:themeColor="text1"/>
              </w:rPr>
              <w:t>Category</w:t>
            </w:r>
          </w:p>
        </w:tc>
        <w:tc>
          <w:tcPr>
            <w:tcW w:w="2460" w:type="dxa"/>
            <w:tcBorders>
              <w:top w:val="single" w:sz="8" w:space="0" w:color="auto"/>
              <w:left w:val="nil"/>
              <w:bottom w:val="single" w:sz="8" w:space="0" w:color="auto"/>
              <w:right w:val="single" w:sz="4" w:space="0" w:color="auto"/>
            </w:tcBorders>
            <w:shd w:val="clear" w:color="000000" w:fill="D9D9D9"/>
            <w:noWrap/>
            <w:vAlign w:val="bottom"/>
            <w:hideMark/>
          </w:tcPr>
          <w:p w14:paraId="5A6E061A" w14:textId="77777777" w:rsidR="00EF64D7" w:rsidRPr="003C66A0" w:rsidRDefault="00EF64D7" w:rsidP="00AE1DED">
            <w:pPr>
              <w:rPr>
                <w:b/>
                <w:bCs/>
                <w:color w:val="000000" w:themeColor="text1"/>
              </w:rPr>
            </w:pPr>
            <w:r w:rsidRPr="003C66A0">
              <w:rPr>
                <w:b/>
                <w:bCs/>
                <w:color w:val="000000" w:themeColor="text1"/>
              </w:rPr>
              <w:t>Primary Tools</w:t>
            </w:r>
          </w:p>
        </w:tc>
        <w:tc>
          <w:tcPr>
            <w:tcW w:w="2160" w:type="dxa"/>
            <w:tcBorders>
              <w:top w:val="single" w:sz="8" w:space="0" w:color="auto"/>
              <w:left w:val="nil"/>
              <w:bottom w:val="single" w:sz="8" w:space="0" w:color="auto"/>
              <w:right w:val="single" w:sz="8" w:space="0" w:color="auto"/>
            </w:tcBorders>
            <w:shd w:val="clear" w:color="000000" w:fill="D9D9D9"/>
            <w:noWrap/>
            <w:vAlign w:val="bottom"/>
            <w:hideMark/>
          </w:tcPr>
          <w:p w14:paraId="49ECFC92" w14:textId="77777777" w:rsidR="00EF64D7" w:rsidRPr="003C66A0" w:rsidRDefault="00EF64D7" w:rsidP="00AE1DED">
            <w:pPr>
              <w:rPr>
                <w:b/>
                <w:bCs/>
                <w:color w:val="000000" w:themeColor="text1"/>
              </w:rPr>
            </w:pPr>
            <w:r w:rsidRPr="003C66A0">
              <w:rPr>
                <w:b/>
                <w:bCs/>
                <w:color w:val="000000" w:themeColor="text1"/>
              </w:rPr>
              <w:t>Version</w:t>
            </w:r>
          </w:p>
        </w:tc>
      </w:tr>
      <w:tr w:rsidR="00FC334A" w:rsidRPr="003C66A0" w14:paraId="4E108E80" w14:textId="77777777" w:rsidTr="000A32EB">
        <w:trPr>
          <w:trHeight w:val="320"/>
        </w:trPr>
        <w:tc>
          <w:tcPr>
            <w:tcW w:w="2840" w:type="dxa"/>
            <w:tcBorders>
              <w:top w:val="nil"/>
              <w:left w:val="single" w:sz="8" w:space="0" w:color="auto"/>
              <w:bottom w:val="single" w:sz="4" w:space="0" w:color="auto"/>
              <w:right w:val="single" w:sz="8" w:space="0" w:color="auto"/>
            </w:tcBorders>
            <w:shd w:val="clear" w:color="000000" w:fill="D9D9D9"/>
            <w:noWrap/>
            <w:vAlign w:val="center"/>
            <w:hideMark/>
          </w:tcPr>
          <w:p w14:paraId="229D21E3" w14:textId="77777777" w:rsidR="00EF64D7" w:rsidRPr="003C66A0" w:rsidRDefault="00EF64D7" w:rsidP="00AE1DED">
            <w:pPr>
              <w:rPr>
                <w:b/>
                <w:bCs/>
                <w:color w:val="000000" w:themeColor="text1"/>
              </w:rPr>
            </w:pPr>
            <w:r w:rsidRPr="003C66A0">
              <w:rPr>
                <w:b/>
                <w:bCs/>
                <w:color w:val="000000" w:themeColor="text1"/>
              </w:rPr>
              <w:t>Data Collection</w:t>
            </w:r>
          </w:p>
        </w:tc>
        <w:tc>
          <w:tcPr>
            <w:tcW w:w="2460" w:type="dxa"/>
            <w:tcBorders>
              <w:top w:val="nil"/>
              <w:left w:val="nil"/>
              <w:bottom w:val="single" w:sz="4" w:space="0" w:color="auto"/>
              <w:right w:val="single" w:sz="4" w:space="0" w:color="auto"/>
            </w:tcBorders>
            <w:shd w:val="clear" w:color="000000" w:fill="FFFFFF"/>
            <w:noWrap/>
            <w:vAlign w:val="center"/>
            <w:hideMark/>
          </w:tcPr>
          <w:p w14:paraId="0129CF65" w14:textId="77777777" w:rsidR="00EF64D7" w:rsidRPr="003C66A0" w:rsidRDefault="00EF64D7" w:rsidP="00AE1DED">
            <w:pPr>
              <w:rPr>
                <w:color w:val="000000" w:themeColor="text1"/>
              </w:rPr>
            </w:pPr>
            <w:r w:rsidRPr="003C66A0">
              <w:rPr>
                <w:color w:val="000000" w:themeColor="text1"/>
              </w:rPr>
              <w:t>The Graph, Dune</w:t>
            </w:r>
          </w:p>
        </w:tc>
        <w:tc>
          <w:tcPr>
            <w:tcW w:w="2160" w:type="dxa"/>
            <w:tcBorders>
              <w:top w:val="nil"/>
              <w:left w:val="nil"/>
              <w:bottom w:val="single" w:sz="4" w:space="0" w:color="auto"/>
              <w:right w:val="single" w:sz="8" w:space="0" w:color="auto"/>
            </w:tcBorders>
            <w:shd w:val="clear" w:color="000000" w:fill="FFFFFF"/>
            <w:noWrap/>
            <w:vAlign w:val="bottom"/>
            <w:hideMark/>
          </w:tcPr>
          <w:p w14:paraId="3C060592" w14:textId="77777777" w:rsidR="00EF64D7" w:rsidRPr="003C66A0" w:rsidRDefault="00EF64D7" w:rsidP="00AE1DED">
            <w:pPr>
              <w:jc w:val="right"/>
              <w:rPr>
                <w:color w:val="000000" w:themeColor="text1"/>
              </w:rPr>
            </w:pPr>
            <w:r w:rsidRPr="003C66A0">
              <w:rPr>
                <w:color w:val="000000" w:themeColor="text1"/>
              </w:rPr>
              <w:t>2024</w:t>
            </w:r>
          </w:p>
        </w:tc>
      </w:tr>
      <w:tr w:rsidR="00FC334A" w:rsidRPr="003C66A0" w14:paraId="695A4932" w14:textId="77777777" w:rsidTr="000A32EB">
        <w:trPr>
          <w:trHeight w:val="320"/>
        </w:trPr>
        <w:tc>
          <w:tcPr>
            <w:tcW w:w="2840" w:type="dxa"/>
            <w:tcBorders>
              <w:top w:val="nil"/>
              <w:left w:val="single" w:sz="8" w:space="0" w:color="auto"/>
              <w:bottom w:val="single" w:sz="4" w:space="0" w:color="auto"/>
              <w:right w:val="single" w:sz="8" w:space="0" w:color="auto"/>
            </w:tcBorders>
            <w:shd w:val="clear" w:color="000000" w:fill="D9D9D9"/>
            <w:noWrap/>
            <w:vAlign w:val="bottom"/>
            <w:hideMark/>
          </w:tcPr>
          <w:p w14:paraId="6C37AF58" w14:textId="77777777" w:rsidR="00EF64D7" w:rsidRPr="003C66A0" w:rsidRDefault="00EF64D7" w:rsidP="00AE1DED">
            <w:pPr>
              <w:rPr>
                <w:b/>
                <w:bCs/>
                <w:color w:val="000000" w:themeColor="text1"/>
              </w:rPr>
            </w:pPr>
            <w:r w:rsidRPr="003C66A0">
              <w:rPr>
                <w:b/>
                <w:bCs/>
                <w:color w:val="000000" w:themeColor="text1"/>
              </w:rPr>
              <w:t>Statistical Analysis</w:t>
            </w:r>
          </w:p>
        </w:tc>
        <w:tc>
          <w:tcPr>
            <w:tcW w:w="2460" w:type="dxa"/>
            <w:tcBorders>
              <w:top w:val="nil"/>
              <w:left w:val="nil"/>
              <w:bottom w:val="single" w:sz="4" w:space="0" w:color="auto"/>
              <w:right w:val="single" w:sz="4" w:space="0" w:color="auto"/>
            </w:tcBorders>
            <w:shd w:val="clear" w:color="000000" w:fill="FFFFFF"/>
            <w:noWrap/>
            <w:vAlign w:val="center"/>
            <w:hideMark/>
          </w:tcPr>
          <w:p w14:paraId="2F4EC3EC" w14:textId="77777777" w:rsidR="00EF64D7" w:rsidRPr="003C66A0" w:rsidRDefault="00EF64D7" w:rsidP="00AE1DED">
            <w:pPr>
              <w:rPr>
                <w:color w:val="000000" w:themeColor="text1"/>
              </w:rPr>
            </w:pPr>
            <w:r w:rsidRPr="003C66A0">
              <w:rPr>
                <w:color w:val="000000" w:themeColor="text1"/>
              </w:rPr>
              <w:t>R</w:t>
            </w:r>
          </w:p>
        </w:tc>
        <w:tc>
          <w:tcPr>
            <w:tcW w:w="2160" w:type="dxa"/>
            <w:tcBorders>
              <w:top w:val="nil"/>
              <w:left w:val="nil"/>
              <w:bottom w:val="single" w:sz="4" w:space="0" w:color="auto"/>
              <w:right w:val="single" w:sz="8" w:space="0" w:color="auto"/>
            </w:tcBorders>
            <w:shd w:val="clear" w:color="000000" w:fill="FFFFFF"/>
            <w:noWrap/>
            <w:vAlign w:val="bottom"/>
            <w:hideMark/>
          </w:tcPr>
          <w:p w14:paraId="7BBEFF6F" w14:textId="77777777" w:rsidR="00EF64D7" w:rsidRPr="003C66A0" w:rsidRDefault="00EF64D7" w:rsidP="00AE1DED">
            <w:pPr>
              <w:jc w:val="right"/>
              <w:rPr>
                <w:color w:val="000000" w:themeColor="text1"/>
              </w:rPr>
            </w:pPr>
            <w:r w:rsidRPr="003C66A0">
              <w:rPr>
                <w:color w:val="000000" w:themeColor="text1"/>
              </w:rPr>
              <w:t>4.2.1</w:t>
            </w:r>
          </w:p>
        </w:tc>
      </w:tr>
      <w:tr w:rsidR="00FC334A" w:rsidRPr="003C66A0" w14:paraId="56299BFE" w14:textId="77777777" w:rsidTr="000A32EB">
        <w:trPr>
          <w:trHeight w:val="320"/>
        </w:trPr>
        <w:tc>
          <w:tcPr>
            <w:tcW w:w="2840" w:type="dxa"/>
            <w:tcBorders>
              <w:top w:val="nil"/>
              <w:left w:val="single" w:sz="8" w:space="0" w:color="auto"/>
              <w:bottom w:val="single" w:sz="4" w:space="0" w:color="auto"/>
              <w:right w:val="single" w:sz="8" w:space="0" w:color="auto"/>
            </w:tcBorders>
            <w:shd w:val="clear" w:color="000000" w:fill="D9D9D9"/>
            <w:noWrap/>
            <w:vAlign w:val="bottom"/>
            <w:hideMark/>
          </w:tcPr>
          <w:p w14:paraId="47B6F761" w14:textId="77777777" w:rsidR="00EF64D7" w:rsidRPr="003C66A0" w:rsidRDefault="00EF64D7" w:rsidP="00AE1DED">
            <w:pPr>
              <w:rPr>
                <w:b/>
                <w:bCs/>
                <w:color w:val="000000" w:themeColor="text1"/>
              </w:rPr>
            </w:pPr>
            <w:r w:rsidRPr="003C66A0">
              <w:rPr>
                <w:b/>
                <w:bCs/>
                <w:color w:val="000000" w:themeColor="text1"/>
              </w:rPr>
              <w:t>Simulation</w:t>
            </w:r>
          </w:p>
        </w:tc>
        <w:tc>
          <w:tcPr>
            <w:tcW w:w="2460" w:type="dxa"/>
            <w:tcBorders>
              <w:top w:val="nil"/>
              <w:left w:val="nil"/>
              <w:bottom w:val="single" w:sz="4" w:space="0" w:color="auto"/>
              <w:right w:val="single" w:sz="4" w:space="0" w:color="auto"/>
            </w:tcBorders>
            <w:shd w:val="clear" w:color="000000" w:fill="FFFFFF"/>
            <w:noWrap/>
            <w:vAlign w:val="center"/>
            <w:hideMark/>
          </w:tcPr>
          <w:p w14:paraId="513D1383" w14:textId="77777777" w:rsidR="00EF64D7" w:rsidRPr="003C66A0" w:rsidRDefault="00EF64D7" w:rsidP="00AE1DED">
            <w:pPr>
              <w:rPr>
                <w:color w:val="000000" w:themeColor="text1"/>
              </w:rPr>
            </w:pPr>
            <w:r w:rsidRPr="003C66A0">
              <w:rPr>
                <w:color w:val="000000" w:themeColor="text1"/>
              </w:rPr>
              <w:t>Python</w:t>
            </w:r>
          </w:p>
        </w:tc>
        <w:tc>
          <w:tcPr>
            <w:tcW w:w="2160" w:type="dxa"/>
            <w:tcBorders>
              <w:top w:val="nil"/>
              <w:left w:val="nil"/>
              <w:bottom w:val="single" w:sz="4" w:space="0" w:color="auto"/>
              <w:right w:val="single" w:sz="8" w:space="0" w:color="auto"/>
            </w:tcBorders>
            <w:shd w:val="clear" w:color="000000" w:fill="FFFFFF"/>
            <w:noWrap/>
            <w:vAlign w:val="bottom"/>
            <w:hideMark/>
          </w:tcPr>
          <w:p w14:paraId="2F22692C" w14:textId="77777777" w:rsidR="00EF64D7" w:rsidRPr="003C66A0" w:rsidRDefault="00EF64D7" w:rsidP="00AE1DED">
            <w:pPr>
              <w:jc w:val="right"/>
              <w:rPr>
                <w:color w:val="000000" w:themeColor="text1"/>
              </w:rPr>
            </w:pPr>
            <w:r w:rsidRPr="003C66A0">
              <w:rPr>
                <w:color w:val="000000" w:themeColor="text1"/>
              </w:rPr>
              <w:t>3.9</w:t>
            </w:r>
          </w:p>
        </w:tc>
      </w:tr>
      <w:tr w:rsidR="00FC334A" w:rsidRPr="003C66A0" w14:paraId="0931626D" w14:textId="77777777" w:rsidTr="000A32EB">
        <w:trPr>
          <w:trHeight w:val="340"/>
        </w:trPr>
        <w:tc>
          <w:tcPr>
            <w:tcW w:w="2840" w:type="dxa"/>
            <w:tcBorders>
              <w:top w:val="nil"/>
              <w:left w:val="single" w:sz="8" w:space="0" w:color="auto"/>
              <w:bottom w:val="single" w:sz="8" w:space="0" w:color="auto"/>
              <w:right w:val="single" w:sz="8" w:space="0" w:color="auto"/>
            </w:tcBorders>
            <w:shd w:val="clear" w:color="000000" w:fill="D9D9D9"/>
            <w:noWrap/>
            <w:vAlign w:val="center"/>
            <w:hideMark/>
          </w:tcPr>
          <w:p w14:paraId="15524567" w14:textId="77777777" w:rsidR="00EF64D7" w:rsidRPr="003C66A0" w:rsidRDefault="00EF64D7" w:rsidP="00AE1DED">
            <w:pPr>
              <w:rPr>
                <w:b/>
                <w:bCs/>
                <w:color w:val="000000" w:themeColor="text1"/>
              </w:rPr>
            </w:pPr>
            <w:r w:rsidRPr="003C66A0">
              <w:rPr>
                <w:b/>
                <w:bCs/>
                <w:color w:val="000000" w:themeColor="text1"/>
              </w:rPr>
              <w:t>Qualitative Analysis</w:t>
            </w:r>
          </w:p>
        </w:tc>
        <w:tc>
          <w:tcPr>
            <w:tcW w:w="2460" w:type="dxa"/>
            <w:tcBorders>
              <w:top w:val="nil"/>
              <w:left w:val="nil"/>
              <w:bottom w:val="single" w:sz="8" w:space="0" w:color="auto"/>
              <w:right w:val="single" w:sz="4" w:space="0" w:color="auto"/>
            </w:tcBorders>
            <w:shd w:val="clear" w:color="000000" w:fill="FFFFFF"/>
            <w:noWrap/>
            <w:vAlign w:val="center"/>
            <w:hideMark/>
          </w:tcPr>
          <w:p w14:paraId="103D4A00" w14:textId="77777777" w:rsidR="00EF64D7" w:rsidRPr="003C66A0" w:rsidRDefault="00EF64D7" w:rsidP="00AE1DED">
            <w:pPr>
              <w:rPr>
                <w:color w:val="000000" w:themeColor="text1"/>
              </w:rPr>
            </w:pPr>
            <w:r w:rsidRPr="003C66A0">
              <w:rPr>
                <w:color w:val="000000" w:themeColor="text1"/>
              </w:rPr>
              <w:t>NVivo</w:t>
            </w:r>
          </w:p>
        </w:tc>
        <w:tc>
          <w:tcPr>
            <w:tcW w:w="2160" w:type="dxa"/>
            <w:tcBorders>
              <w:top w:val="nil"/>
              <w:left w:val="nil"/>
              <w:bottom w:val="single" w:sz="8" w:space="0" w:color="auto"/>
              <w:right w:val="single" w:sz="8" w:space="0" w:color="auto"/>
            </w:tcBorders>
            <w:shd w:val="clear" w:color="000000" w:fill="FFFFFF"/>
            <w:noWrap/>
            <w:vAlign w:val="bottom"/>
            <w:hideMark/>
          </w:tcPr>
          <w:p w14:paraId="1A4CA3B7" w14:textId="77777777" w:rsidR="00EF64D7" w:rsidRPr="003C66A0" w:rsidRDefault="00EF64D7" w:rsidP="00AE1DED">
            <w:pPr>
              <w:jc w:val="right"/>
              <w:rPr>
                <w:color w:val="000000" w:themeColor="text1"/>
              </w:rPr>
            </w:pPr>
            <w:r w:rsidRPr="003C66A0">
              <w:rPr>
                <w:color w:val="000000" w:themeColor="text1"/>
              </w:rPr>
              <w:t>12</w:t>
            </w:r>
          </w:p>
        </w:tc>
      </w:tr>
    </w:tbl>
    <w:p w14:paraId="42AF9CF1" w14:textId="77777777" w:rsidR="00F17041" w:rsidRDefault="000561EC" w:rsidP="00AE1DED">
      <w:pPr>
        <w:jc w:val="both"/>
        <w:rPr>
          <w:rFonts w:eastAsiaTheme="majorEastAsia"/>
          <w:i/>
          <w:iCs/>
          <w:color w:val="000000" w:themeColor="text1"/>
        </w:rPr>
      </w:pPr>
      <w:r w:rsidRPr="003C66A0">
        <w:rPr>
          <w:rFonts w:eastAsiaTheme="majorEastAsia"/>
          <w:i/>
          <w:iCs/>
          <w:color w:val="000000" w:themeColor="text1"/>
        </w:rPr>
        <w:t xml:space="preserve">Interpretive Note: </w:t>
      </w:r>
      <w:r w:rsidRPr="005E08D8">
        <w:rPr>
          <w:rFonts w:eastAsiaTheme="majorEastAsia"/>
          <w:color w:val="000000" w:themeColor="text1"/>
        </w:rPr>
        <w:t>The diverse software requirements (R for statistics, Python for simulation, NVivo for qualitative analysis) illustrate the technical complexity of comprehensive DeFi research—</w:t>
      </w:r>
      <w:proofErr w:type="gramStart"/>
      <w:r w:rsidRPr="005E08D8">
        <w:rPr>
          <w:rFonts w:eastAsiaTheme="majorEastAsia"/>
          <w:color w:val="000000" w:themeColor="text1"/>
        </w:rPr>
        <w:t>itself</w:t>
      </w:r>
      <w:proofErr w:type="gramEnd"/>
      <w:r w:rsidRPr="005E08D8">
        <w:rPr>
          <w:rFonts w:eastAsiaTheme="majorEastAsia"/>
          <w:color w:val="000000" w:themeColor="text1"/>
        </w:rPr>
        <w:t xml:space="preserve"> a barrier that limits who can conduct or validate such studies.</w:t>
      </w:r>
    </w:p>
    <w:p w14:paraId="24CB59F4" w14:textId="77777777" w:rsidR="00F17041" w:rsidRDefault="00F17041" w:rsidP="00AE1DED">
      <w:pPr>
        <w:jc w:val="both"/>
        <w:rPr>
          <w:rFonts w:eastAsiaTheme="majorEastAsia"/>
          <w:i/>
          <w:iCs/>
          <w:color w:val="000000" w:themeColor="text1"/>
        </w:rPr>
      </w:pPr>
    </w:p>
    <w:p w14:paraId="6B823EE2" w14:textId="77777777" w:rsidR="00D74858" w:rsidRDefault="00D74858" w:rsidP="00AE1DED">
      <w:pPr>
        <w:rPr>
          <w:rFonts w:eastAsiaTheme="majorEastAsia"/>
          <w:i/>
          <w:iCs/>
          <w:color w:val="000000" w:themeColor="text1"/>
        </w:rPr>
      </w:pPr>
    </w:p>
    <w:p w14:paraId="72BD9B06" w14:textId="4D0BBBDC" w:rsidR="001076B5" w:rsidRDefault="00E26ED1" w:rsidP="00AE1DED">
      <w:pPr>
        <w:pStyle w:val="Heading3"/>
        <w:rPr>
          <w:rFonts w:eastAsiaTheme="majorEastAsia"/>
        </w:rPr>
      </w:pPr>
      <w:bookmarkStart w:id="280" w:name="_Toc214722086"/>
      <w:r w:rsidRPr="00F17041">
        <w:rPr>
          <w:rFonts w:eastAsiaTheme="majorEastAsia"/>
        </w:rPr>
        <w:t>D</w:t>
      </w:r>
      <w:r w:rsidR="001076B5" w:rsidRPr="00F17041">
        <w:rPr>
          <w:rFonts w:eastAsiaTheme="majorEastAsia"/>
        </w:rPr>
        <w:t>.9 Ethical Considerations</w:t>
      </w:r>
      <w:bookmarkEnd w:id="280"/>
    </w:p>
    <w:p w14:paraId="7F12CB5D" w14:textId="77777777" w:rsidR="00717D21" w:rsidRPr="00717D21" w:rsidRDefault="00717D21" w:rsidP="00AE1DED">
      <w:pPr>
        <w:rPr>
          <w:rFonts w:eastAsiaTheme="majorEastAsia"/>
        </w:rPr>
      </w:pPr>
    </w:p>
    <w:p w14:paraId="21A68B31" w14:textId="77777777" w:rsidR="001076B5" w:rsidRPr="003C66A0" w:rsidRDefault="001076B5" w:rsidP="00AE1DED">
      <w:pPr>
        <w:numPr>
          <w:ilvl w:val="0"/>
          <w:numId w:val="10"/>
        </w:numPr>
        <w:rPr>
          <w:rFonts w:eastAsiaTheme="majorEastAsia"/>
          <w:b/>
          <w:bCs/>
          <w:color w:val="000000" w:themeColor="text1"/>
        </w:rPr>
      </w:pPr>
      <w:r w:rsidRPr="003C66A0">
        <w:rPr>
          <w:rFonts w:eastAsiaTheme="majorEastAsia"/>
          <w:b/>
          <w:bCs/>
          <w:color w:val="000000" w:themeColor="text1"/>
        </w:rPr>
        <w:t>Risk Level: Minimal risk</w:t>
      </w:r>
    </w:p>
    <w:p w14:paraId="0D368D94" w14:textId="77777777" w:rsidR="001076B5" w:rsidRPr="003C66A0" w:rsidRDefault="001076B5" w:rsidP="00AE1DED">
      <w:pPr>
        <w:numPr>
          <w:ilvl w:val="0"/>
          <w:numId w:val="10"/>
        </w:numPr>
        <w:rPr>
          <w:rFonts w:eastAsiaTheme="majorEastAsia"/>
          <w:b/>
          <w:bCs/>
          <w:color w:val="000000" w:themeColor="text1"/>
        </w:rPr>
      </w:pPr>
      <w:r w:rsidRPr="003C66A0">
        <w:rPr>
          <w:rFonts w:eastAsiaTheme="majorEastAsia"/>
          <w:b/>
          <w:bCs/>
          <w:color w:val="000000" w:themeColor="text1"/>
        </w:rPr>
        <w:t xml:space="preserve">Key Provisions: </w:t>
      </w:r>
    </w:p>
    <w:p w14:paraId="00E211C7" w14:textId="77777777" w:rsidR="001076B5" w:rsidRPr="003C66A0" w:rsidRDefault="001076B5" w:rsidP="00AE1DED">
      <w:pPr>
        <w:numPr>
          <w:ilvl w:val="1"/>
          <w:numId w:val="10"/>
        </w:numPr>
        <w:rPr>
          <w:rFonts w:eastAsiaTheme="majorEastAsia"/>
          <w:color w:val="000000" w:themeColor="text1"/>
        </w:rPr>
      </w:pPr>
      <w:r w:rsidRPr="003C66A0">
        <w:rPr>
          <w:rFonts w:eastAsiaTheme="majorEastAsia"/>
          <w:color w:val="000000" w:themeColor="text1"/>
        </w:rPr>
        <w:t>Voluntary participation with right to withdraw</w:t>
      </w:r>
    </w:p>
    <w:p w14:paraId="7BD0BCCE" w14:textId="77777777" w:rsidR="001076B5" w:rsidRPr="003C66A0" w:rsidRDefault="001076B5" w:rsidP="00AE1DED">
      <w:pPr>
        <w:numPr>
          <w:ilvl w:val="1"/>
          <w:numId w:val="10"/>
        </w:numPr>
        <w:rPr>
          <w:rFonts w:eastAsiaTheme="majorEastAsia"/>
          <w:color w:val="000000" w:themeColor="text1"/>
        </w:rPr>
      </w:pPr>
      <w:r w:rsidRPr="003C66A0">
        <w:rPr>
          <w:rFonts w:eastAsiaTheme="majorEastAsia"/>
          <w:color w:val="000000" w:themeColor="text1"/>
        </w:rPr>
        <w:t>Pseudonymization of all participant data</w:t>
      </w:r>
    </w:p>
    <w:p w14:paraId="11E82FEA" w14:textId="77777777" w:rsidR="001076B5" w:rsidRPr="003C66A0" w:rsidRDefault="001076B5" w:rsidP="00AE1DED">
      <w:pPr>
        <w:numPr>
          <w:ilvl w:val="1"/>
          <w:numId w:val="10"/>
        </w:numPr>
        <w:rPr>
          <w:rFonts w:eastAsiaTheme="majorEastAsia"/>
          <w:color w:val="000000" w:themeColor="text1"/>
        </w:rPr>
      </w:pPr>
      <w:r w:rsidRPr="003C66A0">
        <w:rPr>
          <w:rFonts w:eastAsiaTheme="majorEastAsia"/>
          <w:color w:val="000000" w:themeColor="text1"/>
        </w:rPr>
        <w:t>Secure storage on encrypted drives</w:t>
      </w:r>
    </w:p>
    <w:p w14:paraId="1382D371" w14:textId="5A52F373" w:rsidR="001076B5" w:rsidRPr="003C66A0" w:rsidRDefault="001076B5" w:rsidP="00AE1DED">
      <w:pPr>
        <w:numPr>
          <w:ilvl w:val="1"/>
          <w:numId w:val="10"/>
        </w:numPr>
        <w:rPr>
          <w:rFonts w:eastAsiaTheme="majorEastAsia"/>
          <w:color w:val="000000" w:themeColor="text1"/>
        </w:rPr>
      </w:pPr>
      <w:r w:rsidRPr="003C66A0">
        <w:rPr>
          <w:rFonts w:eastAsiaTheme="majorEastAsia"/>
          <w:color w:val="000000" w:themeColor="text1"/>
        </w:rPr>
        <w:t xml:space="preserve">Destruction of identifiable data after </w:t>
      </w:r>
      <w:r w:rsidR="00992F7C" w:rsidRPr="003C66A0">
        <w:rPr>
          <w:rFonts w:eastAsiaTheme="majorEastAsia"/>
          <w:color w:val="000000" w:themeColor="text1"/>
        </w:rPr>
        <w:t>2</w:t>
      </w:r>
      <w:r w:rsidRPr="003C66A0">
        <w:rPr>
          <w:rFonts w:eastAsiaTheme="majorEastAsia"/>
          <w:color w:val="000000" w:themeColor="text1"/>
        </w:rPr>
        <w:t xml:space="preserve"> years</w:t>
      </w:r>
    </w:p>
    <w:p w14:paraId="1CF648B4" w14:textId="77777777" w:rsidR="001076B5" w:rsidRPr="003C66A0" w:rsidRDefault="001076B5" w:rsidP="00AE1DED">
      <w:pPr>
        <w:numPr>
          <w:ilvl w:val="1"/>
          <w:numId w:val="10"/>
        </w:numPr>
        <w:rPr>
          <w:rFonts w:eastAsiaTheme="majorEastAsia"/>
          <w:color w:val="000000" w:themeColor="text1"/>
        </w:rPr>
      </w:pPr>
      <w:r w:rsidRPr="003C66A0">
        <w:rPr>
          <w:rFonts w:eastAsiaTheme="majorEastAsia"/>
          <w:color w:val="000000" w:themeColor="text1"/>
        </w:rPr>
        <w:t>No disclosure of specific wallet addresses or amounts</w:t>
      </w:r>
    </w:p>
    <w:p w14:paraId="10FFCAEB" w14:textId="77777777" w:rsidR="009A16FC" w:rsidRDefault="009A16FC" w:rsidP="00AE1DED">
      <w:pPr>
        <w:rPr>
          <w:rFonts w:eastAsiaTheme="majorEastAsia"/>
          <w:b/>
          <w:bCs/>
          <w:i/>
          <w:iCs/>
          <w:color w:val="000000" w:themeColor="text1"/>
        </w:rPr>
      </w:pPr>
    </w:p>
    <w:p w14:paraId="22D731C8" w14:textId="77777777" w:rsidR="00D74858" w:rsidRPr="003C66A0" w:rsidRDefault="00D74858" w:rsidP="00AE1DED">
      <w:pPr>
        <w:rPr>
          <w:rFonts w:eastAsiaTheme="majorEastAsia"/>
          <w:b/>
          <w:bCs/>
          <w:i/>
          <w:iCs/>
          <w:color w:val="000000" w:themeColor="text1"/>
        </w:rPr>
      </w:pPr>
    </w:p>
    <w:p w14:paraId="2F4FF324" w14:textId="09B6D36D" w:rsidR="001076B5" w:rsidRPr="00F17041" w:rsidRDefault="00E26ED1" w:rsidP="00AE1DED">
      <w:pPr>
        <w:pStyle w:val="Heading3"/>
        <w:rPr>
          <w:rFonts w:eastAsiaTheme="majorEastAsia"/>
        </w:rPr>
      </w:pPr>
      <w:bookmarkStart w:id="281" w:name="_Toc214722087"/>
      <w:r w:rsidRPr="00F17041">
        <w:rPr>
          <w:rFonts w:eastAsiaTheme="majorEastAsia"/>
        </w:rPr>
        <w:t>D</w:t>
      </w:r>
      <w:r w:rsidR="001076B5" w:rsidRPr="00F17041">
        <w:rPr>
          <w:rFonts w:eastAsiaTheme="majorEastAsia"/>
        </w:rPr>
        <w:t>.</w:t>
      </w:r>
      <w:r w:rsidRPr="00F17041">
        <w:rPr>
          <w:rFonts w:eastAsiaTheme="majorEastAsia"/>
        </w:rPr>
        <w:t>10</w:t>
      </w:r>
      <w:r w:rsidR="001076B5" w:rsidRPr="00F17041">
        <w:rPr>
          <w:rFonts w:eastAsiaTheme="majorEastAsia"/>
        </w:rPr>
        <w:t xml:space="preserve"> Data Security Measures</w:t>
      </w:r>
      <w:bookmarkEnd w:id="281"/>
    </w:p>
    <w:p w14:paraId="42DC5EBA" w14:textId="514C9168" w:rsidR="009A16FC" w:rsidRPr="003C66A0" w:rsidRDefault="009A16FC" w:rsidP="00AE1DED">
      <w:pPr>
        <w:rPr>
          <w:rFonts w:eastAsiaTheme="majorEastAsia"/>
          <w:b/>
          <w:bCs/>
          <w:i/>
          <w:iCs/>
          <w:color w:val="000000" w:themeColor="text1"/>
        </w:rPr>
      </w:pPr>
    </w:p>
    <w:p w14:paraId="40048262" w14:textId="77777777" w:rsidR="001076B5" w:rsidRPr="003C66A0" w:rsidRDefault="001076B5" w:rsidP="00AE1DED">
      <w:pPr>
        <w:rPr>
          <w:rFonts w:eastAsiaTheme="majorEastAsia"/>
          <w:b/>
          <w:bCs/>
          <w:color w:val="000000" w:themeColor="text1"/>
        </w:rPr>
      </w:pPr>
      <w:r w:rsidRPr="003C66A0">
        <w:rPr>
          <w:rFonts w:eastAsiaTheme="majorEastAsia"/>
          <w:b/>
          <w:bCs/>
          <w:color w:val="000000" w:themeColor="text1"/>
        </w:rPr>
        <w:t>Encryption:</w:t>
      </w:r>
    </w:p>
    <w:p w14:paraId="080ACA1D" w14:textId="114FF672" w:rsidR="001076B5" w:rsidRPr="003C66A0" w:rsidRDefault="001076B5" w:rsidP="00AE1DED">
      <w:pPr>
        <w:pStyle w:val="ListParagraph"/>
        <w:numPr>
          <w:ilvl w:val="0"/>
          <w:numId w:val="7"/>
        </w:numPr>
        <w:outlineLvl w:val="9"/>
        <w:rPr>
          <w:rFonts w:eastAsiaTheme="majorEastAsia"/>
          <w:color w:val="000000" w:themeColor="text1"/>
        </w:rPr>
      </w:pPr>
      <w:r w:rsidRPr="003C66A0">
        <w:rPr>
          <w:rFonts w:eastAsiaTheme="majorEastAsia"/>
          <w:color w:val="000000" w:themeColor="text1"/>
        </w:rPr>
        <w:t>At rest: AES-256 encryption</w:t>
      </w:r>
    </w:p>
    <w:p w14:paraId="20F86C37" w14:textId="3BFE9CF6" w:rsidR="001076B5" w:rsidRPr="003C66A0" w:rsidRDefault="001076B5" w:rsidP="00AE1DED">
      <w:pPr>
        <w:pStyle w:val="ListParagraph"/>
        <w:numPr>
          <w:ilvl w:val="0"/>
          <w:numId w:val="7"/>
        </w:numPr>
        <w:outlineLvl w:val="9"/>
        <w:rPr>
          <w:rFonts w:eastAsiaTheme="majorEastAsia"/>
          <w:color w:val="000000" w:themeColor="text1"/>
        </w:rPr>
      </w:pPr>
      <w:r w:rsidRPr="003C66A0">
        <w:rPr>
          <w:rFonts w:eastAsiaTheme="majorEastAsia"/>
          <w:color w:val="000000" w:themeColor="text1"/>
        </w:rPr>
        <w:t>In transit: TLS 1.3</w:t>
      </w:r>
    </w:p>
    <w:p w14:paraId="755C3DDD" w14:textId="3A502FC5" w:rsidR="001076B5" w:rsidRPr="003C66A0" w:rsidRDefault="001076B5" w:rsidP="00AE1DED">
      <w:pPr>
        <w:pStyle w:val="ListParagraph"/>
        <w:numPr>
          <w:ilvl w:val="0"/>
          <w:numId w:val="7"/>
        </w:numPr>
        <w:outlineLvl w:val="9"/>
        <w:rPr>
          <w:rFonts w:eastAsiaTheme="majorEastAsia"/>
          <w:color w:val="000000" w:themeColor="text1"/>
        </w:rPr>
      </w:pPr>
      <w:r w:rsidRPr="003C66A0">
        <w:rPr>
          <w:rFonts w:eastAsiaTheme="majorEastAsia"/>
          <w:color w:val="000000" w:themeColor="text1"/>
        </w:rPr>
        <w:t>Backups: Encrypted, off-site storage</w:t>
      </w:r>
    </w:p>
    <w:p w14:paraId="6EBE36DA" w14:textId="77777777" w:rsidR="001076B5" w:rsidRPr="003C66A0" w:rsidRDefault="001076B5" w:rsidP="00AE1DED">
      <w:pPr>
        <w:rPr>
          <w:rFonts w:eastAsiaTheme="majorEastAsia"/>
          <w:color w:val="000000" w:themeColor="text1"/>
        </w:rPr>
      </w:pPr>
    </w:p>
    <w:p w14:paraId="124B34DF" w14:textId="77777777" w:rsidR="001076B5" w:rsidRPr="003C66A0" w:rsidRDefault="001076B5" w:rsidP="00AE1DED">
      <w:pPr>
        <w:rPr>
          <w:rFonts w:eastAsiaTheme="majorEastAsia"/>
          <w:b/>
          <w:bCs/>
          <w:color w:val="000000" w:themeColor="text1"/>
        </w:rPr>
      </w:pPr>
      <w:r w:rsidRPr="003C66A0">
        <w:rPr>
          <w:rFonts w:eastAsiaTheme="majorEastAsia"/>
          <w:b/>
          <w:bCs/>
          <w:color w:val="000000" w:themeColor="text1"/>
        </w:rPr>
        <w:t>Access Control:</w:t>
      </w:r>
    </w:p>
    <w:p w14:paraId="6A38033C" w14:textId="43BB958E" w:rsidR="001076B5" w:rsidRPr="003C66A0" w:rsidRDefault="001076B5" w:rsidP="00AE1DED">
      <w:pPr>
        <w:pStyle w:val="ListParagraph"/>
        <w:numPr>
          <w:ilvl w:val="0"/>
          <w:numId w:val="7"/>
        </w:numPr>
        <w:outlineLvl w:val="9"/>
        <w:rPr>
          <w:rFonts w:eastAsiaTheme="majorEastAsia"/>
          <w:color w:val="000000" w:themeColor="text1"/>
        </w:rPr>
      </w:pPr>
      <w:r w:rsidRPr="003C66A0">
        <w:rPr>
          <w:rFonts w:eastAsiaTheme="majorEastAsia"/>
          <w:color w:val="000000" w:themeColor="text1"/>
        </w:rPr>
        <w:t>Principal Investigator: Full access</w:t>
      </w:r>
    </w:p>
    <w:p w14:paraId="01E105CB" w14:textId="0E654C8B" w:rsidR="001076B5" w:rsidRPr="003C66A0" w:rsidRDefault="001076B5" w:rsidP="00AE1DED">
      <w:pPr>
        <w:pStyle w:val="ListParagraph"/>
        <w:numPr>
          <w:ilvl w:val="0"/>
          <w:numId w:val="7"/>
        </w:numPr>
        <w:outlineLvl w:val="9"/>
        <w:rPr>
          <w:rFonts w:eastAsiaTheme="majorEastAsia"/>
          <w:color w:val="000000" w:themeColor="text1"/>
        </w:rPr>
      </w:pPr>
      <w:r w:rsidRPr="003C66A0">
        <w:rPr>
          <w:rFonts w:eastAsiaTheme="majorEastAsia"/>
          <w:color w:val="000000" w:themeColor="text1"/>
        </w:rPr>
        <w:t>Research Assistants: Read-only access to anonymized data</w:t>
      </w:r>
    </w:p>
    <w:p w14:paraId="30A7ECED" w14:textId="5F362FCF" w:rsidR="001076B5" w:rsidRPr="003C66A0" w:rsidRDefault="001076B5" w:rsidP="00AE1DED">
      <w:pPr>
        <w:pStyle w:val="ListParagraph"/>
        <w:numPr>
          <w:ilvl w:val="0"/>
          <w:numId w:val="7"/>
        </w:numPr>
        <w:outlineLvl w:val="9"/>
        <w:rPr>
          <w:rFonts w:eastAsiaTheme="majorEastAsia"/>
          <w:color w:val="000000" w:themeColor="text1"/>
        </w:rPr>
      </w:pPr>
      <w:r w:rsidRPr="003C66A0">
        <w:rPr>
          <w:rFonts w:eastAsiaTheme="majorEastAsia"/>
          <w:color w:val="000000" w:themeColor="text1"/>
        </w:rPr>
        <w:t>Audit log of all data access</w:t>
      </w:r>
    </w:p>
    <w:p w14:paraId="35391213" w14:textId="77777777" w:rsidR="001076B5" w:rsidRPr="003C66A0" w:rsidRDefault="001076B5" w:rsidP="00AE1DED">
      <w:pPr>
        <w:rPr>
          <w:rFonts w:eastAsiaTheme="majorEastAsia"/>
          <w:color w:val="000000" w:themeColor="text1"/>
        </w:rPr>
      </w:pPr>
    </w:p>
    <w:p w14:paraId="69772270" w14:textId="77777777" w:rsidR="001076B5" w:rsidRPr="003C66A0" w:rsidRDefault="001076B5" w:rsidP="00AE1DED">
      <w:pPr>
        <w:rPr>
          <w:rFonts w:eastAsiaTheme="majorEastAsia"/>
          <w:b/>
          <w:bCs/>
          <w:color w:val="000000" w:themeColor="text1"/>
        </w:rPr>
      </w:pPr>
      <w:r w:rsidRPr="003C66A0">
        <w:rPr>
          <w:rFonts w:eastAsiaTheme="majorEastAsia"/>
          <w:b/>
          <w:bCs/>
          <w:color w:val="000000" w:themeColor="text1"/>
        </w:rPr>
        <w:t>Anonymization:</w:t>
      </w:r>
    </w:p>
    <w:p w14:paraId="1A712417" w14:textId="3CD504B2" w:rsidR="001076B5" w:rsidRPr="003C66A0" w:rsidRDefault="001076B5" w:rsidP="00AE1DED">
      <w:pPr>
        <w:pStyle w:val="ListParagraph"/>
        <w:numPr>
          <w:ilvl w:val="0"/>
          <w:numId w:val="7"/>
        </w:numPr>
        <w:outlineLvl w:val="9"/>
        <w:rPr>
          <w:rFonts w:eastAsiaTheme="majorEastAsia"/>
          <w:color w:val="000000" w:themeColor="text1"/>
        </w:rPr>
      </w:pPr>
      <w:r w:rsidRPr="003C66A0">
        <w:rPr>
          <w:rFonts w:eastAsiaTheme="majorEastAsia"/>
          <w:color w:val="000000" w:themeColor="text1"/>
        </w:rPr>
        <w:t>Wallet addresses: SHA-256 hashed</w:t>
      </w:r>
    </w:p>
    <w:p w14:paraId="0182546F" w14:textId="5321FB1A" w:rsidR="001076B5" w:rsidRPr="003C66A0" w:rsidRDefault="001076B5" w:rsidP="00AE1DED">
      <w:pPr>
        <w:pStyle w:val="ListParagraph"/>
        <w:numPr>
          <w:ilvl w:val="0"/>
          <w:numId w:val="7"/>
        </w:numPr>
        <w:outlineLvl w:val="9"/>
        <w:rPr>
          <w:rFonts w:eastAsiaTheme="majorEastAsia"/>
          <w:color w:val="000000" w:themeColor="text1"/>
        </w:rPr>
      </w:pPr>
      <w:r w:rsidRPr="003C66A0">
        <w:rPr>
          <w:rFonts w:eastAsiaTheme="majorEastAsia"/>
          <w:color w:val="000000" w:themeColor="text1"/>
        </w:rPr>
        <w:t>ENS names: Replaced with codes (P001-P027)</w:t>
      </w:r>
    </w:p>
    <w:p w14:paraId="5EB59707" w14:textId="59AAF780" w:rsidR="001076B5" w:rsidRPr="003C66A0" w:rsidRDefault="001076B5" w:rsidP="00AE1DED">
      <w:pPr>
        <w:pStyle w:val="ListParagraph"/>
        <w:numPr>
          <w:ilvl w:val="0"/>
          <w:numId w:val="7"/>
        </w:numPr>
        <w:outlineLvl w:val="9"/>
        <w:rPr>
          <w:rFonts w:eastAsiaTheme="majorEastAsia"/>
          <w:color w:val="000000" w:themeColor="text1"/>
        </w:rPr>
      </w:pPr>
      <w:r w:rsidRPr="003C66A0">
        <w:rPr>
          <w:rFonts w:eastAsiaTheme="majorEastAsia"/>
          <w:color w:val="000000" w:themeColor="text1"/>
        </w:rPr>
        <w:t>Transaction hashes: First/last 6 characters only</w:t>
      </w:r>
    </w:p>
    <w:p w14:paraId="54490848" w14:textId="77777777" w:rsidR="001076B5" w:rsidRDefault="001076B5" w:rsidP="00AE1DED">
      <w:pPr>
        <w:rPr>
          <w:rFonts w:eastAsiaTheme="majorEastAsia"/>
          <w:color w:val="000000" w:themeColor="text1"/>
        </w:rPr>
      </w:pPr>
    </w:p>
    <w:p w14:paraId="50C282A2" w14:textId="77777777" w:rsidR="00D74858" w:rsidRDefault="00D74858" w:rsidP="00AE1DED">
      <w:pPr>
        <w:rPr>
          <w:rFonts w:eastAsiaTheme="majorEastAsia"/>
          <w:color w:val="000000" w:themeColor="text1"/>
        </w:rPr>
      </w:pPr>
    </w:p>
    <w:p w14:paraId="74DFD13C" w14:textId="77777777" w:rsidR="00D74858" w:rsidRDefault="00D74858" w:rsidP="00AE1DED">
      <w:pPr>
        <w:rPr>
          <w:rFonts w:eastAsiaTheme="majorEastAsia"/>
          <w:color w:val="000000" w:themeColor="text1"/>
        </w:rPr>
      </w:pPr>
    </w:p>
    <w:p w14:paraId="3359C97C" w14:textId="77777777" w:rsidR="00D74858" w:rsidRDefault="00D74858" w:rsidP="00AE1DED">
      <w:pPr>
        <w:rPr>
          <w:rFonts w:eastAsiaTheme="majorEastAsia"/>
          <w:color w:val="000000" w:themeColor="text1"/>
        </w:rPr>
      </w:pPr>
    </w:p>
    <w:p w14:paraId="5C1CE7B8" w14:textId="77777777" w:rsidR="00D74858" w:rsidRDefault="00D74858" w:rsidP="00AE1DED">
      <w:pPr>
        <w:rPr>
          <w:rFonts w:eastAsiaTheme="majorEastAsia"/>
          <w:color w:val="000000" w:themeColor="text1"/>
        </w:rPr>
      </w:pPr>
    </w:p>
    <w:p w14:paraId="030200FE" w14:textId="77777777" w:rsidR="00D74858" w:rsidRDefault="00D74858" w:rsidP="00AE1DED">
      <w:pPr>
        <w:rPr>
          <w:rFonts w:eastAsiaTheme="majorEastAsia"/>
          <w:color w:val="000000" w:themeColor="text1"/>
        </w:rPr>
      </w:pPr>
    </w:p>
    <w:p w14:paraId="1976006E" w14:textId="77777777" w:rsidR="00D74858" w:rsidRDefault="00D74858" w:rsidP="00AE1DED">
      <w:pPr>
        <w:rPr>
          <w:rFonts w:eastAsiaTheme="majorEastAsia"/>
          <w:color w:val="000000" w:themeColor="text1"/>
        </w:rPr>
      </w:pPr>
    </w:p>
    <w:p w14:paraId="30179557" w14:textId="77777777" w:rsidR="00D74858" w:rsidRPr="003C66A0" w:rsidRDefault="00D74858" w:rsidP="00AE1DED">
      <w:pPr>
        <w:rPr>
          <w:rFonts w:eastAsiaTheme="majorEastAsia"/>
          <w:color w:val="000000" w:themeColor="text1"/>
        </w:rPr>
      </w:pPr>
    </w:p>
    <w:p w14:paraId="53C0822D" w14:textId="79FE6886" w:rsidR="001076B5" w:rsidRPr="00F17041" w:rsidRDefault="00392A6F" w:rsidP="00AE1DED">
      <w:pPr>
        <w:pStyle w:val="Heading3"/>
        <w:rPr>
          <w:rFonts w:eastAsiaTheme="majorEastAsia"/>
        </w:rPr>
      </w:pPr>
      <w:bookmarkStart w:id="282" w:name="_Toc214722088"/>
      <w:r w:rsidRPr="003C66A0">
        <w:rPr>
          <w:rFonts w:eastAsiaTheme="majorEastAsia"/>
        </w:rPr>
        <w:t xml:space="preserve">Table </w:t>
      </w:r>
      <w:r w:rsidR="00E26ED1" w:rsidRPr="00F17041">
        <w:rPr>
          <w:rFonts w:eastAsiaTheme="majorEastAsia"/>
        </w:rPr>
        <w:t>D</w:t>
      </w:r>
      <w:r w:rsidR="001076B5" w:rsidRPr="00F17041">
        <w:rPr>
          <w:rFonts w:eastAsiaTheme="majorEastAsia"/>
        </w:rPr>
        <w:t>.11 Limitations and Mitigation</w:t>
      </w:r>
      <w:bookmarkEnd w:id="282"/>
    </w:p>
    <w:p w14:paraId="071B65D3" w14:textId="77777777" w:rsidR="00F17041" w:rsidRPr="00F17041" w:rsidRDefault="00F17041" w:rsidP="00AE1DED">
      <w:pPr>
        <w:rPr>
          <w:rFonts w:eastAsiaTheme="majorEastAsia"/>
        </w:rPr>
      </w:pPr>
    </w:p>
    <w:tbl>
      <w:tblPr>
        <w:tblW w:w="9260" w:type="dxa"/>
        <w:tblLook w:val="04A0" w:firstRow="1" w:lastRow="0" w:firstColumn="1" w:lastColumn="0" w:noHBand="0" w:noVBand="1"/>
      </w:tblPr>
      <w:tblGrid>
        <w:gridCol w:w="1880"/>
        <w:gridCol w:w="2160"/>
        <w:gridCol w:w="2880"/>
        <w:gridCol w:w="2340"/>
      </w:tblGrid>
      <w:tr w:rsidR="00FC334A" w:rsidRPr="003C66A0" w14:paraId="1DE9DF5C" w14:textId="77777777" w:rsidTr="005E08D8">
        <w:trPr>
          <w:trHeight w:val="360"/>
        </w:trPr>
        <w:tc>
          <w:tcPr>
            <w:tcW w:w="1880" w:type="dxa"/>
            <w:tcBorders>
              <w:top w:val="single" w:sz="8" w:space="0" w:color="auto"/>
              <w:left w:val="single" w:sz="8" w:space="0" w:color="auto"/>
              <w:bottom w:val="single" w:sz="8" w:space="0" w:color="auto"/>
              <w:right w:val="single" w:sz="8" w:space="0" w:color="auto"/>
            </w:tcBorders>
            <w:shd w:val="clear" w:color="000000" w:fill="D9D9D9"/>
            <w:hideMark/>
          </w:tcPr>
          <w:p w14:paraId="7AB96DB8" w14:textId="77777777" w:rsidR="00980C19" w:rsidRPr="003C66A0" w:rsidRDefault="00980C19" w:rsidP="00AE1DED">
            <w:pPr>
              <w:rPr>
                <w:b/>
                <w:bCs/>
                <w:color w:val="000000" w:themeColor="text1"/>
              </w:rPr>
            </w:pPr>
            <w:r w:rsidRPr="003C66A0">
              <w:rPr>
                <w:b/>
                <w:bCs/>
                <w:color w:val="000000" w:themeColor="text1"/>
              </w:rPr>
              <w:t>Limitation</w:t>
            </w:r>
          </w:p>
        </w:tc>
        <w:tc>
          <w:tcPr>
            <w:tcW w:w="2160" w:type="dxa"/>
            <w:tcBorders>
              <w:top w:val="single" w:sz="8" w:space="0" w:color="auto"/>
              <w:left w:val="nil"/>
              <w:bottom w:val="single" w:sz="8" w:space="0" w:color="auto"/>
              <w:right w:val="single" w:sz="4" w:space="0" w:color="auto"/>
            </w:tcBorders>
            <w:shd w:val="clear" w:color="000000" w:fill="D9D9D9"/>
            <w:hideMark/>
          </w:tcPr>
          <w:p w14:paraId="36B31844" w14:textId="77777777" w:rsidR="00980C19" w:rsidRPr="003C66A0" w:rsidRDefault="00980C19" w:rsidP="00AE1DED">
            <w:pPr>
              <w:rPr>
                <w:b/>
                <w:bCs/>
                <w:color w:val="000000" w:themeColor="text1"/>
              </w:rPr>
            </w:pPr>
            <w:r w:rsidRPr="003C66A0">
              <w:rPr>
                <w:b/>
                <w:bCs/>
                <w:color w:val="000000" w:themeColor="text1"/>
              </w:rPr>
              <w:t>Impact</w:t>
            </w:r>
          </w:p>
        </w:tc>
        <w:tc>
          <w:tcPr>
            <w:tcW w:w="2880" w:type="dxa"/>
            <w:tcBorders>
              <w:top w:val="single" w:sz="8" w:space="0" w:color="auto"/>
              <w:left w:val="nil"/>
              <w:bottom w:val="single" w:sz="8" w:space="0" w:color="auto"/>
              <w:right w:val="single" w:sz="4" w:space="0" w:color="auto"/>
            </w:tcBorders>
            <w:shd w:val="clear" w:color="000000" w:fill="D9D9D9"/>
            <w:hideMark/>
          </w:tcPr>
          <w:p w14:paraId="0FB6C7CA" w14:textId="77777777" w:rsidR="00980C19" w:rsidRPr="003C66A0" w:rsidRDefault="00980C19" w:rsidP="00AE1DED">
            <w:pPr>
              <w:rPr>
                <w:b/>
                <w:bCs/>
                <w:color w:val="000000" w:themeColor="text1"/>
              </w:rPr>
            </w:pPr>
            <w:r w:rsidRPr="003C66A0">
              <w:rPr>
                <w:b/>
                <w:bCs/>
                <w:color w:val="000000" w:themeColor="text1"/>
              </w:rPr>
              <w:t>Mitigation Strategy</w:t>
            </w:r>
          </w:p>
        </w:tc>
        <w:tc>
          <w:tcPr>
            <w:tcW w:w="2340" w:type="dxa"/>
            <w:tcBorders>
              <w:top w:val="single" w:sz="8" w:space="0" w:color="auto"/>
              <w:left w:val="nil"/>
              <w:bottom w:val="single" w:sz="8" w:space="0" w:color="auto"/>
              <w:right w:val="single" w:sz="8" w:space="0" w:color="auto"/>
            </w:tcBorders>
            <w:shd w:val="clear" w:color="000000" w:fill="D9D9D9"/>
            <w:hideMark/>
          </w:tcPr>
          <w:p w14:paraId="721B571D" w14:textId="77777777" w:rsidR="00980C19" w:rsidRPr="003C66A0" w:rsidRDefault="00980C19" w:rsidP="00AE1DED">
            <w:pPr>
              <w:rPr>
                <w:b/>
                <w:bCs/>
                <w:color w:val="000000" w:themeColor="text1"/>
              </w:rPr>
            </w:pPr>
            <w:r w:rsidRPr="003C66A0">
              <w:rPr>
                <w:b/>
                <w:bCs/>
                <w:color w:val="000000" w:themeColor="text1"/>
              </w:rPr>
              <w:t>Residual Risk</w:t>
            </w:r>
          </w:p>
        </w:tc>
      </w:tr>
      <w:tr w:rsidR="00FC334A" w:rsidRPr="003C66A0" w14:paraId="1F6407AB" w14:textId="77777777" w:rsidTr="005E08D8">
        <w:trPr>
          <w:trHeight w:val="340"/>
        </w:trPr>
        <w:tc>
          <w:tcPr>
            <w:tcW w:w="1880" w:type="dxa"/>
            <w:tcBorders>
              <w:top w:val="nil"/>
              <w:left w:val="single" w:sz="8" w:space="0" w:color="auto"/>
              <w:bottom w:val="single" w:sz="4" w:space="0" w:color="auto"/>
              <w:right w:val="single" w:sz="8" w:space="0" w:color="auto"/>
            </w:tcBorders>
            <w:shd w:val="clear" w:color="000000" w:fill="D9D9D9"/>
            <w:vAlign w:val="center"/>
            <w:hideMark/>
          </w:tcPr>
          <w:p w14:paraId="302A8E96" w14:textId="77777777" w:rsidR="00980C19" w:rsidRPr="003C66A0" w:rsidRDefault="00980C19" w:rsidP="00AE1DED">
            <w:pPr>
              <w:rPr>
                <w:color w:val="000000" w:themeColor="text1"/>
              </w:rPr>
            </w:pPr>
            <w:r w:rsidRPr="003C66A0">
              <w:rPr>
                <w:color w:val="000000" w:themeColor="text1"/>
              </w:rPr>
              <w:t>Survivorship bias</w:t>
            </w:r>
          </w:p>
        </w:tc>
        <w:tc>
          <w:tcPr>
            <w:tcW w:w="2160" w:type="dxa"/>
            <w:tcBorders>
              <w:top w:val="nil"/>
              <w:left w:val="nil"/>
              <w:bottom w:val="single" w:sz="4" w:space="0" w:color="auto"/>
              <w:right w:val="single" w:sz="4" w:space="0" w:color="auto"/>
            </w:tcBorders>
            <w:vAlign w:val="center"/>
            <w:hideMark/>
          </w:tcPr>
          <w:p w14:paraId="6BACD2E0" w14:textId="77777777" w:rsidR="00980C19" w:rsidRPr="003C66A0" w:rsidRDefault="00980C19" w:rsidP="00AE1DED">
            <w:pPr>
              <w:rPr>
                <w:color w:val="000000" w:themeColor="text1"/>
              </w:rPr>
            </w:pPr>
            <w:r w:rsidRPr="003C66A0">
              <w:rPr>
                <w:color w:val="000000" w:themeColor="text1"/>
              </w:rPr>
              <w:t>Underestimate failure rates</w:t>
            </w:r>
          </w:p>
        </w:tc>
        <w:tc>
          <w:tcPr>
            <w:tcW w:w="2880" w:type="dxa"/>
            <w:tcBorders>
              <w:top w:val="nil"/>
              <w:left w:val="nil"/>
              <w:bottom w:val="single" w:sz="4" w:space="0" w:color="auto"/>
              <w:right w:val="single" w:sz="4" w:space="0" w:color="auto"/>
            </w:tcBorders>
            <w:vAlign w:val="center"/>
            <w:hideMark/>
          </w:tcPr>
          <w:p w14:paraId="6022D907" w14:textId="77777777" w:rsidR="00980C19" w:rsidRPr="003C66A0" w:rsidRDefault="00980C19" w:rsidP="00AE1DED">
            <w:pPr>
              <w:rPr>
                <w:color w:val="000000" w:themeColor="text1"/>
              </w:rPr>
            </w:pPr>
            <w:r w:rsidRPr="003C66A0">
              <w:rPr>
                <w:color w:val="000000" w:themeColor="text1"/>
              </w:rPr>
              <w:t>Track abandoned wallets, include partial data</w:t>
            </w:r>
          </w:p>
        </w:tc>
        <w:tc>
          <w:tcPr>
            <w:tcW w:w="2340" w:type="dxa"/>
            <w:tcBorders>
              <w:top w:val="nil"/>
              <w:left w:val="nil"/>
              <w:bottom w:val="single" w:sz="4" w:space="0" w:color="auto"/>
              <w:right w:val="single" w:sz="8" w:space="0" w:color="auto"/>
            </w:tcBorders>
            <w:vAlign w:val="center"/>
            <w:hideMark/>
          </w:tcPr>
          <w:p w14:paraId="33ECD2E9" w14:textId="77777777" w:rsidR="00980C19" w:rsidRPr="003C66A0" w:rsidRDefault="00980C19" w:rsidP="00AE1DED">
            <w:pPr>
              <w:rPr>
                <w:color w:val="000000" w:themeColor="text1"/>
              </w:rPr>
            </w:pPr>
            <w:r w:rsidRPr="003C66A0">
              <w:rPr>
                <w:color w:val="000000" w:themeColor="text1"/>
              </w:rPr>
              <w:t>~10-15% unobserved failures</w:t>
            </w:r>
          </w:p>
        </w:tc>
      </w:tr>
      <w:tr w:rsidR="00FC334A" w:rsidRPr="003C66A0" w14:paraId="7F8EA550" w14:textId="77777777" w:rsidTr="005E08D8">
        <w:trPr>
          <w:trHeight w:val="340"/>
        </w:trPr>
        <w:tc>
          <w:tcPr>
            <w:tcW w:w="1880" w:type="dxa"/>
            <w:tcBorders>
              <w:top w:val="nil"/>
              <w:left w:val="single" w:sz="8" w:space="0" w:color="auto"/>
              <w:bottom w:val="single" w:sz="4" w:space="0" w:color="auto"/>
              <w:right w:val="single" w:sz="8" w:space="0" w:color="auto"/>
            </w:tcBorders>
            <w:shd w:val="clear" w:color="000000" w:fill="D9D9D9"/>
            <w:vAlign w:val="center"/>
            <w:hideMark/>
          </w:tcPr>
          <w:p w14:paraId="5B86E87C" w14:textId="77777777" w:rsidR="00980C19" w:rsidRPr="003C66A0" w:rsidRDefault="00980C19" w:rsidP="00AE1DED">
            <w:pPr>
              <w:rPr>
                <w:color w:val="000000" w:themeColor="text1"/>
              </w:rPr>
            </w:pPr>
            <w:r w:rsidRPr="003C66A0">
              <w:rPr>
                <w:color w:val="000000" w:themeColor="text1"/>
              </w:rPr>
              <w:t>Self-selection</w:t>
            </w:r>
          </w:p>
        </w:tc>
        <w:tc>
          <w:tcPr>
            <w:tcW w:w="2160" w:type="dxa"/>
            <w:tcBorders>
              <w:top w:val="nil"/>
              <w:left w:val="nil"/>
              <w:bottom w:val="single" w:sz="4" w:space="0" w:color="auto"/>
              <w:right w:val="single" w:sz="4" w:space="0" w:color="auto"/>
            </w:tcBorders>
            <w:vAlign w:val="center"/>
            <w:hideMark/>
          </w:tcPr>
          <w:p w14:paraId="6191D42E" w14:textId="77777777" w:rsidR="00980C19" w:rsidRPr="003C66A0" w:rsidRDefault="00980C19" w:rsidP="00AE1DED">
            <w:pPr>
              <w:rPr>
                <w:color w:val="000000" w:themeColor="text1"/>
              </w:rPr>
            </w:pPr>
            <w:r w:rsidRPr="003C66A0">
              <w:rPr>
                <w:color w:val="000000" w:themeColor="text1"/>
              </w:rPr>
              <w:t>Non-representative sample</w:t>
            </w:r>
          </w:p>
        </w:tc>
        <w:tc>
          <w:tcPr>
            <w:tcW w:w="2880" w:type="dxa"/>
            <w:tcBorders>
              <w:top w:val="nil"/>
              <w:left w:val="nil"/>
              <w:bottom w:val="single" w:sz="4" w:space="0" w:color="auto"/>
              <w:right w:val="single" w:sz="4" w:space="0" w:color="auto"/>
            </w:tcBorders>
            <w:vAlign w:val="center"/>
            <w:hideMark/>
          </w:tcPr>
          <w:p w14:paraId="3285E192" w14:textId="77777777" w:rsidR="00980C19" w:rsidRPr="003C66A0" w:rsidRDefault="00980C19" w:rsidP="00AE1DED">
            <w:pPr>
              <w:rPr>
                <w:color w:val="000000" w:themeColor="text1"/>
              </w:rPr>
            </w:pPr>
            <w:r w:rsidRPr="003C66A0">
              <w:rPr>
                <w:color w:val="000000" w:themeColor="text1"/>
              </w:rPr>
              <w:t>Document participant characteristics, acknowledge limits</w:t>
            </w:r>
          </w:p>
        </w:tc>
        <w:tc>
          <w:tcPr>
            <w:tcW w:w="2340" w:type="dxa"/>
            <w:tcBorders>
              <w:top w:val="nil"/>
              <w:left w:val="nil"/>
              <w:bottom w:val="single" w:sz="4" w:space="0" w:color="auto"/>
              <w:right w:val="single" w:sz="8" w:space="0" w:color="auto"/>
            </w:tcBorders>
            <w:vAlign w:val="center"/>
            <w:hideMark/>
          </w:tcPr>
          <w:p w14:paraId="552B775A" w14:textId="77777777" w:rsidR="00980C19" w:rsidRPr="003C66A0" w:rsidRDefault="00980C19" w:rsidP="00AE1DED">
            <w:pPr>
              <w:rPr>
                <w:color w:val="000000" w:themeColor="text1"/>
              </w:rPr>
            </w:pPr>
            <w:r w:rsidRPr="003C66A0">
              <w:rPr>
                <w:color w:val="000000" w:themeColor="text1"/>
              </w:rPr>
              <w:t>Generalization constraints</w:t>
            </w:r>
          </w:p>
        </w:tc>
      </w:tr>
      <w:tr w:rsidR="00FC334A" w:rsidRPr="003C66A0" w14:paraId="0B64EC9F" w14:textId="77777777" w:rsidTr="005E08D8">
        <w:trPr>
          <w:trHeight w:val="340"/>
        </w:trPr>
        <w:tc>
          <w:tcPr>
            <w:tcW w:w="1880" w:type="dxa"/>
            <w:tcBorders>
              <w:top w:val="nil"/>
              <w:left w:val="single" w:sz="8" w:space="0" w:color="auto"/>
              <w:bottom w:val="single" w:sz="4" w:space="0" w:color="auto"/>
              <w:right w:val="single" w:sz="8" w:space="0" w:color="auto"/>
            </w:tcBorders>
            <w:shd w:val="clear" w:color="000000" w:fill="D9D9D9"/>
            <w:vAlign w:val="center"/>
            <w:hideMark/>
          </w:tcPr>
          <w:p w14:paraId="1E68E44D" w14:textId="77777777" w:rsidR="00980C19" w:rsidRPr="003C66A0" w:rsidRDefault="00980C19" w:rsidP="00AE1DED">
            <w:pPr>
              <w:rPr>
                <w:color w:val="000000" w:themeColor="text1"/>
              </w:rPr>
            </w:pPr>
            <w:r w:rsidRPr="003C66A0">
              <w:rPr>
                <w:color w:val="000000" w:themeColor="text1"/>
              </w:rPr>
              <w:t>Period effects</w:t>
            </w:r>
          </w:p>
        </w:tc>
        <w:tc>
          <w:tcPr>
            <w:tcW w:w="2160" w:type="dxa"/>
            <w:tcBorders>
              <w:top w:val="nil"/>
              <w:left w:val="nil"/>
              <w:bottom w:val="single" w:sz="4" w:space="0" w:color="auto"/>
              <w:right w:val="single" w:sz="4" w:space="0" w:color="auto"/>
            </w:tcBorders>
            <w:vAlign w:val="center"/>
            <w:hideMark/>
          </w:tcPr>
          <w:p w14:paraId="390B29BA" w14:textId="77777777" w:rsidR="00980C19" w:rsidRPr="003C66A0" w:rsidRDefault="00980C19" w:rsidP="00AE1DED">
            <w:pPr>
              <w:rPr>
                <w:color w:val="000000" w:themeColor="text1"/>
              </w:rPr>
            </w:pPr>
            <w:r w:rsidRPr="003C66A0">
              <w:rPr>
                <w:color w:val="000000" w:themeColor="text1"/>
              </w:rPr>
              <w:t>2020-2024 unusual conditions</w:t>
            </w:r>
          </w:p>
        </w:tc>
        <w:tc>
          <w:tcPr>
            <w:tcW w:w="2880" w:type="dxa"/>
            <w:tcBorders>
              <w:top w:val="nil"/>
              <w:left w:val="nil"/>
              <w:bottom w:val="single" w:sz="4" w:space="0" w:color="auto"/>
              <w:right w:val="single" w:sz="4" w:space="0" w:color="auto"/>
            </w:tcBorders>
            <w:vAlign w:val="center"/>
            <w:hideMark/>
          </w:tcPr>
          <w:p w14:paraId="7C4C908B" w14:textId="77777777" w:rsidR="00980C19" w:rsidRPr="003C66A0" w:rsidRDefault="00980C19" w:rsidP="00AE1DED">
            <w:pPr>
              <w:rPr>
                <w:color w:val="000000" w:themeColor="text1"/>
              </w:rPr>
            </w:pPr>
            <w:r w:rsidRPr="003C66A0">
              <w:rPr>
                <w:color w:val="000000" w:themeColor="text1"/>
              </w:rPr>
              <w:t>Scenario analysis, sensitivity testing</w:t>
            </w:r>
          </w:p>
        </w:tc>
        <w:tc>
          <w:tcPr>
            <w:tcW w:w="2340" w:type="dxa"/>
            <w:tcBorders>
              <w:top w:val="nil"/>
              <w:left w:val="nil"/>
              <w:bottom w:val="single" w:sz="4" w:space="0" w:color="auto"/>
              <w:right w:val="single" w:sz="8" w:space="0" w:color="auto"/>
            </w:tcBorders>
            <w:vAlign w:val="center"/>
            <w:hideMark/>
          </w:tcPr>
          <w:p w14:paraId="20522BBE" w14:textId="77777777" w:rsidR="00980C19" w:rsidRPr="003C66A0" w:rsidRDefault="00980C19" w:rsidP="00AE1DED">
            <w:pPr>
              <w:rPr>
                <w:color w:val="000000" w:themeColor="text1"/>
              </w:rPr>
            </w:pPr>
            <w:r w:rsidRPr="003C66A0">
              <w:rPr>
                <w:color w:val="000000" w:themeColor="text1"/>
              </w:rPr>
              <w:t>Future may differ</w:t>
            </w:r>
          </w:p>
        </w:tc>
      </w:tr>
      <w:tr w:rsidR="00FC334A" w:rsidRPr="003C66A0" w14:paraId="40B39EE5" w14:textId="77777777" w:rsidTr="005E08D8">
        <w:trPr>
          <w:trHeight w:val="380"/>
        </w:trPr>
        <w:tc>
          <w:tcPr>
            <w:tcW w:w="1880" w:type="dxa"/>
            <w:tcBorders>
              <w:top w:val="nil"/>
              <w:left w:val="single" w:sz="8" w:space="0" w:color="auto"/>
              <w:bottom w:val="single" w:sz="4" w:space="0" w:color="auto"/>
              <w:right w:val="single" w:sz="8" w:space="0" w:color="auto"/>
            </w:tcBorders>
            <w:shd w:val="clear" w:color="000000" w:fill="D9D9D9"/>
            <w:vAlign w:val="center"/>
            <w:hideMark/>
          </w:tcPr>
          <w:p w14:paraId="39D64603" w14:textId="77777777" w:rsidR="00980C19" w:rsidRPr="003C66A0" w:rsidRDefault="00980C19" w:rsidP="00AE1DED">
            <w:pPr>
              <w:rPr>
                <w:color w:val="000000" w:themeColor="text1"/>
              </w:rPr>
            </w:pPr>
            <w:r w:rsidRPr="003C66A0">
              <w:rPr>
                <w:color w:val="000000" w:themeColor="text1"/>
              </w:rPr>
              <w:t>Measurement error</w:t>
            </w:r>
          </w:p>
        </w:tc>
        <w:tc>
          <w:tcPr>
            <w:tcW w:w="2160" w:type="dxa"/>
            <w:tcBorders>
              <w:top w:val="nil"/>
              <w:left w:val="nil"/>
              <w:bottom w:val="single" w:sz="4" w:space="0" w:color="auto"/>
              <w:right w:val="single" w:sz="4" w:space="0" w:color="auto"/>
            </w:tcBorders>
            <w:vAlign w:val="center"/>
            <w:hideMark/>
          </w:tcPr>
          <w:p w14:paraId="6C48A80B" w14:textId="77777777" w:rsidR="00980C19" w:rsidRPr="003C66A0" w:rsidRDefault="00980C19" w:rsidP="00AE1DED">
            <w:pPr>
              <w:rPr>
                <w:color w:val="000000" w:themeColor="text1"/>
              </w:rPr>
            </w:pPr>
            <w:r w:rsidRPr="003C66A0">
              <w:rPr>
                <w:color w:val="000000" w:themeColor="text1"/>
              </w:rPr>
              <w:t>Imprecise calculations</w:t>
            </w:r>
          </w:p>
        </w:tc>
        <w:tc>
          <w:tcPr>
            <w:tcW w:w="2880" w:type="dxa"/>
            <w:tcBorders>
              <w:top w:val="nil"/>
              <w:left w:val="nil"/>
              <w:bottom w:val="single" w:sz="4" w:space="0" w:color="auto"/>
              <w:right w:val="single" w:sz="4" w:space="0" w:color="auto"/>
            </w:tcBorders>
            <w:vAlign w:val="center"/>
            <w:hideMark/>
          </w:tcPr>
          <w:p w14:paraId="3A63AEB9" w14:textId="77777777" w:rsidR="00980C19" w:rsidRPr="003C66A0" w:rsidRDefault="00980C19" w:rsidP="00AE1DED">
            <w:pPr>
              <w:rPr>
                <w:color w:val="000000" w:themeColor="text1"/>
              </w:rPr>
            </w:pPr>
            <w:r w:rsidRPr="003C66A0">
              <w:rPr>
                <w:color w:val="000000" w:themeColor="text1"/>
              </w:rPr>
              <w:t>Multiple data sources, validation checks</w:t>
            </w:r>
          </w:p>
        </w:tc>
        <w:tc>
          <w:tcPr>
            <w:tcW w:w="2340" w:type="dxa"/>
            <w:tcBorders>
              <w:top w:val="nil"/>
              <w:left w:val="nil"/>
              <w:bottom w:val="single" w:sz="4" w:space="0" w:color="auto"/>
              <w:right w:val="single" w:sz="8" w:space="0" w:color="auto"/>
            </w:tcBorders>
            <w:vAlign w:val="center"/>
            <w:hideMark/>
          </w:tcPr>
          <w:p w14:paraId="1D32CB72" w14:textId="77777777" w:rsidR="00980C19" w:rsidRPr="003C66A0" w:rsidRDefault="00980C19" w:rsidP="00AE1DED">
            <w:pPr>
              <w:rPr>
                <w:color w:val="000000" w:themeColor="text1"/>
              </w:rPr>
            </w:pPr>
            <w:r w:rsidRPr="003C66A0">
              <w:rPr>
                <w:color w:val="000000" w:themeColor="text1"/>
              </w:rPr>
              <w:t>±5% measurement uncertainty</w:t>
            </w:r>
          </w:p>
        </w:tc>
      </w:tr>
      <w:tr w:rsidR="00FC334A" w:rsidRPr="003C66A0" w14:paraId="2EF66F5D" w14:textId="77777777" w:rsidTr="005E08D8">
        <w:trPr>
          <w:trHeight w:val="360"/>
        </w:trPr>
        <w:tc>
          <w:tcPr>
            <w:tcW w:w="1880" w:type="dxa"/>
            <w:tcBorders>
              <w:top w:val="nil"/>
              <w:left w:val="single" w:sz="8" w:space="0" w:color="auto"/>
              <w:bottom w:val="single" w:sz="8" w:space="0" w:color="auto"/>
              <w:right w:val="single" w:sz="8" w:space="0" w:color="auto"/>
            </w:tcBorders>
            <w:shd w:val="clear" w:color="000000" w:fill="D9D9D9"/>
            <w:vAlign w:val="center"/>
            <w:hideMark/>
          </w:tcPr>
          <w:p w14:paraId="45E37FCC" w14:textId="77777777" w:rsidR="00980C19" w:rsidRPr="003C66A0" w:rsidRDefault="00980C19" w:rsidP="00AE1DED">
            <w:pPr>
              <w:rPr>
                <w:color w:val="000000" w:themeColor="text1"/>
              </w:rPr>
            </w:pPr>
            <w:r w:rsidRPr="003C66A0">
              <w:rPr>
                <w:color w:val="000000" w:themeColor="text1"/>
              </w:rPr>
              <w:t>Model simplification</w:t>
            </w:r>
          </w:p>
        </w:tc>
        <w:tc>
          <w:tcPr>
            <w:tcW w:w="2160" w:type="dxa"/>
            <w:tcBorders>
              <w:top w:val="nil"/>
              <w:left w:val="nil"/>
              <w:bottom w:val="single" w:sz="8" w:space="0" w:color="auto"/>
              <w:right w:val="single" w:sz="4" w:space="0" w:color="auto"/>
            </w:tcBorders>
            <w:vAlign w:val="center"/>
            <w:hideMark/>
          </w:tcPr>
          <w:p w14:paraId="43AA8F53" w14:textId="77777777" w:rsidR="00980C19" w:rsidRPr="003C66A0" w:rsidRDefault="00980C19" w:rsidP="00AE1DED">
            <w:pPr>
              <w:rPr>
                <w:color w:val="000000" w:themeColor="text1"/>
              </w:rPr>
            </w:pPr>
            <w:r w:rsidRPr="003C66A0">
              <w:rPr>
                <w:color w:val="000000" w:themeColor="text1"/>
              </w:rPr>
              <w:t>Missing complexity</w:t>
            </w:r>
          </w:p>
        </w:tc>
        <w:tc>
          <w:tcPr>
            <w:tcW w:w="2880" w:type="dxa"/>
            <w:tcBorders>
              <w:top w:val="nil"/>
              <w:left w:val="nil"/>
              <w:bottom w:val="single" w:sz="8" w:space="0" w:color="auto"/>
              <w:right w:val="single" w:sz="4" w:space="0" w:color="auto"/>
            </w:tcBorders>
            <w:vAlign w:val="center"/>
            <w:hideMark/>
          </w:tcPr>
          <w:p w14:paraId="0149314F" w14:textId="77777777" w:rsidR="00980C19" w:rsidRPr="003C66A0" w:rsidRDefault="00980C19" w:rsidP="00AE1DED">
            <w:pPr>
              <w:rPr>
                <w:color w:val="000000" w:themeColor="text1"/>
              </w:rPr>
            </w:pPr>
            <w:r w:rsidRPr="003C66A0">
              <w:rPr>
                <w:color w:val="000000" w:themeColor="text1"/>
              </w:rPr>
              <w:t>Document assumptions, test sensitivity</w:t>
            </w:r>
          </w:p>
        </w:tc>
        <w:tc>
          <w:tcPr>
            <w:tcW w:w="2340" w:type="dxa"/>
            <w:tcBorders>
              <w:top w:val="nil"/>
              <w:left w:val="nil"/>
              <w:bottom w:val="single" w:sz="8" w:space="0" w:color="auto"/>
              <w:right w:val="single" w:sz="8" w:space="0" w:color="auto"/>
            </w:tcBorders>
            <w:vAlign w:val="center"/>
            <w:hideMark/>
          </w:tcPr>
          <w:p w14:paraId="6FF5421E" w14:textId="77777777" w:rsidR="00980C19" w:rsidRPr="003C66A0" w:rsidRDefault="00980C19" w:rsidP="00AE1DED">
            <w:pPr>
              <w:rPr>
                <w:color w:val="000000" w:themeColor="text1"/>
              </w:rPr>
            </w:pPr>
            <w:r w:rsidRPr="003C66A0">
              <w:rPr>
                <w:color w:val="000000" w:themeColor="text1"/>
              </w:rPr>
              <w:t>Unknown emergent behaviors</w:t>
            </w:r>
          </w:p>
        </w:tc>
      </w:tr>
    </w:tbl>
    <w:p w14:paraId="7BD45EDC" w14:textId="44A2DF1E" w:rsidR="001076B5" w:rsidRPr="003C66A0" w:rsidRDefault="00B95CE1" w:rsidP="00AE1DED">
      <w:pPr>
        <w:jc w:val="both"/>
        <w:rPr>
          <w:rFonts w:eastAsiaTheme="majorEastAsia"/>
          <w:i/>
          <w:iCs/>
          <w:color w:val="000000" w:themeColor="text1"/>
        </w:rPr>
      </w:pPr>
      <w:r w:rsidRPr="003C66A0">
        <w:rPr>
          <w:rFonts w:eastAsiaTheme="majorEastAsia"/>
          <w:i/>
          <w:iCs/>
          <w:color w:val="000000" w:themeColor="text1"/>
        </w:rPr>
        <w:t xml:space="preserve">Interpretive Note: </w:t>
      </w:r>
      <w:r w:rsidRPr="005E08D8">
        <w:rPr>
          <w:rFonts w:eastAsiaTheme="majorEastAsia"/>
          <w:color w:val="000000" w:themeColor="text1"/>
        </w:rPr>
        <w:t xml:space="preserve">The residual risks after mitigation (10-15% unobserved failures, ±5% measurement uncertainty) suggest </w:t>
      </w:r>
      <w:r w:rsidR="00231D5B" w:rsidRPr="005E08D8">
        <w:rPr>
          <w:rFonts w:eastAsiaTheme="majorEastAsia"/>
          <w:color w:val="000000" w:themeColor="text1"/>
        </w:rPr>
        <w:t xml:space="preserve">my </w:t>
      </w:r>
      <w:r w:rsidRPr="005E08D8">
        <w:rPr>
          <w:rFonts w:eastAsiaTheme="majorEastAsia"/>
          <w:color w:val="000000" w:themeColor="text1"/>
        </w:rPr>
        <w:t>73% failure rate may be conservative—true failure rates could be higher given survivorship bias and measurement challenges.</w:t>
      </w:r>
    </w:p>
    <w:p w14:paraId="0E067E76" w14:textId="6CDF68DA" w:rsidR="003B0264" w:rsidRPr="003C66A0" w:rsidRDefault="003B0264" w:rsidP="00AE1DED">
      <w:pPr>
        <w:rPr>
          <w:rFonts w:eastAsiaTheme="majorEastAsia"/>
          <w:i/>
          <w:iCs/>
          <w:color w:val="000000" w:themeColor="text1"/>
        </w:rPr>
      </w:pPr>
      <w:r w:rsidRPr="003C66A0">
        <w:rPr>
          <w:rFonts w:eastAsiaTheme="majorEastAsia"/>
          <w:i/>
          <w:iCs/>
          <w:color w:val="000000" w:themeColor="text1"/>
        </w:rPr>
        <w:br w:type="page"/>
      </w:r>
    </w:p>
    <w:p w14:paraId="2468564F" w14:textId="605BED4C" w:rsidR="003B0264" w:rsidRPr="003C66A0" w:rsidRDefault="003B0264" w:rsidP="00AE1DED">
      <w:pPr>
        <w:pStyle w:val="Heading2"/>
        <w:rPr>
          <w:rFonts w:eastAsiaTheme="majorEastAsia"/>
        </w:rPr>
      </w:pPr>
      <w:bookmarkStart w:id="283" w:name="_Toc214722089"/>
      <w:r w:rsidRPr="003C66A0">
        <w:rPr>
          <w:rFonts w:eastAsiaTheme="majorEastAsia"/>
        </w:rPr>
        <w:lastRenderedPageBreak/>
        <w:t xml:space="preserve">APPENDIX </w:t>
      </w:r>
      <w:r w:rsidR="00E26ED1" w:rsidRPr="003C66A0">
        <w:rPr>
          <w:rFonts w:eastAsiaTheme="majorEastAsia"/>
        </w:rPr>
        <w:t>E</w:t>
      </w:r>
      <w:r w:rsidRPr="003C66A0">
        <w:rPr>
          <w:rFonts w:eastAsiaTheme="majorEastAsia"/>
        </w:rPr>
        <w:t>: Statistical Tests and Assumptions</w:t>
      </w:r>
      <w:bookmarkEnd w:id="283"/>
    </w:p>
    <w:p w14:paraId="248CFE36" w14:textId="77777777" w:rsidR="00D77017" w:rsidRDefault="00D77017" w:rsidP="00AE1DED">
      <w:pPr>
        <w:pStyle w:val="Heading3"/>
        <w:rPr>
          <w:rFonts w:eastAsiaTheme="majorEastAsia"/>
        </w:rPr>
      </w:pPr>
    </w:p>
    <w:p w14:paraId="1A63DC51" w14:textId="6BFB58DD" w:rsidR="003B0264" w:rsidRPr="00F17041" w:rsidRDefault="003B0264" w:rsidP="00AE1DED">
      <w:pPr>
        <w:pStyle w:val="Heading3"/>
        <w:rPr>
          <w:rFonts w:eastAsiaTheme="majorEastAsia"/>
        </w:rPr>
      </w:pPr>
      <w:bookmarkStart w:id="284" w:name="_Toc214722090"/>
      <w:r w:rsidRPr="00F17041">
        <w:rPr>
          <w:rFonts w:eastAsiaTheme="majorEastAsia"/>
        </w:rPr>
        <w:t xml:space="preserve">Table </w:t>
      </w:r>
      <w:r w:rsidR="00E26ED1" w:rsidRPr="00F17041">
        <w:rPr>
          <w:rFonts w:eastAsiaTheme="majorEastAsia"/>
        </w:rPr>
        <w:t>E</w:t>
      </w:r>
      <w:r w:rsidRPr="00F17041">
        <w:rPr>
          <w:rFonts w:eastAsiaTheme="majorEastAsia"/>
        </w:rPr>
        <w:t>.1: Primary Statistical Tests Employed</w:t>
      </w:r>
      <w:bookmarkEnd w:id="284"/>
    </w:p>
    <w:p w14:paraId="2A042BBC" w14:textId="77777777" w:rsidR="00F17041" w:rsidRPr="00F17041" w:rsidRDefault="00F17041" w:rsidP="00AE1DED">
      <w:pPr>
        <w:rPr>
          <w:rFonts w:eastAsiaTheme="majorEastAsia"/>
        </w:rPr>
      </w:pPr>
    </w:p>
    <w:tbl>
      <w:tblPr>
        <w:tblW w:w="9440" w:type="dxa"/>
        <w:tblLook w:val="04A0" w:firstRow="1" w:lastRow="0" w:firstColumn="1" w:lastColumn="0" w:noHBand="0" w:noVBand="1"/>
      </w:tblPr>
      <w:tblGrid>
        <w:gridCol w:w="1700"/>
        <w:gridCol w:w="1890"/>
        <w:gridCol w:w="2610"/>
        <w:gridCol w:w="3240"/>
      </w:tblGrid>
      <w:tr w:rsidR="00FC334A" w:rsidRPr="003C66A0" w14:paraId="7563FDDA" w14:textId="77777777" w:rsidTr="0003798A">
        <w:trPr>
          <w:trHeight w:val="340"/>
        </w:trPr>
        <w:tc>
          <w:tcPr>
            <w:tcW w:w="1700" w:type="dxa"/>
            <w:tcBorders>
              <w:top w:val="single" w:sz="8" w:space="0" w:color="auto"/>
              <w:left w:val="single" w:sz="8" w:space="0" w:color="auto"/>
              <w:bottom w:val="single" w:sz="8" w:space="0" w:color="auto"/>
              <w:right w:val="single" w:sz="8" w:space="0" w:color="auto"/>
            </w:tcBorders>
            <w:shd w:val="clear" w:color="000000" w:fill="A6A6A6"/>
            <w:noWrap/>
            <w:vAlign w:val="bottom"/>
            <w:hideMark/>
          </w:tcPr>
          <w:p w14:paraId="20A5849D" w14:textId="77777777" w:rsidR="00721C3A" w:rsidRPr="003C66A0" w:rsidRDefault="00721C3A" w:rsidP="00AE1DED">
            <w:pPr>
              <w:rPr>
                <w:b/>
                <w:bCs/>
                <w:color w:val="000000" w:themeColor="text1"/>
              </w:rPr>
            </w:pPr>
            <w:r w:rsidRPr="003C66A0">
              <w:rPr>
                <w:b/>
                <w:bCs/>
                <w:color w:val="000000" w:themeColor="text1"/>
              </w:rPr>
              <w:t>Analysis Type</w:t>
            </w:r>
          </w:p>
        </w:tc>
        <w:tc>
          <w:tcPr>
            <w:tcW w:w="1890" w:type="dxa"/>
            <w:tcBorders>
              <w:top w:val="single" w:sz="8" w:space="0" w:color="auto"/>
              <w:left w:val="nil"/>
              <w:bottom w:val="single" w:sz="8" w:space="0" w:color="auto"/>
              <w:right w:val="single" w:sz="4" w:space="0" w:color="auto"/>
            </w:tcBorders>
            <w:shd w:val="clear" w:color="000000" w:fill="A6A6A6"/>
            <w:noWrap/>
            <w:vAlign w:val="bottom"/>
            <w:hideMark/>
          </w:tcPr>
          <w:p w14:paraId="08DD46CB" w14:textId="77777777" w:rsidR="00721C3A" w:rsidRPr="003C66A0" w:rsidRDefault="00721C3A" w:rsidP="00AE1DED">
            <w:pPr>
              <w:rPr>
                <w:b/>
                <w:bCs/>
                <w:color w:val="000000" w:themeColor="text1"/>
              </w:rPr>
            </w:pPr>
            <w:r w:rsidRPr="003C66A0">
              <w:rPr>
                <w:b/>
                <w:bCs/>
                <w:color w:val="000000" w:themeColor="text1"/>
              </w:rPr>
              <w:t>Test Used</w:t>
            </w:r>
          </w:p>
        </w:tc>
        <w:tc>
          <w:tcPr>
            <w:tcW w:w="2610" w:type="dxa"/>
            <w:tcBorders>
              <w:top w:val="single" w:sz="8" w:space="0" w:color="auto"/>
              <w:left w:val="nil"/>
              <w:bottom w:val="single" w:sz="8" w:space="0" w:color="auto"/>
              <w:right w:val="single" w:sz="4" w:space="0" w:color="auto"/>
            </w:tcBorders>
            <w:shd w:val="clear" w:color="000000" w:fill="A6A6A6"/>
            <w:noWrap/>
            <w:vAlign w:val="bottom"/>
            <w:hideMark/>
          </w:tcPr>
          <w:p w14:paraId="2BF17F5D" w14:textId="77777777" w:rsidR="00721C3A" w:rsidRPr="003C66A0" w:rsidRDefault="00721C3A" w:rsidP="00AE1DED">
            <w:pPr>
              <w:rPr>
                <w:b/>
                <w:bCs/>
                <w:color w:val="000000" w:themeColor="text1"/>
              </w:rPr>
            </w:pPr>
            <w:r w:rsidRPr="003C66A0">
              <w:rPr>
                <w:b/>
                <w:bCs/>
                <w:color w:val="000000" w:themeColor="text1"/>
              </w:rPr>
              <w:t>Assumptions Tested</w:t>
            </w:r>
          </w:p>
        </w:tc>
        <w:tc>
          <w:tcPr>
            <w:tcW w:w="3240" w:type="dxa"/>
            <w:tcBorders>
              <w:top w:val="single" w:sz="8" w:space="0" w:color="auto"/>
              <w:left w:val="nil"/>
              <w:bottom w:val="single" w:sz="8" w:space="0" w:color="auto"/>
              <w:right w:val="single" w:sz="8" w:space="0" w:color="auto"/>
            </w:tcBorders>
            <w:shd w:val="clear" w:color="000000" w:fill="A6A6A6"/>
            <w:noWrap/>
            <w:vAlign w:val="bottom"/>
            <w:hideMark/>
          </w:tcPr>
          <w:p w14:paraId="6AAFCD4D" w14:textId="77777777" w:rsidR="00721C3A" w:rsidRPr="003C66A0" w:rsidRDefault="00721C3A" w:rsidP="00AE1DED">
            <w:pPr>
              <w:rPr>
                <w:b/>
                <w:bCs/>
                <w:color w:val="000000" w:themeColor="text1"/>
              </w:rPr>
            </w:pPr>
            <w:r w:rsidRPr="003C66A0">
              <w:rPr>
                <w:b/>
                <w:bCs/>
                <w:color w:val="000000" w:themeColor="text1"/>
              </w:rPr>
              <w:t>Violations Handled</w:t>
            </w:r>
          </w:p>
        </w:tc>
      </w:tr>
      <w:tr w:rsidR="00FC334A" w:rsidRPr="003C66A0" w14:paraId="01CDCA84" w14:textId="77777777" w:rsidTr="0003798A">
        <w:trPr>
          <w:trHeight w:val="320"/>
        </w:trPr>
        <w:tc>
          <w:tcPr>
            <w:tcW w:w="1700" w:type="dxa"/>
            <w:tcBorders>
              <w:top w:val="nil"/>
              <w:left w:val="single" w:sz="8" w:space="0" w:color="auto"/>
              <w:bottom w:val="single" w:sz="4" w:space="0" w:color="auto"/>
              <w:right w:val="single" w:sz="8" w:space="0" w:color="auto"/>
            </w:tcBorders>
            <w:shd w:val="clear" w:color="000000" w:fill="D9D9D9"/>
            <w:noWrap/>
            <w:vAlign w:val="bottom"/>
            <w:hideMark/>
          </w:tcPr>
          <w:p w14:paraId="180E9034" w14:textId="77777777" w:rsidR="00721C3A" w:rsidRPr="003C66A0" w:rsidRDefault="00721C3A" w:rsidP="00AE1DED">
            <w:pPr>
              <w:rPr>
                <w:b/>
                <w:bCs/>
                <w:color w:val="000000" w:themeColor="text1"/>
              </w:rPr>
            </w:pPr>
            <w:r w:rsidRPr="003C66A0">
              <w:rPr>
                <w:b/>
                <w:bCs/>
                <w:color w:val="000000" w:themeColor="text1"/>
              </w:rPr>
              <w:t>Return Distributions</w:t>
            </w:r>
          </w:p>
        </w:tc>
        <w:tc>
          <w:tcPr>
            <w:tcW w:w="1890" w:type="dxa"/>
            <w:tcBorders>
              <w:top w:val="nil"/>
              <w:left w:val="nil"/>
              <w:bottom w:val="single" w:sz="4" w:space="0" w:color="auto"/>
              <w:right w:val="single" w:sz="4" w:space="0" w:color="auto"/>
            </w:tcBorders>
            <w:shd w:val="clear" w:color="000000" w:fill="D9D9D9"/>
            <w:noWrap/>
            <w:vAlign w:val="bottom"/>
            <w:hideMark/>
          </w:tcPr>
          <w:p w14:paraId="01BEE60C" w14:textId="77777777" w:rsidR="00721C3A" w:rsidRPr="003C66A0" w:rsidRDefault="00721C3A" w:rsidP="00AE1DED">
            <w:pPr>
              <w:rPr>
                <w:b/>
                <w:bCs/>
                <w:color w:val="000000" w:themeColor="text1"/>
              </w:rPr>
            </w:pPr>
            <w:r w:rsidRPr="003C66A0">
              <w:rPr>
                <w:b/>
                <w:bCs/>
                <w:color w:val="000000" w:themeColor="text1"/>
              </w:rPr>
              <w:t> </w:t>
            </w:r>
          </w:p>
        </w:tc>
        <w:tc>
          <w:tcPr>
            <w:tcW w:w="2610" w:type="dxa"/>
            <w:tcBorders>
              <w:top w:val="nil"/>
              <w:left w:val="nil"/>
              <w:bottom w:val="single" w:sz="4" w:space="0" w:color="auto"/>
              <w:right w:val="single" w:sz="4" w:space="0" w:color="auto"/>
            </w:tcBorders>
            <w:shd w:val="clear" w:color="000000" w:fill="D9D9D9"/>
            <w:noWrap/>
            <w:vAlign w:val="bottom"/>
            <w:hideMark/>
          </w:tcPr>
          <w:p w14:paraId="138C14F5" w14:textId="77777777" w:rsidR="00721C3A" w:rsidRPr="003C66A0" w:rsidRDefault="00721C3A" w:rsidP="00AE1DED">
            <w:pPr>
              <w:rPr>
                <w:b/>
                <w:bCs/>
                <w:color w:val="000000" w:themeColor="text1"/>
              </w:rPr>
            </w:pPr>
            <w:r w:rsidRPr="003C66A0">
              <w:rPr>
                <w:b/>
                <w:bCs/>
                <w:color w:val="000000" w:themeColor="text1"/>
              </w:rPr>
              <w:t> </w:t>
            </w:r>
          </w:p>
        </w:tc>
        <w:tc>
          <w:tcPr>
            <w:tcW w:w="3240" w:type="dxa"/>
            <w:tcBorders>
              <w:top w:val="nil"/>
              <w:left w:val="nil"/>
              <w:bottom w:val="single" w:sz="4" w:space="0" w:color="auto"/>
              <w:right w:val="single" w:sz="8" w:space="0" w:color="auto"/>
            </w:tcBorders>
            <w:shd w:val="clear" w:color="000000" w:fill="D9D9D9"/>
            <w:noWrap/>
            <w:vAlign w:val="bottom"/>
            <w:hideMark/>
          </w:tcPr>
          <w:p w14:paraId="000CB022" w14:textId="77777777" w:rsidR="00721C3A" w:rsidRPr="003C66A0" w:rsidRDefault="00721C3A" w:rsidP="00AE1DED">
            <w:pPr>
              <w:rPr>
                <w:b/>
                <w:bCs/>
                <w:color w:val="000000" w:themeColor="text1"/>
              </w:rPr>
            </w:pPr>
            <w:r w:rsidRPr="003C66A0">
              <w:rPr>
                <w:b/>
                <w:bCs/>
                <w:color w:val="000000" w:themeColor="text1"/>
              </w:rPr>
              <w:t> </w:t>
            </w:r>
          </w:p>
        </w:tc>
      </w:tr>
      <w:tr w:rsidR="00FC334A" w:rsidRPr="003C66A0" w14:paraId="68A84069" w14:textId="77777777" w:rsidTr="0003798A">
        <w:trPr>
          <w:trHeight w:val="320"/>
        </w:trPr>
        <w:tc>
          <w:tcPr>
            <w:tcW w:w="1700" w:type="dxa"/>
            <w:tcBorders>
              <w:top w:val="nil"/>
              <w:left w:val="single" w:sz="8" w:space="0" w:color="auto"/>
              <w:bottom w:val="single" w:sz="4" w:space="0" w:color="auto"/>
              <w:right w:val="single" w:sz="8" w:space="0" w:color="auto"/>
            </w:tcBorders>
            <w:noWrap/>
            <w:vAlign w:val="bottom"/>
            <w:hideMark/>
          </w:tcPr>
          <w:p w14:paraId="4EDEEC57" w14:textId="77777777" w:rsidR="00721C3A" w:rsidRPr="003C66A0" w:rsidRDefault="00721C3A" w:rsidP="00AE1DED">
            <w:pPr>
              <w:rPr>
                <w:b/>
                <w:bCs/>
                <w:color w:val="000000" w:themeColor="text1"/>
              </w:rPr>
            </w:pPr>
            <w:r w:rsidRPr="003C66A0">
              <w:rPr>
                <w:b/>
                <w:bCs/>
                <w:color w:val="000000" w:themeColor="text1"/>
              </w:rPr>
              <w:t>Normality</w:t>
            </w:r>
          </w:p>
        </w:tc>
        <w:tc>
          <w:tcPr>
            <w:tcW w:w="1890" w:type="dxa"/>
            <w:tcBorders>
              <w:top w:val="nil"/>
              <w:left w:val="nil"/>
              <w:bottom w:val="single" w:sz="4" w:space="0" w:color="auto"/>
              <w:right w:val="single" w:sz="4" w:space="0" w:color="auto"/>
            </w:tcBorders>
            <w:noWrap/>
            <w:vAlign w:val="bottom"/>
            <w:hideMark/>
          </w:tcPr>
          <w:p w14:paraId="591DAA8D" w14:textId="77777777" w:rsidR="00721C3A" w:rsidRPr="003C66A0" w:rsidRDefault="00721C3A" w:rsidP="00AE1DED">
            <w:pPr>
              <w:rPr>
                <w:color w:val="000000" w:themeColor="text1"/>
              </w:rPr>
            </w:pPr>
            <w:r w:rsidRPr="003C66A0">
              <w:rPr>
                <w:color w:val="000000" w:themeColor="text1"/>
              </w:rPr>
              <w:t>Shapiro-Wilk</w:t>
            </w:r>
          </w:p>
        </w:tc>
        <w:tc>
          <w:tcPr>
            <w:tcW w:w="2610" w:type="dxa"/>
            <w:tcBorders>
              <w:top w:val="nil"/>
              <w:left w:val="nil"/>
              <w:bottom w:val="single" w:sz="4" w:space="0" w:color="auto"/>
              <w:right w:val="single" w:sz="4" w:space="0" w:color="auto"/>
            </w:tcBorders>
            <w:noWrap/>
            <w:vAlign w:val="bottom"/>
            <w:hideMark/>
          </w:tcPr>
          <w:p w14:paraId="6224CEE5" w14:textId="77777777" w:rsidR="00721C3A" w:rsidRPr="003C66A0" w:rsidRDefault="00721C3A" w:rsidP="00AE1DED">
            <w:pPr>
              <w:rPr>
                <w:color w:val="000000" w:themeColor="text1"/>
              </w:rPr>
            </w:pPr>
            <w:r w:rsidRPr="003C66A0">
              <w:rPr>
                <w:color w:val="000000" w:themeColor="text1"/>
              </w:rPr>
              <w:t>p &lt; 0.001 (rejected)</w:t>
            </w:r>
          </w:p>
        </w:tc>
        <w:tc>
          <w:tcPr>
            <w:tcW w:w="3240" w:type="dxa"/>
            <w:tcBorders>
              <w:top w:val="nil"/>
              <w:left w:val="nil"/>
              <w:bottom w:val="single" w:sz="4" w:space="0" w:color="auto"/>
              <w:right w:val="single" w:sz="8" w:space="0" w:color="auto"/>
            </w:tcBorders>
            <w:noWrap/>
            <w:vAlign w:val="bottom"/>
            <w:hideMark/>
          </w:tcPr>
          <w:p w14:paraId="392201B5" w14:textId="77777777" w:rsidR="00721C3A" w:rsidRPr="003C66A0" w:rsidRDefault="00721C3A" w:rsidP="00AE1DED">
            <w:pPr>
              <w:rPr>
                <w:color w:val="000000" w:themeColor="text1"/>
              </w:rPr>
            </w:pPr>
            <w:r w:rsidRPr="003C66A0">
              <w:rPr>
                <w:color w:val="000000" w:themeColor="text1"/>
              </w:rPr>
              <w:t>Used non-parametric methods</w:t>
            </w:r>
          </w:p>
        </w:tc>
      </w:tr>
      <w:tr w:rsidR="00FC334A" w:rsidRPr="003C66A0" w14:paraId="1DDE636B" w14:textId="77777777" w:rsidTr="0003798A">
        <w:trPr>
          <w:trHeight w:val="320"/>
        </w:trPr>
        <w:tc>
          <w:tcPr>
            <w:tcW w:w="1700" w:type="dxa"/>
            <w:tcBorders>
              <w:top w:val="nil"/>
              <w:left w:val="single" w:sz="8" w:space="0" w:color="auto"/>
              <w:bottom w:val="single" w:sz="4" w:space="0" w:color="auto"/>
              <w:right w:val="single" w:sz="8" w:space="0" w:color="auto"/>
            </w:tcBorders>
            <w:noWrap/>
            <w:vAlign w:val="bottom"/>
            <w:hideMark/>
          </w:tcPr>
          <w:p w14:paraId="19BBFD2C" w14:textId="77777777" w:rsidR="00721C3A" w:rsidRPr="003C66A0" w:rsidRDefault="00721C3A" w:rsidP="00AE1DED">
            <w:pPr>
              <w:rPr>
                <w:b/>
                <w:bCs/>
                <w:color w:val="000000" w:themeColor="text1"/>
              </w:rPr>
            </w:pPr>
            <w:r w:rsidRPr="003C66A0">
              <w:rPr>
                <w:b/>
                <w:bCs/>
                <w:color w:val="000000" w:themeColor="text1"/>
              </w:rPr>
              <w:t>Skewness</w:t>
            </w:r>
          </w:p>
        </w:tc>
        <w:tc>
          <w:tcPr>
            <w:tcW w:w="1890" w:type="dxa"/>
            <w:tcBorders>
              <w:top w:val="nil"/>
              <w:left w:val="nil"/>
              <w:bottom w:val="single" w:sz="4" w:space="0" w:color="auto"/>
              <w:right w:val="single" w:sz="4" w:space="0" w:color="auto"/>
            </w:tcBorders>
            <w:noWrap/>
            <w:vAlign w:val="bottom"/>
            <w:hideMark/>
          </w:tcPr>
          <w:p w14:paraId="5BEC5294" w14:textId="77777777" w:rsidR="00721C3A" w:rsidRPr="003C66A0" w:rsidRDefault="00721C3A" w:rsidP="00AE1DED">
            <w:pPr>
              <w:rPr>
                <w:color w:val="000000" w:themeColor="text1"/>
              </w:rPr>
            </w:pPr>
            <w:r w:rsidRPr="003C66A0">
              <w:rPr>
                <w:color w:val="000000" w:themeColor="text1"/>
              </w:rPr>
              <w:t>D'Agostino</w:t>
            </w:r>
          </w:p>
        </w:tc>
        <w:tc>
          <w:tcPr>
            <w:tcW w:w="2610" w:type="dxa"/>
            <w:tcBorders>
              <w:top w:val="nil"/>
              <w:left w:val="nil"/>
              <w:bottom w:val="single" w:sz="4" w:space="0" w:color="auto"/>
              <w:right w:val="single" w:sz="4" w:space="0" w:color="auto"/>
            </w:tcBorders>
            <w:noWrap/>
            <w:vAlign w:val="bottom"/>
            <w:hideMark/>
          </w:tcPr>
          <w:p w14:paraId="1428F08E" w14:textId="77777777" w:rsidR="00721C3A" w:rsidRPr="003C66A0" w:rsidRDefault="00721C3A" w:rsidP="00AE1DED">
            <w:pPr>
              <w:rPr>
                <w:color w:val="000000" w:themeColor="text1"/>
              </w:rPr>
            </w:pPr>
            <w:r w:rsidRPr="003C66A0">
              <w:rPr>
                <w:color w:val="000000" w:themeColor="text1"/>
              </w:rPr>
              <w:t>γ₁ = 2.3 (positive)</w:t>
            </w:r>
          </w:p>
        </w:tc>
        <w:tc>
          <w:tcPr>
            <w:tcW w:w="3240" w:type="dxa"/>
            <w:tcBorders>
              <w:top w:val="nil"/>
              <w:left w:val="nil"/>
              <w:bottom w:val="single" w:sz="4" w:space="0" w:color="auto"/>
              <w:right w:val="single" w:sz="8" w:space="0" w:color="auto"/>
            </w:tcBorders>
            <w:noWrap/>
            <w:vAlign w:val="bottom"/>
            <w:hideMark/>
          </w:tcPr>
          <w:p w14:paraId="01A12393" w14:textId="77777777" w:rsidR="00721C3A" w:rsidRPr="003C66A0" w:rsidRDefault="00721C3A" w:rsidP="00AE1DED">
            <w:pPr>
              <w:rPr>
                <w:color w:val="000000" w:themeColor="text1"/>
              </w:rPr>
            </w:pPr>
            <w:r w:rsidRPr="003C66A0">
              <w:rPr>
                <w:color w:val="000000" w:themeColor="text1"/>
              </w:rPr>
              <w:t>Log transformation where appropriate</w:t>
            </w:r>
          </w:p>
        </w:tc>
      </w:tr>
      <w:tr w:rsidR="00FC334A" w:rsidRPr="003C66A0" w14:paraId="4427796F" w14:textId="77777777" w:rsidTr="0003798A">
        <w:trPr>
          <w:trHeight w:val="320"/>
        </w:trPr>
        <w:tc>
          <w:tcPr>
            <w:tcW w:w="1700" w:type="dxa"/>
            <w:tcBorders>
              <w:top w:val="nil"/>
              <w:left w:val="single" w:sz="8" w:space="0" w:color="auto"/>
              <w:bottom w:val="single" w:sz="4" w:space="0" w:color="auto"/>
              <w:right w:val="single" w:sz="8" w:space="0" w:color="auto"/>
            </w:tcBorders>
            <w:noWrap/>
            <w:vAlign w:val="bottom"/>
            <w:hideMark/>
          </w:tcPr>
          <w:p w14:paraId="7798CF5E" w14:textId="77777777" w:rsidR="00721C3A" w:rsidRPr="003C66A0" w:rsidRDefault="00721C3A" w:rsidP="00AE1DED">
            <w:pPr>
              <w:rPr>
                <w:b/>
                <w:bCs/>
                <w:color w:val="000000" w:themeColor="text1"/>
              </w:rPr>
            </w:pPr>
            <w:r w:rsidRPr="003C66A0">
              <w:rPr>
                <w:b/>
                <w:bCs/>
                <w:color w:val="000000" w:themeColor="text1"/>
              </w:rPr>
              <w:t>Kurtosis</w:t>
            </w:r>
          </w:p>
        </w:tc>
        <w:tc>
          <w:tcPr>
            <w:tcW w:w="1890" w:type="dxa"/>
            <w:tcBorders>
              <w:top w:val="nil"/>
              <w:left w:val="nil"/>
              <w:bottom w:val="single" w:sz="4" w:space="0" w:color="auto"/>
              <w:right w:val="single" w:sz="4" w:space="0" w:color="auto"/>
            </w:tcBorders>
            <w:noWrap/>
            <w:vAlign w:val="bottom"/>
            <w:hideMark/>
          </w:tcPr>
          <w:p w14:paraId="3C584A23" w14:textId="77777777" w:rsidR="00721C3A" w:rsidRPr="003C66A0" w:rsidRDefault="00721C3A" w:rsidP="00AE1DED">
            <w:pPr>
              <w:rPr>
                <w:color w:val="000000" w:themeColor="text1"/>
              </w:rPr>
            </w:pPr>
            <w:r w:rsidRPr="003C66A0">
              <w:rPr>
                <w:color w:val="000000" w:themeColor="text1"/>
              </w:rPr>
              <w:t>Anscombe-Glynn</w:t>
            </w:r>
          </w:p>
        </w:tc>
        <w:tc>
          <w:tcPr>
            <w:tcW w:w="2610" w:type="dxa"/>
            <w:tcBorders>
              <w:top w:val="nil"/>
              <w:left w:val="nil"/>
              <w:bottom w:val="single" w:sz="4" w:space="0" w:color="auto"/>
              <w:right w:val="single" w:sz="4" w:space="0" w:color="auto"/>
            </w:tcBorders>
            <w:noWrap/>
            <w:vAlign w:val="bottom"/>
            <w:hideMark/>
          </w:tcPr>
          <w:p w14:paraId="2221020D" w14:textId="77777777" w:rsidR="00721C3A" w:rsidRPr="003C66A0" w:rsidRDefault="00721C3A" w:rsidP="00AE1DED">
            <w:pPr>
              <w:rPr>
                <w:color w:val="000000" w:themeColor="text1"/>
              </w:rPr>
            </w:pPr>
            <w:r w:rsidRPr="003C66A0">
              <w:rPr>
                <w:color w:val="000000" w:themeColor="text1"/>
              </w:rPr>
              <w:t>γ₂ = 7.8 (leptokurtic)</w:t>
            </w:r>
          </w:p>
        </w:tc>
        <w:tc>
          <w:tcPr>
            <w:tcW w:w="3240" w:type="dxa"/>
            <w:tcBorders>
              <w:top w:val="nil"/>
              <w:left w:val="nil"/>
              <w:bottom w:val="single" w:sz="4" w:space="0" w:color="auto"/>
              <w:right w:val="single" w:sz="8" w:space="0" w:color="auto"/>
            </w:tcBorders>
            <w:noWrap/>
            <w:vAlign w:val="bottom"/>
            <w:hideMark/>
          </w:tcPr>
          <w:p w14:paraId="67585E53" w14:textId="77777777" w:rsidR="00721C3A" w:rsidRPr="003C66A0" w:rsidRDefault="00721C3A" w:rsidP="00AE1DED">
            <w:pPr>
              <w:rPr>
                <w:color w:val="000000" w:themeColor="text1"/>
              </w:rPr>
            </w:pPr>
            <w:r w:rsidRPr="003C66A0">
              <w:rPr>
                <w:color w:val="000000" w:themeColor="text1"/>
              </w:rPr>
              <w:t>Robust standard errors</w:t>
            </w:r>
          </w:p>
        </w:tc>
      </w:tr>
      <w:tr w:rsidR="00FC334A" w:rsidRPr="003C66A0" w14:paraId="2B16195E" w14:textId="77777777" w:rsidTr="0003798A">
        <w:trPr>
          <w:trHeight w:val="320"/>
        </w:trPr>
        <w:tc>
          <w:tcPr>
            <w:tcW w:w="1700" w:type="dxa"/>
            <w:tcBorders>
              <w:top w:val="nil"/>
              <w:left w:val="single" w:sz="8" w:space="0" w:color="auto"/>
              <w:bottom w:val="single" w:sz="4" w:space="0" w:color="auto"/>
              <w:right w:val="single" w:sz="8" w:space="0" w:color="auto"/>
            </w:tcBorders>
            <w:shd w:val="clear" w:color="000000" w:fill="D9D9D9"/>
            <w:noWrap/>
            <w:vAlign w:val="bottom"/>
            <w:hideMark/>
          </w:tcPr>
          <w:p w14:paraId="396A64A7" w14:textId="77777777" w:rsidR="00721C3A" w:rsidRPr="003C66A0" w:rsidRDefault="00721C3A" w:rsidP="00AE1DED">
            <w:pPr>
              <w:rPr>
                <w:b/>
                <w:bCs/>
                <w:color w:val="000000" w:themeColor="text1"/>
              </w:rPr>
            </w:pPr>
            <w:r w:rsidRPr="003C66A0">
              <w:rPr>
                <w:b/>
                <w:bCs/>
                <w:color w:val="000000" w:themeColor="text1"/>
              </w:rPr>
              <w:t>Group Comparisons</w:t>
            </w:r>
          </w:p>
        </w:tc>
        <w:tc>
          <w:tcPr>
            <w:tcW w:w="1890" w:type="dxa"/>
            <w:tcBorders>
              <w:top w:val="nil"/>
              <w:left w:val="nil"/>
              <w:bottom w:val="single" w:sz="4" w:space="0" w:color="auto"/>
              <w:right w:val="single" w:sz="4" w:space="0" w:color="auto"/>
            </w:tcBorders>
            <w:shd w:val="clear" w:color="000000" w:fill="D9D9D9"/>
            <w:noWrap/>
            <w:vAlign w:val="bottom"/>
            <w:hideMark/>
          </w:tcPr>
          <w:p w14:paraId="41A41F87" w14:textId="77777777" w:rsidR="00721C3A" w:rsidRPr="003C66A0" w:rsidRDefault="00721C3A" w:rsidP="00AE1DED">
            <w:pPr>
              <w:rPr>
                <w:color w:val="000000" w:themeColor="text1"/>
              </w:rPr>
            </w:pPr>
            <w:r w:rsidRPr="003C66A0">
              <w:rPr>
                <w:color w:val="000000" w:themeColor="text1"/>
              </w:rPr>
              <w:t> </w:t>
            </w:r>
          </w:p>
        </w:tc>
        <w:tc>
          <w:tcPr>
            <w:tcW w:w="2610" w:type="dxa"/>
            <w:tcBorders>
              <w:top w:val="nil"/>
              <w:left w:val="nil"/>
              <w:bottom w:val="single" w:sz="4" w:space="0" w:color="auto"/>
              <w:right w:val="single" w:sz="4" w:space="0" w:color="auto"/>
            </w:tcBorders>
            <w:shd w:val="clear" w:color="000000" w:fill="D9D9D9"/>
            <w:noWrap/>
            <w:vAlign w:val="bottom"/>
            <w:hideMark/>
          </w:tcPr>
          <w:p w14:paraId="505A551C" w14:textId="77777777" w:rsidR="00721C3A" w:rsidRPr="003C66A0" w:rsidRDefault="00721C3A" w:rsidP="00AE1DED">
            <w:pPr>
              <w:rPr>
                <w:color w:val="000000" w:themeColor="text1"/>
              </w:rPr>
            </w:pPr>
            <w:r w:rsidRPr="003C66A0">
              <w:rPr>
                <w:color w:val="000000" w:themeColor="text1"/>
              </w:rPr>
              <w:t> </w:t>
            </w:r>
          </w:p>
        </w:tc>
        <w:tc>
          <w:tcPr>
            <w:tcW w:w="3240" w:type="dxa"/>
            <w:tcBorders>
              <w:top w:val="nil"/>
              <w:left w:val="nil"/>
              <w:bottom w:val="single" w:sz="4" w:space="0" w:color="auto"/>
              <w:right w:val="single" w:sz="8" w:space="0" w:color="auto"/>
            </w:tcBorders>
            <w:shd w:val="clear" w:color="000000" w:fill="D9D9D9"/>
            <w:noWrap/>
            <w:vAlign w:val="bottom"/>
            <w:hideMark/>
          </w:tcPr>
          <w:p w14:paraId="347FEF8F" w14:textId="77777777" w:rsidR="00721C3A" w:rsidRPr="003C66A0" w:rsidRDefault="00721C3A" w:rsidP="00AE1DED">
            <w:pPr>
              <w:rPr>
                <w:color w:val="000000" w:themeColor="text1"/>
              </w:rPr>
            </w:pPr>
            <w:r w:rsidRPr="003C66A0">
              <w:rPr>
                <w:color w:val="000000" w:themeColor="text1"/>
              </w:rPr>
              <w:t> </w:t>
            </w:r>
          </w:p>
        </w:tc>
      </w:tr>
      <w:tr w:rsidR="00FC334A" w:rsidRPr="003C66A0" w14:paraId="1C3422CB" w14:textId="77777777" w:rsidTr="0003798A">
        <w:trPr>
          <w:trHeight w:val="320"/>
        </w:trPr>
        <w:tc>
          <w:tcPr>
            <w:tcW w:w="1700" w:type="dxa"/>
            <w:tcBorders>
              <w:top w:val="nil"/>
              <w:left w:val="single" w:sz="8" w:space="0" w:color="auto"/>
              <w:bottom w:val="single" w:sz="4" w:space="0" w:color="auto"/>
              <w:right w:val="single" w:sz="8" w:space="0" w:color="auto"/>
            </w:tcBorders>
            <w:noWrap/>
            <w:vAlign w:val="bottom"/>
            <w:hideMark/>
          </w:tcPr>
          <w:p w14:paraId="09D7EB84" w14:textId="77777777" w:rsidR="00721C3A" w:rsidRPr="003C66A0" w:rsidRDefault="00721C3A" w:rsidP="00AE1DED">
            <w:pPr>
              <w:rPr>
                <w:b/>
                <w:bCs/>
                <w:color w:val="000000" w:themeColor="text1"/>
              </w:rPr>
            </w:pPr>
            <w:r w:rsidRPr="003C66A0">
              <w:rPr>
                <w:b/>
                <w:bCs/>
                <w:color w:val="000000" w:themeColor="text1"/>
              </w:rPr>
              <w:t>Strategy Performance</w:t>
            </w:r>
          </w:p>
        </w:tc>
        <w:tc>
          <w:tcPr>
            <w:tcW w:w="1890" w:type="dxa"/>
            <w:tcBorders>
              <w:top w:val="nil"/>
              <w:left w:val="nil"/>
              <w:bottom w:val="single" w:sz="4" w:space="0" w:color="auto"/>
              <w:right w:val="single" w:sz="4" w:space="0" w:color="auto"/>
            </w:tcBorders>
            <w:noWrap/>
            <w:vAlign w:val="bottom"/>
            <w:hideMark/>
          </w:tcPr>
          <w:p w14:paraId="3B72DB8E" w14:textId="77777777" w:rsidR="00721C3A" w:rsidRPr="003C66A0" w:rsidRDefault="00721C3A" w:rsidP="00AE1DED">
            <w:pPr>
              <w:rPr>
                <w:color w:val="000000" w:themeColor="text1"/>
              </w:rPr>
            </w:pPr>
            <w:r w:rsidRPr="003C66A0">
              <w:rPr>
                <w:color w:val="000000" w:themeColor="text1"/>
              </w:rPr>
              <w:t>Kruskal-Wallis</w:t>
            </w:r>
          </w:p>
        </w:tc>
        <w:tc>
          <w:tcPr>
            <w:tcW w:w="2610" w:type="dxa"/>
            <w:tcBorders>
              <w:top w:val="nil"/>
              <w:left w:val="nil"/>
              <w:bottom w:val="single" w:sz="4" w:space="0" w:color="auto"/>
              <w:right w:val="single" w:sz="4" w:space="0" w:color="auto"/>
            </w:tcBorders>
            <w:noWrap/>
            <w:vAlign w:val="bottom"/>
            <w:hideMark/>
          </w:tcPr>
          <w:p w14:paraId="405D9DB1" w14:textId="77777777" w:rsidR="00721C3A" w:rsidRPr="003C66A0" w:rsidRDefault="00721C3A" w:rsidP="00AE1DED">
            <w:pPr>
              <w:rPr>
                <w:color w:val="000000" w:themeColor="text1"/>
              </w:rPr>
            </w:pPr>
            <w:r w:rsidRPr="003C66A0">
              <w:rPr>
                <w:color w:val="000000" w:themeColor="text1"/>
              </w:rPr>
              <w:t>Non-normal distributions</w:t>
            </w:r>
          </w:p>
        </w:tc>
        <w:tc>
          <w:tcPr>
            <w:tcW w:w="3240" w:type="dxa"/>
            <w:tcBorders>
              <w:top w:val="nil"/>
              <w:left w:val="nil"/>
              <w:bottom w:val="single" w:sz="4" w:space="0" w:color="auto"/>
              <w:right w:val="single" w:sz="8" w:space="0" w:color="auto"/>
            </w:tcBorders>
            <w:noWrap/>
            <w:vAlign w:val="bottom"/>
            <w:hideMark/>
          </w:tcPr>
          <w:p w14:paraId="62777799" w14:textId="77777777" w:rsidR="00721C3A" w:rsidRPr="003C66A0" w:rsidRDefault="00721C3A" w:rsidP="00AE1DED">
            <w:pPr>
              <w:rPr>
                <w:color w:val="000000" w:themeColor="text1"/>
              </w:rPr>
            </w:pPr>
            <w:r w:rsidRPr="003C66A0">
              <w:rPr>
                <w:color w:val="000000" w:themeColor="text1"/>
              </w:rPr>
              <w:t>Post-hoc: Dunn's test with Bonferroni</w:t>
            </w:r>
          </w:p>
        </w:tc>
      </w:tr>
      <w:tr w:rsidR="00FC334A" w:rsidRPr="003C66A0" w14:paraId="69426A92" w14:textId="77777777" w:rsidTr="0003798A">
        <w:trPr>
          <w:trHeight w:val="320"/>
        </w:trPr>
        <w:tc>
          <w:tcPr>
            <w:tcW w:w="1700" w:type="dxa"/>
            <w:tcBorders>
              <w:top w:val="nil"/>
              <w:left w:val="single" w:sz="8" w:space="0" w:color="auto"/>
              <w:bottom w:val="single" w:sz="4" w:space="0" w:color="auto"/>
              <w:right w:val="single" w:sz="8" w:space="0" w:color="auto"/>
            </w:tcBorders>
            <w:noWrap/>
            <w:vAlign w:val="bottom"/>
            <w:hideMark/>
          </w:tcPr>
          <w:p w14:paraId="1727830A" w14:textId="77777777" w:rsidR="00721C3A" w:rsidRPr="003C66A0" w:rsidRDefault="00721C3A" w:rsidP="00AE1DED">
            <w:pPr>
              <w:rPr>
                <w:b/>
                <w:bCs/>
                <w:color w:val="000000" w:themeColor="text1"/>
              </w:rPr>
            </w:pPr>
            <w:r w:rsidRPr="003C66A0">
              <w:rPr>
                <w:b/>
                <w:bCs/>
                <w:color w:val="000000" w:themeColor="text1"/>
              </w:rPr>
              <w:t>Network Differences</w:t>
            </w:r>
          </w:p>
        </w:tc>
        <w:tc>
          <w:tcPr>
            <w:tcW w:w="1890" w:type="dxa"/>
            <w:tcBorders>
              <w:top w:val="nil"/>
              <w:left w:val="nil"/>
              <w:bottom w:val="single" w:sz="4" w:space="0" w:color="auto"/>
              <w:right w:val="single" w:sz="4" w:space="0" w:color="auto"/>
            </w:tcBorders>
            <w:noWrap/>
            <w:vAlign w:val="bottom"/>
            <w:hideMark/>
          </w:tcPr>
          <w:p w14:paraId="61DAE06F" w14:textId="77777777" w:rsidR="00721C3A" w:rsidRPr="003C66A0" w:rsidRDefault="00721C3A" w:rsidP="00AE1DED">
            <w:pPr>
              <w:rPr>
                <w:color w:val="000000" w:themeColor="text1"/>
              </w:rPr>
            </w:pPr>
            <w:r w:rsidRPr="003C66A0">
              <w:rPr>
                <w:color w:val="000000" w:themeColor="text1"/>
              </w:rPr>
              <w:t>ANOVA (on ranks)</w:t>
            </w:r>
          </w:p>
        </w:tc>
        <w:tc>
          <w:tcPr>
            <w:tcW w:w="2610" w:type="dxa"/>
            <w:tcBorders>
              <w:top w:val="nil"/>
              <w:left w:val="nil"/>
              <w:bottom w:val="single" w:sz="4" w:space="0" w:color="auto"/>
              <w:right w:val="single" w:sz="4" w:space="0" w:color="auto"/>
            </w:tcBorders>
            <w:noWrap/>
            <w:vAlign w:val="bottom"/>
            <w:hideMark/>
          </w:tcPr>
          <w:p w14:paraId="24E0FF4E" w14:textId="77777777" w:rsidR="00721C3A" w:rsidRPr="003C66A0" w:rsidRDefault="00721C3A" w:rsidP="00AE1DED">
            <w:pPr>
              <w:rPr>
                <w:color w:val="000000" w:themeColor="text1"/>
              </w:rPr>
            </w:pPr>
            <w:r w:rsidRPr="003C66A0">
              <w:rPr>
                <w:color w:val="000000" w:themeColor="text1"/>
              </w:rPr>
              <w:t>Heteroscedasticity present</w:t>
            </w:r>
          </w:p>
        </w:tc>
        <w:tc>
          <w:tcPr>
            <w:tcW w:w="3240" w:type="dxa"/>
            <w:tcBorders>
              <w:top w:val="nil"/>
              <w:left w:val="nil"/>
              <w:bottom w:val="single" w:sz="4" w:space="0" w:color="auto"/>
              <w:right w:val="single" w:sz="8" w:space="0" w:color="auto"/>
            </w:tcBorders>
            <w:noWrap/>
            <w:vAlign w:val="bottom"/>
            <w:hideMark/>
          </w:tcPr>
          <w:p w14:paraId="66AF2C46" w14:textId="77777777" w:rsidR="00721C3A" w:rsidRPr="003C66A0" w:rsidRDefault="00721C3A" w:rsidP="00AE1DED">
            <w:pPr>
              <w:rPr>
                <w:color w:val="000000" w:themeColor="text1"/>
              </w:rPr>
            </w:pPr>
            <w:r w:rsidRPr="003C66A0">
              <w:rPr>
                <w:color w:val="000000" w:themeColor="text1"/>
              </w:rPr>
              <w:t>Welch's ANOVA variant</w:t>
            </w:r>
          </w:p>
        </w:tc>
      </w:tr>
      <w:tr w:rsidR="00FC334A" w:rsidRPr="003C66A0" w14:paraId="170AFFCA" w14:textId="77777777" w:rsidTr="0003798A">
        <w:trPr>
          <w:trHeight w:val="320"/>
        </w:trPr>
        <w:tc>
          <w:tcPr>
            <w:tcW w:w="1700" w:type="dxa"/>
            <w:tcBorders>
              <w:top w:val="nil"/>
              <w:left w:val="single" w:sz="8" w:space="0" w:color="auto"/>
              <w:bottom w:val="single" w:sz="4" w:space="0" w:color="auto"/>
              <w:right w:val="single" w:sz="8" w:space="0" w:color="auto"/>
            </w:tcBorders>
            <w:noWrap/>
            <w:vAlign w:val="bottom"/>
            <w:hideMark/>
          </w:tcPr>
          <w:p w14:paraId="33FF4785" w14:textId="77777777" w:rsidR="00721C3A" w:rsidRPr="003C66A0" w:rsidRDefault="00721C3A" w:rsidP="00AE1DED">
            <w:pPr>
              <w:rPr>
                <w:b/>
                <w:bCs/>
                <w:color w:val="000000" w:themeColor="text1"/>
              </w:rPr>
            </w:pPr>
            <w:r w:rsidRPr="003C66A0">
              <w:rPr>
                <w:b/>
                <w:bCs/>
                <w:color w:val="000000" w:themeColor="text1"/>
              </w:rPr>
              <w:t>Time Period Effects</w:t>
            </w:r>
          </w:p>
        </w:tc>
        <w:tc>
          <w:tcPr>
            <w:tcW w:w="1890" w:type="dxa"/>
            <w:tcBorders>
              <w:top w:val="nil"/>
              <w:left w:val="nil"/>
              <w:bottom w:val="single" w:sz="4" w:space="0" w:color="auto"/>
              <w:right w:val="single" w:sz="4" w:space="0" w:color="auto"/>
            </w:tcBorders>
            <w:noWrap/>
            <w:vAlign w:val="bottom"/>
            <w:hideMark/>
          </w:tcPr>
          <w:p w14:paraId="6367830B" w14:textId="77777777" w:rsidR="00721C3A" w:rsidRPr="003C66A0" w:rsidRDefault="00721C3A" w:rsidP="00AE1DED">
            <w:pPr>
              <w:rPr>
                <w:color w:val="000000" w:themeColor="text1"/>
              </w:rPr>
            </w:pPr>
            <w:r w:rsidRPr="003C66A0">
              <w:rPr>
                <w:color w:val="000000" w:themeColor="text1"/>
              </w:rPr>
              <w:t>Repeated Measures</w:t>
            </w:r>
          </w:p>
        </w:tc>
        <w:tc>
          <w:tcPr>
            <w:tcW w:w="2610" w:type="dxa"/>
            <w:tcBorders>
              <w:top w:val="nil"/>
              <w:left w:val="nil"/>
              <w:bottom w:val="single" w:sz="4" w:space="0" w:color="auto"/>
              <w:right w:val="single" w:sz="4" w:space="0" w:color="auto"/>
            </w:tcBorders>
            <w:noWrap/>
            <w:vAlign w:val="bottom"/>
            <w:hideMark/>
          </w:tcPr>
          <w:p w14:paraId="151B3303" w14:textId="77777777" w:rsidR="00721C3A" w:rsidRPr="003C66A0" w:rsidRDefault="00721C3A" w:rsidP="00AE1DED">
            <w:pPr>
              <w:rPr>
                <w:color w:val="000000" w:themeColor="text1"/>
              </w:rPr>
            </w:pPr>
            <w:r w:rsidRPr="003C66A0">
              <w:rPr>
                <w:color w:val="000000" w:themeColor="text1"/>
              </w:rPr>
              <w:t>Sphericity violated (ε=0.67)</w:t>
            </w:r>
          </w:p>
        </w:tc>
        <w:tc>
          <w:tcPr>
            <w:tcW w:w="3240" w:type="dxa"/>
            <w:tcBorders>
              <w:top w:val="nil"/>
              <w:left w:val="nil"/>
              <w:bottom w:val="single" w:sz="4" w:space="0" w:color="auto"/>
              <w:right w:val="single" w:sz="8" w:space="0" w:color="auto"/>
            </w:tcBorders>
            <w:noWrap/>
            <w:vAlign w:val="bottom"/>
            <w:hideMark/>
          </w:tcPr>
          <w:p w14:paraId="4F80B0C9" w14:textId="77777777" w:rsidR="00721C3A" w:rsidRPr="003C66A0" w:rsidRDefault="00721C3A" w:rsidP="00AE1DED">
            <w:pPr>
              <w:rPr>
                <w:color w:val="000000" w:themeColor="text1"/>
              </w:rPr>
            </w:pPr>
            <w:r w:rsidRPr="003C66A0">
              <w:rPr>
                <w:color w:val="000000" w:themeColor="text1"/>
              </w:rPr>
              <w:t>Greenhouse-Geisser correction</w:t>
            </w:r>
          </w:p>
        </w:tc>
      </w:tr>
      <w:tr w:rsidR="00FC334A" w:rsidRPr="003C66A0" w14:paraId="613B121F" w14:textId="77777777" w:rsidTr="0003798A">
        <w:trPr>
          <w:trHeight w:val="320"/>
        </w:trPr>
        <w:tc>
          <w:tcPr>
            <w:tcW w:w="1700" w:type="dxa"/>
            <w:tcBorders>
              <w:top w:val="nil"/>
              <w:left w:val="single" w:sz="8" w:space="0" w:color="auto"/>
              <w:bottom w:val="single" w:sz="4" w:space="0" w:color="auto"/>
              <w:right w:val="single" w:sz="8" w:space="0" w:color="auto"/>
            </w:tcBorders>
            <w:shd w:val="clear" w:color="000000" w:fill="D9D9D9"/>
            <w:noWrap/>
            <w:vAlign w:val="bottom"/>
            <w:hideMark/>
          </w:tcPr>
          <w:p w14:paraId="1C03AA06" w14:textId="77777777" w:rsidR="00721C3A" w:rsidRPr="003C66A0" w:rsidRDefault="00721C3A" w:rsidP="00AE1DED">
            <w:pPr>
              <w:rPr>
                <w:b/>
                <w:bCs/>
                <w:color w:val="000000" w:themeColor="text1"/>
              </w:rPr>
            </w:pPr>
            <w:r w:rsidRPr="003C66A0">
              <w:rPr>
                <w:b/>
                <w:bCs/>
                <w:color w:val="000000" w:themeColor="text1"/>
              </w:rPr>
              <w:t>Regression Analyses</w:t>
            </w:r>
          </w:p>
        </w:tc>
        <w:tc>
          <w:tcPr>
            <w:tcW w:w="1890" w:type="dxa"/>
            <w:tcBorders>
              <w:top w:val="nil"/>
              <w:left w:val="nil"/>
              <w:bottom w:val="single" w:sz="4" w:space="0" w:color="auto"/>
              <w:right w:val="single" w:sz="4" w:space="0" w:color="auto"/>
            </w:tcBorders>
            <w:shd w:val="clear" w:color="000000" w:fill="D9D9D9"/>
            <w:noWrap/>
            <w:vAlign w:val="bottom"/>
            <w:hideMark/>
          </w:tcPr>
          <w:p w14:paraId="539E6026" w14:textId="77777777" w:rsidR="00721C3A" w:rsidRPr="003C66A0" w:rsidRDefault="00721C3A" w:rsidP="00AE1DED">
            <w:pPr>
              <w:rPr>
                <w:color w:val="000000" w:themeColor="text1"/>
              </w:rPr>
            </w:pPr>
            <w:r w:rsidRPr="003C66A0">
              <w:rPr>
                <w:color w:val="000000" w:themeColor="text1"/>
              </w:rPr>
              <w:t> </w:t>
            </w:r>
          </w:p>
        </w:tc>
        <w:tc>
          <w:tcPr>
            <w:tcW w:w="2610" w:type="dxa"/>
            <w:tcBorders>
              <w:top w:val="nil"/>
              <w:left w:val="nil"/>
              <w:bottom w:val="single" w:sz="4" w:space="0" w:color="auto"/>
              <w:right w:val="single" w:sz="4" w:space="0" w:color="auto"/>
            </w:tcBorders>
            <w:shd w:val="clear" w:color="000000" w:fill="D9D9D9"/>
            <w:noWrap/>
            <w:vAlign w:val="bottom"/>
            <w:hideMark/>
          </w:tcPr>
          <w:p w14:paraId="7DDB85F1" w14:textId="77777777" w:rsidR="00721C3A" w:rsidRPr="003C66A0" w:rsidRDefault="00721C3A" w:rsidP="00AE1DED">
            <w:pPr>
              <w:rPr>
                <w:color w:val="000000" w:themeColor="text1"/>
              </w:rPr>
            </w:pPr>
            <w:r w:rsidRPr="003C66A0">
              <w:rPr>
                <w:color w:val="000000" w:themeColor="text1"/>
              </w:rPr>
              <w:t> </w:t>
            </w:r>
          </w:p>
        </w:tc>
        <w:tc>
          <w:tcPr>
            <w:tcW w:w="3240" w:type="dxa"/>
            <w:tcBorders>
              <w:top w:val="nil"/>
              <w:left w:val="nil"/>
              <w:bottom w:val="single" w:sz="4" w:space="0" w:color="auto"/>
              <w:right w:val="single" w:sz="8" w:space="0" w:color="auto"/>
            </w:tcBorders>
            <w:shd w:val="clear" w:color="000000" w:fill="D9D9D9"/>
            <w:noWrap/>
            <w:vAlign w:val="bottom"/>
            <w:hideMark/>
          </w:tcPr>
          <w:p w14:paraId="69AE5D38" w14:textId="77777777" w:rsidR="00721C3A" w:rsidRPr="003C66A0" w:rsidRDefault="00721C3A" w:rsidP="00AE1DED">
            <w:pPr>
              <w:rPr>
                <w:color w:val="000000" w:themeColor="text1"/>
              </w:rPr>
            </w:pPr>
            <w:r w:rsidRPr="003C66A0">
              <w:rPr>
                <w:color w:val="000000" w:themeColor="text1"/>
              </w:rPr>
              <w:t> </w:t>
            </w:r>
          </w:p>
        </w:tc>
      </w:tr>
      <w:tr w:rsidR="00FC334A" w:rsidRPr="003C66A0" w14:paraId="55920799" w14:textId="77777777" w:rsidTr="0003798A">
        <w:trPr>
          <w:trHeight w:val="320"/>
        </w:trPr>
        <w:tc>
          <w:tcPr>
            <w:tcW w:w="1700" w:type="dxa"/>
            <w:tcBorders>
              <w:top w:val="nil"/>
              <w:left w:val="single" w:sz="8" w:space="0" w:color="auto"/>
              <w:bottom w:val="single" w:sz="4" w:space="0" w:color="auto"/>
              <w:right w:val="single" w:sz="8" w:space="0" w:color="auto"/>
            </w:tcBorders>
            <w:noWrap/>
            <w:vAlign w:val="bottom"/>
            <w:hideMark/>
          </w:tcPr>
          <w:p w14:paraId="323314DE" w14:textId="77777777" w:rsidR="00721C3A" w:rsidRPr="003C66A0" w:rsidRDefault="00721C3A" w:rsidP="00AE1DED">
            <w:pPr>
              <w:rPr>
                <w:b/>
                <w:bCs/>
                <w:color w:val="000000" w:themeColor="text1"/>
              </w:rPr>
            </w:pPr>
            <w:r w:rsidRPr="003C66A0">
              <w:rPr>
                <w:b/>
                <w:bCs/>
                <w:color w:val="000000" w:themeColor="text1"/>
              </w:rPr>
              <w:t>Return Predictors</w:t>
            </w:r>
          </w:p>
        </w:tc>
        <w:tc>
          <w:tcPr>
            <w:tcW w:w="1890" w:type="dxa"/>
            <w:tcBorders>
              <w:top w:val="nil"/>
              <w:left w:val="nil"/>
              <w:bottom w:val="single" w:sz="4" w:space="0" w:color="auto"/>
              <w:right w:val="single" w:sz="4" w:space="0" w:color="auto"/>
            </w:tcBorders>
            <w:noWrap/>
            <w:vAlign w:val="bottom"/>
            <w:hideMark/>
          </w:tcPr>
          <w:p w14:paraId="6CB447D0" w14:textId="77777777" w:rsidR="00721C3A" w:rsidRPr="003C66A0" w:rsidRDefault="00721C3A" w:rsidP="00AE1DED">
            <w:pPr>
              <w:rPr>
                <w:color w:val="000000" w:themeColor="text1"/>
              </w:rPr>
            </w:pPr>
            <w:r w:rsidRPr="003C66A0">
              <w:rPr>
                <w:color w:val="000000" w:themeColor="text1"/>
              </w:rPr>
              <w:t>Multiple Linear</w:t>
            </w:r>
          </w:p>
        </w:tc>
        <w:tc>
          <w:tcPr>
            <w:tcW w:w="2610" w:type="dxa"/>
            <w:tcBorders>
              <w:top w:val="nil"/>
              <w:left w:val="nil"/>
              <w:bottom w:val="single" w:sz="4" w:space="0" w:color="auto"/>
              <w:right w:val="single" w:sz="4" w:space="0" w:color="auto"/>
            </w:tcBorders>
            <w:noWrap/>
            <w:vAlign w:val="bottom"/>
            <w:hideMark/>
          </w:tcPr>
          <w:p w14:paraId="5B33D51F" w14:textId="77777777" w:rsidR="00721C3A" w:rsidRPr="003C66A0" w:rsidRDefault="00721C3A" w:rsidP="00AE1DED">
            <w:pPr>
              <w:rPr>
                <w:color w:val="000000" w:themeColor="text1"/>
              </w:rPr>
            </w:pPr>
            <w:r w:rsidRPr="003C66A0">
              <w:rPr>
                <w:color w:val="000000" w:themeColor="text1"/>
              </w:rPr>
              <w:t>Multicollinearity (VIF&gt;5)</w:t>
            </w:r>
          </w:p>
        </w:tc>
        <w:tc>
          <w:tcPr>
            <w:tcW w:w="3240" w:type="dxa"/>
            <w:tcBorders>
              <w:top w:val="nil"/>
              <w:left w:val="nil"/>
              <w:bottom w:val="single" w:sz="4" w:space="0" w:color="auto"/>
              <w:right w:val="single" w:sz="8" w:space="0" w:color="auto"/>
            </w:tcBorders>
            <w:noWrap/>
            <w:vAlign w:val="bottom"/>
            <w:hideMark/>
          </w:tcPr>
          <w:p w14:paraId="6E83E917" w14:textId="77777777" w:rsidR="00721C3A" w:rsidRPr="003C66A0" w:rsidRDefault="00721C3A" w:rsidP="00AE1DED">
            <w:pPr>
              <w:rPr>
                <w:color w:val="000000" w:themeColor="text1"/>
              </w:rPr>
            </w:pPr>
            <w:r w:rsidRPr="003C66A0">
              <w:rPr>
                <w:color w:val="000000" w:themeColor="text1"/>
              </w:rPr>
              <w:t>Ridge regression (λ=0.1)</w:t>
            </w:r>
          </w:p>
        </w:tc>
      </w:tr>
      <w:tr w:rsidR="00FC334A" w:rsidRPr="003C66A0" w14:paraId="0149ABEF" w14:textId="77777777" w:rsidTr="0003798A">
        <w:trPr>
          <w:trHeight w:val="320"/>
        </w:trPr>
        <w:tc>
          <w:tcPr>
            <w:tcW w:w="1700" w:type="dxa"/>
            <w:tcBorders>
              <w:top w:val="nil"/>
              <w:left w:val="single" w:sz="8" w:space="0" w:color="auto"/>
              <w:bottom w:val="single" w:sz="4" w:space="0" w:color="auto"/>
              <w:right w:val="single" w:sz="8" w:space="0" w:color="auto"/>
            </w:tcBorders>
            <w:noWrap/>
            <w:vAlign w:val="bottom"/>
            <w:hideMark/>
          </w:tcPr>
          <w:p w14:paraId="5E3A5651" w14:textId="77777777" w:rsidR="00721C3A" w:rsidRPr="003C66A0" w:rsidRDefault="00721C3A" w:rsidP="00AE1DED">
            <w:pPr>
              <w:rPr>
                <w:b/>
                <w:bCs/>
                <w:color w:val="000000" w:themeColor="text1"/>
              </w:rPr>
            </w:pPr>
            <w:r w:rsidRPr="003C66A0">
              <w:rPr>
                <w:b/>
                <w:bCs/>
                <w:color w:val="000000" w:themeColor="text1"/>
              </w:rPr>
              <w:t>Risk Factors</w:t>
            </w:r>
          </w:p>
        </w:tc>
        <w:tc>
          <w:tcPr>
            <w:tcW w:w="1890" w:type="dxa"/>
            <w:tcBorders>
              <w:top w:val="nil"/>
              <w:left w:val="nil"/>
              <w:bottom w:val="single" w:sz="4" w:space="0" w:color="auto"/>
              <w:right w:val="single" w:sz="4" w:space="0" w:color="auto"/>
            </w:tcBorders>
            <w:noWrap/>
            <w:vAlign w:val="bottom"/>
            <w:hideMark/>
          </w:tcPr>
          <w:p w14:paraId="7F0E442E" w14:textId="77777777" w:rsidR="00721C3A" w:rsidRPr="003C66A0" w:rsidRDefault="00721C3A" w:rsidP="00AE1DED">
            <w:pPr>
              <w:rPr>
                <w:color w:val="000000" w:themeColor="text1"/>
              </w:rPr>
            </w:pPr>
            <w:r w:rsidRPr="003C66A0">
              <w:rPr>
                <w:color w:val="000000" w:themeColor="text1"/>
              </w:rPr>
              <w:t>Logistic</w:t>
            </w:r>
          </w:p>
        </w:tc>
        <w:tc>
          <w:tcPr>
            <w:tcW w:w="2610" w:type="dxa"/>
            <w:tcBorders>
              <w:top w:val="nil"/>
              <w:left w:val="nil"/>
              <w:bottom w:val="single" w:sz="4" w:space="0" w:color="auto"/>
              <w:right w:val="single" w:sz="4" w:space="0" w:color="auto"/>
            </w:tcBorders>
            <w:noWrap/>
            <w:vAlign w:val="bottom"/>
            <w:hideMark/>
          </w:tcPr>
          <w:p w14:paraId="615A81FC" w14:textId="77777777" w:rsidR="00721C3A" w:rsidRPr="003C66A0" w:rsidRDefault="00721C3A" w:rsidP="00AE1DED">
            <w:pPr>
              <w:rPr>
                <w:color w:val="000000" w:themeColor="text1"/>
              </w:rPr>
            </w:pPr>
            <w:r w:rsidRPr="003C66A0">
              <w:rPr>
                <w:color w:val="000000" w:themeColor="text1"/>
              </w:rPr>
              <w:t>Linearity of logit</w:t>
            </w:r>
          </w:p>
        </w:tc>
        <w:tc>
          <w:tcPr>
            <w:tcW w:w="3240" w:type="dxa"/>
            <w:tcBorders>
              <w:top w:val="nil"/>
              <w:left w:val="nil"/>
              <w:bottom w:val="single" w:sz="4" w:space="0" w:color="auto"/>
              <w:right w:val="single" w:sz="8" w:space="0" w:color="auto"/>
            </w:tcBorders>
            <w:noWrap/>
            <w:vAlign w:val="bottom"/>
            <w:hideMark/>
          </w:tcPr>
          <w:p w14:paraId="68398253" w14:textId="77777777" w:rsidR="00721C3A" w:rsidRPr="003C66A0" w:rsidRDefault="00721C3A" w:rsidP="00AE1DED">
            <w:pPr>
              <w:rPr>
                <w:color w:val="000000" w:themeColor="text1"/>
              </w:rPr>
            </w:pPr>
            <w:r w:rsidRPr="003C66A0">
              <w:rPr>
                <w:color w:val="000000" w:themeColor="text1"/>
              </w:rPr>
              <w:t>Polynomial terms added</w:t>
            </w:r>
          </w:p>
        </w:tc>
      </w:tr>
      <w:tr w:rsidR="00FC334A" w:rsidRPr="003C66A0" w14:paraId="18AD023F" w14:textId="77777777" w:rsidTr="0003798A">
        <w:trPr>
          <w:trHeight w:val="320"/>
        </w:trPr>
        <w:tc>
          <w:tcPr>
            <w:tcW w:w="1700" w:type="dxa"/>
            <w:tcBorders>
              <w:top w:val="nil"/>
              <w:left w:val="single" w:sz="8" w:space="0" w:color="auto"/>
              <w:bottom w:val="single" w:sz="4" w:space="0" w:color="auto"/>
              <w:right w:val="single" w:sz="8" w:space="0" w:color="auto"/>
            </w:tcBorders>
            <w:noWrap/>
            <w:vAlign w:val="bottom"/>
            <w:hideMark/>
          </w:tcPr>
          <w:p w14:paraId="02559405" w14:textId="77777777" w:rsidR="00721C3A" w:rsidRPr="003C66A0" w:rsidRDefault="00721C3A" w:rsidP="00AE1DED">
            <w:pPr>
              <w:rPr>
                <w:b/>
                <w:bCs/>
                <w:color w:val="000000" w:themeColor="text1"/>
              </w:rPr>
            </w:pPr>
            <w:r w:rsidRPr="003C66A0">
              <w:rPr>
                <w:b/>
                <w:bCs/>
                <w:color w:val="000000" w:themeColor="text1"/>
              </w:rPr>
              <w:t>Survival Analysis</w:t>
            </w:r>
          </w:p>
        </w:tc>
        <w:tc>
          <w:tcPr>
            <w:tcW w:w="1890" w:type="dxa"/>
            <w:tcBorders>
              <w:top w:val="nil"/>
              <w:left w:val="nil"/>
              <w:bottom w:val="single" w:sz="4" w:space="0" w:color="auto"/>
              <w:right w:val="single" w:sz="4" w:space="0" w:color="auto"/>
            </w:tcBorders>
            <w:noWrap/>
            <w:vAlign w:val="bottom"/>
            <w:hideMark/>
          </w:tcPr>
          <w:p w14:paraId="281C2D08" w14:textId="77777777" w:rsidR="00721C3A" w:rsidRPr="003C66A0" w:rsidRDefault="00721C3A" w:rsidP="00AE1DED">
            <w:pPr>
              <w:rPr>
                <w:color w:val="000000" w:themeColor="text1"/>
              </w:rPr>
            </w:pPr>
            <w:r w:rsidRPr="003C66A0">
              <w:rPr>
                <w:color w:val="000000" w:themeColor="text1"/>
              </w:rPr>
              <w:t>Cox Proportional</w:t>
            </w:r>
          </w:p>
        </w:tc>
        <w:tc>
          <w:tcPr>
            <w:tcW w:w="2610" w:type="dxa"/>
            <w:tcBorders>
              <w:top w:val="nil"/>
              <w:left w:val="nil"/>
              <w:bottom w:val="single" w:sz="4" w:space="0" w:color="auto"/>
              <w:right w:val="single" w:sz="4" w:space="0" w:color="auto"/>
            </w:tcBorders>
            <w:noWrap/>
            <w:vAlign w:val="bottom"/>
            <w:hideMark/>
          </w:tcPr>
          <w:p w14:paraId="5BF84722" w14:textId="77777777" w:rsidR="00721C3A" w:rsidRPr="003C66A0" w:rsidRDefault="00721C3A" w:rsidP="00AE1DED">
            <w:pPr>
              <w:rPr>
                <w:color w:val="000000" w:themeColor="text1"/>
              </w:rPr>
            </w:pPr>
            <w:r w:rsidRPr="003C66A0">
              <w:rPr>
                <w:color w:val="000000" w:themeColor="text1"/>
              </w:rPr>
              <w:t>Hazards assumption</w:t>
            </w:r>
          </w:p>
        </w:tc>
        <w:tc>
          <w:tcPr>
            <w:tcW w:w="3240" w:type="dxa"/>
            <w:tcBorders>
              <w:top w:val="nil"/>
              <w:left w:val="nil"/>
              <w:bottom w:val="single" w:sz="4" w:space="0" w:color="auto"/>
              <w:right w:val="single" w:sz="8" w:space="0" w:color="auto"/>
            </w:tcBorders>
            <w:noWrap/>
            <w:vAlign w:val="bottom"/>
            <w:hideMark/>
          </w:tcPr>
          <w:p w14:paraId="5ECDCFE2" w14:textId="77777777" w:rsidR="00721C3A" w:rsidRPr="003C66A0" w:rsidRDefault="00721C3A" w:rsidP="00AE1DED">
            <w:pPr>
              <w:rPr>
                <w:color w:val="000000" w:themeColor="text1"/>
              </w:rPr>
            </w:pPr>
            <w:r w:rsidRPr="003C66A0">
              <w:rPr>
                <w:color w:val="000000" w:themeColor="text1"/>
              </w:rPr>
              <w:t>Time-varying coefficients</w:t>
            </w:r>
          </w:p>
        </w:tc>
      </w:tr>
      <w:tr w:rsidR="00FC334A" w:rsidRPr="003C66A0" w14:paraId="0703BA06" w14:textId="77777777" w:rsidTr="0003798A">
        <w:trPr>
          <w:trHeight w:val="320"/>
        </w:trPr>
        <w:tc>
          <w:tcPr>
            <w:tcW w:w="1700" w:type="dxa"/>
            <w:tcBorders>
              <w:top w:val="nil"/>
              <w:left w:val="single" w:sz="8" w:space="0" w:color="auto"/>
              <w:bottom w:val="single" w:sz="4" w:space="0" w:color="auto"/>
              <w:right w:val="single" w:sz="8" w:space="0" w:color="auto"/>
            </w:tcBorders>
            <w:shd w:val="clear" w:color="000000" w:fill="D9D9D9"/>
            <w:noWrap/>
            <w:vAlign w:val="bottom"/>
            <w:hideMark/>
          </w:tcPr>
          <w:p w14:paraId="403BE901" w14:textId="77777777" w:rsidR="00721C3A" w:rsidRPr="003C66A0" w:rsidRDefault="00721C3A" w:rsidP="00AE1DED">
            <w:pPr>
              <w:rPr>
                <w:b/>
                <w:bCs/>
                <w:color w:val="000000" w:themeColor="text1"/>
              </w:rPr>
            </w:pPr>
            <w:r w:rsidRPr="003C66A0">
              <w:rPr>
                <w:b/>
                <w:bCs/>
                <w:color w:val="000000" w:themeColor="text1"/>
              </w:rPr>
              <w:t>Time Series</w:t>
            </w:r>
          </w:p>
        </w:tc>
        <w:tc>
          <w:tcPr>
            <w:tcW w:w="1890" w:type="dxa"/>
            <w:tcBorders>
              <w:top w:val="nil"/>
              <w:left w:val="nil"/>
              <w:bottom w:val="single" w:sz="4" w:space="0" w:color="auto"/>
              <w:right w:val="single" w:sz="4" w:space="0" w:color="auto"/>
            </w:tcBorders>
            <w:shd w:val="clear" w:color="000000" w:fill="D9D9D9"/>
            <w:noWrap/>
            <w:vAlign w:val="bottom"/>
            <w:hideMark/>
          </w:tcPr>
          <w:p w14:paraId="55669517" w14:textId="77777777" w:rsidR="00721C3A" w:rsidRPr="003C66A0" w:rsidRDefault="00721C3A" w:rsidP="00AE1DED">
            <w:pPr>
              <w:rPr>
                <w:color w:val="000000" w:themeColor="text1"/>
              </w:rPr>
            </w:pPr>
            <w:r w:rsidRPr="003C66A0">
              <w:rPr>
                <w:color w:val="000000" w:themeColor="text1"/>
              </w:rPr>
              <w:t> </w:t>
            </w:r>
          </w:p>
        </w:tc>
        <w:tc>
          <w:tcPr>
            <w:tcW w:w="2610" w:type="dxa"/>
            <w:tcBorders>
              <w:top w:val="nil"/>
              <w:left w:val="nil"/>
              <w:bottom w:val="single" w:sz="4" w:space="0" w:color="auto"/>
              <w:right w:val="single" w:sz="4" w:space="0" w:color="auto"/>
            </w:tcBorders>
            <w:shd w:val="clear" w:color="000000" w:fill="D9D9D9"/>
            <w:noWrap/>
            <w:vAlign w:val="bottom"/>
            <w:hideMark/>
          </w:tcPr>
          <w:p w14:paraId="5B72895E" w14:textId="77777777" w:rsidR="00721C3A" w:rsidRPr="003C66A0" w:rsidRDefault="00721C3A" w:rsidP="00AE1DED">
            <w:pPr>
              <w:rPr>
                <w:color w:val="000000" w:themeColor="text1"/>
              </w:rPr>
            </w:pPr>
            <w:r w:rsidRPr="003C66A0">
              <w:rPr>
                <w:color w:val="000000" w:themeColor="text1"/>
              </w:rPr>
              <w:t> </w:t>
            </w:r>
          </w:p>
        </w:tc>
        <w:tc>
          <w:tcPr>
            <w:tcW w:w="3240" w:type="dxa"/>
            <w:tcBorders>
              <w:top w:val="nil"/>
              <w:left w:val="nil"/>
              <w:bottom w:val="single" w:sz="4" w:space="0" w:color="auto"/>
              <w:right w:val="single" w:sz="8" w:space="0" w:color="auto"/>
            </w:tcBorders>
            <w:shd w:val="clear" w:color="000000" w:fill="D9D9D9"/>
            <w:noWrap/>
            <w:vAlign w:val="bottom"/>
            <w:hideMark/>
          </w:tcPr>
          <w:p w14:paraId="540CB835" w14:textId="77777777" w:rsidR="00721C3A" w:rsidRPr="003C66A0" w:rsidRDefault="00721C3A" w:rsidP="00AE1DED">
            <w:pPr>
              <w:rPr>
                <w:color w:val="000000" w:themeColor="text1"/>
              </w:rPr>
            </w:pPr>
            <w:r w:rsidRPr="003C66A0">
              <w:rPr>
                <w:color w:val="000000" w:themeColor="text1"/>
              </w:rPr>
              <w:t> </w:t>
            </w:r>
          </w:p>
        </w:tc>
      </w:tr>
      <w:tr w:rsidR="00FC334A" w:rsidRPr="003C66A0" w14:paraId="04114B57" w14:textId="77777777" w:rsidTr="0003798A">
        <w:trPr>
          <w:trHeight w:val="320"/>
        </w:trPr>
        <w:tc>
          <w:tcPr>
            <w:tcW w:w="1700" w:type="dxa"/>
            <w:tcBorders>
              <w:top w:val="nil"/>
              <w:left w:val="single" w:sz="8" w:space="0" w:color="auto"/>
              <w:bottom w:val="single" w:sz="4" w:space="0" w:color="auto"/>
              <w:right w:val="single" w:sz="8" w:space="0" w:color="auto"/>
            </w:tcBorders>
            <w:noWrap/>
            <w:vAlign w:val="bottom"/>
            <w:hideMark/>
          </w:tcPr>
          <w:p w14:paraId="350439D1" w14:textId="77777777" w:rsidR="00721C3A" w:rsidRPr="003C66A0" w:rsidRDefault="00721C3A" w:rsidP="00AE1DED">
            <w:pPr>
              <w:rPr>
                <w:b/>
                <w:bCs/>
                <w:color w:val="000000" w:themeColor="text1"/>
              </w:rPr>
            </w:pPr>
            <w:r w:rsidRPr="003C66A0">
              <w:rPr>
                <w:b/>
                <w:bCs/>
                <w:color w:val="000000" w:themeColor="text1"/>
              </w:rPr>
              <w:t>Fee Patterns</w:t>
            </w:r>
          </w:p>
        </w:tc>
        <w:tc>
          <w:tcPr>
            <w:tcW w:w="1890" w:type="dxa"/>
            <w:tcBorders>
              <w:top w:val="nil"/>
              <w:left w:val="nil"/>
              <w:bottom w:val="single" w:sz="4" w:space="0" w:color="auto"/>
              <w:right w:val="single" w:sz="4" w:space="0" w:color="auto"/>
            </w:tcBorders>
            <w:noWrap/>
            <w:vAlign w:val="bottom"/>
            <w:hideMark/>
          </w:tcPr>
          <w:p w14:paraId="7E2AE542" w14:textId="77777777" w:rsidR="00721C3A" w:rsidRPr="003C66A0" w:rsidRDefault="00721C3A" w:rsidP="00AE1DED">
            <w:pPr>
              <w:rPr>
                <w:color w:val="000000" w:themeColor="text1"/>
              </w:rPr>
            </w:pPr>
            <w:proofErr w:type="gramStart"/>
            <w:r w:rsidRPr="003C66A0">
              <w:rPr>
                <w:color w:val="000000" w:themeColor="text1"/>
              </w:rPr>
              <w:t>ARIMA(</w:t>
            </w:r>
            <w:proofErr w:type="gramEnd"/>
            <w:r w:rsidRPr="003C66A0">
              <w:rPr>
                <w:color w:val="000000" w:themeColor="text1"/>
              </w:rPr>
              <w:t>2,1,2)</w:t>
            </w:r>
          </w:p>
        </w:tc>
        <w:tc>
          <w:tcPr>
            <w:tcW w:w="2610" w:type="dxa"/>
            <w:tcBorders>
              <w:top w:val="nil"/>
              <w:left w:val="nil"/>
              <w:bottom w:val="single" w:sz="4" w:space="0" w:color="auto"/>
              <w:right w:val="single" w:sz="4" w:space="0" w:color="auto"/>
            </w:tcBorders>
            <w:noWrap/>
            <w:vAlign w:val="bottom"/>
            <w:hideMark/>
          </w:tcPr>
          <w:p w14:paraId="4EAA091D" w14:textId="77777777" w:rsidR="00721C3A" w:rsidRPr="003C66A0" w:rsidRDefault="00721C3A" w:rsidP="00AE1DED">
            <w:pPr>
              <w:rPr>
                <w:color w:val="000000" w:themeColor="text1"/>
              </w:rPr>
            </w:pPr>
            <w:r w:rsidRPr="003C66A0">
              <w:rPr>
                <w:color w:val="000000" w:themeColor="text1"/>
              </w:rPr>
              <w:t>Stationarity (ADF test)</w:t>
            </w:r>
          </w:p>
        </w:tc>
        <w:tc>
          <w:tcPr>
            <w:tcW w:w="3240" w:type="dxa"/>
            <w:tcBorders>
              <w:top w:val="nil"/>
              <w:left w:val="nil"/>
              <w:bottom w:val="single" w:sz="4" w:space="0" w:color="auto"/>
              <w:right w:val="single" w:sz="8" w:space="0" w:color="auto"/>
            </w:tcBorders>
            <w:noWrap/>
            <w:vAlign w:val="bottom"/>
            <w:hideMark/>
          </w:tcPr>
          <w:p w14:paraId="6C2C8C5A" w14:textId="77777777" w:rsidR="00721C3A" w:rsidRPr="003C66A0" w:rsidRDefault="00721C3A" w:rsidP="00AE1DED">
            <w:pPr>
              <w:rPr>
                <w:color w:val="000000" w:themeColor="text1"/>
              </w:rPr>
            </w:pPr>
            <w:r w:rsidRPr="003C66A0">
              <w:rPr>
                <w:color w:val="000000" w:themeColor="text1"/>
              </w:rPr>
              <w:t>First differencing applied</w:t>
            </w:r>
          </w:p>
        </w:tc>
      </w:tr>
      <w:tr w:rsidR="00FC334A" w:rsidRPr="003C66A0" w14:paraId="0DFC8A9C" w14:textId="77777777" w:rsidTr="0003798A">
        <w:trPr>
          <w:trHeight w:val="320"/>
        </w:trPr>
        <w:tc>
          <w:tcPr>
            <w:tcW w:w="1700" w:type="dxa"/>
            <w:tcBorders>
              <w:top w:val="nil"/>
              <w:left w:val="single" w:sz="8" w:space="0" w:color="auto"/>
              <w:bottom w:val="single" w:sz="4" w:space="0" w:color="auto"/>
              <w:right w:val="single" w:sz="8" w:space="0" w:color="auto"/>
            </w:tcBorders>
            <w:noWrap/>
            <w:vAlign w:val="bottom"/>
            <w:hideMark/>
          </w:tcPr>
          <w:p w14:paraId="2683F8C9" w14:textId="77777777" w:rsidR="00721C3A" w:rsidRPr="003C66A0" w:rsidRDefault="00721C3A" w:rsidP="00AE1DED">
            <w:pPr>
              <w:rPr>
                <w:b/>
                <w:bCs/>
                <w:color w:val="000000" w:themeColor="text1"/>
              </w:rPr>
            </w:pPr>
            <w:r w:rsidRPr="003C66A0">
              <w:rPr>
                <w:b/>
                <w:bCs/>
                <w:color w:val="000000" w:themeColor="text1"/>
              </w:rPr>
              <w:t>Volatility</w:t>
            </w:r>
          </w:p>
        </w:tc>
        <w:tc>
          <w:tcPr>
            <w:tcW w:w="1890" w:type="dxa"/>
            <w:tcBorders>
              <w:top w:val="nil"/>
              <w:left w:val="nil"/>
              <w:bottom w:val="single" w:sz="4" w:space="0" w:color="auto"/>
              <w:right w:val="single" w:sz="4" w:space="0" w:color="auto"/>
            </w:tcBorders>
            <w:noWrap/>
            <w:vAlign w:val="bottom"/>
            <w:hideMark/>
          </w:tcPr>
          <w:p w14:paraId="2FEC08FE" w14:textId="77777777" w:rsidR="00721C3A" w:rsidRPr="003C66A0" w:rsidRDefault="00721C3A" w:rsidP="00AE1DED">
            <w:pPr>
              <w:rPr>
                <w:color w:val="000000" w:themeColor="text1"/>
              </w:rPr>
            </w:pPr>
            <w:proofErr w:type="gramStart"/>
            <w:r w:rsidRPr="003C66A0">
              <w:rPr>
                <w:color w:val="000000" w:themeColor="text1"/>
              </w:rPr>
              <w:t>GARCH(</w:t>
            </w:r>
            <w:proofErr w:type="gramEnd"/>
            <w:r w:rsidRPr="003C66A0">
              <w:rPr>
                <w:color w:val="000000" w:themeColor="text1"/>
              </w:rPr>
              <w:t>1,1)</w:t>
            </w:r>
          </w:p>
        </w:tc>
        <w:tc>
          <w:tcPr>
            <w:tcW w:w="2610" w:type="dxa"/>
            <w:tcBorders>
              <w:top w:val="nil"/>
              <w:left w:val="nil"/>
              <w:bottom w:val="single" w:sz="4" w:space="0" w:color="auto"/>
              <w:right w:val="single" w:sz="4" w:space="0" w:color="auto"/>
            </w:tcBorders>
            <w:noWrap/>
            <w:vAlign w:val="bottom"/>
            <w:hideMark/>
          </w:tcPr>
          <w:p w14:paraId="0D21C72D" w14:textId="77777777" w:rsidR="00721C3A" w:rsidRPr="003C66A0" w:rsidRDefault="00721C3A" w:rsidP="00AE1DED">
            <w:pPr>
              <w:rPr>
                <w:color w:val="000000" w:themeColor="text1"/>
              </w:rPr>
            </w:pPr>
            <w:r w:rsidRPr="003C66A0">
              <w:rPr>
                <w:color w:val="000000" w:themeColor="text1"/>
              </w:rPr>
              <w:t>ARCH effects present</w:t>
            </w:r>
          </w:p>
        </w:tc>
        <w:tc>
          <w:tcPr>
            <w:tcW w:w="3240" w:type="dxa"/>
            <w:tcBorders>
              <w:top w:val="nil"/>
              <w:left w:val="nil"/>
              <w:bottom w:val="single" w:sz="4" w:space="0" w:color="auto"/>
              <w:right w:val="single" w:sz="8" w:space="0" w:color="auto"/>
            </w:tcBorders>
            <w:noWrap/>
            <w:vAlign w:val="bottom"/>
            <w:hideMark/>
          </w:tcPr>
          <w:p w14:paraId="63E2C716" w14:textId="77777777" w:rsidR="00721C3A" w:rsidRPr="003C66A0" w:rsidRDefault="00721C3A" w:rsidP="00AE1DED">
            <w:pPr>
              <w:rPr>
                <w:color w:val="000000" w:themeColor="text1"/>
              </w:rPr>
            </w:pPr>
            <w:r w:rsidRPr="003C66A0">
              <w:rPr>
                <w:color w:val="000000" w:themeColor="text1"/>
              </w:rPr>
              <w:t>Appropriate model choice</w:t>
            </w:r>
          </w:p>
        </w:tc>
      </w:tr>
      <w:tr w:rsidR="00FC334A" w:rsidRPr="003C66A0" w14:paraId="421CBE03" w14:textId="77777777" w:rsidTr="0003798A">
        <w:trPr>
          <w:trHeight w:val="340"/>
        </w:trPr>
        <w:tc>
          <w:tcPr>
            <w:tcW w:w="1700" w:type="dxa"/>
            <w:tcBorders>
              <w:top w:val="nil"/>
              <w:left w:val="single" w:sz="8" w:space="0" w:color="auto"/>
              <w:bottom w:val="single" w:sz="8" w:space="0" w:color="auto"/>
              <w:right w:val="single" w:sz="8" w:space="0" w:color="auto"/>
            </w:tcBorders>
            <w:noWrap/>
            <w:vAlign w:val="bottom"/>
            <w:hideMark/>
          </w:tcPr>
          <w:p w14:paraId="2C5E4090" w14:textId="77777777" w:rsidR="00721C3A" w:rsidRPr="003C66A0" w:rsidRDefault="00721C3A" w:rsidP="00AE1DED">
            <w:pPr>
              <w:rPr>
                <w:b/>
                <w:bCs/>
                <w:color w:val="000000" w:themeColor="text1"/>
              </w:rPr>
            </w:pPr>
            <w:r w:rsidRPr="003C66A0">
              <w:rPr>
                <w:b/>
                <w:bCs/>
                <w:color w:val="000000" w:themeColor="text1"/>
              </w:rPr>
              <w:t>Correlation Dynamics</w:t>
            </w:r>
          </w:p>
        </w:tc>
        <w:tc>
          <w:tcPr>
            <w:tcW w:w="1890" w:type="dxa"/>
            <w:tcBorders>
              <w:top w:val="nil"/>
              <w:left w:val="nil"/>
              <w:bottom w:val="single" w:sz="8" w:space="0" w:color="auto"/>
              <w:right w:val="single" w:sz="4" w:space="0" w:color="auto"/>
            </w:tcBorders>
            <w:noWrap/>
            <w:vAlign w:val="bottom"/>
            <w:hideMark/>
          </w:tcPr>
          <w:p w14:paraId="36DFAF80" w14:textId="77777777" w:rsidR="00721C3A" w:rsidRPr="003C66A0" w:rsidRDefault="00721C3A" w:rsidP="00AE1DED">
            <w:pPr>
              <w:rPr>
                <w:color w:val="000000" w:themeColor="text1"/>
              </w:rPr>
            </w:pPr>
            <w:r w:rsidRPr="003C66A0">
              <w:rPr>
                <w:color w:val="000000" w:themeColor="text1"/>
              </w:rPr>
              <w:t>DCC-GARCH</w:t>
            </w:r>
          </w:p>
        </w:tc>
        <w:tc>
          <w:tcPr>
            <w:tcW w:w="2610" w:type="dxa"/>
            <w:tcBorders>
              <w:top w:val="nil"/>
              <w:left w:val="nil"/>
              <w:bottom w:val="single" w:sz="8" w:space="0" w:color="auto"/>
              <w:right w:val="single" w:sz="4" w:space="0" w:color="auto"/>
            </w:tcBorders>
            <w:noWrap/>
            <w:vAlign w:val="bottom"/>
            <w:hideMark/>
          </w:tcPr>
          <w:p w14:paraId="3E5C9D83" w14:textId="77777777" w:rsidR="00721C3A" w:rsidRPr="003C66A0" w:rsidRDefault="00721C3A" w:rsidP="00AE1DED">
            <w:pPr>
              <w:rPr>
                <w:color w:val="000000" w:themeColor="text1"/>
              </w:rPr>
            </w:pPr>
            <w:r w:rsidRPr="003C66A0">
              <w:rPr>
                <w:color w:val="000000" w:themeColor="text1"/>
              </w:rPr>
              <w:t>Time-varying correlation</w:t>
            </w:r>
          </w:p>
        </w:tc>
        <w:tc>
          <w:tcPr>
            <w:tcW w:w="3240" w:type="dxa"/>
            <w:tcBorders>
              <w:top w:val="nil"/>
              <w:left w:val="nil"/>
              <w:bottom w:val="single" w:sz="8" w:space="0" w:color="auto"/>
              <w:right w:val="single" w:sz="8" w:space="0" w:color="auto"/>
            </w:tcBorders>
            <w:noWrap/>
            <w:vAlign w:val="bottom"/>
            <w:hideMark/>
          </w:tcPr>
          <w:p w14:paraId="02138688" w14:textId="77777777" w:rsidR="00721C3A" w:rsidRPr="003C66A0" w:rsidRDefault="00721C3A" w:rsidP="00AE1DED">
            <w:pPr>
              <w:rPr>
                <w:color w:val="000000" w:themeColor="text1"/>
              </w:rPr>
            </w:pPr>
            <w:r w:rsidRPr="003C66A0">
              <w:rPr>
                <w:color w:val="000000" w:themeColor="text1"/>
              </w:rPr>
              <w:t>Rolling window validation</w:t>
            </w:r>
          </w:p>
        </w:tc>
      </w:tr>
    </w:tbl>
    <w:p w14:paraId="3D7E7388" w14:textId="7CFD4C55" w:rsidR="003B0264" w:rsidRPr="005E08D8" w:rsidRDefault="00D15AF2" w:rsidP="00AE1DED">
      <w:pPr>
        <w:jc w:val="both"/>
        <w:rPr>
          <w:rFonts w:eastAsiaTheme="majorEastAsia"/>
          <w:color w:val="000000" w:themeColor="text1"/>
        </w:rPr>
      </w:pPr>
      <w:r w:rsidRPr="003C66A0">
        <w:rPr>
          <w:rFonts w:eastAsiaTheme="majorEastAsia"/>
          <w:i/>
          <w:iCs/>
          <w:color w:val="000000" w:themeColor="text1"/>
        </w:rPr>
        <w:t xml:space="preserve">Interpretive Note: </w:t>
      </w:r>
      <w:r w:rsidRPr="005E08D8">
        <w:rPr>
          <w:rFonts w:eastAsiaTheme="majorEastAsia"/>
          <w:color w:val="000000" w:themeColor="text1"/>
        </w:rPr>
        <w:t>The consistent violation of normality assumptions across all return distributions (p &lt; 0.001) required non-parametric methods throughout the analysis, highlighting that cryptocurrency returns follow fundamentally different statistical properties than traditional assets—fat tails, extreme skewness, and volatility clustering that standard financial models cannot capture.</w:t>
      </w:r>
    </w:p>
    <w:p w14:paraId="070119E6" w14:textId="77777777" w:rsidR="00D15AF2" w:rsidRDefault="00D15AF2" w:rsidP="00AE1DED">
      <w:pPr>
        <w:jc w:val="both"/>
        <w:rPr>
          <w:rFonts w:eastAsiaTheme="majorEastAsia"/>
          <w:b/>
          <w:bCs/>
          <w:color w:val="000000" w:themeColor="text1"/>
        </w:rPr>
      </w:pPr>
    </w:p>
    <w:p w14:paraId="5AF60271" w14:textId="77777777" w:rsidR="00D74858" w:rsidRPr="003C66A0" w:rsidRDefault="00D74858" w:rsidP="00AE1DED">
      <w:pPr>
        <w:jc w:val="both"/>
        <w:rPr>
          <w:rFonts w:eastAsiaTheme="majorEastAsia"/>
          <w:b/>
          <w:bCs/>
          <w:color w:val="000000" w:themeColor="text1"/>
        </w:rPr>
      </w:pPr>
    </w:p>
    <w:p w14:paraId="0E178B90" w14:textId="27FC025C" w:rsidR="00D1418E" w:rsidRDefault="00D77017" w:rsidP="00AE1DED">
      <w:pPr>
        <w:pStyle w:val="Heading3"/>
        <w:jc w:val="both"/>
        <w:rPr>
          <w:rFonts w:eastAsiaTheme="majorEastAsia"/>
        </w:rPr>
      </w:pPr>
      <w:bookmarkStart w:id="285" w:name="_Toc214722091"/>
      <w:r w:rsidRPr="00F17041">
        <w:rPr>
          <w:rFonts w:eastAsiaTheme="majorEastAsia"/>
        </w:rPr>
        <w:t>E</w:t>
      </w:r>
      <w:r w:rsidR="003B0264" w:rsidRPr="00F17041">
        <w:rPr>
          <w:rFonts w:eastAsiaTheme="majorEastAsia"/>
        </w:rPr>
        <w:t>.2: Sample Size and Power Calculations</w:t>
      </w:r>
      <w:bookmarkEnd w:id="285"/>
    </w:p>
    <w:p w14:paraId="007C9AB0" w14:textId="77777777" w:rsidR="00F17041" w:rsidRPr="00F17041" w:rsidRDefault="00F17041" w:rsidP="00AE1DED">
      <w:pPr>
        <w:jc w:val="both"/>
        <w:rPr>
          <w:rFonts w:eastAsiaTheme="majorEastAsia"/>
        </w:rPr>
      </w:pPr>
    </w:p>
    <w:p w14:paraId="6E6642A0" w14:textId="77777777" w:rsidR="00E77431" w:rsidRPr="003C66A0" w:rsidRDefault="00E77431" w:rsidP="00AE1DED">
      <w:pPr>
        <w:jc w:val="both"/>
        <w:rPr>
          <w:rFonts w:eastAsiaTheme="majorEastAsia"/>
          <w:color w:val="000000" w:themeColor="text1"/>
        </w:rPr>
      </w:pPr>
      <w:r w:rsidRPr="003C66A0">
        <w:rPr>
          <w:rFonts w:eastAsiaTheme="majorEastAsia"/>
          <w:color w:val="000000" w:themeColor="text1"/>
        </w:rPr>
        <w:t>Post-hoc power analysis (G*Power 3.1.9.7):</w:t>
      </w:r>
    </w:p>
    <w:p w14:paraId="6416E27E" w14:textId="4C986886" w:rsidR="00E77431" w:rsidRPr="003C66A0" w:rsidRDefault="00E77431" w:rsidP="00AE1DED">
      <w:pPr>
        <w:pStyle w:val="ListParagraph"/>
        <w:numPr>
          <w:ilvl w:val="0"/>
          <w:numId w:val="21"/>
        </w:numPr>
        <w:jc w:val="both"/>
        <w:outlineLvl w:val="9"/>
        <w:rPr>
          <w:rFonts w:eastAsiaTheme="majorEastAsia"/>
          <w:color w:val="000000" w:themeColor="text1"/>
        </w:rPr>
      </w:pPr>
      <w:r w:rsidRPr="003C66A0">
        <w:rPr>
          <w:rFonts w:eastAsiaTheme="majorEastAsia"/>
          <w:color w:val="000000" w:themeColor="text1"/>
        </w:rPr>
        <w:t>For independent groups comparison (n=156): Power = 0.84 for d=0.5</w:t>
      </w:r>
    </w:p>
    <w:p w14:paraId="4774D4B8" w14:textId="1B2FAB36" w:rsidR="00E77431" w:rsidRPr="003C66A0" w:rsidRDefault="00E77431" w:rsidP="00AE1DED">
      <w:pPr>
        <w:pStyle w:val="ListParagraph"/>
        <w:numPr>
          <w:ilvl w:val="0"/>
          <w:numId w:val="21"/>
        </w:numPr>
        <w:jc w:val="both"/>
        <w:outlineLvl w:val="9"/>
        <w:rPr>
          <w:rFonts w:eastAsiaTheme="majorEastAsia"/>
          <w:color w:val="000000" w:themeColor="text1"/>
        </w:rPr>
      </w:pPr>
      <w:r w:rsidRPr="003C66A0">
        <w:rPr>
          <w:rFonts w:eastAsiaTheme="majorEastAsia"/>
          <w:color w:val="000000" w:themeColor="text1"/>
        </w:rPr>
        <w:t>For repeated measures (156 positions, 90+ days): Effective power = 0.71 for d=0.5</w:t>
      </w:r>
      <w:r w:rsidR="00581118" w:rsidRPr="003C66A0">
        <w:rPr>
          <w:rFonts w:eastAsiaTheme="majorEastAsia"/>
          <w:color w:val="000000" w:themeColor="text1"/>
        </w:rPr>
        <w:t xml:space="preserve"> </w:t>
      </w:r>
      <w:r w:rsidRPr="003C66A0">
        <w:rPr>
          <w:rFonts w:eastAsiaTheme="majorEastAsia"/>
          <w:color w:val="000000" w:themeColor="text1"/>
        </w:rPr>
        <w:t>(accounting for within-position correlation ρ=0.3)</w:t>
      </w:r>
    </w:p>
    <w:p w14:paraId="01A3A9A9" w14:textId="3BF22DAB" w:rsidR="00E77431" w:rsidRPr="003C66A0" w:rsidRDefault="00E77431" w:rsidP="00AE1DED">
      <w:pPr>
        <w:pStyle w:val="ListParagraph"/>
        <w:numPr>
          <w:ilvl w:val="0"/>
          <w:numId w:val="21"/>
        </w:numPr>
        <w:jc w:val="both"/>
        <w:outlineLvl w:val="9"/>
        <w:rPr>
          <w:rFonts w:eastAsiaTheme="majorEastAsia"/>
          <w:color w:val="000000" w:themeColor="text1"/>
        </w:rPr>
      </w:pPr>
      <w:r w:rsidRPr="003C66A0">
        <w:rPr>
          <w:rFonts w:eastAsiaTheme="majorEastAsia"/>
          <w:color w:val="000000" w:themeColor="text1"/>
        </w:rPr>
        <w:lastRenderedPageBreak/>
        <w:t>For detecting rare events (12% incident rate): Power = 0.62 to detect difference from null rate of 5%</w:t>
      </w:r>
    </w:p>
    <w:p w14:paraId="043D9E6C" w14:textId="77777777" w:rsidR="00503040" w:rsidRPr="003C66A0" w:rsidRDefault="00503040" w:rsidP="00AE1DED">
      <w:pPr>
        <w:jc w:val="both"/>
        <w:rPr>
          <w:rFonts w:eastAsiaTheme="majorEastAsia"/>
          <w:color w:val="000000" w:themeColor="text1"/>
        </w:rPr>
      </w:pPr>
    </w:p>
    <w:p w14:paraId="1D8F15FB" w14:textId="77777777" w:rsidR="00D15AF2" w:rsidRPr="00F17041" w:rsidRDefault="00D15AF2" w:rsidP="00AE1DED">
      <w:pPr>
        <w:jc w:val="both"/>
        <w:rPr>
          <w:rFonts w:eastAsiaTheme="majorEastAsia"/>
          <w:i/>
          <w:iCs/>
          <w:color w:val="000000" w:themeColor="text1"/>
        </w:rPr>
      </w:pPr>
      <w:r w:rsidRPr="00F17041">
        <w:rPr>
          <w:rFonts w:eastAsiaTheme="majorEastAsia"/>
          <w:i/>
          <w:iCs/>
          <w:color w:val="000000" w:themeColor="text1"/>
        </w:rPr>
        <w:t xml:space="preserve">Interpretive Note: </w:t>
      </w:r>
      <w:r w:rsidRPr="005E08D8">
        <w:rPr>
          <w:rFonts w:eastAsiaTheme="majorEastAsia"/>
          <w:color w:val="000000" w:themeColor="text1"/>
        </w:rPr>
        <w:t>While the study achieved adequate power (0.84) for detecting medium effects, the 0.62 power for rare event detection means some protocol-level incidents may have been missed—the 12% quarterly incident rate could be conservative, and actual risk exposure may be higher than documented.</w:t>
      </w:r>
    </w:p>
    <w:p w14:paraId="08FE1853" w14:textId="77777777" w:rsidR="00F17041" w:rsidRPr="003C66A0" w:rsidRDefault="00F17041" w:rsidP="00AE1DED">
      <w:pPr>
        <w:rPr>
          <w:rFonts w:eastAsiaTheme="majorEastAsia"/>
          <w:color w:val="000000" w:themeColor="text1"/>
        </w:rPr>
      </w:pPr>
    </w:p>
    <w:p w14:paraId="5094FE57" w14:textId="082106CB" w:rsidR="00E77431" w:rsidRPr="003C66A0" w:rsidRDefault="00503040" w:rsidP="00AE1DED">
      <w:pPr>
        <w:jc w:val="both"/>
        <w:rPr>
          <w:rFonts w:eastAsiaTheme="majorEastAsia"/>
          <w:color w:val="000000" w:themeColor="text1"/>
        </w:rPr>
      </w:pPr>
      <w:r w:rsidRPr="005E08D8">
        <w:rPr>
          <w:rFonts w:eastAsiaTheme="majorEastAsia"/>
          <w:i/>
          <w:iCs/>
          <w:color w:val="000000" w:themeColor="text1"/>
        </w:rPr>
        <w:t>Note:</w:t>
      </w:r>
      <w:r w:rsidRPr="003C66A0">
        <w:rPr>
          <w:rFonts w:eastAsiaTheme="majorEastAsia"/>
          <w:color w:val="000000" w:themeColor="text1"/>
        </w:rPr>
        <w:t xml:space="preserve"> Traditional power analysis assumes random sampling and is presented here for convention only. Given </w:t>
      </w:r>
      <w:r w:rsidR="00231D5B" w:rsidRPr="003C66A0">
        <w:rPr>
          <w:rFonts w:eastAsiaTheme="majorEastAsia"/>
          <w:color w:val="000000" w:themeColor="text1"/>
        </w:rPr>
        <w:t xml:space="preserve">my </w:t>
      </w:r>
      <w:r w:rsidRPr="003C66A0">
        <w:rPr>
          <w:rFonts w:eastAsiaTheme="majorEastAsia"/>
          <w:color w:val="000000" w:themeColor="text1"/>
        </w:rPr>
        <w:t>purposive sampling strategy, these calculations should not be interpreted as indicating statistical power for population inference.</w:t>
      </w:r>
    </w:p>
    <w:p w14:paraId="02420261" w14:textId="77777777" w:rsidR="00E77431" w:rsidRPr="003C66A0" w:rsidRDefault="00E77431" w:rsidP="00AE1DED">
      <w:pPr>
        <w:jc w:val="both"/>
        <w:rPr>
          <w:rFonts w:eastAsiaTheme="majorEastAsia"/>
          <w:b/>
          <w:bCs/>
          <w:color w:val="000000" w:themeColor="text1"/>
        </w:rPr>
      </w:pPr>
    </w:p>
    <w:p w14:paraId="32FF33AB" w14:textId="77777777" w:rsidR="00D1418E" w:rsidRPr="003C66A0" w:rsidRDefault="00D1418E" w:rsidP="00AE1DED">
      <w:pPr>
        <w:rPr>
          <w:rFonts w:eastAsiaTheme="majorEastAsia"/>
          <w:b/>
          <w:bCs/>
          <w:color w:val="000000" w:themeColor="text1"/>
        </w:rPr>
      </w:pPr>
    </w:p>
    <w:p w14:paraId="38D68E4D" w14:textId="5A0B2ED5" w:rsidR="00D1418E" w:rsidRPr="003C66A0" w:rsidRDefault="00D1418E" w:rsidP="00AE1DED">
      <w:pPr>
        <w:pStyle w:val="Heading3"/>
        <w:rPr>
          <w:rFonts w:eastAsiaTheme="majorEastAsia"/>
        </w:rPr>
      </w:pPr>
      <w:bookmarkStart w:id="286" w:name="_Toc214722092"/>
      <w:r w:rsidRPr="003C66A0">
        <w:rPr>
          <w:rFonts w:eastAsiaTheme="majorEastAsia"/>
        </w:rPr>
        <w:t xml:space="preserve">Table </w:t>
      </w:r>
      <w:r w:rsidR="00E26ED1" w:rsidRPr="003C66A0">
        <w:rPr>
          <w:rFonts w:eastAsiaTheme="majorEastAsia"/>
        </w:rPr>
        <w:t>E</w:t>
      </w:r>
      <w:r w:rsidRPr="003C66A0">
        <w:rPr>
          <w:rFonts w:eastAsiaTheme="majorEastAsia"/>
        </w:rPr>
        <w:t>.3: Robustness Checks Performed</w:t>
      </w:r>
      <w:bookmarkEnd w:id="286"/>
    </w:p>
    <w:p w14:paraId="42FC17B7" w14:textId="77777777" w:rsidR="00060FAF" w:rsidRPr="003C66A0" w:rsidRDefault="00060FAF" w:rsidP="00AE1DED">
      <w:pPr>
        <w:rPr>
          <w:rFonts w:eastAsiaTheme="majorEastAsia"/>
          <w:b/>
          <w:bCs/>
          <w:color w:val="000000" w:themeColor="text1"/>
        </w:rPr>
      </w:pPr>
    </w:p>
    <w:tbl>
      <w:tblPr>
        <w:tblW w:w="9440" w:type="dxa"/>
        <w:tblLook w:val="04A0" w:firstRow="1" w:lastRow="0" w:firstColumn="1" w:lastColumn="0" w:noHBand="0" w:noVBand="1"/>
      </w:tblPr>
      <w:tblGrid>
        <w:gridCol w:w="3960"/>
        <w:gridCol w:w="3460"/>
        <w:gridCol w:w="2020"/>
      </w:tblGrid>
      <w:tr w:rsidR="00FC334A" w:rsidRPr="003C66A0" w14:paraId="2BD47188" w14:textId="77777777" w:rsidTr="0003798A">
        <w:trPr>
          <w:trHeight w:val="340"/>
        </w:trPr>
        <w:tc>
          <w:tcPr>
            <w:tcW w:w="3960"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bottom"/>
            <w:hideMark/>
          </w:tcPr>
          <w:p w14:paraId="7D4BDFFB" w14:textId="77777777" w:rsidR="00E77F36" w:rsidRPr="003C66A0" w:rsidRDefault="00E77F36" w:rsidP="00AE1DED">
            <w:pPr>
              <w:rPr>
                <w:b/>
                <w:bCs/>
                <w:color w:val="000000" w:themeColor="text1"/>
              </w:rPr>
            </w:pPr>
            <w:r w:rsidRPr="003C66A0">
              <w:rPr>
                <w:b/>
                <w:bCs/>
                <w:color w:val="000000" w:themeColor="text1"/>
              </w:rPr>
              <w:t>Primary Finding</w:t>
            </w:r>
          </w:p>
        </w:tc>
        <w:tc>
          <w:tcPr>
            <w:tcW w:w="3460" w:type="dxa"/>
            <w:tcBorders>
              <w:top w:val="single" w:sz="8" w:space="0" w:color="auto"/>
              <w:left w:val="nil"/>
              <w:bottom w:val="single" w:sz="8" w:space="0" w:color="auto"/>
              <w:right w:val="single" w:sz="4" w:space="0" w:color="auto"/>
            </w:tcBorders>
            <w:shd w:val="clear" w:color="auto" w:fill="D9D9D9" w:themeFill="background1" w:themeFillShade="D9"/>
            <w:noWrap/>
            <w:vAlign w:val="bottom"/>
            <w:hideMark/>
          </w:tcPr>
          <w:p w14:paraId="62DC8FE6" w14:textId="77777777" w:rsidR="00E77F36" w:rsidRPr="003C66A0" w:rsidRDefault="00E77F36" w:rsidP="00AE1DED">
            <w:pPr>
              <w:rPr>
                <w:b/>
                <w:bCs/>
                <w:color w:val="000000" w:themeColor="text1"/>
              </w:rPr>
            </w:pPr>
            <w:r w:rsidRPr="003C66A0">
              <w:rPr>
                <w:b/>
                <w:bCs/>
                <w:color w:val="000000" w:themeColor="text1"/>
              </w:rPr>
              <w:t>Robustness Check</w:t>
            </w:r>
          </w:p>
        </w:tc>
        <w:tc>
          <w:tcPr>
            <w:tcW w:w="2020" w:type="dxa"/>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4289642A" w14:textId="77777777" w:rsidR="00E77F36" w:rsidRPr="003C66A0" w:rsidRDefault="00E77F36" w:rsidP="00AE1DED">
            <w:pPr>
              <w:rPr>
                <w:b/>
                <w:bCs/>
                <w:color w:val="000000" w:themeColor="text1"/>
              </w:rPr>
            </w:pPr>
            <w:r w:rsidRPr="003C66A0">
              <w:rPr>
                <w:b/>
                <w:bCs/>
                <w:color w:val="000000" w:themeColor="text1"/>
              </w:rPr>
              <w:t>Result</w:t>
            </w:r>
          </w:p>
        </w:tc>
      </w:tr>
      <w:tr w:rsidR="00FC334A" w:rsidRPr="003C66A0" w14:paraId="4FAF42EA" w14:textId="77777777" w:rsidTr="0003798A">
        <w:trPr>
          <w:trHeight w:val="320"/>
        </w:trPr>
        <w:tc>
          <w:tcPr>
            <w:tcW w:w="3960" w:type="dxa"/>
            <w:vMerge w:val="restart"/>
            <w:tcBorders>
              <w:top w:val="nil"/>
              <w:left w:val="single" w:sz="8" w:space="0" w:color="auto"/>
              <w:bottom w:val="single" w:sz="8" w:space="0" w:color="000000"/>
              <w:right w:val="single" w:sz="4" w:space="0" w:color="auto"/>
            </w:tcBorders>
            <w:shd w:val="clear" w:color="auto" w:fill="D9D9D9" w:themeFill="background1" w:themeFillShade="D9"/>
            <w:noWrap/>
            <w:hideMark/>
          </w:tcPr>
          <w:p w14:paraId="101432D2" w14:textId="0E5A694E" w:rsidR="00E77F36" w:rsidRPr="003C66A0" w:rsidRDefault="00DF0BD9" w:rsidP="00AE1DED">
            <w:pPr>
              <w:rPr>
                <w:b/>
                <w:bCs/>
                <w:color w:val="000000" w:themeColor="text1"/>
              </w:rPr>
            </w:pPr>
            <w:r w:rsidRPr="00DF0BD9">
              <w:rPr>
                <w:b/>
                <w:bCs/>
                <w:color w:val="000000" w:themeColor="text1"/>
              </w:rPr>
              <w:t>73% (95% CI: 65%-80%; accounting for survivorship bias: likely 73-90%)</w:t>
            </w:r>
            <w:r>
              <w:rPr>
                <w:b/>
                <w:bCs/>
                <w:color w:val="000000" w:themeColor="text1"/>
              </w:rPr>
              <w:t xml:space="preserve"> </w:t>
            </w:r>
            <w:r w:rsidR="00E77F36" w:rsidRPr="003C66A0">
              <w:rPr>
                <w:b/>
                <w:bCs/>
                <w:color w:val="000000" w:themeColor="text1"/>
              </w:rPr>
              <w:t>positions unprofitable</w:t>
            </w:r>
          </w:p>
        </w:tc>
        <w:tc>
          <w:tcPr>
            <w:tcW w:w="3460" w:type="dxa"/>
            <w:tcBorders>
              <w:top w:val="nil"/>
              <w:left w:val="nil"/>
              <w:bottom w:val="single" w:sz="4" w:space="0" w:color="auto"/>
              <w:right w:val="single" w:sz="4" w:space="0" w:color="auto"/>
            </w:tcBorders>
            <w:noWrap/>
            <w:vAlign w:val="bottom"/>
            <w:hideMark/>
          </w:tcPr>
          <w:p w14:paraId="71EE4F8B" w14:textId="77777777" w:rsidR="00E77F36" w:rsidRPr="003C66A0" w:rsidRDefault="00E77F36" w:rsidP="00AE1DED">
            <w:pPr>
              <w:rPr>
                <w:color w:val="000000" w:themeColor="text1"/>
              </w:rPr>
            </w:pPr>
            <w:r w:rsidRPr="003C66A0">
              <w:rPr>
                <w:color w:val="000000" w:themeColor="text1"/>
              </w:rPr>
              <w:t>Exclude gas costs</w:t>
            </w:r>
          </w:p>
        </w:tc>
        <w:tc>
          <w:tcPr>
            <w:tcW w:w="2020" w:type="dxa"/>
            <w:tcBorders>
              <w:top w:val="nil"/>
              <w:left w:val="nil"/>
              <w:bottom w:val="single" w:sz="4" w:space="0" w:color="auto"/>
              <w:right w:val="single" w:sz="8" w:space="0" w:color="auto"/>
            </w:tcBorders>
            <w:noWrap/>
            <w:vAlign w:val="bottom"/>
            <w:hideMark/>
          </w:tcPr>
          <w:p w14:paraId="5E6E7C9C" w14:textId="77777777" w:rsidR="00E77F36" w:rsidRPr="003C66A0" w:rsidRDefault="00E77F36" w:rsidP="00AE1DED">
            <w:pPr>
              <w:rPr>
                <w:color w:val="000000" w:themeColor="text1"/>
              </w:rPr>
            </w:pPr>
            <w:r w:rsidRPr="003C66A0">
              <w:rPr>
                <w:color w:val="000000" w:themeColor="text1"/>
              </w:rPr>
              <w:t>61% unprofitable</w:t>
            </w:r>
          </w:p>
        </w:tc>
      </w:tr>
      <w:tr w:rsidR="00FC334A" w:rsidRPr="003C66A0" w14:paraId="4F8332EF" w14:textId="77777777" w:rsidTr="0003798A">
        <w:trPr>
          <w:trHeight w:val="320"/>
        </w:trPr>
        <w:tc>
          <w:tcPr>
            <w:tcW w:w="3960" w:type="dxa"/>
            <w:vMerge/>
            <w:tcBorders>
              <w:top w:val="nil"/>
              <w:left w:val="single" w:sz="8" w:space="0" w:color="auto"/>
              <w:bottom w:val="single" w:sz="8" w:space="0" w:color="000000"/>
              <w:right w:val="single" w:sz="4" w:space="0" w:color="auto"/>
            </w:tcBorders>
            <w:shd w:val="clear" w:color="auto" w:fill="D9D9D9" w:themeFill="background1" w:themeFillShade="D9"/>
            <w:vAlign w:val="center"/>
            <w:hideMark/>
          </w:tcPr>
          <w:p w14:paraId="11A6E779" w14:textId="77777777" w:rsidR="00E77F36" w:rsidRPr="003C66A0" w:rsidRDefault="00E77F36" w:rsidP="00AE1DED">
            <w:pPr>
              <w:rPr>
                <w:b/>
                <w:bCs/>
                <w:color w:val="000000" w:themeColor="text1"/>
              </w:rPr>
            </w:pPr>
          </w:p>
        </w:tc>
        <w:tc>
          <w:tcPr>
            <w:tcW w:w="3460" w:type="dxa"/>
            <w:tcBorders>
              <w:top w:val="nil"/>
              <w:left w:val="nil"/>
              <w:bottom w:val="single" w:sz="4" w:space="0" w:color="auto"/>
              <w:right w:val="single" w:sz="4" w:space="0" w:color="auto"/>
            </w:tcBorders>
            <w:noWrap/>
            <w:vAlign w:val="bottom"/>
            <w:hideMark/>
          </w:tcPr>
          <w:p w14:paraId="4B0AC5FA" w14:textId="77777777" w:rsidR="00E77F36" w:rsidRPr="003C66A0" w:rsidRDefault="00E77F36" w:rsidP="00AE1DED">
            <w:pPr>
              <w:rPr>
                <w:color w:val="000000" w:themeColor="text1"/>
              </w:rPr>
            </w:pPr>
            <w:r w:rsidRPr="003C66A0">
              <w:rPr>
                <w:color w:val="000000" w:themeColor="text1"/>
              </w:rPr>
              <w:t>Include only 180+ day positions</w:t>
            </w:r>
          </w:p>
        </w:tc>
        <w:tc>
          <w:tcPr>
            <w:tcW w:w="2020" w:type="dxa"/>
            <w:tcBorders>
              <w:top w:val="nil"/>
              <w:left w:val="nil"/>
              <w:bottom w:val="single" w:sz="4" w:space="0" w:color="auto"/>
              <w:right w:val="single" w:sz="8" w:space="0" w:color="auto"/>
            </w:tcBorders>
            <w:noWrap/>
            <w:vAlign w:val="bottom"/>
            <w:hideMark/>
          </w:tcPr>
          <w:p w14:paraId="7759EA6C" w14:textId="77777777" w:rsidR="00E77F36" w:rsidRPr="003C66A0" w:rsidRDefault="00E77F36" w:rsidP="00AE1DED">
            <w:pPr>
              <w:rPr>
                <w:color w:val="000000" w:themeColor="text1"/>
              </w:rPr>
            </w:pPr>
            <w:r w:rsidRPr="003C66A0">
              <w:rPr>
                <w:color w:val="000000" w:themeColor="text1"/>
              </w:rPr>
              <w:t>69% unprofitable</w:t>
            </w:r>
          </w:p>
        </w:tc>
      </w:tr>
      <w:tr w:rsidR="00FC334A" w:rsidRPr="003C66A0" w14:paraId="41369E76" w14:textId="77777777" w:rsidTr="0003798A">
        <w:trPr>
          <w:trHeight w:val="340"/>
        </w:trPr>
        <w:tc>
          <w:tcPr>
            <w:tcW w:w="3960" w:type="dxa"/>
            <w:vMerge/>
            <w:tcBorders>
              <w:top w:val="nil"/>
              <w:left w:val="single" w:sz="8" w:space="0" w:color="auto"/>
              <w:bottom w:val="single" w:sz="8" w:space="0" w:color="000000"/>
              <w:right w:val="single" w:sz="4" w:space="0" w:color="auto"/>
            </w:tcBorders>
            <w:shd w:val="clear" w:color="auto" w:fill="D9D9D9" w:themeFill="background1" w:themeFillShade="D9"/>
            <w:vAlign w:val="center"/>
            <w:hideMark/>
          </w:tcPr>
          <w:p w14:paraId="7745E4D8" w14:textId="77777777" w:rsidR="00E77F36" w:rsidRPr="003C66A0" w:rsidRDefault="00E77F36" w:rsidP="00AE1DED">
            <w:pPr>
              <w:rPr>
                <w:b/>
                <w:bCs/>
                <w:color w:val="000000" w:themeColor="text1"/>
              </w:rPr>
            </w:pPr>
          </w:p>
        </w:tc>
        <w:tc>
          <w:tcPr>
            <w:tcW w:w="3460" w:type="dxa"/>
            <w:tcBorders>
              <w:top w:val="nil"/>
              <w:left w:val="nil"/>
              <w:bottom w:val="nil"/>
              <w:right w:val="single" w:sz="4" w:space="0" w:color="auto"/>
            </w:tcBorders>
            <w:noWrap/>
            <w:vAlign w:val="bottom"/>
            <w:hideMark/>
          </w:tcPr>
          <w:p w14:paraId="4F69337F" w14:textId="77777777" w:rsidR="00E77F36" w:rsidRPr="003C66A0" w:rsidRDefault="00E77F36" w:rsidP="00AE1DED">
            <w:pPr>
              <w:rPr>
                <w:color w:val="000000" w:themeColor="text1"/>
              </w:rPr>
            </w:pPr>
            <w:r w:rsidRPr="003C66A0">
              <w:rPr>
                <w:color w:val="000000" w:themeColor="text1"/>
              </w:rPr>
              <w:t>Bootstrap CI (10,000 samples)</w:t>
            </w:r>
          </w:p>
        </w:tc>
        <w:tc>
          <w:tcPr>
            <w:tcW w:w="2020" w:type="dxa"/>
            <w:tcBorders>
              <w:top w:val="nil"/>
              <w:left w:val="nil"/>
              <w:bottom w:val="nil"/>
              <w:right w:val="single" w:sz="8" w:space="0" w:color="auto"/>
            </w:tcBorders>
            <w:noWrap/>
            <w:vAlign w:val="bottom"/>
            <w:hideMark/>
          </w:tcPr>
          <w:p w14:paraId="11E960E3" w14:textId="77777777" w:rsidR="00E77F36" w:rsidRPr="003C66A0" w:rsidRDefault="00E77F36" w:rsidP="00AE1DED">
            <w:pPr>
              <w:rPr>
                <w:color w:val="000000" w:themeColor="text1"/>
              </w:rPr>
            </w:pPr>
            <w:r w:rsidRPr="003C66A0">
              <w:rPr>
                <w:color w:val="000000" w:themeColor="text1"/>
              </w:rPr>
              <w:t>65%-80% range</w:t>
            </w:r>
          </w:p>
        </w:tc>
      </w:tr>
      <w:tr w:rsidR="00FC334A" w:rsidRPr="003C66A0" w14:paraId="2451828E" w14:textId="77777777" w:rsidTr="0003798A">
        <w:trPr>
          <w:trHeight w:val="320"/>
        </w:trPr>
        <w:tc>
          <w:tcPr>
            <w:tcW w:w="3960" w:type="dxa"/>
            <w:vMerge w:val="restart"/>
            <w:tcBorders>
              <w:top w:val="nil"/>
              <w:left w:val="single" w:sz="8" w:space="0" w:color="auto"/>
              <w:bottom w:val="single" w:sz="8" w:space="0" w:color="000000"/>
              <w:right w:val="single" w:sz="4" w:space="0" w:color="auto"/>
            </w:tcBorders>
            <w:shd w:val="clear" w:color="auto" w:fill="D9D9D9" w:themeFill="background1" w:themeFillShade="D9"/>
            <w:noWrap/>
            <w:hideMark/>
          </w:tcPr>
          <w:p w14:paraId="6769DEF8" w14:textId="77777777" w:rsidR="00E77F36" w:rsidRPr="003C66A0" w:rsidRDefault="00E77F36" w:rsidP="00AE1DED">
            <w:pPr>
              <w:rPr>
                <w:b/>
                <w:bCs/>
                <w:color w:val="000000" w:themeColor="text1"/>
              </w:rPr>
            </w:pPr>
            <w:r w:rsidRPr="003C66A0">
              <w:rPr>
                <w:b/>
                <w:bCs/>
                <w:color w:val="000000" w:themeColor="text1"/>
              </w:rPr>
              <w:t>41% annual loss probability</w:t>
            </w:r>
          </w:p>
        </w:tc>
        <w:tc>
          <w:tcPr>
            <w:tcW w:w="3460" w:type="dxa"/>
            <w:tcBorders>
              <w:top w:val="single" w:sz="8" w:space="0" w:color="auto"/>
              <w:left w:val="nil"/>
              <w:bottom w:val="single" w:sz="4" w:space="0" w:color="auto"/>
              <w:right w:val="single" w:sz="4" w:space="0" w:color="auto"/>
            </w:tcBorders>
            <w:noWrap/>
            <w:vAlign w:val="bottom"/>
            <w:hideMark/>
          </w:tcPr>
          <w:p w14:paraId="639BC295" w14:textId="77777777" w:rsidR="00E77F36" w:rsidRPr="003C66A0" w:rsidRDefault="00E77F36" w:rsidP="00AE1DED">
            <w:pPr>
              <w:rPr>
                <w:color w:val="000000" w:themeColor="text1"/>
              </w:rPr>
            </w:pPr>
            <w:r w:rsidRPr="003C66A0">
              <w:rPr>
                <w:color w:val="000000" w:themeColor="text1"/>
              </w:rPr>
              <w:t>Poisson vs empirical</w:t>
            </w:r>
          </w:p>
        </w:tc>
        <w:tc>
          <w:tcPr>
            <w:tcW w:w="2020" w:type="dxa"/>
            <w:tcBorders>
              <w:top w:val="single" w:sz="8" w:space="0" w:color="auto"/>
              <w:left w:val="nil"/>
              <w:bottom w:val="single" w:sz="4" w:space="0" w:color="auto"/>
              <w:right w:val="single" w:sz="8" w:space="0" w:color="auto"/>
            </w:tcBorders>
            <w:noWrap/>
            <w:vAlign w:val="bottom"/>
            <w:hideMark/>
          </w:tcPr>
          <w:p w14:paraId="6984BCF2" w14:textId="77777777" w:rsidR="00E77F36" w:rsidRPr="003C66A0" w:rsidRDefault="00E77F36" w:rsidP="00AE1DED">
            <w:pPr>
              <w:rPr>
                <w:color w:val="000000" w:themeColor="text1"/>
              </w:rPr>
            </w:pPr>
            <w:r w:rsidRPr="003C66A0">
              <w:rPr>
                <w:color w:val="000000" w:themeColor="text1"/>
              </w:rPr>
              <w:t>38% vs 41%</w:t>
            </w:r>
          </w:p>
        </w:tc>
      </w:tr>
      <w:tr w:rsidR="00FC334A" w:rsidRPr="003C66A0" w14:paraId="4AEEC367" w14:textId="77777777" w:rsidTr="0003798A">
        <w:trPr>
          <w:trHeight w:val="320"/>
        </w:trPr>
        <w:tc>
          <w:tcPr>
            <w:tcW w:w="3960" w:type="dxa"/>
            <w:vMerge/>
            <w:tcBorders>
              <w:top w:val="nil"/>
              <w:left w:val="single" w:sz="8" w:space="0" w:color="auto"/>
              <w:bottom w:val="single" w:sz="8" w:space="0" w:color="000000"/>
              <w:right w:val="single" w:sz="4" w:space="0" w:color="auto"/>
            </w:tcBorders>
            <w:shd w:val="clear" w:color="auto" w:fill="D9D9D9" w:themeFill="background1" w:themeFillShade="D9"/>
            <w:vAlign w:val="center"/>
            <w:hideMark/>
          </w:tcPr>
          <w:p w14:paraId="660A57FA" w14:textId="77777777" w:rsidR="00E77F36" w:rsidRPr="003C66A0" w:rsidRDefault="00E77F36" w:rsidP="00AE1DED">
            <w:pPr>
              <w:rPr>
                <w:b/>
                <w:bCs/>
                <w:color w:val="000000" w:themeColor="text1"/>
              </w:rPr>
            </w:pPr>
          </w:p>
        </w:tc>
        <w:tc>
          <w:tcPr>
            <w:tcW w:w="3460" w:type="dxa"/>
            <w:tcBorders>
              <w:top w:val="nil"/>
              <w:left w:val="nil"/>
              <w:bottom w:val="single" w:sz="4" w:space="0" w:color="auto"/>
              <w:right w:val="single" w:sz="4" w:space="0" w:color="auto"/>
            </w:tcBorders>
            <w:noWrap/>
            <w:vAlign w:val="bottom"/>
            <w:hideMark/>
          </w:tcPr>
          <w:p w14:paraId="35DDFC38" w14:textId="77777777" w:rsidR="00E77F36" w:rsidRPr="003C66A0" w:rsidRDefault="00E77F36" w:rsidP="00AE1DED">
            <w:pPr>
              <w:rPr>
                <w:color w:val="000000" w:themeColor="text1"/>
              </w:rPr>
            </w:pPr>
            <w:r w:rsidRPr="003C66A0">
              <w:rPr>
                <w:color w:val="000000" w:themeColor="text1"/>
              </w:rPr>
              <w:t>Exclude smart contract risks</w:t>
            </w:r>
          </w:p>
        </w:tc>
        <w:tc>
          <w:tcPr>
            <w:tcW w:w="2020" w:type="dxa"/>
            <w:tcBorders>
              <w:top w:val="nil"/>
              <w:left w:val="nil"/>
              <w:bottom w:val="single" w:sz="4" w:space="0" w:color="auto"/>
              <w:right w:val="single" w:sz="8" w:space="0" w:color="auto"/>
            </w:tcBorders>
            <w:noWrap/>
            <w:vAlign w:val="bottom"/>
            <w:hideMark/>
          </w:tcPr>
          <w:p w14:paraId="2021C77D" w14:textId="77777777" w:rsidR="00E77F36" w:rsidRPr="003C66A0" w:rsidRDefault="00E77F36" w:rsidP="00AE1DED">
            <w:pPr>
              <w:rPr>
                <w:color w:val="000000" w:themeColor="text1"/>
              </w:rPr>
            </w:pPr>
            <w:r w:rsidRPr="003C66A0">
              <w:rPr>
                <w:color w:val="000000" w:themeColor="text1"/>
              </w:rPr>
              <w:t>28% probability</w:t>
            </w:r>
          </w:p>
        </w:tc>
      </w:tr>
      <w:tr w:rsidR="00FC334A" w:rsidRPr="003C66A0" w14:paraId="19AF3DE3" w14:textId="77777777" w:rsidTr="0003798A">
        <w:trPr>
          <w:trHeight w:val="340"/>
        </w:trPr>
        <w:tc>
          <w:tcPr>
            <w:tcW w:w="3960" w:type="dxa"/>
            <w:vMerge/>
            <w:tcBorders>
              <w:top w:val="nil"/>
              <w:left w:val="single" w:sz="8" w:space="0" w:color="auto"/>
              <w:bottom w:val="single" w:sz="8" w:space="0" w:color="000000"/>
              <w:right w:val="single" w:sz="4" w:space="0" w:color="auto"/>
            </w:tcBorders>
            <w:shd w:val="clear" w:color="auto" w:fill="D9D9D9" w:themeFill="background1" w:themeFillShade="D9"/>
            <w:vAlign w:val="center"/>
            <w:hideMark/>
          </w:tcPr>
          <w:p w14:paraId="44CB1AB6" w14:textId="77777777" w:rsidR="00E77F36" w:rsidRPr="003C66A0" w:rsidRDefault="00E77F36" w:rsidP="00AE1DED">
            <w:pPr>
              <w:rPr>
                <w:b/>
                <w:bCs/>
                <w:color w:val="000000" w:themeColor="text1"/>
              </w:rPr>
            </w:pPr>
          </w:p>
        </w:tc>
        <w:tc>
          <w:tcPr>
            <w:tcW w:w="3460" w:type="dxa"/>
            <w:tcBorders>
              <w:top w:val="nil"/>
              <w:left w:val="nil"/>
              <w:bottom w:val="single" w:sz="8" w:space="0" w:color="auto"/>
              <w:right w:val="single" w:sz="4" w:space="0" w:color="auto"/>
            </w:tcBorders>
            <w:noWrap/>
            <w:vAlign w:val="bottom"/>
            <w:hideMark/>
          </w:tcPr>
          <w:p w14:paraId="3ECC9F38" w14:textId="77777777" w:rsidR="00E77F36" w:rsidRPr="003C66A0" w:rsidRDefault="00E77F36" w:rsidP="00AE1DED">
            <w:pPr>
              <w:rPr>
                <w:color w:val="000000" w:themeColor="text1"/>
              </w:rPr>
            </w:pPr>
            <w:r w:rsidRPr="003C66A0">
              <w:rPr>
                <w:color w:val="000000" w:themeColor="text1"/>
              </w:rPr>
              <w:t xml:space="preserve">Include only </w:t>
            </w:r>
            <w:proofErr w:type="spellStart"/>
            <w:r w:rsidRPr="003C66A0">
              <w:rPr>
                <w:color w:val="000000" w:themeColor="text1"/>
              </w:rPr>
              <w:t>mainnet</w:t>
            </w:r>
            <w:proofErr w:type="spellEnd"/>
          </w:p>
        </w:tc>
        <w:tc>
          <w:tcPr>
            <w:tcW w:w="2020" w:type="dxa"/>
            <w:tcBorders>
              <w:top w:val="nil"/>
              <w:left w:val="nil"/>
              <w:bottom w:val="single" w:sz="8" w:space="0" w:color="auto"/>
              <w:right w:val="single" w:sz="8" w:space="0" w:color="auto"/>
            </w:tcBorders>
            <w:noWrap/>
            <w:vAlign w:val="bottom"/>
            <w:hideMark/>
          </w:tcPr>
          <w:p w14:paraId="4B04FEC9" w14:textId="77777777" w:rsidR="00E77F36" w:rsidRPr="003C66A0" w:rsidRDefault="00E77F36" w:rsidP="00AE1DED">
            <w:pPr>
              <w:rPr>
                <w:color w:val="000000" w:themeColor="text1"/>
              </w:rPr>
            </w:pPr>
            <w:r w:rsidRPr="003C66A0">
              <w:rPr>
                <w:color w:val="000000" w:themeColor="text1"/>
              </w:rPr>
              <w:t>44% probability</w:t>
            </w:r>
          </w:p>
        </w:tc>
      </w:tr>
      <w:tr w:rsidR="00FC334A" w:rsidRPr="003C66A0" w14:paraId="2E063496" w14:textId="77777777" w:rsidTr="0003798A">
        <w:trPr>
          <w:trHeight w:val="320"/>
        </w:trPr>
        <w:tc>
          <w:tcPr>
            <w:tcW w:w="3960" w:type="dxa"/>
            <w:vMerge w:val="restart"/>
            <w:tcBorders>
              <w:top w:val="nil"/>
              <w:left w:val="single" w:sz="8" w:space="0" w:color="auto"/>
              <w:bottom w:val="single" w:sz="8" w:space="0" w:color="000000"/>
              <w:right w:val="single" w:sz="4" w:space="0" w:color="auto"/>
            </w:tcBorders>
            <w:shd w:val="clear" w:color="auto" w:fill="D9D9D9" w:themeFill="background1" w:themeFillShade="D9"/>
            <w:noWrap/>
            <w:hideMark/>
          </w:tcPr>
          <w:p w14:paraId="72E5F146" w14:textId="77777777" w:rsidR="00E77F36" w:rsidRPr="003C66A0" w:rsidRDefault="00E77F36" w:rsidP="00AE1DED">
            <w:pPr>
              <w:rPr>
                <w:b/>
                <w:bCs/>
                <w:color w:val="000000" w:themeColor="text1"/>
              </w:rPr>
            </w:pPr>
            <w:r w:rsidRPr="003C66A0">
              <w:rPr>
                <w:b/>
                <w:bCs/>
                <w:color w:val="000000" w:themeColor="text1"/>
              </w:rPr>
              <w:t>$25,000 minimum viable (Ethereum)</w:t>
            </w:r>
          </w:p>
        </w:tc>
        <w:tc>
          <w:tcPr>
            <w:tcW w:w="3460" w:type="dxa"/>
            <w:tcBorders>
              <w:top w:val="nil"/>
              <w:left w:val="nil"/>
              <w:bottom w:val="single" w:sz="4" w:space="0" w:color="auto"/>
              <w:right w:val="single" w:sz="4" w:space="0" w:color="auto"/>
            </w:tcBorders>
            <w:noWrap/>
            <w:vAlign w:val="bottom"/>
            <w:hideMark/>
          </w:tcPr>
          <w:p w14:paraId="7A65F307" w14:textId="77777777" w:rsidR="00E77F36" w:rsidRPr="003C66A0" w:rsidRDefault="00E77F36" w:rsidP="00AE1DED">
            <w:pPr>
              <w:rPr>
                <w:color w:val="000000" w:themeColor="text1"/>
              </w:rPr>
            </w:pPr>
            <w:r w:rsidRPr="003C66A0">
              <w:rPr>
                <w:color w:val="000000" w:themeColor="text1"/>
              </w:rPr>
              <w:t>Sensitivity to gas prices</w:t>
            </w:r>
          </w:p>
        </w:tc>
        <w:tc>
          <w:tcPr>
            <w:tcW w:w="2020" w:type="dxa"/>
            <w:tcBorders>
              <w:top w:val="nil"/>
              <w:left w:val="nil"/>
              <w:bottom w:val="single" w:sz="4" w:space="0" w:color="auto"/>
              <w:right w:val="single" w:sz="8" w:space="0" w:color="auto"/>
            </w:tcBorders>
            <w:noWrap/>
            <w:vAlign w:val="bottom"/>
            <w:hideMark/>
          </w:tcPr>
          <w:p w14:paraId="34294343" w14:textId="77777777" w:rsidR="00E77F36" w:rsidRPr="003C66A0" w:rsidRDefault="00E77F36" w:rsidP="00AE1DED">
            <w:pPr>
              <w:rPr>
                <w:color w:val="000000" w:themeColor="text1"/>
              </w:rPr>
            </w:pPr>
            <w:r w:rsidRPr="003C66A0">
              <w:rPr>
                <w:color w:val="000000" w:themeColor="text1"/>
              </w:rPr>
              <w:t>$18,000-$31,000 range</w:t>
            </w:r>
          </w:p>
        </w:tc>
      </w:tr>
      <w:tr w:rsidR="00FC334A" w:rsidRPr="003C66A0" w14:paraId="3AB018C8" w14:textId="77777777" w:rsidTr="0003798A">
        <w:trPr>
          <w:trHeight w:val="320"/>
        </w:trPr>
        <w:tc>
          <w:tcPr>
            <w:tcW w:w="3960" w:type="dxa"/>
            <w:vMerge/>
            <w:tcBorders>
              <w:top w:val="nil"/>
              <w:left w:val="single" w:sz="8" w:space="0" w:color="auto"/>
              <w:bottom w:val="single" w:sz="8" w:space="0" w:color="000000"/>
              <w:right w:val="single" w:sz="4" w:space="0" w:color="auto"/>
            </w:tcBorders>
            <w:shd w:val="clear" w:color="auto" w:fill="D9D9D9" w:themeFill="background1" w:themeFillShade="D9"/>
            <w:vAlign w:val="center"/>
            <w:hideMark/>
          </w:tcPr>
          <w:p w14:paraId="3F1C30C4" w14:textId="77777777" w:rsidR="00E77F36" w:rsidRPr="003C66A0" w:rsidRDefault="00E77F36" w:rsidP="00AE1DED">
            <w:pPr>
              <w:rPr>
                <w:b/>
                <w:bCs/>
                <w:color w:val="000000" w:themeColor="text1"/>
              </w:rPr>
            </w:pPr>
          </w:p>
        </w:tc>
        <w:tc>
          <w:tcPr>
            <w:tcW w:w="3460" w:type="dxa"/>
            <w:tcBorders>
              <w:top w:val="nil"/>
              <w:left w:val="nil"/>
              <w:bottom w:val="single" w:sz="4" w:space="0" w:color="auto"/>
              <w:right w:val="single" w:sz="4" w:space="0" w:color="auto"/>
            </w:tcBorders>
            <w:noWrap/>
            <w:vAlign w:val="bottom"/>
            <w:hideMark/>
          </w:tcPr>
          <w:p w14:paraId="3787939D" w14:textId="77777777" w:rsidR="00E77F36" w:rsidRPr="003C66A0" w:rsidRDefault="00E77F36" w:rsidP="00AE1DED">
            <w:pPr>
              <w:rPr>
                <w:color w:val="000000" w:themeColor="text1"/>
              </w:rPr>
            </w:pPr>
            <w:r w:rsidRPr="003C66A0">
              <w:rPr>
                <w:color w:val="000000" w:themeColor="text1"/>
              </w:rPr>
              <w:t>2024 data only</w:t>
            </w:r>
          </w:p>
        </w:tc>
        <w:tc>
          <w:tcPr>
            <w:tcW w:w="2020" w:type="dxa"/>
            <w:tcBorders>
              <w:top w:val="nil"/>
              <w:left w:val="nil"/>
              <w:bottom w:val="single" w:sz="4" w:space="0" w:color="auto"/>
              <w:right w:val="single" w:sz="8" w:space="0" w:color="auto"/>
            </w:tcBorders>
            <w:noWrap/>
            <w:vAlign w:val="bottom"/>
            <w:hideMark/>
          </w:tcPr>
          <w:p w14:paraId="6736C1A7" w14:textId="77777777" w:rsidR="00E77F36" w:rsidRPr="003C66A0" w:rsidRDefault="00E77F36" w:rsidP="00AE1DED">
            <w:pPr>
              <w:rPr>
                <w:color w:val="000000" w:themeColor="text1"/>
              </w:rPr>
            </w:pPr>
            <w:r w:rsidRPr="003C66A0">
              <w:rPr>
                <w:color w:val="000000" w:themeColor="text1"/>
              </w:rPr>
              <w:t>$23,000 minimum</w:t>
            </w:r>
          </w:p>
        </w:tc>
      </w:tr>
      <w:tr w:rsidR="00FC334A" w:rsidRPr="003C66A0" w14:paraId="66F3CE25" w14:textId="77777777" w:rsidTr="0003798A">
        <w:trPr>
          <w:trHeight w:val="340"/>
        </w:trPr>
        <w:tc>
          <w:tcPr>
            <w:tcW w:w="3960" w:type="dxa"/>
            <w:vMerge/>
            <w:tcBorders>
              <w:top w:val="nil"/>
              <w:left w:val="single" w:sz="8" w:space="0" w:color="auto"/>
              <w:bottom w:val="single" w:sz="8" w:space="0" w:color="000000"/>
              <w:right w:val="single" w:sz="4" w:space="0" w:color="auto"/>
            </w:tcBorders>
            <w:shd w:val="clear" w:color="auto" w:fill="D9D9D9" w:themeFill="background1" w:themeFillShade="D9"/>
            <w:vAlign w:val="center"/>
            <w:hideMark/>
          </w:tcPr>
          <w:p w14:paraId="10B386D4" w14:textId="77777777" w:rsidR="00E77F36" w:rsidRPr="003C66A0" w:rsidRDefault="00E77F36" w:rsidP="00AE1DED">
            <w:pPr>
              <w:rPr>
                <w:b/>
                <w:bCs/>
                <w:color w:val="000000" w:themeColor="text1"/>
              </w:rPr>
            </w:pPr>
          </w:p>
        </w:tc>
        <w:tc>
          <w:tcPr>
            <w:tcW w:w="3460" w:type="dxa"/>
            <w:tcBorders>
              <w:top w:val="nil"/>
              <w:left w:val="nil"/>
              <w:bottom w:val="single" w:sz="8" w:space="0" w:color="auto"/>
              <w:right w:val="single" w:sz="4" w:space="0" w:color="auto"/>
            </w:tcBorders>
            <w:noWrap/>
            <w:vAlign w:val="bottom"/>
            <w:hideMark/>
          </w:tcPr>
          <w:p w14:paraId="52482225" w14:textId="77777777" w:rsidR="00E77F36" w:rsidRPr="003C66A0" w:rsidRDefault="00E77F36" w:rsidP="00AE1DED">
            <w:pPr>
              <w:rPr>
                <w:color w:val="000000" w:themeColor="text1"/>
              </w:rPr>
            </w:pPr>
            <w:r w:rsidRPr="003C66A0">
              <w:rPr>
                <w:color w:val="000000" w:themeColor="text1"/>
              </w:rPr>
              <w:t>Include MEV revenue</w:t>
            </w:r>
          </w:p>
        </w:tc>
        <w:tc>
          <w:tcPr>
            <w:tcW w:w="2020" w:type="dxa"/>
            <w:tcBorders>
              <w:top w:val="nil"/>
              <w:left w:val="nil"/>
              <w:bottom w:val="single" w:sz="8" w:space="0" w:color="auto"/>
              <w:right w:val="single" w:sz="8" w:space="0" w:color="auto"/>
            </w:tcBorders>
            <w:noWrap/>
            <w:vAlign w:val="bottom"/>
            <w:hideMark/>
          </w:tcPr>
          <w:p w14:paraId="3452C8F2" w14:textId="77777777" w:rsidR="00E77F36" w:rsidRPr="003C66A0" w:rsidRDefault="00E77F36" w:rsidP="00AE1DED">
            <w:pPr>
              <w:rPr>
                <w:color w:val="000000" w:themeColor="text1"/>
              </w:rPr>
            </w:pPr>
            <w:r w:rsidRPr="003C66A0">
              <w:rPr>
                <w:color w:val="000000" w:themeColor="text1"/>
              </w:rPr>
              <w:t>$21,000 minimum</w:t>
            </w:r>
          </w:p>
        </w:tc>
      </w:tr>
    </w:tbl>
    <w:p w14:paraId="633129DB" w14:textId="173532F9" w:rsidR="00E77F36" w:rsidRPr="00ED4F11" w:rsidRDefault="00D15AF2" w:rsidP="00AE1DED">
      <w:pPr>
        <w:jc w:val="both"/>
        <w:rPr>
          <w:rFonts w:eastAsiaTheme="majorEastAsia"/>
          <w:i/>
          <w:iCs/>
          <w:color w:val="000000" w:themeColor="text1"/>
        </w:rPr>
      </w:pPr>
      <w:r w:rsidRPr="003C66A0">
        <w:rPr>
          <w:rFonts w:eastAsiaTheme="majorEastAsia"/>
          <w:i/>
          <w:iCs/>
          <w:color w:val="000000" w:themeColor="text1"/>
        </w:rPr>
        <w:t xml:space="preserve">Interpretive Note: </w:t>
      </w:r>
      <w:r w:rsidRPr="005E08D8">
        <w:rPr>
          <w:rFonts w:eastAsiaTheme="majorEastAsia"/>
          <w:color w:val="000000" w:themeColor="text1"/>
        </w:rPr>
        <w:t xml:space="preserve">The stability of the 73% failure rate across multiple robustness checks (ranging from 61% to 69%) confirms this is not an artifact of analytical choices—even under the most favorable assumptions excluding gas costs entirely, </w:t>
      </w:r>
      <w:proofErr w:type="gramStart"/>
      <w:r w:rsidRPr="005E08D8">
        <w:rPr>
          <w:rFonts w:eastAsiaTheme="majorEastAsia"/>
          <w:color w:val="000000" w:themeColor="text1"/>
        </w:rPr>
        <w:t>the majority of</w:t>
      </w:r>
      <w:proofErr w:type="gramEnd"/>
      <w:r w:rsidRPr="005E08D8">
        <w:rPr>
          <w:rFonts w:eastAsiaTheme="majorEastAsia"/>
          <w:color w:val="000000" w:themeColor="text1"/>
        </w:rPr>
        <w:t xml:space="preserve"> positions remained unprofitable, validating the core finding that DeFi passive income is unviable for most participants.</w:t>
      </w:r>
    </w:p>
    <w:p w14:paraId="0AA214CD" w14:textId="77777777" w:rsidR="00E77F36" w:rsidRDefault="00E77F36" w:rsidP="00AE1DED">
      <w:pPr>
        <w:jc w:val="both"/>
        <w:rPr>
          <w:rFonts w:eastAsiaTheme="majorEastAsia"/>
          <w:b/>
          <w:bCs/>
          <w:color w:val="000000" w:themeColor="text1"/>
        </w:rPr>
      </w:pPr>
    </w:p>
    <w:p w14:paraId="0BF6B1CF" w14:textId="77777777" w:rsidR="00D74858" w:rsidRPr="003C66A0" w:rsidRDefault="00D74858" w:rsidP="00AE1DED">
      <w:pPr>
        <w:rPr>
          <w:rFonts w:eastAsiaTheme="majorEastAsia"/>
          <w:b/>
          <w:bCs/>
          <w:color w:val="000000" w:themeColor="text1"/>
        </w:rPr>
      </w:pPr>
    </w:p>
    <w:p w14:paraId="22F282DD" w14:textId="6650D9A2" w:rsidR="00060FAF" w:rsidRPr="00ED4F11" w:rsidRDefault="00060FAF" w:rsidP="00AE1DED">
      <w:pPr>
        <w:pStyle w:val="Heading3"/>
        <w:rPr>
          <w:rFonts w:eastAsiaTheme="majorEastAsia"/>
        </w:rPr>
      </w:pPr>
      <w:bookmarkStart w:id="287" w:name="_Toc214722093"/>
      <w:r w:rsidRPr="00ED4F11">
        <w:rPr>
          <w:rFonts w:eastAsiaTheme="majorEastAsia"/>
        </w:rPr>
        <w:t xml:space="preserve">Table </w:t>
      </w:r>
      <w:r w:rsidR="00E26ED1" w:rsidRPr="00ED4F11">
        <w:rPr>
          <w:rFonts w:eastAsiaTheme="majorEastAsia"/>
        </w:rPr>
        <w:t>E</w:t>
      </w:r>
      <w:r w:rsidRPr="00ED4F11">
        <w:rPr>
          <w:rFonts w:eastAsiaTheme="majorEastAsia"/>
        </w:rPr>
        <w:t>.4: Missing Data Treatment</w:t>
      </w:r>
      <w:bookmarkEnd w:id="287"/>
    </w:p>
    <w:p w14:paraId="101BD7DF" w14:textId="77777777" w:rsidR="00ED4F11" w:rsidRPr="00ED4F11" w:rsidRDefault="00ED4F11" w:rsidP="00AE1DED">
      <w:pPr>
        <w:rPr>
          <w:rFonts w:eastAsiaTheme="majorEastAsia"/>
        </w:rPr>
      </w:pPr>
    </w:p>
    <w:tbl>
      <w:tblPr>
        <w:tblW w:w="9440" w:type="dxa"/>
        <w:tblLook w:val="04A0" w:firstRow="1" w:lastRow="0" w:firstColumn="1" w:lastColumn="0" w:noHBand="0" w:noVBand="1"/>
      </w:tblPr>
      <w:tblGrid>
        <w:gridCol w:w="2420"/>
        <w:gridCol w:w="1350"/>
        <w:gridCol w:w="2520"/>
        <w:gridCol w:w="3150"/>
      </w:tblGrid>
      <w:tr w:rsidR="00FC334A" w:rsidRPr="003C66A0" w14:paraId="366C867A" w14:textId="77777777" w:rsidTr="0003798A">
        <w:trPr>
          <w:trHeight w:val="340"/>
        </w:trPr>
        <w:tc>
          <w:tcPr>
            <w:tcW w:w="2420"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1907DCC6" w14:textId="77777777" w:rsidR="00E77F36" w:rsidRPr="003C66A0" w:rsidRDefault="00E77F36" w:rsidP="00AE1DED">
            <w:pPr>
              <w:rPr>
                <w:b/>
                <w:bCs/>
                <w:color w:val="000000" w:themeColor="text1"/>
              </w:rPr>
            </w:pPr>
            <w:r w:rsidRPr="003C66A0">
              <w:rPr>
                <w:b/>
                <w:bCs/>
                <w:color w:val="000000" w:themeColor="text1"/>
              </w:rPr>
              <w:t>Variable</w:t>
            </w:r>
          </w:p>
        </w:tc>
        <w:tc>
          <w:tcPr>
            <w:tcW w:w="1350" w:type="dxa"/>
            <w:tcBorders>
              <w:top w:val="single" w:sz="8" w:space="0" w:color="auto"/>
              <w:left w:val="nil"/>
              <w:bottom w:val="single" w:sz="8" w:space="0" w:color="auto"/>
              <w:right w:val="single" w:sz="4" w:space="0" w:color="auto"/>
            </w:tcBorders>
            <w:shd w:val="clear" w:color="auto" w:fill="D9D9D9" w:themeFill="background1" w:themeFillShade="D9"/>
            <w:noWrap/>
            <w:vAlign w:val="bottom"/>
            <w:hideMark/>
          </w:tcPr>
          <w:p w14:paraId="5DAD51FF" w14:textId="77777777" w:rsidR="00E77F36" w:rsidRPr="003C66A0" w:rsidRDefault="00E77F36" w:rsidP="00AE1DED">
            <w:pPr>
              <w:rPr>
                <w:b/>
                <w:bCs/>
                <w:color w:val="000000" w:themeColor="text1"/>
              </w:rPr>
            </w:pPr>
            <w:r w:rsidRPr="003C66A0">
              <w:rPr>
                <w:b/>
                <w:bCs/>
                <w:color w:val="000000" w:themeColor="text1"/>
              </w:rPr>
              <w:t>Missing %</w:t>
            </w:r>
          </w:p>
        </w:tc>
        <w:tc>
          <w:tcPr>
            <w:tcW w:w="2520" w:type="dxa"/>
            <w:tcBorders>
              <w:top w:val="single" w:sz="8" w:space="0" w:color="auto"/>
              <w:left w:val="nil"/>
              <w:bottom w:val="single" w:sz="8" w:space="0" w:color="auto"/>
              <w:right w:val="single" w:sz="4" w:space="0" w:color="auto"/>
            </w:tcBorders>
            <w:shd w:val="clear" w:color="auto" w:fill="D9D9D9" w:themeFill="background1" w:themeFillShade="D9"/>
            <w:noWrap/>
            <w:vAlign w:val="bottom"/>
            <w:hideMark/>
          </w:tcPr>
          <w:p w14:paraId="5D2F9B12" w14:textId="77777777" w:rsidR="00E77F36" w:rsidRPr="003C66A0" w:rsidRDefault="00E77F36" w:rsidP="00AE1DED">
            <w:pPr>
              <w:rPr>
                <w:b/>
                <w:bCs/>
                <w:color w:val="000000" w:themeColor="text1"/>
              </w:rPr>
            </w:pPr>
            <w:r w:rsidRPr="003C66A0">
              <w:rPr>
                <w:b/>
                <w:bCs/>
                <w:color w:val="000000" w:themeColor="text1"/>
              </w:rPr>
              <w:t>Method</w:t>
            </w:r>
          </w:p>
        </w:tc>
        <w:tc>
          <w:tcPr>
            <w:tcW w:w="3150" w:type="dxa"/>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065CEFEA" w14:textId="77777777" w:rsidR="00E77F36" w:rsidRPr="003C66A0" w:rsidRDefault="00E77F36" w:rsidP="00AE1DED">
            <w:pPr>
              <w:rPr>
                <w:b/>
                <w:bCs/>
                <w:color w:val="000000" w:themeColor="text1"/>
              </w:rPr>
            </w:pPr>
            <w:r w:rsidRPr="003C66A0">
              <w:rPr>
                <w:b/>
                <w:bCs/>
                <w:color w:val="000000" w:themeColor="text1"/>
              </w:rPr>
              <w:t>Justification</w:t>
            </w:r>
          </w:p>
        </w:tc>
      </w:tr>
      <w:tr w:rsidR="00FC334A" w:rsidRPr="003C66A0" w14:paraId="1B4AC2F9" w14:textId="77777777" w:rsidTr="0003798A">
        <w:trPr>
          <w:trHeight w:val="320"/>
        </w:trPr>
        <w:tc>
          <w:tcPr>
            <w:tcW w:w="2420" w:type="dxa"/>
            <w:tcBorders>
              <w:top w:val="nil"/>
              <w:left w:val="single" w:sz="8" w:space="0" w:color="auto"/>
              <w:bottom w:val="single" w:sz="4" w:space="0" w:color="auto"/>
              <w:right w:val="single" w:sz="8" w:space="0" w:color="auto"/>
            </w:tcBorders>
            <w:shd w:val="clear" w:color="auto" w:fill="D9D9D9" w:themeFill="background1" w:themeFillShade="D9"/>
            <w:noWrap/>
            <w:vAlign w:val="bottom"/>
            <w:hideMark/>
          </w:tcPr>
          <w:p w14:paraId="7C6FBF13" w14:textId="77777777" w:rsidR="00E77F36" w:rsidRPr="003C66A0" w:rsidRDefault="00E77F36" w:rsidP="00AE1DED">
            <w:pPr>
              <w:rPr>
                <w:b/>
                <w:bCs/>
                <w:color w:val="000000" w:themeColor="text1"/>
              </w:rPr>
            </w:pPr>
            <w:r w:rsidRPr="003C66A0">
              <w:rPr>
                <w:b/>
                <w:bCs/>
                <w:color w:val="000000" w:themeColor="text1"/>
              </w:rPr>
              <w:t>Final position value</w:t>
            </w:r>
          </w:p>
        </w:tc>
        <w:tc>
          <w:tcPr>
            <w:tcW w:w="1350" w:type="dxa"/>
            <w:tcBorders>
              <w:top w:val="nil"/>
              <w:left w:val="nil"/>
              <w:bottom w:val="single" w:sz="4" w:space="0" w:color="auto"/>
              <w:right w:val="single" w:sz="4" w:space="0" w:color="auto"/>
            </w:tcBorders>
            <w:noWrap/>
            <w:vAlign w:val="bottom"/>
            <w:hideMark/>
          </w:tcPr>
          <w:p w14:paraId="6602240D" w14:textId="77777777" w:rsidR="00E77F36" w:rsidRPr="003C66A0" w:rsidRDefault="00E77F36" w:rsidP="00AE1DED">
            <w:pPr>
              <w:jc w:val="right"/>
              <w:rPr>
                <w:color w:val="000000" w:themeColor="text1"/>
              </w:rPr>
            </w:pPr>
            <w:r w:rsidRPr="003C66A0">
              <w:rPr>
                <w:color w:val="000000" w:themeColor="text1"/>
              </w:rPr>
              <w:t>8.30%</w:t>
            </w:r>
          </w:p>
        </w:tc>
        <w:tc>
          <w:tcPr>
            <w:tcW w:w="2520" w:type="dxa"/>
            <w:tcBorders>
              <w:top w:val="nil"/>
              <w:left w:val="nil"/>
              <w:bottom w:val="single" w:sz="4" w:space="0" w:color="auto"/>
              <w:right w:val="single" w:sz="4" w:space="0" w:color="auto"/>
            </w:tcBorders>
            <w:noWrap/>
            <w:vAlign w:val="bottom"/>
            <w:hideMark/>
          </w:tcPr>
          <w:p w14:paraId="7B2DF324" w14:textId="77777777" w:rsidR="00E77F36" w:rsidRPr="003C66A0" w:rsidRDefault="00E77F36" w:rsidP="00AE1DED">
            <w:pPr>
              <w:rPr>
                <w:color w:val="000000" w:themeColor="text1"/>
              </w:rPr>
            </w:pPr>
            <w:r w:rsidRPr="003C66A0">
              <w:rPr>
                <w:color w:val="000000" w:themeColor="text1"/>
              </w:rPr>
              <w:t>Multiple imputation (m=5)</w:t>
            </w:r>
          </w:p>
        </w:tc>
        <w:tc>
          <w:tcPr>
            <w:tcW w:w="3150" w:type="dxa"/>
            <w:tcBorders>
              <w:top w:val="nil"/>
              <w:left w:val="nil"/>
              <w:bottom w:val="single" w:sz="4" w:space="0" w:color="auto"/>
              <w:right w:val="single" w:sz="8" w:space="0" w:color="auto"/>
            </w:tcBorders>
            <w:noWrap/>
            <w:vAlign w:val="bottom"/>
            <w:hideMark/>
          </w:tcPr>
          <w:p w14:paraId="2CD5A5EA" w14:textId="77777777" w:rsidR="00E77F36" w:rsidRPr="003C66A0" w:rsidRDefault="00E77F36" w:rsidP="00AE1DED">
            <w:pPr>
              <w:rPr>
                <w:color w:val="000000" w:themeColor="text1"/>
              </w:rPr>
            </w:pPr>
            <w:r w:rsidRPr="003C66A0">
              <w:rPr>
                <w:color w:val="000000" w:themeColor="text1"/>
              </w:rPr>
              <w:t>MAR assumption reasonable</w:t>
            </w:r>
          </w:p>
        </w:tc>
      </w:tr>
      <w:tr w:rsidR="00FC334A" w:rsidRPr="003C66A0" w14:paraId="3CFC1409" w14:textId="77777777" w:rsidTr="0003798A">
        <w:trPr>
          <w:trHeight w:val="320"/>
        </w:trPr>
        <w:tc>
          <w:tcPr>
            <w:tcW w:w="2420" w:type="dxa"/>
            <w:tcBorders>
              <w:top w:val="nil"/>
              <w:left w:val="single" w:sz="8" w:space="0" w:color="auto"/>
              <w:bottom w:val="single" w:sz="4" w:space="0" w:color="auto"/>
              <w:right w:val="single" w:sz="8" w:space="0" w:color="auto"/>
            </w:tcBorders>
            <w:shd w:val="clear" w:color="auto" w:fill="D9D9D9" w:themeFill="background1" w:themeFillShade="D9"/>
            <w:noWrap/>
            <w:vAlign w:val="bottom"/>
            <w:hideMark/>
          </w:tcPr>
          <w:p w14:paraId="1E269071" w14:textId="77777777" w:rsidR="00E77F36" w:rsidRPr="003C66A0" w:rsidRDefault="00E77F36" w:rsidP="00AE1DED">
            <w:pPr>
              <w:rPr>
                <w:b/>
                <w:bCs/>
                <w:color w:val="000000" w:themeColor="text1"/>
              </w:rPr>
            </w:pPr>
            <w:r w:rsidRPr="003C66A0">
              <w:rPr>
                <w:b/>
                <w:bCs/>
                <w:color w:val="000000" w:themeColor="text1"/>
              </w:rPr>
              <w:t>Gas costs (some transactions)</w:t>
            </w:r>
          </w:p>
        </w:tc>
        <w:tc>
          <w:tcPr>
            <w:tcW w:w="1350" w:type="dxa"/>
            <w:tcBorders>
              <w:top w:val="nil"/>
              <w:left w:val="nil"/>
              <w:bottom w:val="single" w:sz="4" w:space="0" w:color="auto"/>
              <w:right w:val="single" w:sz="4" w:space="0" w:color="auto"/>
            </w:tcBorders>
            <w:noWrap/>
            <w:vAlign w:val="bottom"/>
            <w:hideMark/>
          </w:tcPr>
          <w:p w14:paraId="48800B8D" w14:textId="77777777" w:rsidR="00E77F36" w:rsidRPr="003C66A0" w:rsidRDefault="00E77F36" w:rsidP="00AE1DED">
            <w:pPr>
              <w:jc w:val="right"/>
              <w:rPr>
                <w:color w:val="000000" w:themeColor="text1"/>
              </w:rPr>
            </w:pPr>
            <w:r w:rsidRPr="003C66A0">
              <w:rPr>
                <w:color w:val="000000" w:themeColor="text1"/>
              </w:rPr>
              <w:t>12.10%</w:t>
            </w:r>
          </w:p>
        </w:tc>
        <w:tc>
          <w:tcPr>
            <w:tcW w:w="2520" w:type="dxa"/>
            <w:tcBorders>
              <w:top w:val="nil"/>
              <w:left w:val="nil"/>
              <w:bottom w:val="single" w:sz="4" w:space="0" w:color="auto"/>
              <w:right w:val="single" w:sz="4" w:space="0" w:color="auto"/>
            </w:tcBorders>
            <w:noWrap/>
            <w:vAlign w:val="bottom"/>
            <w:hideMark/>
          </w:tcPr>
          <w:p w14:paraId="73480B84" w14:textId="77777777" w:rsidR="00E77F36" w:rsidRPr="003C66A0" w:rsidRDefault="00E77F36" w:rsidP="00AE1DED">
            <w:pPr>
              <w:rPr>
                <w:color w:val="000000" w:themeColor="text1"/>
              </w:rPr>
            </w:pPr>
            <w:r w:rsidRPr="003C66A0">
              <w:rPr>
                <w:color w:val="000000" w:themeColor="text1"/>
              </w:rPr>
              <w:t>Model-based estimation</w:t>
            </w:r>
          </w:p>
        </w:tc>
        <w:tc>
          <w:tcPr>
            <w:tcW w:w="3150" w:type="dxa"/>
            <w:tcBorders>
              <w:top w:val="nil"/>
              <w:left w:val="nil"/>
              <w:bottom w:val="single" w:sz="4" w:space="0" w:color="auto"/>
              <w:right w:val="single" w:sz="8" w:space="0" w:color="auto"/>
            </w:tcBorders>
            <w:noWrap/>
            <w:vAlign w:val="bottom"/>
            <w:hideMark/>
          </w:tcPr>
          <w:p w14:paraId="2DEECB5A" w14:textId="77777777" w:rsidR="00E77F36" w:rsidRPr="003C66A0" w:rsidRDefault="00E77F36" w:rsidP="00AE1DED">
            <w:pPr>
              <w:rPr>
                <w:color w:val="000000" w:themeColor="text1"/>
              </w:rPr>
            </w:pPr>
            <w:r w:rsidRPr="003C66A0">
              <w:rPr>
                <w:color w:val="000000" w:themeColor="text1"/>
              </w:rPr>
              <w:t>Predictable from transaction type</w:t>
            </w:r>
          </w:p>
        </w:tc>
      </w:tr>
      <w:tr w:rsidR="00FC334A" w:rsidRPr="003C66A0" w14:paraId="36AD46B5" w14:textId="77777777" w:rsidTr="0003798A">
        <w:trPr>
          <w:trHeight w:val="320"/>
        </w:trPr>
        <w:tc>
          <w:tcPr>
            <w:tcW w:w="2420" w:type="dxa"/>
            <w:tcBorders>
              <w:top w:val="nil"/>
              <w:left w:val="single" w:sz="8" w:space="0" w:color="auto"/>
              <w:bottom w:val="single" w:sz="4" w:space="0" w:color="auto"/>
              <w:right w:val="single" w:sz="8" w:space="0" w:color="auto"/>
            </w:tcBorders>
            <w:shd w:val="clear" w:color="auto" w:fill="D9D9D9" w:themeFill="background1" w:themeFillShade="D9"/>
            <w:noWrap/>
            <w:vAlign w:val="bottom"/>
            <w:hideMark/>
          </w:tcPr>
          <w:p w14:paraId="2D997D08" w14:textId="77777777" w:rsidR="00E77F36" w:rsidRPr="003C66A0" w:rsidRDefault="00E77F36" w:rsidP="00AE1DED">
            <w:pPr>
              <w:rPr>
                <w:b/>
                <w:bCs/>
                <w:color w:val="000000" w:themeColor="text1"/>
              </w:rPr>
            </w:pPr>
            <w:r w:rsidRPr="003C66A0">
              <w:rPr>
                <w:b/>
                <w:bCs/>
                <w:color w:val="000000" w:themeColor="text1"/>
              </w:rPr>
              <w:t>Time to rebalance</w:t>
            </w:r>
          </w:p>
        </w:tc>
        <w:tc>
          <w:tcPr>
            <w:tcW w:w="1350" w:type="dxa"/>
            <w:tcBorders>
              <w:top w:val="nil"/>
              <w:left w:val="nil"/>
              <w:bottom w:val="single" w:sz="4" w:space="0" w:color="auto"/>
              <w:right w:val="single" w:sz="4" w:space="0" w:color="auto"/>
            </w:tcBorders>
            <w:noWrap/>
            <w:vAlign w:val="bottom"/>
            <w:hideMark/>
          </w:tcPr>
          <w:p w14:paraId="745E54A0" w14:textId="77777777" w:rsidR="00E77F36" w:rsidRPr="003C66A0" w:rsidRDefault="00E77F36" w:rsidP="00AE1DED">
            <w:pPr>
              <w:jc w:val="right"/>
              <w:rPr>
                <w:color w:val="000000" w:themeColor="text1"/>
              </w:rPr>
            </w:pPr>
            <w:r w:rsidRPr="003C66A0">
              <w:rPr>
                <w:color w:val="000000" w:themeColor="text1"/>
              </w:rPr>
              <w:t>4.50%</w:t>
            </w:r>
          </w:p>
        </w:tc>
        <w:tc>
          <w:tcPr>
            <w:tcW w:w="2520" w:type="dxa"/>
            <w:tcBorders>
              <w:top w:val="nil"/>
              <w:left w:val="nil"/>
              <w:bottom w:val="single" w:sz="4" w:space="0" w:color="auto"/>
              <w:right w:val="single" w:sz="4" w:space="0" w:color="auto"/>
            </w:tcBorders>
            <w:noWrap/>
            <w:vAlign w:val="bottom"/>
            <w:hideMark/>
          </w:tcPr>
          <w:p w14:paraId="61E16B38" w14:textId="77777777" w:rsidR="00E77F36" w:rsidRPr="003C66A0" w:rsidRDefault="00E77F36" w:rsidP="00AE1DED">
            <w:pPr>
              <w:rPr>
                <w:color w:val="000000" w:themeColor="text1"/>
              </w:rPr>
            </w:pPr>
            <w:r w:rsidRPr="003C66A0">
              <w:rPr>
                <w:color w:val="000000" w:themeColor="text1"/>
              </w:rPr>
              <w:t>Listwise deletion</w:t>
            </w:r>
          </w:p>
        </w:tc>
        <w:tc>
          <w:tcPr>
            <w:tcW w:w="3150" w:type="dxa"/>
            <w:tcBorders>
              <w:top w:val="nil"/>
              <w:left w:val="nil"/>
              <w:bottom w:val="single" w:sz="4" w:space="0" w:color="auto"/>
              <w:right w:val="single" w:sz="8" w:space="0" w:color="auto"/>
            </w:tcBorders>
            <w:noWrap/>
            <w:vAlign w:val="bottom"/>
            <w:hideMark/>
          </w:tcPr>
          <w:p w14:paraId="1FDB2F2B" w14:textId="77777777" w:rsidR="00E77F36" w:rsidRPr="003C66A0" w:rsidRDefault="00E77F36" w:rsidP="00AE1DED">
            <w:pPr>
              <w:rPr>
                <w:color w:val="000000" w:themeColor="text1"/>
              </w:rPr>
            </w:pPr>
            <w:r w:rsidRPr="003C66A0">
              <w:rPr>
                <w:color w:val="000000" w:themeColor="text1"/>
              </w:rPr>
              <w:t>MCAR tested (Little's test p=0.31)</w:t>
            </w:r>
          </w:p>
        </w:tc>
      </w:tr>
      <w:tr w:rsidR="00FC334A" w:rsidRPr="003C66A0" w14:paraId="50D116C6" w14:textId="77777777" w:rsidTr="0003798A">
        <w:trPr>
          <w:trHeight w:val="340"/>
        </w:trPr>
        <w:tc>
          <w:tcPr>
            <w:tcW w:w="2420" w:type="dxa"/>
            <w:tcBorders>
              <w:top w:val="nil"/>
              <w:left w:val="single" w:sz="8" w:space="0" w:color="auto"/>
              <w:bottom w:val="single" w:sz="8" w:space="0" w:color="auto"/>
              <w:right w:val="single" w:sz="8" w:space="0" w:color="auto"/>
            </w:tcBorders>
            <w:shd w:val="clear" w:color="auto" w:fill="D9D9D9" w:themeFill="background1" w:themeFillShade="D9"/>
            <w:noWrap/>
            <w:vAlign w:val="bottom"/>
            <w:hideMark/>
          </w:tcPr>
          <w:p w14:paraId="307E6F89" w14:textId="77777777" w:rsidR="00E77F36" w:rsidRPr="003C66A0" w:rsidRDefault="00E77F36" w:rsidP="00AE1DED">
            <w:pPr>
              <w:rPr>
                <w:b/>
                <w:bCs/>
                <w:color w:val="000000" w:themeColor="text1"/>
              </w:rPr>
            </w:pPr>
            <w:r w:rsidRPr="003C66A0">
              <w:rPr>
                <w:b/>
                <w:bCs/>
                <w:color w:val="000000" w:themeColor="text1"/>
              </w:rPr>
              <w:t>Interview follow-ups</w:t>
            </w:r>
          </w:p>
        </w:tc>
        <w:tc>
          <w:tcPr>
            <w:tcW w:w="1350" w:type="dxa"/>
            <w:tcBorders>
              <w:top w:val="nil"/>
              <w:left w:val="nil"/>
              <w:bottom w:val="single" w:sz="8" w:space="0" w:color="auto"/>
              <w:right w:val="single" w:sz="4" w:space="0" w:color="auto"/>
            </w:tcBorders>
            <w:noWrap/>
            <w:vAlign w:val="bottom"/>
            <w:hideMark/>
          </w:tcPr>
          <w:p w14:paraId="7D89B62E" w14:textId="77777777" w:rsidR="00E77F36" w:rsidRPr="003C66A0" w:rsidRDefault="00E77F36" w:rsidP="00AE1DED">
            <w:pPr>
              <w:jc w:val="right"/>
              <w:rPr>
                <w:color w:val="000000" w:themeColor="text1"/>
              </w:rPr>
            </w:pPr>
            <w:r w:rsidRPr="003C66A0">
              <w:rPr>
                <w:color w:val="000000" w:themeColor="text1"/>
              </w:rPr>
              <w:t>18.50%</w:t>
            </w:r>
          </w:p>
        </w:tc>
        <w:tc>
          <w:tcPr>
            <w:tcW w:w="2520" w:type="dxa"/>
            <w:tcBorders>
              <w:top w:val="nil"/>
              <w:left w:val="nil"/>
              <w:bottom w:val="single" w:sz="8" w:space="0" w:color="auto"/>
              <w:right w:val="single" w:sz="4" w:space="0" w:color="auto"/>
            </w:tcBorders>
            <w:noWrap/>
            <w:vAlign w:val="bottom"/>
            <w:hideMark/>
          </w:tcPr>
          <w:p w14:paraId="271EF3A1" w14:textId="77777777" w:rsidR="00E77F36" w:rsidRPr="003C66A0" w:rsidRDefault="00E77F36" w:rsidP="00AE1DED">
            <w:pPr>
              <w:rPr>
                <w:color w:val="000000" w:themeColor="text1"/>
              </w:rPr>
            </w:pPr>
            <w:r w:rsidRPr="003C66A0">
              <w:rPr>
                <w:color w:val="000000" w:themeColor="text1"/>
              </w:rPr>
              <w:t>Qualitative notes</w:t>
            </w:r>
          </w:p>
        </w:tc>
        <w:tc>
          <w:tcPr>
            <w:tcW w:w="3150" w:type="dxa"/>
            <w:tcBorders>
              <w:top w:val="nil"/>
              <w:left w:val="nil"/>
              <w:bottom w:val="single" w:sz="8" w:space="0" w:color="auto"/>
              <w:right w:val="single" w:sz="8" w:space="0" w:color="auto"/>
            </w:tcBorders>
            <w:noWrap/>
            <w:vAlign w:val="bottom"/>
            <w:hideMark/>
          </w:tcPr>
          <w:p w14:paraId="69753723" w14:textId="77777777" w:rsidR="00E77F36" w:rsidRPr="003C66A0" w:rsidRDefault="00E77F36" w:rsidP="00AE1DED">
            <w:pPr>
              <w:rPr>
                <w:color w:val="000000" w:themeColor="text1"/>
              </w:rPr>
            </w:pPr>
            <w:r w:rsidRPr="003C66A0">
              <w:rPr>
                <w:color w:val="000000" w:themeColor="text1"/>
              </w:rPr>
              <w:t>Not quantitatively analyzed</w:t>
            </w:r>
          </w:p>
        </w:tc>
      </w:tr>
    </w:tbl>
    <w:p w14:paraId="5CC2432F" w14:textId="1B3A11F6" w:rsidR="00E77F36" w:rsidRPr="003C66A0" w:rsidRDefault="00D15AF2" w:rsidP="00AE1DED">
      <w:pPr>
        <w:jc w:val="both"/>
        <w:rPr>
          <w:rFonts w:eastAsiaTheme="majorEastAsia"/>
          <w:i/>
          <w:iCs/>
          <w:color w:val="000000" w:themeColor="text1"/>
        </w:rPr>
      </w:pPr>
      <w:r w:rsidRPr="003C66A0">
        <w:rPr>
          <w:rFonts w:eastAsiaTheme="majorEastAsia"/>
          <w:i/>
          <w:iCs/>
          <w:color w:val="000000" w:themeColor="text1"/>
        </w:rPr>
        <w:lastRenderedPageBreak/>
        <w:t xml:space="preserve">Interpretive Note: </w:t>
      </w:r>
      <w:r w:rsidRPr="005E08D8">
        <w:rPr>
          <w:rFonts w:eastAsiaTheme="majorEastAsia"/>
          <w:color w:val="000000" w:themeColor="text1"/>
        </w:rPr>
        <w:t>The 12.1% missing gas cost data and 8.3% missing final position values could bias results toward overestimating returns, as failed positions are more likely to have incomplete data—</w:t>
      </w:r>
      <w:r w:rsidR="00231D5B" w:rsidRPr="005E08D8">
        <w:rPr>
          <w:rFonts w:eastAsiaTheme="majorEastAsia"/>
          <w:color w:val="000000" w:themeColor="text1"/>
        </w:rPr>
        <w:t xml:space="preserve">my </w:t>
      </w:r>
      <w:r w:rsidRPr="005E08D8">
        <w:rPr>
          <w:rFonts w:eastAsiaTheme="majorEastAsia"/>
          <w:color w:val="000000" w:themeColor="text1"/>
        </w:rPr>
        <w:t>73% failure rate may therefore represent a lower bound on actual failure rates.</w:t>
      </w:r>
    </w:p>
    <w:p w14:paraId="159DAAAD" w14:textId="77777777" w:rsidR="00D15AF2" w:rsidRPr="003C66A0" w:rsidRDefault="00D15AF2" w:rsidP="00AE1DED">
      <w:pPr>
        <w:jc w:val="both"/>
        <w:rPr>
          <w:rFonts w:eastAsiaTheme="majorEastAsia"/>
          <w:b/>
          <w:bCs/>
          <w:color w:val="000000" w:themeColor="text1"/>
        </w:rPr>
      </w:pPr>
    </w:p>
    <w:p w14:paraId="10B3B688" w14:textId="77777777" w:rsidR="00060FAF" w:rsidRPr="003C66A0" w:rsidRDefault="00060FAF" w:rsidP="00AE1DED">
      <w:pPr>
        <w:jc w:val="both"/>
        <w:rPr>
          <w:rFonts w:eastAsiaTheme="majorEastAsia"/>
          <w:b/>
          <w:bCs/>
          <w:color w:val="000000" w:themeColor="text1"/>
        </w:rPr>
      </w:pPr>
      <w:r w:rsidRPr="003C66A0">
        <w:rPr>
          <w:rFonts w:eastAsiaTheme="majorEastAsia"/>
          <w:b/>
          <w:bCs/>
          <w:color w:val="000000" w:themeColor="text1"/>
        </w:rPr>
        <w:t>Assumptions Documentation:</w:t>
      </w:r>
    </w:p>
    <w:p w14:paraId="596E49CF" w14:textId="77777777" w:rsidR="00060FAF" w:rsidRPr="003C66A0" w:rsidRDefault="00060FAF" w:rsidP="00AE1DED">
      <w:pPr>
        <w:numPr>
          <w:ilvl w:val="0"/>
          <w:numId w:val="9"/>
        </w:numPr>
        <w:jc w:val="both"/>
        <w:rPr>
          <w:rFonts w:eastAsiaTheme="majorEastAsia"/>
          <w:color w:val="000000" w:themeColor="text1"/>
        </w:rPr>
      </w:pPr>
      <w:r w:rsidRPr="003C66A0">
        <w:rPr>
          <w:rFonts w:eastAsiaTheme="majorEastAsia"/>
          <w:color w:val="000000" w:themeColor="text1"/>
        </w:rPr>
        <w:t>Independence: Positions tracked were from separate wallets/individuals (verified via on-chain analysis)</w:t>
      </w:r>
    </w:p>
    <w:p w14:paraId="77127232" w14:textId="77777777" w:rsidR="00060FAF" w:rsidRPr="003C66A0" w:rsidRDefault="00060FAF" w:rsidP="00AE1DED">
      <w:pPr>
        <w:numPr>
          <w:ilvl w:val="0"/>
          <w:numId w:val="9"/>
        </w:numPr>
        <w:jc w:val="both"/>
        <w:rPr>
          <w:rFonts w:eastAsiaTheme="majorEastAsia"/>
          <w:color w:val="000000" w:themeColor="text1"/>
        </w:rPr>
      </w:pPr>
      <w:r w:rsidRPr="003C66A0">
        <w:rPr>
          <w:rFonts w:eastAsiaTheme="majorEastAsia"/>
          <w:color w:val="000000" w:themeColor="text1"/>
        </w:rPr>
        <w:t>Measurement Error: Assumed minimal for on-chain data, acknowledged for self-reported interview data</w:t>
      </w:r>
    </w:p>
    <w:p w14:paraId="19B3ECDD" w14:textId="77777777" w:rsidR="00060FAF" w:rsidRPr="003C66A0" w:rsidRDefault="00060FAF" w:rsidP="00AE1DED">
      <w:pPr>
        <w:numPr>
          <w:ilvl w:val="0"/>
          <w:numId w:val="9"/>
        </w:numPr>
        <w:jc w:val="both"/>
        <w:rPr>
          <w:rFonts w:eastAsiaTheme="majorEastAsia"/>
          <w:color w:val="000000" w:themeColor="text1"/>
        </w:rPr>
      </w:pPr>
      <w:r w:rsidRPr="003C66A0">
        <w:rPr>
          <w:rFonts w:eastAsiaTheme="majorEastAsia"/>
          <w:color w:val="000000" w:themeColor="text1"/>
        </w:rPr>
        <w:t>Temporal Stability: Tested via rolling window analysis; relationships stable within 6-month windows</w:t>
      </w:r>
    </w:p>
    <w:p w14:paraId="2692A823" w14:textId="77777777" w:rsidR="00060FAF" w:rsidRPr="003C66A0" w:rsidRDefault="00060FAF" w:rsidP="00AE1DED">
      <w:pPr>
        <w:numPr>
          <w:ilvl w:val="0"/>
          <w:numId w:val="9"/>
        </w:numPr>
        <w:jc w:val="both"/>
        <w:rPr>
          <w:rFonts w:eastAsiaTheme="majorEastAsia"/>
          <w:color w:val="000000" w:themeColor="text1"/>
        </w:rPr>
      </w:pPr>
      <w:r w:rsidRPr="003C66A0">
        <w:rPr>
          <w:rFonts w:eastAsiaTheme="majorEastAsia"/>
          <w:color w:val="000000" w:themeColor="text1"/>
        </w:rPr>
        <w:t>External Validity: Limited to observed market conditions (2020-2024); generalization caveats noted</w:t>
      </w:r>
    </w:p>
    <w:p w14:paraId="5096F9A1" w14:textId="77777777" w:rsidR="00C53B85" w:rsidRDefault="00C53B85" w:rsidP="00AE1DED">
      <w:pPr>
        <w:jc w:val="both"/>
        <w:rPr>
          <w:rFonts w:eastAsiaTheme="majorEastAsia"/>
          <w:b/>
          <w:bCs/>
          <w:color w:val="000000" w:themeColor="text1"/>
        </w:rPr>
      </w:pPr>
    </w:p>
    <w:p w14:paraId="7A5E6007" w14:textId="77777777" w:rsidR="00C53B85" w:rsidRDefault="00C53B85" w:rsidP="00AE1DED">
      <w:pPr>
        <w:jc w:val="both"/>
        <w:rPr>
          <w:rFonts w:eastAsiaTheme="majorEastAsia"/>
          <w:b/>
          <w:bCs/>
          <w:color w:val="000000" w:themeColor="text1"/>
        </w:rPr>
      </w:pPr>
    </w:p>
    <w:p w14:paraId="53E61218" w14:textId="77777777" w:rsidR="00522A8C" w:rsidRDefault="00522A8C" w:rsidP="00AE1DED">
      <w:pPr>
        <w:rPr>
          <w:rFonts w:eastAsiaTheme="majorEastAsia"/>
          <w:b/>
          <w:kern w:val="2"/>
          <w:sz w:val="28"/>
        </w:rPr>
      </w:pPr>
      <w:r>
        <w:rPr>
          <w:rFonts w:eastAsiaTheme="majorEastAsia"/>
        </w:rPr>
        <w:br w:type="page"/>
      </w:r>
    </w:p>
    <w:p w14:paraId="1196D6DF" w14:textId="26D1A650" w:rsidR="00C53B85" w:rsidRPr="003C66A0" w:rsidRDefault="00C53B85" w:rsidP="00AE1DED">
      <w:pPr>
        <w:pStyle w:val="Heading2"/>
        <w:rPr>
          <w:rFonts w:eastAsiaTheme="majorEastAsia"/>
        </w:rPr>
      </w:pPr>
      <w:bookmarkStart w:id="288" w:name="_Toc214722094"/>
      <w:r w:rsidRPr="003C66A0">
        <w:rPr>
          <w:rFonts w:eastAsiaTheme="majorEastAsia"/>
        </w:rPr>
        <w:lastRenderedPageBreak/>
        <w:t xml:space="preserve">APPENDIX </w:t>
      </w:r>
      <w:r>
        <w:rPr>
          <w:rFonts w:eastAsiaTheme="majorEastAsia"/>
        </w:rPr>
        <w:t>F</w:t>
      </w:r>
      <w:r w:rsidRPr="003C66A0">
        <w:rPr>
          <w:rFonts w:eastAsiaTheme="majorEastAsia"/>
        </w:rPr>
        <w:t xml:space="preserve">: </w:t>
      </w:r>
      <w:r>
        <w:rPr>
          <w:rFonts w:eastAsiaTheme="majorEastAsia"/>
        </w:rPr>
        <w:t>DeFi Risk Architecture</w:t>
      </w:r>
      <w:bookmarkEnd w:id="288"/>
    </w:p>
    <w:p w14:paraId="62BDD2E5" w14:textId="77777777" w:rsidR="00C53B85" w:rsidRDefault="00C53B85" w:rsidP="00AE1DED">
      <w:pPr>
        <w:pStyle w:val="Heading3"/>
        <w:rPr>
          <w:rFonts w:eastAsiaTheme="majorEastAsia"/>
        </w:rPr>
      </w:pPr>
    </w:p>
    <w:p w14:paraId="07B2F5DB" w14:textId="6081F6A4" w:rsidR="00C53B85" w:rsidRPr="00C53B85" w:rsidRDefault="00C53B85" w:rsidP="00AE1DED">
      <w:pPr>
        <w:pStyle w:val="Heading3"/>
        <w:rPr>
          <w:rFonts w:eastAsiaTheme="majorEastAsia"/>
        </w:rPr>
      </w:pPr>
      <w:bookmarkStart w:id="289" w:name="_Toc214722095"/>
      <w:r w:rsidRPr="00F17041">
        <w:rPr>
          <w:rFonts w:eastAsiaTheme="majorEastAsia"/>
        </w:rPr>
        <w:t xml:space="preserve">Table </w:t>
      </w:r>
      <w:r>
        <w:rPr>
          <w:rFonts w:eastAsiaTheme="majorEastAsia"/>
        </w:rPr>
        <w:t>F</w:t>
      </w:r>
      <w:r w:rsidRPr="00F17041">
        <w:rPr>
          <w:rFonts w:eastAsiaTheme="majorEastAsia"/>
        </w:rPr>
        <w:t xml:space="preserve">.1: </w:t>
      </w:r>
      <w:r w:rsidRPr="00C53B85">
        <w:rPr>
          <w:rFonts w:eastAsiaTheme="majorEastAsia"/>
        </w:rPr>
        <w:t>Risk Correlation Regime Shift</w:t>
      </w:r>
      <w:bookmarkEnd w:id="289"/>
    </w:p>
    <w:tbl>
      <w:tblPr>
        <w:tblStyle w:val="MediumShading1-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785"/>
      </w:tblGrid>
      <w:tr w:rsidR="005E08D8" w:rsidRPr="005E08D8" w14:paraId="365580D8" w14:textId="77777777" w:rsidTr="005E08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778E9157" w14:textId="77777777" w:rsidR="00C53B85" w:rsidRPr="005E08D8" w:rsidRDefault="00C53B85" w:rsidP="00AE1DED">
            <w:pPr>
              <w:jc w:val="center"/>
              <w:rPr>
                <w:color w:val="000000" w:themeColor="text1"/>
              </w:rPr>
            </w:pPr>
            <w:r w:rsidRPr="005E08D8">
              <w:rPr>
                <w:color w:val="000000" w:themeColor="text1"/>
              </w:rPr>
              <w:t>Market Condition</w:t>
            </w:r>
          </w:p>
        </w:tc>
        <w:tc>
          <w:tcPr>
            <w:tcW w:w="2160"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336AB76D" w14:textId="77777777" w:rsidR="00C53B85" w:rsidRPr="005E08D8" w:rsidRDefault="00C53B85" w:rsidP="00AE1DED">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5E08D8">
              <w:rPr>
                <w:color w:val="000000" w:themeColor="text1"/>
              </w:rPr>
              <w:t>Technical-Market</w:t>
            </w:r>
          </w:p>
        </w:tc>
        <w:tc>
          <w:tcPr>
            <w:tcW w:w="2160"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200BABCA" w14:textId="77777777" w:rsidR="00C53B85" w:rsidRPr="005E08D8" w:rsidRDefault="00C53B85" w:rsidP="00AE1DED">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5E08D8">
              <w:rPr>
                <w:color w:val="000000" w:themeColor="text1"/>
              </w:rPr>
              <w:t>Regulatory-Market</w:t>
            </w:r>
          </w:p>
        </w:tc>
        <w:tc>
          <w:tcPr>
            <w:tcW w:w="2785"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7ACA1A07" w14:textId="77777777" w:rsidR="00C53B85" w:rsidRPr="005E08D8" w:rsidRDefault="00C53B85" w:rsidP="00AE1DED">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5E08D8">
              <w:rPr>
                <w:color w:val="000000" w:themeColor="text1"/>
              </w:rPr>
              <w:t>Technical-Regulatory</w:t>
            </w:r>
          </w:p>
        </w:tc>
      </w:tr>
      <w:tr w:rsidR="00C53B85" w:rsidRPr="00C53B85" w14:paraId="0A3B9874" w14:textId="77777777" w:rsidTr="005E08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right w:val="none" w:sz="0" w:space="0" w:color="auto"/>
            </w:tcBorders>
            <w:shd w:val="clear" w:color="auto" w:fill="FFFFFF" w:themeFill="background1"/>
          </w:tcPr>
          <w:p w14:paraId="093CB384" w14:textId="77777777" w:rsidR="00C53B85" w:rsidRPr="00C53B85" w:rsidRDefault="00C53B85" w:rsidP="00AE1DED">
            <w:r w:rsidRPr="00C53B85">
              <w:t>Normal (80% of time)</w:t>
            </w:r>
          </w:p>
        </w:tc>
        <w:tc>
          <w:tcPr>
            <w:tcW w:w="2160" w:type="dxa"/>
            <w:tcBorders>
              <w:left w:val="none" w:sz="0" w:space="0" w:color="auto"/>
              <w:right w:val="none" w:sz="0" w:space="0" w:color="auto"/>
            </w:tcBorders>
            <w:shd w:val="clear" w:color="auto" w:fill="FFFFFF" w:themeFill="background1"/>
          </w:tcPr>
          <w:p w14:paraId="78BF88A5" w14:textId="77777777" w:rsidR="00C53B85" w:rsidRPr="00C53B85" w:rsidRDefault="00C53B85" w:rsidP="00AE1DED">
            <w:pPr>
              <w:jc w:val="center"/>
              <w:cnfStyle w:val="000000100000" w:firstRow="0" w:lastRow="0" w:firstColumn="0" w:lastColumn="0" w:oddVBand="0" w:evenVBand="0" w:oddHBand="1" w:evenHBand="0" w:firstRowFirstColumn="0" w:firstRowLastColumn="0" w:lastRowFirstColumn="0" w:lastRowLastColumn="0"/>
            </w:pPr>
            <w:r w:rsidRPr="00C53B85">
              <w:t>0.15</w:t>
            </w:r>
          </w:p>
        </w:tc>
        <w:tc>
          <w:tcPr>
            <w:tcW w:w="2160" w:type="dxa"/>
            <w:tcBorders>
              <w:left w:val="none" w:sz="0" w:space="0" w:color="auto"/>
              <w:right w:val="none" w:sz="0" w:space="0" w:color="auto"/>
            </w:tcBorders>
            <w:shd w:val="clear" w:color="auto" w:fill="FFFFFF" w:themeFill="background1"/>
          </w:tcPr>
          <w:p w14:paraId="66EA1CE6" w14:textId="77777777" w:rsidR="00C53B85" w:rsidRPr="00C53B85" w:rsidRDefault="00C53B85" w:rsidP="00AE1DED">
            <w:pPr>
              <w:jc w:val="center"/>
              <w:cnfStyle w:val="000000100000" w:firstRow="0" w:lastRow="0" w:firstColumn="0" w:lastColumn="0" w:oddVBand="0" w:evenVBand="0" w:oddHBand="1" w:evenHBand="0" w:firstRowFirstColumn="0" w:firstRowLastColumn="0" w:lastRowFirstColumn="0" w:lastRowLastColumn="0"/>
            </w:pPr>
            <w:r w:rsidRPr="00C53B85">
              <w:t>0.22</w:t>
            </w:r>
          </w:p>
        </w:tc>
        <w:tc>
          <w:tcPr>
            <w:tcW w:w="2785" w:type="dxa"/>
            <w:tcBorders>
              <w:left w:val="none" w:sz="0" w:space="0" w:color="auto"/>
            </w:tcBorders>
            <w:shd w:val="clear" w:color="auto" w:fill="FFFFFF" w:themeFill="background1"/>
          </w:tcPr>
          <w:p w14:paraId="3E63803E" w14:textId="77777777" w:rsidR="00C53B85" w:rsidRPr="00C53B85" w:rsidRDefault="00C53B85" w:rsidP="00AE1DED">
            <w:pPr>
              <w:jc w:val="center"/>
              <w:cnfStyle w:val="000000100000" w:firstRow="0" w:lastRow="0" w:firstColumn="0" w:lastColumn="0" w:oddVBand="0" w:evenVBand="0" w:oddHBand="1" w:evenHBand="0" w:firstRowFirstColumn="0" w:firstRowLastColumn="0" w:lastRowFirstColumn="0" w:lastRowLastColumn="0"/>
            </w:pPr>
            <w:r w:rsidRPr="00C53B85">
              <w:t>0.08</w:t>
            </w:r>
          </w:p>
        </w:tc>
      </w:tr>
      <w:tr w:rsidR="00C53B85" w:rsidRPr="00C53B85" w14:paraId="7FF9DCFA" w14:textId="77777777" w:rsidTr="005E08D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right w:val="none" w:sz="0" w:space="0" w:color="auto"/>
            </w:tcBorders>
            <w:shd w:val="clear" w:color="auto" w:fill="FFFFFF" w:themeFill="background1"/>
          </w:tcPr>
          <w:p w14:paraId="2B544A05" w14:textId="77777777" w:rsidR="00C53B85" w:rsidRPr="00C53B85" w:rsidRDefault="00C53B85" w:rsidP="00AE1DED">
            <w:r w:rsidRPr="00C53B85">
              <w:t>Stress (20% of time)</w:t>
            </w:r>
          </w:p>
        </w:tc>
        <w:tc>
          <w:tcPr>
            <w:tcW w:w="2160" w:type="dxa"/>
            <w:tcBorders>
              <w:left w:val="none" w:sz="0" w:space="0" w:color="auto"/>
              <w:right w:val="none" w:sz="0" w:space="0" w:color="auto"/>
            </w:tcBorders>
            <w:shd w:val="clear" w:color="auto" w:fill="FFFFFF" w:themeFill="background1"/>
          </w:tcPr>
          <w:p w14:paraId="5BA87E47" w14:textId="77777777" w:rsidR="00C53B85" w:rsidRPr="00C53B85" w:rsidRDefault="00C53B85" w:rsidP="00AE1DED">
            <w:pPr>
              <w:jc w:val="center"/>
              <w:cnfStyle w:val="000000010000" w:firstRow="0" w:lastRow="0" w:firstColumn="0" w:lastColumn="0" w:oddVBand="0" w:evenVBand="0" w:oddHBand="0" w:evenHBand="1" w:firstRowFirstColumn="0" w:firstRowLastColumn="0" w:lastRowFirstColumn="0" w:lastRowLastColumn="0"/>
            </w:pPr>
            <w:r w:rsidRPr="00C53B85">
              <w:t>0.78</w:t>
            </w:r>
          </w:p>
        </w:tc>
        <w:tc>
          <w:tcPr>
            <w:tcW w:w="2160" w:type="dxa"/>
            <w:tcBorders>
              <w:left w:val="none" w:sz="0" w:space="0" w:color="auto"/>
              <w:right w:val="none" w:sz="0" w:space="0" w:color="auto"/>
            </w:tcBorders>
            <w:shd w:val="clear" w:color="auto" w:fill="FFFFFF" w:themeFill="background1"/>
          </w:tcPr>
          <w:p w14:paraId="6A01492D" w14:textId="77777777" w:rsidR="00C53B85" w:rsidRPr="00C53B85" w:rsidRDefault="00C53B85" w:rsidP="00AE1DED">
            <w:pPr>
              <w:jc w:val="center"/>
              <w:cnfStyle w:val="000000010000" w:firstRow="0" w:lastRow="0" w:firstColumn="0" w:lastColumn="0" w:oddVBand="0" w:evenVBand="0" w:oddHBand="0" w:evenHBand="1" w:firstRowFirstColumn="0" w:firstRowLastColumn="0" w:lastRowFirstColumn="0" w:lastRowLastColumn="0"/>
            </w:pPr>
            <w:r w:rsidRPr="00C53B85">
              <w:t>0.81</w:t>
            </w:r>
          </w:p>
        </w:tc>
        <w:tc>
          <w:tcPr>
            <w:tcW w:w="2785" w:type="dxa"/>
            <w:tcBorders>
              <w:left w:val="none" w:sz="0" w:space="0" w:color="auto"/>
            </w:tcBorders>
            <w:shd w:val="clear" w:color="auto" w:fill="FFFFFF" w:themeFill="background1"/>
          </w:tcPr>
          <w:p w14:paraId="4E6125F4" w14:textId="77777777" w:rsidR="00C53B85" w:rsidRPr="00C53B85" w:rsidRDefault="00C53B85" w:rsidP="00AE1DED">
            <w:pPr>
              <w:jc w:val="center"/>
              <w:cnfStyle w:val="000000010000" w:firstRow="0" w:lastRow="0" w:firstColumn="0" w:lastColumn="0" w:oddVBand="0" w:evenVBand="0" w:oddHBand="0" w:evenHBand="1" w:firstRowFirstColumn="0" w:firstRowLastColumn="0" w:lastRowFirstColumn="0" w:lastRowLastColumn="0"/>
            </w:pPr>
            <w:r w:rsidRPr="00C53B85">
              <w:t>0.64</w:t>
            </w:r>
          </w:p>
        </w:tc>
      </w:tr>
    </w:tbl>
    <w:p w14:paraId="2F9F4CC5" w14:textId="77777777" w:rsidR="00C53B85" w:rsidRPr="00C53B85" w:rsidRDefault="00C53B85" w:rsidP="00AE1DED">
      <w:r w:rsidRPr="00C53B85">
        <w:rPr>
          <w:b/>
        </w:rPr>
        <w:t xml:space="preserve">→ Takeaway: </w:t>
      </w:r>
      <w:r w:rsidRPr="00C53B85">
        <w:t>Diversification fails when needed most (stress periods account for 85% of losses)</w:t>
      </w:r>
    </w:p>
    <w:p w14:paraId="0D50F544" w14:textId="77777777" w:rsidR="00C53B85" w:rsidRDefault="00C53B85" w:rsidP="00AE1DED"/>
    <w:p w14:paraId="39FF5BD5" w14:textId="77777777" w:rsidR="005E08D8" w:rsidRPr="00C53B85" w:rsidRDefault="005E08D8" w:rsidP="00AE1DED"/>
    <w:p w14:paraId="75DDE10E" w14:textId="457ED24B" w:rsidR="00C53B85" w:rsidRDefault="00522A8C" w:rsidP="00AE1DED">
      <w:pPr>
        <w:pStyle w:val="Heading3"/>
        <w:rPr>
          <w:rFonts w:eastAsiaTheme="majorEastAsia"/>
        </w:rPr>
      </w:pPr>
      <w:bookmarkStart w:id="290" w:name="_Toc214722096"/>
      <w:r w:rsidRPr="00F17041">
        <w:rPr>
          <w:rFonts w:eastAsiaTheme="majorEastAsia"/>
        </w:rPr>
        <w:t xml:space="preserve">Table </w:t>
      </w:r>
      <w:r>
        <w:rPr>
          <w:rFonts w:eastAsiaTheme="majorEastAsia"/>
        </w:rPr>
        <w:t>F</w:t>
      </w:r>
      <w:r w:rsidRPr="00F17041">
        <w:rPr>
          <w:rFonts w:eastAsiaTheme="majorEastAsia"/>
        </w:rPr>
        <w:t>.</w:t>
      </w:r>
      <w:r>
        <w:rPr>
          <w:rFonts w:eastAsiaTheme="majorEastAsia"/>
        </w:rPr>
        <w:t>2</w:t>
      </w:r>
      <w:r w:rsidRPr="00F17041">
        <w:rPr>
          <w:rFonts w:eastAsiaTheme="majorEastAsia"/>
        </w:rPr>
        <w:t xml:space="preserve">: </w:t>
      </w:r>
      <w:r w:rsidR="00C53B85" w:rsidRPr="00C53B85">
        <w:rPr>
          <w:rFonts w:eastAsiaTheme="majorEastAsia"/>
        </w:rPr>
        <w:t>Four Dominant Cascade Patterns</w:t>
      </w:r>
      <w:bookmarkEnd w:id="290"/>
    </w:p>
    <w:p w14:paraId="155DF8CF" w14:textId="77777777" w:rsidR="005E08D8" w:rsidRPr="005E08D8" w:rsidRDefault="005E08D8" w:rsidP="00AE1DED">
      <w:pPr>
        <w:rPr>
          <w:rFonts w:eastAsiaTheme="majorEastAsia"/>
        </w:rPr>
      </w:pPr>
    </w:p>
    <w:tbl>
      <w:tblPr>
        <w:tblStyle w:val="MediumShading1-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785"/>
      </w:tblGrid>
      <w:tr w:rsidR="005E08D8" w:rsidRPr="005E08D8" w14:paraId="58AED8F0" w14:textId="77777777" w:rsidTr="005E08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5C0FCE7F" w14:textId="77777777" w:rsidR="00C53B85" w:rsidRPr="005E08D8" w:rsidRDefault="00C53B85" w:rsidP="00AE1DED">
            <w:pPr>
              <w:rPr>
                <w:color w:val="000000" w:themeColor="text1"/>
              </w:rPr>
            </w:pPr>
            <w:r w:rsidRPr="005E08D8">
              <w:rPr>
                <w:color w:val="000000" w:themeColor="text1"/>
              </w:rPr>
              <w:t>Pattern</w:t>
            </w:r>
          </w:p>
        </w:tc>
        <w:tc>
          <w:tcPr>
            <w:tcW w:w="2160"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6571B414" w14:textId="77777777" w:rsidR="00C53B85" w:rsidRPr="005E08D8" w:rsidRDefault="00C53B85" w:rsidP="00AE1DED">
            <w:pPr>
              <w:cnfStyle w:val="100000000000" w:firstRow="1" w:lastRow="0" w:firstColumn="0" w:lastColumn="0" w:oddVBand="0" w:evenVBand="0" w:oddHBand="0" w:evenHBand="0" w:firstRowFirstColumn="0" w:firstRowLastColumn="0" w:lastRowFirstColumn="0" w:lastRowLastColumn="0"/>
              <w:rPr>
                <w:color w:val="000000" w:themeColor="text1"/>
              </w:rPr>
            </w:pPr>
            <w:r w:rsidRPr="005E08D8">
              <w:rPr>
                <w:color w:val="000000" w:themeColor="text1"/>
              </w:rPr>
              <w:t>Sequence</w:t>
            </w:r>
          </w:p>
        </w:tc>
        <w:tc>
          <w:tcPr>
            <w:tcW w:w="2160"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56164A37" w14:textId="77777777" w:rsidR="00C53B85" w:rsidRPr="005E08D8" w:rsidRDefault="00C53B85" w:rsidP="00AE1DED">
            <w:pPr>
              <w:cnfStyle w:val="100000000000" w:firstRow="1" w:lastRow="0" w:firstColumn="0" w:lastColumn="0" w:oddVBand="0" w:evenVBand="0" w:oddHBand="0" w:evenHBand="0" w:firstRowFirstColumn="0" w:firstRowLastColumn="0" w:lastRowFirstColumn="0" w:lastRowLastColumn="0"/>
              <w:rPr>
                <w:color w:val="000000" w:themeColor="text1"/>
              </w:rPr>
            </w:pPr>
            <w:r w:rsidRPr="005E08D8">
              <w:rPr>
                <w:color w:val="000000" w:themeColor="text1"/>
              </w:rPr>
              <w:t>Timeline</w:t>
            </w:r>
          </w:p>
        </w:tc>
        <w:tc>
          <w:tcPr>
            <w:tcW w:w="2785"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302A0FDA" w14:textId="77777777" w:rsidR="00C53B85" w:rsidRPr="005E08D8" w:rsidRDefault="00C53B85" w:rsidP="00AE1DED">
            <w:pPr>
              <w:cnfStyle w:val="100000000000" w:firstRow="1" w:lastRow="0" w:firstColumn="0" w:lastColumn="0" w:oddVBand="0" w:evenVBand="0" w:oddHBand="0" w:evenHBand="0" w:firstRowFirstColumn="0" w:firstRowLastColumn="0" w:lastRowFirstColumn="0" w:lastRowLastColumn="0"/>
              <w:rPr>
                <w:color w:val="000000" w:themeColor="text1"/>
              </w:rPr>
            </w:pPr>
            <w:r w:rsidRPr="005E08D8">
              <w:rPr>
                <w:color w:val="000000" w:themeColor="text1"/>
              </w:rPr>
              <w:t>Frequency</w:t>
            </w:r>
          </w:p>
        </w:tc>
      </w:tr>
      <w:tr w:rsidR="00C53B85" w:rsidRPr="00C53B85" w14:paraId="76D5BB29" w14:textId="77777777" w:rsidTr="005E08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right w:val="none" w:sz="0" w:space="0" w:color="auto"/>
            </w:tcBorders>
            <w:shd w:val="clear" w:color="auto" w:fill="FFFFFF" w:themeFill="background1"/>
          </w:tcPr>
          <w:p w14:paraId="46C5589D" w14:textId="77777777" w:rsidR="00C53B85" w:rsidRPr="00C53B85" w:rsidRDefault="00C53B85" w:rsidP="00AE1DED">
            <w:r w:rsidRPr="00C53B85">
              <w:t>Technical</w:t>
            </w:r>
          </w:p>
        </w:tc>
        <w:tc>
          <w:tcPr>
            <w:tcW w:w="2160" w:type="dxa"/>
            <w:tcBorders>
              <w:left w:val="none" w:sz="0" w:space="0" w:color="auto"/>
              <w:right w:val="none" w:sz="0" w:space="0" w:color="auto"/>
            </w:tcBorders>
            <w:shd w:val="clear" w:color="auto" w:fill="FFFFFF" w:themeFill="background1"/>
          </w:tcPr>
          <w:p w14:paraId="1BE54851" w14:textId="77777777" w:rsidR="00C53B85" w:rsidRPr="00C53B85" w:rsidRDefault="00C53B85" w:rsidP="00AE1DED">
            <w:pPr>
              <w:cnfStyle w:val="000000100000" w:firstRow="0" w:lastRow="0" w:firstColumn="0" w:lastColumn="0" w:oddVBand="0" w:evenVBand="0" w:oddHBand="1" w:evenHBand="0" w:firstRowFirstColumn="0" w:firstRowLastColumn="0" w:lastRowFirstColumn="0" w:lastRowLastColumn="0"/>
            </w:pPr>
            <w:r w:rsidRPr="00C53B85">
              <w:t>Exploit → Panic → Death Spiral</w:t>
            </w:r>
          </w:p>
        </w:tc>
        <w:tc>
          <w:tcPr>
            <w:tcW w:w="2160" w:type="dxa"/>
            <w:tcBorders>
              <w:left w:val="none" w:sz="0" w:space="0" w:color="auto"/>
              <w:right w:val="none" w:sz="0" w:space="0" w:color="auto"/>
            </w:tcBorders>
            <w:shd w:val="clear" w:color="auto" w:fill="FFFFFF" w:themeFill="background1"/>
          </w:tcPr>
          <w:p w14:paraId="461417A1" w14:textId="77777777" w:rsidR="00C53B85" w:rsidRPr="00C53B85" w:rsidRDefault="00C53B85" w:rsidP="00AE1DED">
            <w:pPr>
              <w:jc w:val="center"/>
              <w:cnfStyle w:val="000000100000" w:firstRow="0" w:lastRow="0" w:firstColumn="0" w:lastColumn="0" w:oddVBand="0" w:evenVBand="0" w:oddHBand="1" w:evenHBand="0" w:firstRowFirstColumn="0" w:firstRowLastColumn="0" w:lastRowFirstColumn="0" w:lastRowLastColumn="0"/>
            </w:pPr>
            <w:r w:rsidRPr="00C53B85">
              <w:t>Hours-Days</w:t>
            </w:r>
          </w:p>
        </w:tc>
        <w:tc>
          <w:tcPr>
            <w:tcW w:w="2785" w:type="dxa"/>
            <w:tcBorders>
              <w:left w:val="none" w:sz="0" w:space="0" w:color="auto"/>
            </w:tcBorders>
            <w:shd w:val="clear" w:color="auto" w:fill="FFFFFF" w:themeFill="background1"/>
          </w:tcPr>
          <w:p w14:paraId="0BDB4AEA" w14:textId="77777777" w:rsidR="00C53B85" w:rsidRPr="00C53B85" w:rsidRDefault="00C53B85" w:rsidP="00AE1DED">
            <w:pPr>
              <w:jc w:val="center"/>
              <w:cnfStyle w:val="000000100000" w:firstRow="0" w:lastRow="0" w:firstColumn="0" w:lastColumn="0" w:oddVBand="0" w:evenVBand="0" w:oddHBand="1" w:evenHBand="0" w:firstRowFirstColumn="0" w:firstRowLastColumn="0" w:lastRowFirstColumn="0" w:lastRowLastColumn="0"/>
            </w:pPr>
            <w:r w:rsidRPr="00C53B85">
              <w:t>34%</w:t>
            </w:r>
          </w:p>
        </w:tc>
      </w:tr>
      <w:tr w:rsidR="00C53B85" w:rsidRPr="00C53B85" w14:paraId="7BAA1430" w14:textId="77777777" w:rsidTr="005E08D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right w:val="none" w:sz="0" w:space="0" w:color="auto"/>
            </w:tcBorders>
            <w:shd w:val="clear" w:color="auto" w:fill="FFFFFF" w:themeFill="background1"/>
          </w:tcPr>
          <w:p w14:paraId="007A1107" w14:textId="77777777" w:rsidR="00C53B85" w:rsidRPr="00C53B85" w:rsidRDefault="00C53B85" w:rsidP="00AE1DED">
            <w:r w:rsidRPr="00C53B85">
              <w:t>Market</w:t>
            </w:r>
          </w:p>
        </w:tc>
        <w:tc>
          <w:tcPr>
            <w:tcW w:w="2160" w:type="dxa"/>
            <w:tcBorders>
              <w:left w:val="none" w:sz="0" w:space="0" w:color="auto"/>
              <w:right w:val="none" w:sz="0" w:space="0" w:color="auto"/>
            </w:tcBorders>
            <w:shd w:val="clear" w:color="auto" w:fill="FFFFFF" w:themeFill="background1"/>
          </w:tcPr>
          <w:p w14:paraId="65EBFA0E" w14:textId="77777777" w:rsidR="00C53B85" w:rsidRPr="00C53B85" w:rsidRDefault="00C53B85" w:rsidP="00AE1DED">
            <w:pPr>
              <w:cnfStyle w:val="000000010000" w:firstRow="0" w:lastRow="0" w:firstColumn="0" w:lastColumn="0" w:oddVBand="0" w:evenVBand="0" w:oddHBand="0" w:evenHBand="1" w:firstRowFirstColumn="0" w:firstRowLastColumn="0" w:lastRowFirstColumn="0" w:lastRowLastColumn="0"/>
            </w:pPr>
            <w:r w:rsidRPr="00C53B85">
              <w:t>Crash → Liquidations → Contagion</w:t>
            </w:r>
          </w:p>
        </w:tc>
        <w:tc>
          <w:tcPr>
            <w:tcW w:w="2160" w:type="dxa"/>
            <w:tcBorders>
              <w:left w:val="none" w:sz="0" w:space="0" w:color="auto"/>
              <w:right w:val="none" w:sz="0" w:space="0" w:color="auto"/>
            </w:tcBorders>
            <w:shd w:val="clear" w:color="auto" w:fill="FFFFFF" w:themeFill="background1"/>
          </w:tcPr>
          <w:p w14:paraId="28E4D3FD" w14:textId="77777777" w:rsidR="00C53B85" w:rsidRPr="00C53B85" w:rsidRDefault="00C53B85" w:rsidP="00AE1DED">
            <w:pPr>
              <w:jc w:val="center"/>
              <w:cnfStyle w:val="000000010000" w:firstRow="0" w:lastRow="0" w:firstColumn="0" w:lastColumn="0" w:oddVBand="0" w:evenVBand="0" w:oddHBand="0" w:evenHBand="1" w:firstRowFirstColumn="0" w:firstRowLastColumn="0" w:lastRowFirstColumn="0" w:lastRowLastColumn="0"/>
            </w:pPr>
            <w:r w:rsidRPr="00C53B85">
              <w:t>Hours</w:t>
            </w:r>
          </w:p>
        </w:tc>
        <w:tc>
          <w:tcPr>
            <w:tcW w:w="2785" w:type="dxa"/>
            <w:tcBorders>
              <w:left w:val="none" w:sz="0" w:space="0" w:color="auto"/>
            </w:tcBorders>
            <w:shd w:val="clear" w:color="auto" w:fill="FFFFFF" w:themeFill="background1"/>
          </w:tcPr>
          <w:p w14:paraId="6DA55B3D" w14:textId="77777777" w:rsidR="00C53B85" w:rsidRPr="00C53B85" w:rsidRDefault="00C53B85" w:rsidP="00AE1DED">
            <w:pPr>
              <w:jc w:val="center"/>
              <w:cnfStyle w:val="000000010000" w:firstRow="0" w:lastRow="0" w:firstColumn="0" w:lastColumn="0" w:oddVBand="0" w:evenVBand="0" w:oddHBand="0" w:evenHBand="1" w:firstRowFirstColumn="0" w:firstRowLastColumn="0" w:lastRowFirstColumn="0" w:lastRowLastColumn="0"/>
            </w:pPr>
            <w:r w:rsidRPr="00C53B85">
              <w:t>28%</w:t>
            </w:r>
          </w:p>
        </w:tc>
      </w:tr>
      <w:tr w:rsidR="00C53B85" w:rsidRPr="00C53B85" w14:paraId="419C3CAB" w14:textId="77777777" w:rsidTr="005E08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right w:val="none" w:sz="0" w:space="0" w:color="auto"/>
            </w:tcBorders>
            <w:shd w:val="clear" w:color="auto" w:fill="FFFFFF" w:themeFill="background1"/>
          </w:tcPr>
          <w:p w14:paraId="46D57E55" w14:textId="77777777" w:rsidR="00C53B85" w:rsidRPr="00C53B85" w:rsidRDefault="00C53B85" w:rsidP="00AE1DED">
            <w:r w:rsidRPr="00C53B85">
              <w:t>Regulatory</w:t>
            </w:r>
          </w:p>
        </w:tc>
        <w:tc>
          <w:tcPr>
            <w:tcW w:w="2160" w:type="dxa"/>
            <w:tcBorders>
              <w:left w:val="none" w:sz="0" w:space="0" w:color="auto"/>
              <w:right w:val="none" w:sz="0" w:space="0" w:color="auto"/>
            </w:tcBorders>
            <w:shd w:val="clear" w:color="auto" w:fill="FFFFFF" w:themeFill="background1"/>
          </w:tcPr>
          <w:p w14:paraId="075C5754" w14:textId="77777777" w:rsidR="00C53B85" w:rsidRPr="00C53B85" w:rsidRDefault="00C53B85" w:rsidP="00AE1DED">
            <w:pPr>
              <w:cnfStyle w:val="000000100000" w:firstRow="0" w:lastRow="0" w:firstColumn="0" w:lastColumn="0" w:oddVBand="0" w:evenVBand="0" w:oddHBand="1" w:evenHBand="0" w:firstRowFirstColumn="0" w:firstRowLastColumn="0" w:lastRowFirstColumn="0" w:lastRowLastColumn="0"/>
            </w:pPr>
            <w:r w:rsidRPr="00C53B85">
              <w:t>Action → Banking Freeze → Shutdown</w:t>
            </w:r>
          </w:p>
        </w:tc>
        <w:tc>
          <w:tcPr>
            <w:tcW w:w="2160" w:type="dxa"/>
            <w:tcBorders>
              <w:left w:val="none" w:sz="0" w:space="0" w:color="auto"/>
              <w:right w:val="none" w:sz="0" w:space="0" w:color="auto"/>
            </w:tcBorders>
            <w:shd w:val="clear" w:color="auto" w:fill="FFFFFF" w:themeFill="background1"/>
          </w:tcPr>
          <w:p w14:paraId="7C8ED9D3" w14:textId="77777777" w:rsidR="00C53B85" w:rsidRPr="00C53B85" w:rsidRDefault="00C53B85" w:rsidP="00AE1DED">
            <w:pPr>
              <w:jc w:val="center"/>
              <w:cnfStyle w:val="000000100000" w:firstRow="0" w:lastRow="0" w:firstColumn="0" w:lastColumn="0" w:oddVBand="0" w:evenVBand="0" w:oddHBand="1" w:evenHBand="0" w:firstRowFirstColumn="0" w:firstRowLastColumn="0" w:lastRowFirstColumn="0" w:lastRowLastColumn="0"/>
            </w:pPr>
            <w:r w:rsidRPr="00C53B85">
              <w:t>Weeks-Months</w:t>
            </w:r>
          </w:p>
        </w:tc>
        <w:tc>
          <w:tcPr>
            <w:tcW w:w="2785" w:type="dxa"/>
            <w:tcBorders>
              <w:left w:val="none" w:sz="0" w:space="0" w:color="auto"/>
            </w:tcBorders>
            <w:shd w:val="clear" w:color="auto" w:fill="FFFFFF" w:themeFill="background1"/>
          </w:tcPr>
          <w:p w14:paraId="0F476938" w14:textId="77777777" w:rsidR="00C53B85" w:rsidRPr="00C53B85" w:rsidRDefault="00C53B85" w:rsidP="00AE1DED">
            <w:pPr>
              <w:jc w:val="center"/>
              <w:cnfStyle w:val="000000100000" w:firstRow="0" w:lastRow="0" w:firstColumn="0" w:lastColumn="0" w:oddVBand="0" w:evenVBand="0" w:oddHBand="1" w:evenHBand="0" w:firstRowFirstColumn="0" w:firstRowLastColumn="0" w:lastRowFirstColumn="0" w:lastRowLastColumn="0"/>
            </w:pPr>
            <w:r w:rsidRPr="00C53B85">
              <w:t>21%</w:t>
            </w:r>
          </w:p>
        </w:tc>
      </w:tr>
      <w:tr w:rsidR="00C53B85" w:rsidRPr="00C53B85" w14:paraId="6F99F59A" w14:textId="77777777" w:rsidTr="005E08D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right w:val="none" w:sz="0" w:space="0" w:color="auto"/>
            </w:tcBorders>
            <w:shd w:val="clear" w:color="auto" w:fill="FFFFFF" w:themeFill="background1"/>
          </w:tcPr>
          <w:p w14:paraId="21D05639" w14:textId="77777777" w:rsidR="00C53B85" w:rsidRPr="00C53B85" w:rsidRDefault="00C53B85" w:rsidP="00AE1DED">
            <w:r w:rsidRPr="00C53B85">
              <w:t>Governance</w:t>
            </w:r>
          </w:p>
        </w:tc>
        <w:tc>
          <w:tcPr>
            <w:tcW w:w="2160" w:type="dxa"/>
            <w:tcBorders>
              <w:left w:val="none" w:sz="0" w:space="0" w:color="auto"/>
              <w:right w:val="none" w:sz="0" w:space="0" w:color="auto"/>
            </w:tcBorders>
            <w:shd w:val="clear" w:color="auto" w:fill="FFFFFF" w:themeFill="background1"/>
          </w:tcPr>
          <w:p w14:paraId="508883FA" w14:textId="77777777" w:rsidR="00C53B85" w:rsidRPr="00C53B85" w:rsidRDefault="00C53B85" w:rsidP="00AE1DED">
            <w:pPr>
              <w:cnfStyle w:val="000000010000" w:firstRow="0" w:lastRow="0" w:firstColumn="0" w:lastColumn="0" w:oddVBand="0" w:evenVBand="0" w:oddHBand="0" w:evenHBand="1" w:firstRowFirstColumn="0" w:firstRowLastColumn="0" w:lastRowFirstColumn="0" w:lastRowLastColumn="0"/>
            </w:pPr>
            <w:r w:rsidRPr="00C53B85">
              <w:t>Attack → Economics Broken → Exodus</w:t>
            </w:r>
          </w:p>
        </w:tc>
        <w:tc>
          <w:tcPr>
            <w:tcW w:w="2160" w:type="dxa"/>
            <w:tcBorders>
              <w:left w:val="none" w:sz="0" w:space="0" w:color="auto"/>
              <w:right w:val="none" w:sz="0" w:space="0" w:color="auto"/>
            </w:tcBorders>
            <w:shd w:val="clear" w:color="auto" w:fill="FFFFFF" w:themeFill="background1"/>
          </w:tcPr>
          <w:p w14:paraId="203BDB4C" w14:textId="77777777" w:rsidR="00C53B85" w:rsidRPr="00C53B85" w:rsidRDefault="00C53B85" w:rsidP="00AE1DED">
            <w:pPr>
              <w:jc w:val="center"/>
              <w:cnfStyle w:val="000000010000" w:firstRow="0" w:lastRow="0" w:firstColumn="0" w:lastColumn="0" w:oddVBand="0" w:evenVBand="0" w:oddHBand="0" w:evenHBand="1" w:firstRowFirstColumn="0" w:firstRowLastColumn="0" w:lastRowFirstColumn="0" w:lastRowLastColumn="0"/>
            </w:pPr>
            <w:r w:rsidRPr="00C53B85">
              <w:t>Days-Weeks</w:t>
            </w:r>
          </w:p>
        </w:tc>
        <w:tc>
          <w:tcPr>
            <w:tcW w:w="2785" w:type="dxa"/>
            <w:tcBorders>
              <w:left w:val="none" w:sz="0" w:space="0" w:color="auto"/>
            </w:tcBorders>
            <w:shd w:val="clear" w:color="auto" w:fill="FFFFFF" w:themeFill="background1"/>
          </w:tcPr>
          <w:p w14:paraId="3358C568" w14:textId="77777777" w:rsidR="00C53B85" w:rsidRPr="00C53B85" w:rsidRDefault="00C53B85" w:rsidP="00AE1DED">
            <w:pPr>
              <w:jc w:val="center"/>
              <w:cnfStyle w:val="000000010000" w:firstRow="0" w:lastRow="0" w:firstColumn="0" w:lastColumn="0" w:oddVBand="0" w:evenVBand="0" w:oddHBand="0" w:evenHBand="1" w:firstRowFirstColumn="0" w:firstRowLastColumn="0" w:lastRowFirstColumn="0" w:lastRowLastColumn="0"/>
            </w:pPr>
            <w:r w:rsidRPr="00C53B85">
              <w:t>17%</w:t>
            </w:r>
          </w:p>
        </w:tc>
      </w:tr>
    </w:tbl>
    <w:p w14:paraId="00701873" w14:textId="77777777" w:rsidR="00C53B85" w:rsidRPr="00C53B85" w:rsidRDefault="00C53B85" w:rsidP="00AE1DED">
      <w:r w:rsidRPr="00C53B85">
        <w:rPr>
          <w:b/>
        </w:rPr>
        <w:t xml:space="preserve">→ Takeaway: </w:t>
      </w:r>
      <w:r w:rsidRPr="00C53B85">
        <w:t>62% of failures execute in hours (Technical + Market), requiring 24/7 monitoring</w:t>
      </w:r>
    </w:p>
    <w:p w14:paraId="67669EDC" w14:textId="77777777" w:rsidR="00C53B85" w:rsidRDefault="00C53B85" w:rsidP="00AE1DED"/>
    <w:p w14:paraId="614A7BA6" w14:textId="77777777" w:rsidR="005E08D8" w:rsidRPr="00C53B85" w:rsidRDefault="005E08D8" w:rsidP="00AE1DED"/>
    <w:p w14:paraId="66E948C5" w14:textId="3727C178" w:rsidR="00C53B85" w:rsidRDefault="00522A8C" w:rsidP="00AE1DED">
      <w:pPr>
        <w:pStyle w:val="Heading3"/>
        <w:rPr>
          <w:rFonts w:eastAsiaTheme="majorEastAsia"/>
        </w:rPr>
      </w:pPr>
      <w:bookmarkStart w:id="291" w:name="_Toc214722097"/>
      <w:r w:rsidRPr="00F17041">
        <w:rPr>
          <w:rFonts w:eastAsiaTheme="majorEastAsia"/>
        </w:rPr>
        <w:t xml:space="preserve">Table </w:t>
      </w:r>
      <w:r>
        <w:rPr>
          <w:rFonts w:eastAsiaTheme="majorEastAsia"/>
        </w:rPr>
        <w:t>F</w:t>
      </w:r>
      <w:r w:rsidRPr="00F17041">
        <w:rPr>
          <w:rFonts w:eastAsiaTheme="majorEastAsia"/>
        </w:rPr>
        <w:t>.</w:t>
      </w:r>
      <w:r>
        <w:rPr>
          <w:rFonts w:eastAsiaTheme="majorEastAsia"/>
        </w:rPr>
        <w:t>3</w:t>
      </w:r>
      <w:r w:rsidRPr="00F17041">
        <w:rPr>
          <w:rFonts w:eastAsiaTheme="majorEastAsia"/>
        </w:rPr>
        <w:t xml:space="preserve">: </w:t>
      </w:r>
      <w:r w:rsidR="00C53B85" w:rsidRPr="00C53B85">
        <w:rPr>
          <w:rFonts w:eastAsiaTheme="majorEastAsia"/>
        </w:rPr>
        <w:t>Contagion Velocity (Terra/Luna Model)</w:t>
      </w:r>
      <w:bookmarkEnd w:id="291"/>
    </w:p>
    <w:p w14:paraId="445A9AE2" w14:textId="77777777" w:rsidR="005E08D8" w:rsidRPr="005E08D8" w:rsidRDefault="005E08D8" w:rsidP="00AE1DED">
      <w:pPr>
        <w:rPr>
          <w:rFonts w:eastAsiaTheme="majorEastAsia"/>
        </w:rPr>
      </w:pPr>
    </w:p>
    <w:tbl>
      <w:tblPr>
        <w:tblStyle w:val="MediumShading1-Accent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gridCol w:w="3595"/>
      </w:tblGrid>
      <w:tr w:rsidR="005E08D8" w:rsidRPr="005E08D8" w14:paraId="754531AE" w14:textId="77777777" w:rsidTr="005E08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1E99939F" w14:textId="77777777" w:rsidR="00C53B85" w:rsidRPr="005E08D8" w:rsidRDefault="00C53B85" w:rsidP="00AE1DED">
            <w:pPr>
              <w:rPr>
                <w:color w:val="000000" w:themeColor="text1"/>
              </w:rPr>
            </w:pPr>
            <w:r w:rsidRPr="005E08D8">
              <w:rPr>
                <w:color w:val="000000" w:themeColor="text1"/>
              </w:rPr>
              <w:t>Time</w:t>
            </w:r>
          </w:p>
        </w:tc>
        <w:tc>
          <w:tcPr>
            <w:tcW w:w="2880"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04C0FD60" w14:textId="77777777" w:rsidR="00C53B85" w:rsidRPr="005E08D8" w:rsidRDefault="00C53B85" w:rsidP="00AE1DED">
            <w:pPr>
              <w:cnfStyle w:val="100000000000" w:firstRow="1" w:lastRow="0" w:firstColumn="0" w:lastColumn="0" w:oddVBand="0" w:evenVBand="0" w:oddHBand="0" w:evenHBand="0" w:firstRowFirstColumn="0" w:firstRowLastColumn="0" w:lastRowFirstColumn="0" w:lastRowLastColumn="0"/>
              <w:rPr>
                <w:color w:val="000000" w:themeColor="text1"/>
              </w:rPr>
            </w:pPr>
            <w:r w:rsidRPr="005E08D8">
              <w:rPr>
                <w:color w:val="000000" w:themeColor="text1"/>
              </w:rPr>
              <w:t>Type</w:t>
            </w:r>
          </w:p>
        </w:tc>
        <w:tc>
          <w:tcPr>
            <w:tcW w:w="3595"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7AC511B4" w14:textId="77777777" w:rsidR="00C53B85" w:rsidRPr="005E08D8" w:rsidRDefault="00C53B85" w:rsidP="00AE1DED">
            <w:pPr>
              <w:cnfStyle w:val="100000000000" w:firstRow="1" w:lastRow="0" w:firstColumn="0" w:lastColumn="0" w:oddVBand="0" w:evenVBand="0" w:oddHBand="0" w:evenHBand="0" w:firstRowFirstColumn="0" w:firstRowLastColumn="0" w:lastRowFirstColumn="0" w:lastRowLastColumn="0"/>
              <w:rPr>
                <w:color w:val="000000" w:themeColor="text1"/>
              </w:rPr>
            </w:pPr>
            <w:r w:rsidRPr="005E08D8">
              <w:rPr>
                <w:color w:val="000000" w:themeColor="text1"/>
              </w:rPr>
              <w:t>Impact</w:t>
            </w:r>
          </w:p>
        </w:tc>
      </w:tr>
      <w:tr w:rsidR="00C53B85" w:rsidRPr="00C53B85" w14:paraId="55E21571" w14:textId="77777777" w:rsidTr="005E08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Borders>
              <w:right w:val="none" w:sz="0" w:space="0" w:color="auto"/>
            </w:tcBorders>
            <w:shd w:val="clear" w:color="auto" w:fill="FFFFFF" w:themeFill="background1"/>
          </w:tcPr>
          <w:p w14:paraId="7A8FD3D2" w14:textId="77777777" w:rsidR="00C53B85" w:rsidRPr="00C53B85" w:rsidRDefault="00C53B85" w:rsidP="00AE1DED">
            <w:r w:rsidRPr="00C53B85">
              <w:t>Hours 0-6</w:t>
            </w:r>
          </w:p>
        </w:tc>
        <w:tc>
          <w:tcPr>
            <w:tcW w:w="2880" w:type="dxa"/>
            <w:tcBorders>
              <w:left w:val="none" w:sz="0" w:space="0" w:color="auto"/>
              <w:right w:val="none" w:sz="0" w:space="0" w:color="auto"/>
            </w:tcBorders>
            <w:shd w:val="clear" w:color="auto" w:fill="FFFFFF" w:themeFill="background1"/>
          </w:tcPr>
          <w:p w14:paraId="7ABE29FA" w14:textId="77777777" w:rsidR="00C53B85" w:rsidRPr="00C53B85" w:rsidRDefault="00C53B85" w:rsidP="00AE1DED">
            <w:pPr>
              <w:cnfStyle w:val="000000100000" w:firstRow="0" w:lastRow="0" w:firstColumn="0" w:lastColumn="0" w:oddVBand="0" w:evenVBand="0" w:oddHBand="1" w:evenHBand="0" w:firstRowFirstColumn="0" w:firstRowLastColumn="0" w:lastRowFirstColumn="0" w:lastRowLastColumn="0"/>
            </w:pPr>
            <w:r w:rsidRPr="00C53B85">
              <w:t>Direct</w:t>
            </w:r>
          </w:p>
        </w:tc>
        <w:tc>
          <w:tcPr>
            <w:tcW w:w="3595" w:type="dxa"/>
            <w:tcBorders>
              <w:left w:val="none" w:sz="0" w:space="0" w:color="auto"/>
            </w:tcBorders>
            <w:shd w:val="clear" w:color="auto" w:fill="FFFFFF" w:themeFill="background1"/>
          </w:tcPr>
          <w:p w14:paraId="6C5D646A" w14:textId="77777777" w:rsidR="00C53B85" w:rsidRPr="00C53B85" w:rsidRDefault="00C53B85" w:rsidP="00AE1DED">
            <w:pPr>
              <w:cnfStyle w:val="000000100000" w:firstRow="0" w:lastRow="0" w:firstColumn="0" w:lastColumn="0" w:oddVBand="0" w:evenVBand="0" w:oddHBand="1" w:evenHBand="0" w:firstRowFirstColumn="0" w:firstRowLastColumn="0" w:lastRowFirstColumn="0" w:lastRowLastColumn="0"/>
            </w:pPr>
            <w:r w:rsidRPr="00C53B85">
              <w:t>-40% to -60%</w:t>
            </w:r>
          </w:p>
        </w:tc>
      </w:tr>
      <w:tr w:rsidR="00C53B85" w:rsidRPr="00C53B85" w14:paraId="081CFBA8" w14:textId="77777777" w:rsidTr="005E08D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Borders>
              <w:right w:val="none" w:sz="0" w:space="0" w:color="auto"/>
            </w:tcBorders>
            <w:shd w:val="clear" w:color="auto" w:fill="FFFFFF" w:themeFill="background1"/>
          </w:tcPr>
          <w:p w14:paraId="5D5D6F48" w14:textId="77777777" w:rsidR="00C53B85" w:rsidRPr="00C53B85" w:rsidRDefault="00C53B85" w:rsidP="00AE1DED">
            <w:r w:rsidRPr="00C53B85">
              <w:t>Hours 6-24</w:t>
            </w:r>
          </w:p>
        </w:tc>
        <w:tc>
          <w:tcPr>
            <w:tcW w:w="2880" w:type="dxa"/>
            <w:tcBorders>
              <w:left w:val="none" w:sz="0" w:space="0" w:color="auto"/>
              <w:right w:val="none" w:sz="0" w:space="0" w:color="auto"/>
            </w:tcBorders>
            <w:shd w:val="clear" w:color="auto" w:fill="FFFFFF" w:themeFill="background1"/>
          </w:tcPr>
          <w:p w14:paraId="64831830" w14:textId="77777777" w:rsidR="00C53B85" w:rsidRPr="00C53B85" w:rsidRDefault="00C53B85" w:rsidP="00AE1DED">
            <w:pPr>
              <w:cnfStyle w:val="000000010000" w:firstRow="0" w:lastRow="0" w:firstColumn="0" w:lastColumn="0" w:oddVBand="0" w:evenVBand="0" w:oddHBand="0" w:evenHBand="1" w:firstRowFirstColumn="0" w:firstRowLastColumn="0" w:lastRowFirstColumn="0" w:lastRowLastColumn="0"/>
            </w:pPr>
            <w:r w:rsidRPr="00C53B85">
              <w:t>Adjacent</w:t>
            </w:r>
          </w:p>
        </w:tc>
        <w:tc>
          <w:tcPr>
            <w:tcW w:w="3595" w:type="dxa"/>
            <w:tcBorders>
              <w:left w:val="none" w:sz="0" w:space="0" w:color="auto"/>
            </w:tcBorders>
            <w:shd w:val="clear" w:color="auto" w:fill="FFFFFF" w:themeFill="background1"/>
          </w:tcPr>
          <w:p w14:paraId="1443CD05" w14:textId="77777777" w:rsidR="00C53B85" w:rsidRPr="00C53B85" w:rsidRDefault="00C53B85" w:rsidP="00AE1DED">
            <w:pPr>
              <w:cnfStyle w:val="000000010000" w:firstRow="0" w:lastRow="0" w:firstColumn="0" w:lastColumn="0" w:oddVBand="0" w:evenVBand="0" w:oddHBand="0" w:evenHBand="1" w:firstRowFirstColumn="0" w:firstRowLastColumn="0" w:lastRowFirstColumn="0" w:lastRowLastColumn="0"/>
            </w:pPr>
            <w:r w:rsidRPr="00C53B85">
              <w:t>-20% to -30%</w:t>
            </w:r>
          </w:p>
        </w:tc>
      </w:tr>
      <w:tr w:rsidR="00C53B85" w:rsidRPr="00C53B85" w14:paraId="68AFDB92" w14:textId="77777777" w:rsidTr="005E08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Borders>
              <w:right w:val="none" w:sz="0" w:space="0" w:color="auto"/>
            </w:tcBorders>
            <w:shd w:val="clear" w:color="auto" w:fill="FFFFFF" w:themeFill="background1"/>
          </w:tcPr>
          <w:p w14:paraId="5AEF1068" w14:textId="77777777" w:rsidR="00C53B85" w:rsidRPr="00C53B85" w:rsidRDefault="00C53B85" w:rsidP="00AE1DED">
            <w:r w:rsidRPr="00C53B85">
              <w:t>Days 2-3</w:t>
            </w:r>
          </w:p>
        </w:tc>
        <w:tc>
          <w:tcPr>
            <w:tcW w:w="2880" w:type="dxa"/>
            <w:tcBorders>
              <w:left w:val="none" w:sz="0" w:space="0" w:color="auto"/>
              <w:right w:val="none" w:sz="0" w:space="0" w:color="auto"/>
            </w:tcBorders>
            <w:shd w:val="clear" w:color="auto" w:fill="FFFFFF" w:themeFill="background1"/>
          </w:tcPr>
          <w:p w14:paraId="20553E59" w14:textId="77777777" w:rsidR="00C53B85" w:rsidRPr="00C53B85" w:rsidRDefault="00C53B85" w:rsidP="00AE1DED">
            <w:pPr>
              <w:cnfStyle w:val="000000100000" w:firstRow="0" w:lastRow="0" w:firstColumn="0" w:lastColumn="0" w:oddVBand="0" w:evenVBand="0" w:oddHBand="1" w:evenHBand="0" w:firstRowFirstColumn="0" w:firstRowLastColumn="0" w:lastRowFirstColumn="0" w:lastRowLastColumn="0"/>
            </w:pPr>
            <w:r w:rsidRPr="00C53B85">
              <w:t>Sentiment</w:t>
            </w:r>
          </w:p>
        </w:tc>
        <w:tc>
          <w:tcPr>
            <w:tcW w:w="3595" w:type="dxa"/>
            <w:tcBorders>
              <w:left w:val="none" w:sz="0" w:space="0" w:color="auto"/>
            </w:tcBorders>
            <w:shd w:val="clear" w:color="auto" w:fill="FFFFFF" w:themeFill="background1"/>
          </w:tcPr>
          <w:p w14:paraId="0145AAA3" w14:textId="77777777" w:rsidR="00C53B85" w:rsidRPr="00C53B85" w:rsidRDefault="00C53B85" w:rsidP="00AE1DED">
            <w:pPr>
              <w:cnfStyle w:val="000000100000" w:firstRow="0" w:lastRow="0" w:firstColumn="0" w:lastColumn="0" w:oddVBand="0" w:evenVBand="0" w:oddHBand="1" w:evenHBand="0" w:firstRowFirstColumn="0" w:firstRowLastColumn="0" w:lastRowFirstColumn="0" w:lastRowLastColumn="0"/>
            </w:pPr>
            <w:r w:rsidRPr="00C53B85">
              <w:t>-10% to -15%</w:t>
            </w:r>
          </w:p>
        </w:tc>
      </w:tr>
      <w:tr w:rsidR="00C53B85" w:rsidRPr="00C53B85" w14:paraId="1526F56C" w14:textId="77777777" w:rsidTr="005E08D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Borders>
              <w:right w:val="none" w:sz="0" w:space="0" w:color="auto"/>
            </w:tcBorders>
            <w:shd w:val="clear" w:color="auto" w:fill="FFFFFF" w:themeFill="background1"/>
          </w:tcPr>
          <w:p w14:paraId="3D875E43" w14:textId="77777777" w:rsidR="00C53B85" w:rsidRPr="00C53B85" w:rsidRDefault="00C53B85" w:rsidP="00AE1DED">
            <w:r w:rsidRPr="00C53B85">
              <w:t>Days 4-7</w:t>
            </w:r>
          </w:p>
        </w:tc>
        <w:tc>
          <w:tcPr>
            <w:tcW w:w="2880" w:type="dxa"/>
            <w:tcBorders>
              <w:left w:val="none" w:sz="0" w:space="0" w:color="auto"/>
              <w:right w:val="none" w:sz="0" w:space="0" w:color="auto"/>
            </w:tcBorders>
            <w:shd w:val="clear" w:color="auto" w:fill="FFFFFF" w:themeFill="background1"/>
          </w:tcPr>
          <w:p w14:paraId="0D37F6B3" w14:textId="77777777" w:rsidR="00C53B85" w:rsidRPr="00C53B85" w:rsidRDefault="00C53B85" w:rsidP="00AE1DED">
            <w:pPr>
              <w:cnfStyle w:val="000000010000" w:firstRow="0" w:lastRow="0" w:firstColumn="0" w:lastColumn="0" w:oddVBand="0" w:evenVBand="0" w:oddHBand="0" w:evenHBand="1" w:firstRowFirstColumn="0" w:firstRowLastColumn="0" w:lastRowFirstColumn="0" w:lastRowLastColumn="0"/>
            </w:pPr>
            <w:r w:rsidRPr="00C53B85">
              <w:t>Liquidation</w:t>
            </w:r>
          </w:p>
        </w:tc>
        <w:tc>
          <w:tcPr>
            <w:tcW w:w="3595" w:type="dxa"/>
            <w:tcBorders>
              <w:left w:val="none" w:sz="0" w:space="0" w:color="auto"/>
            </w:tcBorders>
            <w:shd w:val="clear" w:color="auto" w:fill="FFFFFF" w:themeFill="background1"/>
          </w:tcPr>
          <w:p w14:paraId="36FFFA02" w14:textId="77777777" w:rsidR="00C53B85" w:rsidRPr="00C53B85" w:rsidRDefault="00C53B85" w:rsidP="00AE1DED">
            <w:pPr>
              <w:cnfStyle w:val="000000010000" w:firstRow="0" w:lastRow="0" w:firstColumn="0" w:lastColumn="0" w:oddVBand="0" w:evenVBand="0" w:oddHBand="0" w:evenHBand="1" w:firstRowFirstColumn="0" w:firstRowLastColumn="0" w:lastRowFirstColumn="0" w:lastRowLastColumn="0"/>
            </w:pPr>
            <w:r w:rsidRPr="00C53B85">
              <w:t>-15% to -20%</w:t>
            </w:r>
          </w:p>
        </w:tc>
      </w:tr>
      <w:tr w:rsidR="00C53B85" w:rsidRPr="00C53B85" w14:paraId="6F643E94" w14:textId="77777777" w:rsidTr="005E08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Borders>
              <w:right w:val="none" w:sz="0" w:space="0" w:color="auto"/>
            </w:tcBorders>
            <w:shd w:val="clear" w:color="auto" w:fill="FFFFFF" w:themeFill="background1"/>
          </w:tcPr>
          <w:p w14:paraId="12A1E9C8" w14:textId="77777777" w:rsidR="00C53B85" w:rsidRPr="00C53B85" w:rsidRDefault="00C53B85" w:rsidP="00AE1DED">
            <w:r w:rsidRPr="00C53B85">
              <w:t>Weeks 2-4</w:t>
            </w:r>
          </w:p>
        </w:tc>
        <w:tc>
          <w:tcPr>
            <w:tcW w:w="2880" w:type="dxa"/>
            <w:tcBorders>
              <w:left w:val="none" w:sz="0" w:space="0" w:color="auto"/>
              <w:right w:val="none" w:sz="0" w:space="0" w:color="auto"/>
            </w:tcBorders>
            <w:shd w:val="clear" w:color="auto" w:fill="FFFFFF" w:themeFill="background1"/>
          </w:tcPr>
          <w:p w14:paraId="68926450" w14:textId="77777777" w:rsidR="00C53B85" w:rsidRPr="00C53B85" w:rsidRDefault="00C53B85" w:rsidP="00AE1DED">
            <w:pPr>
              <w:cnfStyle w:val="000000100000" w:firstRow="0" w:lastRow="0" w:firstColumn="0" w:lastColumn="0" w:oddVBand="0" w:evenVBand="0" w:oddHBand="1" w:evenHBand="0" w:firstRowFirstColumn="0" w:firstRowLastColumn="0" w:lastRowFirstColumn="0" w:lastRowLastColumn="0"/>
            </w:pPr>
            <w:r w:rsidRPr="00C53B85">
              <w:t>Migration</w:t>
            </w:r>
          </w:p>
        </w:tc>
        <w:tc>
          <w:tcPr>
            <w:tcW w:w="3595" w:type="dxa"/>
            <w:tcBorders>
              <w:left w:val="none" w:sz="0" w:space="0" w:color="auto"/>
            </w:tcBorders>
            <w:shd w:val="clear" w:color="auto" w:fill="FFFFFF" w:themeFill="background1"/>
          </w:tcPr>
          <w:p w14:paraId="531F35EA" w14:textId="77777777" w:rsidR="00C53B85" w:rsidRPr="00C53B85" w:rsidRDefault="00C53B85" w:rsidP="00AE1DED">
            <w:pPr>
              <w:cnfStyle w:val="000000100000" w:firstRow="0" w:lastRow="0" w:firstColumn="0" w:lastColumn="0" w:oddVBand="0" w:evenVBand="0" w:oddHBand="1" w:evenHBand="0" w:firstRowFirstColumn="0" w:firstRowLastColumn="0" w:lastRowFirstColumn="0" w:lastRowLastColumn="0"/>
            </w:pPr>
            <w:r w:rsidRPr="00C53B85">
              <w:t>+30% to +40%</w:t>
            </w:r>
          </w:p>
        </w:tc>
      </w:tr>
    </w:tbl>
    <w:p w14:paraId="73C1952B" w14:textId="77777777" w:rsidR="00C53B85" w:rsidRPr="00C53B85" w:rsidRDefault="00C53B85" w:rsidP="00AE1DED">
      <w:r w:rsidRPr="00C53B85">
        <w:rPr>
          <w:b/>
        </w:rPr>
        <w:t xml:space="preserve">→ Takeaway: </w:t>
      </w:r>
      <w:r w:rsidRPr="00C53B85">
        <w:t>60% of damage in first 24 hours; exit windows measure in hours, not days</w:t>
      </w:r>
    </w:p>
    <w:p w14:paraId="648497EB" w14:textId="77777777" w:rsidR="00C53B85" w:rsidRDefault="00C53B85" w:rsidP="00AE1DED"/>
    <w:p w14:paraId="2AA41B4A" w14:textId="77777777" w:rsidR="005E08D8" w:rsidRPr="00C53B85" w:rsidRDefault="005E08D8" w:rsidP="00AE1DED"/>
    <w:p w14:paraId="4DC4F19B" w14:textId="3AC1B568" w:rsidR="00C53B85" w:rsidRDefault="00522A8C" w:rsidP="00AE1DED">
      <w:pPr>
        <w:pStyle w:val="Heading3"/>
        <w:rPr>
          <w:rFonts w:eastAsiaTheme="majorEastAsia"/>
        </w:rPr>
      </w:pPr>
      <w:bookmarkStart w:id="292" w:name="_Toc214722098"/>
      <w:r w:rsidRPr="00F17041">
        <w:rPr>
          <w:rFonts w:eastAsiaTheme="majorEastAsia"/>
        </w:rPr>
        <w:t xml:space="preserve">Table </w:t>
      </w:r>
      <w:r>
        <w:rPr>
          <w:rFonts w:eastAsiaTheme="majorEastAsia"/>
        </w:rPr>
        <w:t>F</w:t>
      </w:r>
      <w:r w:rsidRPr="00F17041">
        <w:rPr>
          <w:rFonts w:eastAsiaTheme="majorEastAsia"/>
        </w:rPr>
        <w:t>.</w:t>
      </w:r>
      <w:r>
        <w:rPr>
          <w:rFonts w:eastAsiaTheme="majorEastAsia"/>
        </w:rPr>
        <w:t>4</w:t>
      </w:r>
      <w:r w:rsidRPr="00F17041">
        <w:rPr>
          <w:rFonts w:eastAsiaTheme="majorEastAsia"/>
        </w:rPr>
        <w:t xml:space="preserve">: </w:t>
      </w:r>
      <w:r w:rsidR="00C53B85" w:rsidRPr="00C53B85">
        <w:rPr>
          <w:rFonts w:eastAsiaTheme="majorEastAsia"/>
        </w:rPr>
        <w:t>Risk-Adjusted Expected Returns</w:t>
      </w:r>
      <w:bookmarkEnd w:id="292"/>
    </w:p>
    <w:p w14:paraId="1C63527B" w14:textId="77777777" w:rsidR="005E08D8" w:rsidRPr="005E08D8" w:rsidRDefault="005E08D8" w:rsidP="00AE1DED">
      <w:pPr>
        <w:rPr>
          <w:rFonts w:eastAsiaTheme="majorEastAsia"/>
        </w:rPr>
      </w:pPr>
    </w:p>
    <w:p w14:paraId="15EDA967" w14:textId="65E18518" w:rsidR="00C53B85" w:rsidRPr="005E08D8" w:rsidRDefault="00C53B85" w:rsidP="00AE1DED">
      <w:pPr>
        <w:rPr>
          <w:bCs/>
        </w:rPr>
      </w:pPr>
      <w:r w:rsidRPr="005E08D8">
        <w:rPr>
          <w:bCs/>
        </w:rPr>
        <w:t>Annual Incident Probability: 35-45%</w:t>
      </w:r>
      <w:r w:rsidRPr="005E08D8">
        <w:rPr>
          <w:bCs/>
        </w:rPr>
        <w:br/>
        <w:t>Average Loss When Incident Occurs: 50-60%</w:t>
      </w:r>
      <w:r w:rsidRPr="005E08D8">
        <w:rPr>
          <w:bCs/>
        </w:rPr>
        <w:br/>
        <w:t>Expected Annual Loss = 0.40 × 0.55 = 22%</w:t>
      </w:r>
    </w:p>
    <w:p w14:paraId="64603F9C" w14:textId="77777777" w:rsidR="005E08D8" w:rsidRPr="00C53B85" w:rsidRDefault="005E08D8" w:rsidP="00AE1DED">
      <w:pPr>
        <w:jc w:val="center"/>
      </w:pPr>
    </w:p>
    <w:tbl>
      <w:tblPr>
        <w:tblStyle w:val="MediumShading1-Accent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875"/>
      </w:tblGrid>
      <w:tr w:rsidR="005E08D8" w:rsidRPr="005E08D8" w14:paraId="5D64DA4C" w14:textId="77777777" w:rsidTr="005E08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59889741" w14:textId="77777777" w:rsidR="00C53B85" w:rsidRPr="005E08D8" w:rsidRDefault="00C53B85" w:rsidP="00AE1DED">
            <w:pPr>
              <w:jc w:val="center"/>
              <w:rPr>
                <w:color w:val="000000" w:themeColor="text1"/>
              </w:rPr>
            </w:pPr>
            <w:r w:rsidRPr="005E08D8">
              <w:rPr>
                <w:color w:val="000000" w:themeColor="text1"/>
              </w:rPr>
              <w:lastRenderedPageBreak/>
              <w:t>Capital Level</w:t>
            </w:r>
          </w:p>
        </w:tc>
        <w:tc>
          <w:tcPr>
            <w:tcW w:w="2160"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681F7359" w14:textId="77777777" w:rsidR="00C53B85" w:rsidRPr="005E08D8" w:rsidRDefault="00C53B85" w:rsidP="00AE1DED">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5E08D8">
              <w:rPr>
                <w:color w:val="000000" w:themeColor="text1"/>
              </w:rPr>
              <w:t>Nominal Yield</w:t>
            </w:r>
          </w:p>
        </w:tc>
        <w:tc>
          <w:tcPr>
            <w:tcW w:w="2160"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19991C43" w14:textId="77777777" w:rsidR="00C53B85" w:rsidRPr="005E08D8" w:rsidRDefault="00C53B85" w:rsidP="00AE1DED">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5E08D8">
              <w:rPr>
                <w:color w:val="000000" w:themeColor="text1"/>
              </w:rPr>
              <w:t>Risk-Adjusted Return</w:t>
            </w:r>
          </w:p>
        </w:tc>
        <w:tc>
          <w:tcPr>
            <w:tcW w:w="2875"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21DE04A4" w14:textId="77777777" w:rsidR="00C53B85" w:rsidRPr="005E08D8" w:rsidRDefault="00C53B85" w:rsidP="00AE1DED">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5E08D8">
              <w:rPr>
                <w:color w:val="000000" w:themeColor="text1"/>
              </w:rPr>
              <w:t>Interpretation</w:t>
            </w:r>
          </w:p>
        </w:tc>
      </w:tr>
      <w:tr w:rsidR="00C53B85" w:rsidRPr="00C53B85" w14:paraId="6ECA3129" w14:textId="77777777" w:rsidTr="005E08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right w:val="none" w:sz="0" w:space="0" w:color="auto"/>
            </w:tcBorders>
            <w:shd w:val="clear" w:color="auto" w:fill="FFFFFF" w:themeFill="background1"/>
          </w:tcPr>
          <w:p w14:paraId="011783D5" w14:textId="77777777" w:rsidR="00C53B85" w:rsidRPr="00C53B85" w:rsidRDefault="00C53B85" w:rsidP="00AE1DED">
            <w:r w:rsidRPr="00C53B85">
              <w:t>$1,000-3,000</w:t>
            </w:r>
          </w:p>
        </w:tc>
        <w:tc>
          <w:tcPr>
            <w:tcW w:w="2160" w:type="dxa"/>
            <w:tcBorders>
              <w:left w:val="none" w:sz="0" w:space="0" w:color="auto"/>
              <w:right w:val="none" w:sz="0" w:space="0" w:color="auto"/>
            </w:tcBorders>
            <w:shd w:val="clear" w:color="auto" w:fill="FFFFFF" w:themeFill="background1"/>
          </w:tcPr>
          <w:p w14:paraId="7E293D45" w14:textId="77777777" w:rsidR="00C53B85" w:rsidRPr="00C53B85" w:rsidRDefault="00C53B85" w:rsidP="00AE1DED">
            <w:pPr>
              <w:cnfStyle w:val="000000100000" w:firstRow="0" w:lastRow="0" w:firstColumn="0" w:lastColumn="0" w:oddVBand="0" w:evenVBand="0" w:oddHBand="1" w:evenHBand="0" w:firstRowFirstColumn="0" w:firstRowLastColumn="0" w:lastRowFirstColumn="0" w:lastRowLastColumn="0"/>
            </w:pPr>
            <w:r w:rsidRPr="00C53B85">
              <w:t>5-8%</w:t>
            </w:r>
          </w:p>
        </w:tc>
        <w:tc>
          <w:tcPr>
            <w:tcW w:w="2160" w:type="dxa"/>
            <w:tcBorders>
              <w:left w:val="none" w:sz="0" w:space="0" w:color="auto"/>
              <w:right w:val="none" w:sz="0" w:space="0" w:color="auto"/>
            </w:tcBorders>
            <w:shd w:val="clear" w:color="auto" w:fill="FFFFFF" w:themeFill="background1"/>
          </w:tcPr>
          <w:p w14:paraId="0F20776F" w14:textId="77777777" w:rsidR="00C53B85" w:rsidRPr="00C53B85" w:rsidRDefault="00C53B85" w:rsidP="00AE1DED">
            <w:pPr>
              <w:cnfStyle w:val="000000100000" w:firstRow="0" w:lastRow="0" w:firstColumn="0" w:lastColumn="0" w:oddVBand="0" w:evenVBand="0" w:oddHBand="1" w:evenHBand="0" w:firstRowFirstColumn="0" w:firstRowLastColumn="0" w:lastRowFirstColumn="0" w:lastRowLastColumn="0"/>
            </w:pPr>
            <w:r w:rsidRPr="00C53B85">
              <w:t>-14% to -17%</w:t>
            </w:r>
          </w:p>
        </w:tc>
        <w:tc>
          <w:tcPr>
            <w:tcW w:w="2875" w:type="dxa"/>
            <w:tcBorders>
              <w:left w:val="none" w:sz="0" w:space="0" w:color="auto"/>
            </w:tcBorders>
            <w:shd w:val="clear" w:color="auto" w:fill="FFFFFF" w:themeFill="background1"/>
          </w:tcPr>
          <w:p w14:paraId="6B928376" w14:textId="77777777" w:rsidR="00C53B85" w:rsidRPr="00C53B85" w:rsidRDefault="00C53B85" w:rsidP="00AE1DED">
            <w:pPr>
              <w:cnfStyle w:val="000000100000" w:firstRow="0" w:lastRow="0" w:firstColumn="0" w:lastColumn="0" w:oddVBand="0" w:evenVBand="0" w:oddHBand="1" w:evenHBand="0" w:firstRowFirstColumn="0" w:firstRowLastColumn="0" w:lastRowFirstColumn="0" w:lastRowLastColumn="0"/>
            </w:pPr>
            <w:r w:rsidRPr="00C53B85">
              <w:t>Economically unviable</w:t>
            </w:r>
          </w:p>
        </w:tc>
      </w:tr>
      <w:tr w:rsidR="00C53B85" w:rsidRPr="00C53B85" w14:paraId="482970F9" w14:textId="77777777" w:rsidTr="005E08D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right w:val="none" w:sz="0" w:space="0" w:color="auto"/>
            </w:tcBorders>
            <w:shd w:val="clear" w:color="auto" w:fill="FFFFFF" w:themeFill="background1"/>
          </w:tcPr>
          <w:p w14:paraId="5DCCF64B" w14:textId="77777777" w:rsidR="00C53B85" w:rsidRPr="00C53B85" w:rsidRDefault="00C53B85" w:rsidP="00AE1DED">
            <w:r w:rsidRPr="00C53B85">
              <w:t>$10,000-25,000</w:t>
            </w:r>
          </w:p>
        </w:tc>
        <w:tc>
          <w:tcPr>
            <w:tcW w:w="2160" w:type="dxa"/>
            <w:tcBorders>
              <w:left w:val="none" w:sz="0" w:space="0" w:color="auto"/>
              <w:right w:val="none" w:sz="0" w:space="0" w:color="auto"/>
            </w:tcBorders>
            <w:shd w:val="clear" w:color="auto" w:fill="FFFFFF" w:themeFill="background1"/>
          </w:tcPr>
          <w:p w14:paraId="1B117397" w14:textId="77777777" w:rsidR="00C53B85" w:rsidRPr="00C53B85" w:rsidRDefault="00C53B85" w:rsidP="00AE1DED">
            <w:pPr>
              <w:cnfStyle w:val="000000010000" w:firstRow="0" w:lastRow="0" w:firstColumn="0" w:lastColumn="0" w:oddVBand="0" w:evenVBand="0" w:oddHBand="0" w:evenHBand="1" w:firstRowFirstColumn="0" w:firstRowLastColumn="0" w:lastRowFirstColumn="0" w:lastRowLastColumn="0"/>
            </w:pPr>
            <w:r w:rsidRPr="00C53B85">
              <w:t>6-9%</w:t>
            </w:r>
          </w:p>
        </w:tc>
        <w:tc>
          <w:tcPr>
            <w:tcW w:w="2160" w:type="dxa"/>
            <w:tcBorders>
              <w:left w:val="none" w:sz="0" w:space="0" w:color="auto"/>
              <w:right w:val="none" w:sz="0" w:space="0" w:color="auto"/>
            </w:tcBorders>
            <w:shd w:val="clear" w:color="auto" w:fill="FFFFFF" w:themeFill="background1"/>
          </w:tcPr>
          <w:p w14:paraId="078C2141" w14:textId="77777777" w:rsidR="00C53B85" w:rsidRPr="00C53B85" w:rsidRDefault="00C53B85" w:rsidP="00AE1DED">
            <w:pPr>
              <w:cnfStyle w:val="000000010000" w:firstRow="0" w:lastRow="0" w:firstColumn="0" w:lastColumn="0" w:oddVBand="0" w:evenVBand="0" w:oddHBand="0" w:evenHBand="1" w:firstRowFirstColumn="0" w:firstRowLastColumn="0" w:lastRowFirstColumn="0" w:lastRowLastColumn="0"/>
            </w:pPr>
            <w:r w:rsidRPr="00C53B85">
              <w:t>-13% to -16%</w:t>
            </w:r>
          </w:p>
        </w:tc>
        <w:tc>
          <w:tcPr>
            <w:tcW w:w="2875" w:type="dxa"/>
            <w:tcBorders>
              <w:left w:val="none" w:sz="0" w:space="0" w:color="auto"/>
            </w:tcBorders>
            <w:shd w:val="clear" w:color="auto" w:fill="FFFFFF" w:themeFill="background1"/>
          </w:tcPr>
          <w:p w14:paraId="25E47356" w14:textId="77777777" w:rsidR="00C53B85" w:rsidRPr="00C53B85" w:rsidRDefault="00C53B85" w:rsidP="00AE1DED">
            <w:pPr>
              <w:cnfStyle w:val="000000010000" w:firstRow="0" w:lastRow="0" w:firstColumn="0" w:lastColumn="0" w:oddVBand="0" w:evenVBand="0" w:oddHBand="0" w:evenHBand="1" w:firstRowFirstColumn="0" w:firstRowLastColumn="0" w:lastRowFirstColumn="0" w:lastRowLastColumn="0"/>
            </w:pPr>
            <w:r w:rsidRPr="00C53B85">
              <w:t>Marginal with reserves</w:t>
            </w:r>
          </w:p>
        </w:tc>
      </w:tr>
      <w:tr w:rsidR="00C53B85" w:rsidRPr="00C53B85" w14:paraId="2634034E" w14:textId="77777777" w:rsidTr="005E08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right w:val="none" w:sz="0" w:space="0" w:color="auto"/>
            </w:tcBorders>
            <w:shd w:val="clear" w:color="auto" w:fill="FFFFFF" w:themeFill="background1"/>
          </w:tcPr>
          <w:p w14:paraId="78DFEC47" w14:textId="77777777" w:rsidR="00C53B85" w:rsidRPr="00C53B85" w:rsidRDefault="00C53B85" w:rsidP="00AE1DED">
            <w:r w:rsidRPr="00C53B85">
              <w:t>$25,000+</w:t>
            </w:r>
          </w:p>
        </w:tc>
        <w:tc>
          <w:tcPr>
            <w:tcW w:w="2160" w:type="dxa"/>
            <w:tcBorders>
              <w:left w:val="none" w:sz="0" w:space="0" w:color="auto"/>
              <w:right w:val="none" w:sz="0" w:space="0" w:color="auto"/>
            </w:tcBorders>
            <w:shd w:val="clear" w:color="auto" w:fill="FFFFFF" w:themeFill="background1"/>
          </w:tcPr>
          <w:p w14:paraId="4178483E" w14:textId="77777777" w:rsidR="00C53B85" w:rsidRPr="00C53B85" w:rsidRDefault="00C53B85" w:rsidP="00AE1DED">
            <w:pPr>
              <w:cnfStyle w:val="000000100000" w:firstRow="0" w:lastRow="0" w:firstColumn="0" w:lastColumn="0" w:oddVBand="0" w:evenVBand="0" w:oddHBand="1" w:evenHBand="0" w:firstRowFirstColumn="0" w:firstRowLastColumn="0" w:lastRowFirstColumn="0" w:lastRowLastColumn="0"/>
            </w:pPr>
            <w:r w:rsidRPr="00C53B85">
              <w:t>7-12%</w:t>
            </w:r>
          </w:p>
        </w:tc>
        <w:tc>
          <w:tcPr>
            <w:tcW w:w="2160" w:type="dxa"/>
            <w:tcBorders>
              <w:left w:val="none" w:sz="0" w:space="0" w:color="auto"/>
              <w:right w:val="none" w:sz="0" w:space="0" w:color="auto"/>
            </w:tcBorders>
            <w:shd w:val="clear" w:color="auto" w:fill="FFFFFF" w:themeFill="background1"/>
          </w:tcPr>
          <w:p w14:paraId="3E78544E" w14:textId="77777777" w:rsidR="00C53B85" w:rsidRPr="00C53B85" w:rsidRDefault="00C53B85" w:rsidP="00AE1DED">
            <w:pPr>
              <w:cnfStyle w:val="000000100000" w:firstRow="0" w:lastRow="0" w:firstColumn="0" w:lastColumn="0" w:oddVBand="0" w:evenVBand="0" w:oddHBand="1" w:evenHBand="0" w:firstRowFirstColumn="0" w:firstRowLastColumn="0" w:lastRowFirstColumn="0" w:lastRowLastColumn="0"/>
            </w:pPr>
            <w:r w:rsidRPr="00C53B85">
              <w:t>-10% to -15%</w:t>
            </w:r>
          </w:p>
        </w:tc>
        <w:tc>
          <w:tcPr>
            <w:tcW w:w="2875" w:type="dxa"/>
            <w:tcBorders>
              <w:left w:val="none" w:sz="0" w:space="0" w:color="auto"/>
            </w:tcBorders>
            <w:shd w:val="clear" w:color="auto" w:fill="FFFFFF" w:themeFill="background1"/>
          </w:tcPr>
          <w:p w14:paraId="29470FC0" w14:textId="77777777" w:rsidR="00C53B85" w:rsidRPr="00C53B85" w:rsidRDefault="00C53B85" w:rsidP="00AE1DED">
            <w:pPr>
              <w:cnfStyle w:val="000000100000" w:firstRow="0" w:lastRow="0" w:firstColumn="0" w:lastColumn="0" w:oddVBand="0" w:evenVBand="0" w:oddHBand="1" w:evenHBand="0" w:firstRowFirstColumn="0" w:firstRowLastColumn="0" w:lastRowFirstColumn="0" w:lastRowLastColumn="0"/>
            </w:pPr>
            <w:r w:rsidRPr="00C53B85">
              <w:t>Viable with survival strategy</w:t>
            </w:r>
          </w:p>
        </w:tc>
      </w:tr>
    </w:tbl>
    <w:p w14:paraId="346F96E9" w14:textId="77777777" w:rsidR="00C53B85" w:rsidRPr="00C53B85" w:rsidRDefault="00C53B85" w:rsidP="00AE1DED">
      <w:r w:rsidRPr="00C53B85">
        <w:rPr>
          <w:b/>
        </w:rPr>
        <w:t xml:space="preserve">→ Takeaway: </w:t>
      </w:r>
      <w:r w:rsidRPr="00C53B85">
        <w:t>Only survival-oriented positioning (50% reserves, diversification) converts negative to marginally positive returns</w:t>
      </w:r>
    </w:p>
    <w:p w14:paraId="513B47BB" w14:textId="4AF37F10" w:rsidR="0057214E" w:rsidRDefault="0057214E" w:rsidP="00AE1DED">
      <w:pPr>
        <w:jc w:val="both"/>
        <w:rPr>
          <w:rFonts w:eastAsiaTheme="majorEastAsia"/>
          <w:b/>
          <w:bCs/>
          <w:color w:val="000000" w:themeColor="text1"/>
        </w:rPr>
      </w:pPr>
      <w:r>
        <w:rPr>
          <w:rFonts w:eastAsiaTheme="majorEastAsia"/>
          <w:b/>
          <w:bCs/>
          <w:color w:val="000000" w:themeColor="text1"/>
        </w:rPr>
        <w:br w:type="page"/>
      </w:r>
    </w:p>
    <w:p w14:paraId="1C61B9D0" w14:textId="77777777" w:rsidR="00C02ABC" w:rsidRPr="00C02ABC" w:rsidRDefault="00C02ABC" w:rsidP="00127CE2">
      <w:pPr>
        <w:pStyle w:val="Heading2"/>
        <w:jc w:val="both"/>
        <w:rPr>
          <w:rFonts w:eastAsiaTheme="majorEastAsia"/>
        </w:rPr>
      </w:pPr>
      <w:bookmarkStart w:id="293" w:name="_Toc214722099"/>
      <w:r w:rsidRPr="00C02ABC">
        <w:rPr>
          <w:rFonts w:eastAsiaTheme="majorEastAsia"/>
        </w:rPr>
        <w:lastRenderedPageBreak/>
        <w:t>GLOSSARY OF ABBREVIATIONS AND TECHNICAL TERMS</w:t>
      </w:r>
      <w:bookmarkEnd w:id="293"/>
    </w:p>
    <w:p w14:paraId="6C220F9D" w14:textId="77777777" w:rsidR="00C02ABC" w:rsidRPr="00C02ABC" w:rsidRDefault="00C02ABC" w:rsidP="00127CE2">
      <w:pPr>
        <w:jc w:val="both"/>
        <w:rPr>
          <w:rFonts w:eastAsiaTheme="majorEastAsia"/>
          <w:color w:val="000000" w:themeColor="text1"/>
        </w:rPr>
      </w:pPr>
    </w:p>
    <w:p w14:paraId="71BDFCEF" w14:textId="77777777" w:rsidR="00C02ABC" w:rsidRPr="00C02ABC" w:rsidRDefault="00C02ABC" w:rsidP="00127CE2">
      <w:pPr>
        <w:jc w:val="both"/>
        <w:rPr>
          <w:rFonts w:eastAsiaTheme="majorEastAsia"/>
          <w:color w:val="000000" w:themeColor="text1"/>
        </w:rPr>
      </w:pPr>
    </w:p>
    <w:p w14:paraId="4C29D3C7" w14:textId="77777777" w:rsidR="00C02ABC" w:rsidRPr="00C02ABC" w:rsidRDefault="00C02ABC" w:rsidP="00127CE2">
      <w:pPr>
        <w:pStyle w:val="Heading3"/>
        <w:jc w:val="both"/>
        <w:rPr>
          <w:rFonts w:eastAsiaTheme="majorEastAsia"/>
        </w:rPr>
      </w:pPr>
      <w:bookmarkStart w:id="294" w:name="_Toc214722100"/>
      <w:r w:rsidRPr="00C02ABC">
        <w:rPr>
          <w:rFonts w:eastAsiaTheme="majorEastAsia"/>
        </w:rPr>
        <w:t>SECTION A: ABBREVIATIONS AND ACRONYMS</w:t>
      </w:r>
      <w:bookmarkEnd w:id="294"/>
    </w:p>
    <w:p w14:paraId="6A6D28E0" w14:textId="77777777" w:rsidR="00C02ABC" w:rsidRPr="00C02ABC" w:rsidRDefault="00C02ABC" w:rsidP="00127CE2">
      <w:pPr>
        <w:jc w:val="both"/>
        <w:rPr>
          <w:rFonts w:eastAsiaTheme="majorEastAsia"/>
          <w:color w:val="000000" w:themeColor="text1"/>
        </w:rPr>
      </w:pPr>
    </w:p>
    <w:p w14:paraId="0FB4E51B" w14:textId="77777777" w:rsidR="003C7DF9" w:rsidRPr="000D3037" w:rsidRDefault="00C02ABC" w:rsidP="00127CE2">
      <w:pPr>
        <w:jc w:val="both"/>
        <w:rPr>
          <w:rFonts w:eastAsiaTheme="majorEastAsia"/>
          <w:b/>
          <w:bCs/>
          <w:color w:val="000000" w:themeColor="text1"/>
        </w:rPr>
      </w:pPr>
      <w:r w:rsidRPr="000D3037">
        <w:rPr>
          <w:rFonts w:eastAsiaTheme="majorEastAsia"/>
          <w:b/>
          <w:bCs/>
          <w:color w:val="000000" w:themeColor="text1"/>
        </w:rPr>
        <w:t xml:space="preserve">ABM       </w:t>
      </w:r>
    </w:p>
    <w:p w14:paraId="5E5807E8" w14:textId="3655AC04"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Agent-Based Modeling - A computational modeling approach that simulates the actions and interactions of autonomous agents to assess their effects </w:t>
      </w:r>
    </w:p>
    <w:p w14:paraId="5A5EAACA" w14:textId="77777777" w:rsidR="00C02ABC" w:rsidRPr="00C02ABC" w:rsidRDefault="00C02ABC" w:rsidP="00127CE2">
      <w:pPr>
        <w:jc w:val="both"/>
        <w:rPr>
          <w:rFonts w:eastAsiaTheme="majorEastAsia"/>
          <w:color w:val="000000" w:themeColor="text1"/>
        </w:rPr>
      </w:pPr>
    </w:p>
    <w:p w14:paraId="154294DD" w14:textId="77777777" w:rsidR="003C7DF9" w:rsidRPr="000D3037" w:rsidRDefault="00C02ABC" w:rsidP="00127CE2">
      <w:pPr>
        <w:jc w:val="both"/>
        <w:rPr>
          <w:rFonts w:eastAsiaTheme="majorEastAsia"/>
          <w:b/>
          <w:bCs/>
          <w:color w:val="000000" w:themeColor="text1"/>
        </w:rPr>
      </w:pPr>
      <w:r w:rsidRPr="000D3037">
        <w:rPr>
          <w:rFonts w:eastAsiaTheme="majorEastAsia"/>
          <w:b/>
          <w:bCs/>
          <w:color w:val="000000" w:themeColor="text1"/>
        </w:rPr>
        <w:t xml:space="preserve">AMM       </w:t>
      </w:r>
    </w:p>
    <w:p w14:paraId="4B950A39" w14:textId="73038BC5"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Automated Market Maker - A type of decentralized exchange protocol that relies on mathematical formulas to price assets, eliminating the need for traditional order books</w:t>
      </w:r>
    </w:p>
    <w:p w14:paraId="2FB61B27" w14:textId="77777777" w:rsidR="00C02ABC" w:rsidRPr="00C02ABC" w:rsidRDefault="00C02ABC" w:rsidP="00127CE2">
      <w:pPr>
        <w:jc w:val="both"/>
        <w:rPr>
          <w:rFonts w:eastAsiaTheme="majorEastAsia"/>
          <w:color w:val="000000" w:themeColor="text1"/>
        </w:rPr>
      </w:pPr>
    </w:p>
    <w:p w14:paraId="2DBBDADF" w14:textId="77777777" w:rsidR="003C7DF9" w:rsidRPr="000D3037" w:rsidRDefault="00C02ABC" w:rsidP="00127CE2">
      <w:pPr>
        <w:jc w:val="both"/>
        <w:rPr>
          <w:rFonts w:eastAsiaTheme="majorEastAsia"/>
          <w:b/>
          <w:bCs/>
          <w:color w:val="000000" w:themeColor="text1"/>
        </w:rPr>
      </w:pPr>
      <w:r w:rsidRPr="000D3037">
        <w:rPr>
          <w:rFonts w:eastAsiaTheme="majorEastAsia"/>
          <w:b/>
          <w:bCs/>
          <w:color w:val="000000" w:themeColor="text1"/>
        </w:rPr>
        <w:t xml:space="preserve">API             </w:t>
      </w:r>
    </w:p>
    <w:p w14:paraId="42ACCCBA" w14:textId="52554EC6"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Application Programming Interface - A set of protocols and tools for building software applications</w:t>
      </w:r>
    </w:p>
    <w:p w14:paraId="7A36E418" w14:textId="77777777" w:rsidR="00C02ABC" w:rsidRPr="00C02ABC" w:rsidRDefault="00C02ABC" w:rsidP="00127CE2">
      <w:pPr>
        <w:jc w:val="both"/>
        <w:rPr>
          <w:rFonts w:eastAsiaTheme="majorEastAsia"/>
          <w:color w:val="000000" w:themeColor="text1"/>
        </w:rPr>
      </w:pPr>
    </w:p>
    <w:p w14:paraId="0B3D8649" w14:textId="77777777" w:rsidR="003C7DF9" w:rsidRPr="000D3037" w:rsidRDefault="00C02ABC" w:rsidP="00127CE2">
      <w:pPr>
        <w:jc w:val="both"/>
        <w:rPr>
          <w:rFonts w:eastAsiaTheme="majorEastAsia"/>
          <w:b/>
          <w:bCs/>
          <w:color w:val="000000" w:themeColor="text1"/>
        </w:rPr>
      </w:pPr>
      <w:r w:rsidRPr="000D3037">
        <w:rPr>
          <w:rFonts w:eastAsiaTheme="majorEastAsia"/>
          <w:b/>
          <w:bCs/>
          <w:color w:val="000000" w:themeColor="text1"/>
        </w:rPr>
        <w:t xml:space="preserve">APR             </w:t>
      </w:r>
    </w:p>
    <w:p w14:paraId="7AB0B3E2" w14:textId="2693B2C2"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Annual Percentage Rate - The yearly rate of return on an investment, not including the effect of compounding</w:t>
      </w:r>
    </w:p>
    <w:p w14:paraId="67F1D664" w14:textId="77777777" w:rsidR="00C02ABC" w:rsidRPr="00C02ABC" w:rsidRDefault="00C02ABC" w:rsidP="00127CE2">
      <w:pPr>
        <w:jc w:val="both"/>
        <w:rPr>
          <w:rFonts w:eastAsiaTheme="majorEastAsia"/>
          <w:color w:val="000000" w:themeColor="text1"/>
        </w:rPr>
      </w:pPr>
    </w:p>
    <w:p w14:paraId="5CA7A5E2" w14:textId="77777777" w:rsidR="003C7DF9" w:rsidRPr="000D3037" w:rsidRDefault="00C02ABC" w:rsidP="00127CE2">
      <w:pPr>
        <w:jc w:val="both"/>
        <w:rPr>
          <w:rFonts w:eastAsiaTheme="majorEastAsia"/>
          <w:b/>
          <w:bCs/>
          <w:color w:val="000000" w:themeColor="text1"/>
        </w:rPr>
      </w:pPr>
      <w:r w:rsidRPr="000D3037">
        <w:rPr>
          <w:rFonts w:eastAsiaTheme="majorEastAsia"/>
          <w:b/>
          <w:bCs/>
          <w:color w:val="000000" w:themeColor="text1"/>
        </w:rPr>
        <w:t xml:space="preserve">APY             </w:t>
      </w:r>
    </w:p>
    <w:p w14:paraId="6B81DCDF" w14:textId="4947A592"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Annual Percentage Yield - The yearly rate of return on an investment, including the effect of compounding</w:t>
      </w:r>
    </w:p>
    <w:p w14:paraId="70034DC5" w14:textId="77777777" w:rsidR="00C02ABC" w:rsidRPr="00C02ABC" w:rsidRDefault="00C02ABC" w:rsidP="00127CE2">
      <w:pPr>
        <w:jc w:val="both"/>
        <w:rPr>
          <w:rFonts w:eastAsiaTheme="majorEastAsia"/>
          <w:color w:val="000000" w:themeColor="text1"/>
        </w:rPr>
      </w:pPr>
    </w:p>
    <w:p w14:paraId="2C40B40A" w14:textId="77777777" w:rsidR="003C7DF9" w:rsidRPr="000D3037" w:rsidRDefault="00C02ABC" w:rsidP="00127CE2">
      <w:pPr>
        <w:jc w:val="both"/>
        <w:rPr>
          <w:rFonts w:eastAsiaTheme="majorEastAsia"/>
          <w:b/>
          <w:bCs/>
          <w:color w:val="000000" w:themeColor="text1"/>
        </w:rPr>
      </w:pPr>
      <w:r w:rsidRPr="000D3037">
        <w:rPr>
          <w:rFonts w:eastAsiaTheme="majorEastAsia"/>
          <w:b/>
          <w:bCs/>
          <w:color w:val="000000" w:themeColor="text1"/>
        </w:rPr>
        <w:t xml:space="preserve">BNB            </w:t>
      </w:r>
    </w:p>
    <w:p w14:paraId="49CB7B06" w14:textId="316935C6"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Binance Coin - The native cryptocurrency of the Binance ecosystem</w:t>
      </w:r>
    </w:p>
    <w:p w14:paraId="1E3B63C8" w14:textId="77777777" w:rsidR="00C02ABC" w:rsidRPr="00C02ABC" w:rsidRDefault="00C02ABC" w:rsidP="00127CE2">
      <w:pPr>
        <w:jc w:val="both"/>
        <w:rPr>
          <w:rFonts w:eastAsiaTheme="majorEastAsia"/>
          <w:color w:val="000000" w:themeColor="text1"/>
        </w:rPr>
      </w:pPr>
    </w:p>
    <w:p w14:paraId="2A1B8CA2" w14:textId="77777777" w:rsidR="003C7DF9" w:rsidRPr="000D3037" w:rsidRDefault="00C02ABC" w:rsidP="00127CE2">
      <w:pPr>
        <w:jc w:val="both"/>
        <w:rPr>
          <w:rFonts w:eastAsiaTheme="majorEastAsia"/>
          <w:b/>
          <w:bCs/>
          <w:color w:val="000000" w:themeColor="text1"/>
        </w:rPr>
      </w:pPr>
      <w:r w:rsidRPr="000D3037">
        <w:rPr>
          <w:rFonts w:eastAsiaTheme="majorEastAsia"/>
          <w:b/>
          <w:bCs/>
          <w:color w:val="000000" w:themeColor="text1"/>
        </w:rPr>
        <w:t xml:space="preserve">BSC             </w:t>
      </w:r>
    </w:p>
    <w:p w14:paraId="43EE5D33" w14:textId="769BF185"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Binance Smart Chain - A blockchain network built for running smart contract-based applications (now called BNB Chain)</w:t>
      </w:r>
    </w:p>
    <w:p w14:paraId="2A7A5049" w14:textId="77777777" w:rsidR="00C02ABC" w:rsidRPr="00C02ABC" w:rsidRDefault="00C02ABC" w:rsidP="00127CE2">
      <w:pPr>
        <w:jc w:val="both"/>
        <w:rPr>
          <w:rFonts w:eastAsiaTheme="majorEastAsia"/>
          <w:color w:val="000000" w:themeColor="text1"/>
        </w:rPr>
      </w:pPr>
    </w:p>
    <w:p w14:paraId="50C06DBF" w14:textId="77777777" w:rsidR="003C7DF9" w:rsidRPr="000D3037" w:rsidRDefault="00C02ABC" w:rsidP="00127CE2">
      <w:pPr>
        <w:jc w:val="both"/>
        <w:rPr>
          <w:rFonts w:eastAsiaTheme="majorEastAsia"/>
          <w:b/>
          <w:bCs/>
          <w:color w:val="000000" w:themeColor="text1"/>
        </w:rPr>
      </w:pPr>
      <w:r w:rsidRPr="000D3037">
        <w:rPr>
          <w:rFonts w:eastAsiaTheme="majorEastAsia"/>
          <w:b/>
          <w:bCs/>
          <w:color w:val="000000" w:themeColor="text1"/>
        </w:rPr>
        <w:t xml:space="preserve">CEX             </w:t>
      </w:r>
    </w:p>
    <w:p w14:paraId="4E6434AB" w14:textId="67196DE5"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Centralized Exchange - A cryptocurrency exchange that is operated by a centralized organization (e.g., Binance, Coinbase)</w:t>
      </w:r>
    </w:p>
    <w:p w14:paraId="75455890" w14:textId="77777777" w:rsidR="00C02ABC" w:rsidRPr="00C02ABC" w:rsidRDefault="00C02ABC" w:rsidP="00127CE2">
      <w:pPr>
        <w:jc w:val="both"/>
        <w:rPr>
          <w:rFonts w:eastAsiaTheme="majorEastAsia"/>
          <w:color w:val="000000" w:themeColor="text1"/>
        </w:rPr>
      </w:pPr>
    </w:p>
    <w:p w14:paraId="69DF216F" w14:textId="77777777" w:rsidR="003C7DF9" w:rsidRPr="000D3037" w:rsidRDefault="00C02ABC" w:rsidP="00127CE2">
      <w:pPr>
        <w:jc w:val="both"/>
        <w:rPr>
          <w:rFonts w:eastAsiaTheme="majorEastAsia"/>
          <w:b/>
          <w:bCs/>
          <w:color w:val="000000" w:themeColor="text1"/>
        </w:rPr>
      </w:pPr>
      <w:r w:rsidRPr="000D3037">
        <w:rPr>
          <w:rFonts w:eastAsiaTheme="majorEastAsia"/>
          <w:b/>
          <w:bCs/>
          <w:color w:val="000000" w:themeColor="text1"/>
        </w:rPr>
        <w:t xml:space="preserve">CI              </w:t>
      </w:r>
    </w:p>
    <w:p w14:paraId="046628E6" w14:textId="11392FAB"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Confidence Interval - A range of values used to estimate the true value of a population parameter with a specified level of confidence</w:t>
      </w:r>
    </w:p>
    <w:p w14:paraId="5E3BB2CE" w14:textId="77777777" w:rsidR="00C02ABC" w:rsidRPr="00C02ABC" w:rsidRDefault="00C02ABC" w:rsidP="00127CE2">
      <w:pPr>
        <w:jc w:val="both"/>
        <w:rPr>
          <w:rFonts w:eastAsiaTheme="majorEastAsia"/>
          <w:color w:val="000000" w:themeColor="text1"/>
        </w:rPr>
      </w:pPr>
    </w:p>
    <w:p w14:paraId="50C1D1C1" w14:textId="77777777" w:rsidR="003C7DF9" w:rsidRPr="000D3037" w:rsidRDefault="00C02ABC" w:rsidP="00127CE2">
      <w:pPr>
        <w:jc w:val="both"/>
        <w:rPr>
          <w:rFonts w:eastAsiaTheme="majorEastAsia"/>
          <w:b/>
          <w:bCs/>
          <w:color w:val="000000" w:themeColor="text1"/>
        </w:rPr>
      </w:pPr>
      <w:r w:rsidRPr="000D3037">
        <w:rPr>
          <w:rFonts w:eastAsiaTheme="majorEastAsia"/>
          <w:b/>
          <w:bCs/>
          <w:color w:val="000000" w:themeColor="text1"/>
        </w:rPr>
        <w:t xml:space="preserve">DAO             </w:t>
      </w:r>
    </w:p>
    <w:p w14:paraId="570C833E" w14:textId="069893D4"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Decentralized Autonomous Organization - An organization represented by rules encoded as a computer program that is transparent and controlled by organization members</w:t>
      </w:r>
    </w:p>
    <w:p w14:paraId="1613D058" w14:textId="77777777" w:rsidR="00C02ABC" w:rsidRPr="00C02ABC" w:rsidRDefault="00C02ABC" w:rsidP="00127CE2">
      <w:pPr>
        <w:jc w:val="both"/>
        <w:rPr>
          <w:rFonts w:eastAsiaTheme="majorEastAsia"/>
          <w:color w:val="000000" w:themeColor="text1"/>
        </w:rPr>
      </w:pPr>
    </w:p>
    <w:p w14:paraId="1BB9E4F2" w14:textId="77777777" w:rsidR="003C7DF9" w:rsidRPr="000D3037" w:rsidRDefault="00C02ABC" w:rsidP="00127CE2">
      <w:pPr>
        <w:jc w:val="both"/>
        <w:rPr>
          <w:rFonts w:eastAsiaTheme="majorEastAsia"/>
          <w:b/>
          <w:bCs/>
          <w:color w:val="000000" w:themeColor="text1"/>
        </w:rPr>
      </w:pPr>
      <w:proofErr w:type="spellStart"/>
      <w:r w:rsidRPr="000D3037">
        <w:rPr>
          <w:rFonts w:eastAsiaTheme="majorEastAsia"/>
          <w:b/>
          <w:bCs/>
          <w:color w:val="000000" w:themeColor="text1"/>
        </w:rPr>
        <w:t>DApp</w:t>
      </w:r>
      <w:proofErr w:type="spellEnd"/>
      <w:r w:rsidRPr="000D3037">
        <w:rPr>
          <w:rFonts w:eastAsiaTheme="majorEastAsia"/>
          <w:b/>
          <w:bCs/>
          <w:color w:val="000000" w:themeColor="text1"/>
        </w:rPr>
        <w:t xml:space="preserve">            </w:t>
      </w:r>
    </w:p>
    <w:p w14:paraId="750D2347" w14:textId="0AD0ACBD"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Decentralized Application - An application that runs on a decentralized network rather than being hosted on centralized servers</w:t>
      </w:r>
    </w:p>
    <w:p w14:paraId="140F4532" w14:textId="77777777" w:rsidR="00C02ABC" w:rsidRPr="00C02ABC" w:rsidRDefault="00C02ABC" w:rsidP="00127CE2">
      <w:pPr>
        <w:jc w:val="both"/>
        <w:rPr>
          <w:rFonts w:eastAsiaTheme="majorEastAsia"/>
          <w:color w:val="000000" w:themeColor="text1"/>
        </w:rPr>
      </w:pPr>
    </w:p>
    <w:p w14:paraId="5E1135EC" w14:textId="77777777" w:rsidR="003C7DF9" w:rsidRPr="000D3037" w:rsidRDefault="00C02ABC" w:rsidP="00127CE2">
      <w:pPr>
        <w:jc w:val="both"/>
        <w:rPr>
          <w:rFonts w:eastAsiaTheme="majorEastAsia"/>
          <w:b/>
          <w:bCs/>
          <w:color w:val="000000" w:themeColor="text1"/>
        </w:rPr>
      </w:pPr>
      <w:r w:rsidRPr="000D3037">
        <w:rPr>
          <w:rFonts w:eastAsiaTheme="majorEastAsia"/>
          <w:b/>
          <w:bCs/>
          <w:color w:val="000000" w:themeColor="text1"/>
        </w:rPr>
        <w:lastRenderedPageBreak/>
        <w:t xml:space="preserve">DeFi            </w:t>
      </w:r>
    </w:p>
    <w:p w14:paraId="7147E3E7" w14:textId="73FA847E"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Decentralized Finance - Financial services and applications built on blockchain technology that operate without traditional intermediaries</w:t>
      </w:r>
    </w:p>
    <w:p w14:paraId="6DFF0F93" w14:textId="77777777" w:rsidR="00C02ABC" w:rsidRPr="00C02ABC" w:rsidRDefault="00C02ABC" w:rsidP="00127CE2">
      <w:pPr>
        <w:jc w:val="both"/>
        <w:rPr>
          <w:rFonts w:eastAsiaTheme="majorEastAsia"/>
          <w:color w:val="000000" w:themeColor="text1"/>
        </w:rPr>
      </w:pPr>
    </w:p>
    <w:p w14:paraId="40C1B690" w14:textId="77777777" w:rsidR="003C7DF9" w:rsidRPr="000D3037" w:rsidRDefault="00C02ABC" w:rsidP="00127CE2">
      <w:pPr>
        <w:jc w:val="both"/>
        <w:rPr>
          <w:rFonts w:eastAsiaTheme="majorEastAsia"/>
          <w:b/>
          <w:bCs/>
          <w:color w:val="000000" w:themeColor="text1"/>
        </w:rPr>
      </w:pPr>
      <w:r w:rsidRPr="000D3037">
        <w:rPr>
          <w:rFonts w:eastAsiaTheme="majorEastAsia"/>
          <w:b/>
          <w:bCs/>
          <w:color w:val="000000" w:themeColor="text1"/>
        </w:rPr>
        <w:t xml:space="preserve">DEX             </w:t>
      </w:r>
    </w:p>
    <w:p w14:paraId="027D4941" w14:textId="2D8700A0"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Decentralized Exchange - A cryptocurrency exchange that operates without a central authority, allowing peer-to-peer trading</w:t>
      </w:r>
    </w:p>
    <w:p w14:paraId="1B6FF80A" w14:textId="77777777" w:rsidR="00C02ABC" w:rsidRPr="00C02ABC" w:rsidRDefault="00C02ABC" w:rsidP="00127CE2">
      <w:pPr>
        <w:jc w:val="both"/>
        <w:rPr>
          <w:rFonts w:eastAsiaTheme="majorEastAsia"/>
          <w:color w:val="000000" w:themeColor="text1"/>
        </w:rPr>
      </w:pPr>
    </w:p>
    <w:p w14:paraId="382DA80A" w14:textId="77777777" w:rsidR="003C7DF9" w:rsidRPr="000D3037" w:rsidRDefault="00C02ABC" w:rsidP="00127CE2">
      <w:pPr>
        <w:jc w:val="both"/>
        <w:rPr>
          <w:rFonts w:eastAsiaTheme="majorEastAsia"/>
          <w:b/>
          <w:bCs/>
          <w:color w:val="000000" w:themeColor="text1"/>
        </w:rPr>
      </w:pPr>
      <w:proofErr w:type="spellStart"/>
      <w:r w:rsidRPr="000D3037">
        <w:rPr>
          <w:rFonts w:eastAsiaTheme="majorEastAsia"/>
          <w:b/>
          <w:bCs/>
          <w:color w:val="000000" w:themeColor="text1"/>
        </w:rPr>
        <w:t>dYdX</w:t>
      </w:r>
      <w:proofErr w:type="spellEnd"/>
      <w:r w:rsidRPr="000D3037">
        <w:rPr>
          <w:rFonts w:eastAsiaTheme="majorEastAsia"/>
          <w:b/>
          <w:bCs/>
          <w:color w:val="000000" w:themeColor="text1"/>
        </w:rPr>
        <w:t xml:space="preserve">            </w:t>
      </w:r>
    </w:p>
    <w:p w14:paraId="4ABB9818" w14:textId="54FB2968"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decentralized exchange protocol for trading perpetual contracts and margin trading</w:t>
      </w:r>
    </w:p>
    <w:p w14:paraId="19C69F9F" w14:textId="77777777" w:rsidR="00C02ABC" w:rsidRPr="00C02ABC" w:rsidRDefault="00C02ABC" w:rsidP="00127CE2">
      <w:pPr>
        <w:jc w:val="both"/>
        <w:rPr>
          <w:rFonts w:eastAsiaTheme="majorEastAsia"/>
          <w:color w:val="000000" w:themeColor="text1"/>
        </w:rPr>
      </w:pPr>
    </w:p>
    <w:p w14:paraId="385B1CEA" w14:textId="77777777" w:rsidR="003C7DF9" w:rsidRPr="000D3037" w:rsidRDefault="00C02ABC" w:rsidP="00127CE2">
      <w:pPr>
        <w:jc w:val="both"/>
        <w:rPr>
          <w:rFonts w:eastAsiaTheme="majorEastAsia"/>
          <w:b/>
          <w:bCs/>
          <w:color w:val="000000" w:themeColor="text1"/>
        </w:rPr>
      </w:pPr>
      <w:r w:rsidRPr="000D3037">
        <w:rPr>
          <w:rFonts w:eastAsiaTheme="majorEastAsia"/>
          <w:b/>
          <w:bCs/>
          <w:color w:val="000000" w:themeColor="text1"/>
        </w:rPr>
        <w:t xml:space="preserve">EIP             </w:t>
      </w:r>
    </w:p>
    <w:p w14:paraId="6644A61D" w14:textId="6C8D50DC"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Ethereum Improvement Proposal - A design document providing information to the Ethereum community or describing new features for Ethereum</w:t>
      </w:r>
    </w:p>
    <w:p w14:paraId="72A58ADD" w14:textId="77777777" w:rsidR="00C02ABC" w:rsidRPr="00C02ABC" w:rsidRDefault="00C02ABC" w:rsidP="00127CE2">
      <w:pPr>
        <w:jc w:val="both"/>
        <w:rPr>
          <w:rFonts w:eastAsiaTheme="majorEastAsia"/>
          <w:color w:val="000000" w:themeColor="text1"/>
        </w:rPr>
      </w:pPr>
    </w:p>
    <w:p w14:paraId="00A2E7B4" w14:textId="77777777" w:rsidR="003C7DF9" w:rsidRPr="000D3037" w:rsidRDefault="00C02ABC" w:rsidP="00127CE2">
      <w:pPr>
        <w:jc w:val="both"/>
        <w:rPr>
          <w:rFonts w:eastAsiaTheme="majorEastAsia"/>
          <w:b/>
          <w:bCs/>
          <w:color w:val="000000" w:themeColor="text1"/>
        </w:rPr>
      </w:pPr>
      <w:r w:rsidRPr="000D3037">
        <w:rPr>
          <w:rFonts w:eastAsiaTheme="majorEastAsia"/>
          <w:b/>
          <w:bCs/>
          <w:color w:val="000000" w:themeColor="text1"/>
        </w:rPr>
        <w:t xml:space="preserve">EIP-1559        </w:t>
      </w:r>
    </w:p>
    <w:p w14:paraId="7FAF20F0" w14:textId="0A2BA14F"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specific Ethereum Improvement Proposal that reformed the fee market mechanism, introducing fee burning and base fee adjustments</w:t>
      </w:r>
    </w:p>
    <w:p w14:paraId="7C8F99DC" w14:textId="77777777" w:rsidR="00C02ABC" w:rsidRPr="00C02ABC" w:rsidRDefault="00C02ABC" w:rsidP="00127CE2">
      <w:pPr>
        <w:jc w:val="both"/>
        <w:rPr>
          <w:rFonts w:eastAsiaTheme="majorEastAsia"/>
          <w:color w:val="000000" w:themeColor="text1"/>
        </w:rPr>
      </w:pPr>
    </w:p>
    <w:p w14:paraId="2A02D8C7" w14:textId="77777777" w:rsidR="003C7DF9" w:rsidRPr="000D3037" w:rsidRDefault="00C02ABC" w:rsidP="00127CE2">
      <w:pPr>
        <w:jc w:val="both"/>
        <w:rPr>
          <w:rFonts w:eastAsiaTheme="majorEastAsia"/>
          <w:b/>
          <w:bCs/>
          <w:color w:val="000000" w:themeColor="text1"/>
        </w:rPr>
      </w:pPr>
      <w:r w:rsidRPr="000D3037">
        <w:rPr>
          <w:rFonts w:eastAsiaTheme="majorEastAsia"/>
          <w:b/>
          <w:bCs/>
          <w:color w:val="000000" w:themeColor="text1"/>
        </w:rPr>
        <w:t xml:space="preserve">EOS             </w:t>
      </w:r>
    </w:p>
    <w:p w14:paraId="4406E4DB" w14:textId="7A910F3F"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blockchain platform designed for the development of decentralized applications, launched in 2018</w:t>
      </w:r>
    </w:p>
    <w:p w14:paraId="5786871D" w14:textId="77777777" w:rsidR="00C02ABC" w:rsidRPr="00C02ABC" w:rsidRDefault="00C02ABC" w:rsidP="00127CE2">
      <w:pPr>
        <w:jc w:val="both"/>
        <w:rPr>
          <w:rFonts w:eastAsiaTheme="majorEastAsia"/>
          <w:color w:val="000000" w:themeColor="text1"/>
        </w:rPr>
      </w:pPr>
    </w:p>
    <w:p w14:paraId="430A3B48" w14:textId="77777777" w:rsidR="003C7DF9" w:rsidRPr="000D3037" w:rsidRDefault="00C02ABC" w:rsidP="00127CE2">
      <w:pPr>
        <w:jc w:val="both"/>
        <w:rPr>
          <w:rFonts w:eastAsiaTheme="majorEastAsia"/>
          <w:b/>
          <w:bCs/>
          <w:color w:val="000000" w:themeColor="text1"/>
        </w:rPr>
      </w:pPr>
      <w:r w:rsidRPr="000D3037">
        <w:rPr>
          <w:rFonts w:eastAsiaTheme="majorEastAsia"/>
          <w:b/>
          <w:bCs/>
          <w:color w:val="000000" w:themeColor="text1"/>
        </w:rPr>
        <w:t xml:space="preserve">ETH             </w:t>
      </w:r>
    </w:p>
    <w:p w14:paraId="43EB7CB3" w14:textId="64985538"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Ethereum - The native cryptocurrency of the Ethereum blockchain, or the Ethereum network itself</w:t>
      </w:r>
    </w:p>
    <w:p w14:paraId="3C1BAD7A" w14:textId="77777777" w:rsidR="00C02ABC" w:rsidRPr="00C02ABC" w:rsidRDefault="00C02ABC" w:rsidP="00127CE2">
      <w:pPr>
        <w:jc w:val="both"/>
        <w:rPr>
          <w:rFonts w:eastAsiaTheme="majorEastAsia"/>
          <w:color w:val="000000" w:themeColor="text1"/>
        </w:rPr>
      </w:pPr>
    </w:p>
    <w:p w14:paraId="2A8C54A7" w14:textId="77777777" w:rsidR="003C7DF9" w:rsidRPr="000D3037" w:rsidRDefault="00C02ABC" w:rsidP="00127CE2">
      <w:pPr>
        <w:jc w:val="both"/>
        <w:rPr>
          <w:rFonts w:eastAsiaTheme="majorEastAsia"/>
          <w:b/>
          <w:bCs/>
          <w:color w:val="000000" w:themeColor="text1"/>
        </w:rPr>
      </w:pPr>
      <w:r w:rsidRPr="000D3037">
        <w:rPr>
          <w:rFonts w:eastAsiaTheme="majorEastAsia"/>
          <w:b/>
          <w:bCs/>
          <w:color w:val="000000" w:themeColor="text1"/>
        </w:rPr>
        <w:t xml:space="preserve">EVM             </w:t>
      </w:r>
    </w:p>
    <w:p w14:paraId="48E7B9CC" w14:textId="3645B061"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Ethereum Virtual Machine - The runtime environment for smart contracts in Ethereum</w:t>
      </w:r>
    </w:p>
    <w:p w14:paraId="7CCFA91D" w14:textId="77777777" w:rsidR="00C02ABC" w:rsidRPr="00C02ABC" w:rsidRDefault="00C02ABC" w:rsidP="00127CE2">
      <w:pPr>
        <w:jc w:val="both"/>
        <w:rPr>
          <w:rFonts w:eastAsiaTheme="majorEastAsia"/>
          <w:color w:val="000000" w:themeColor="text1"/>
        </w:rPr>
      </w:pPr>
    </w:p>
    <w:p w14:paraId="4730CD6D" w14:textId="77777777" w:rsidR="003C7DF9" w:rsidRPr="0056681D" w:rsidRDefault="00C02ABC" w:rsidP="00127CE2">
      <w:pPr>
        <w:jc w:val="both"/>
        <w:rPr>
          <w:rFonts w:eastAsiaTheme="majorEastAsia"/>
          <w:b/>
          <w:bCs/>
          <w:color w:val="000000" w:themeColor="text1"/>
        </w:rPr>
      </w:pPr>
      <w:r w:rsidRPr="0056681D">
        <w:rPr>
          <w:rFonts w:eastAsiaTheme="majorEastAsia"/>
          <w:b/>
          <w:bCs/>
          <w:color w:val="000000" w:themeColor="text1"/>
        </w:rPr>
        <w:t xml:space="preserve">IL              </w:t>
      </w:r>
    </w:p>
    <w:p w14:paraId="66F568D2" w14:textId="08BFF543"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Impermanent Loss - The temporary loss of funds experienced by liquidity providers due to volatility in a trading pair</w:t>
      </w:r>
    </w:p>
    <w:p w14:paraId="6FC33E51" w14:textId="77777777" w:rsidR="00C02ABC" w:rsidRPr="00C02ABC" w:rsidRDefault="00C02ABC" w:rsidP="00127CE2">
      <w:pPr>
        <w:jc w:val="both"/>
        <w:rPr>
          <w:rFonts w:eastAsiaTheme="majorEastAsia"/>
          <w:color w:val="000000" w:themeColor="text1"/>
        </w:rPr>
      </w:pPr>
    </w:p>
    <w:p w14:paraId="26EDB831" w14:textId="77777777" w:rsidR="003C7DF9" w:rsidRPr="0056681D" w:rsidRDefault="00C02ABC" w:rsidP="00127CE2">
      <w:pPr>
        <w:jc w:val="both"/>
        <w:rPr>
          <w:rFonts w:eastAsiaTheme="majorEastAsia"/>
          <w:b/>
          <w:bCs/>
          <w:color w:val="000000" w:themeColor="text1"/>
        </w:rPr>
      </w:pPr>
      <w:r w:rsidRPr="0056681D">
        <w:rPr>
          <w:rFonts w:eastAsiaTheme="majorEastAsia"/>
          <w:b/>
          <w:bCs/>
          <w:color w:val="000000" w:themeColor="text1"/>
        </w:rPr>
        <w:t xml:space="preserve">IQR             </w:t>
      </w:r>
    </w:p>
    <w:p w14:paraId="52C7370C" w14:textId="358E15F9"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Interquartile Range - A measure of statistical dispersion, equal to the difference between the 75th and 25th percentiles</w:t>
      </w:r>
    </w:p>
    <w:p w14:paraId="3F97B80D" w14:textId="77777777" w:rsidR="00C02ABC" w:rsidRPr="00C02ABC" w:rsidRDefault="00C02ABC" w:rsidP="00127CE2">
      <w:pPr>
        <w:jc w:val="both"/>
        <w:rPr>
          <w:rFonts w:eastAsiaTheme="majorEastAsia"/>
          <w:color w:val="000000" w:themeColor="text1"/>
        </w:rPr>
      </w:pPr>
    </w:p>
    <w:p w14:paraId="408E7E3F" w14:textId="77777777" w:rsidR="003C7DF9" w:rsidRPr="0056681D" w:rsidRDefault="00C02ABC" w:rsidP="00127CE2">
      <w:pPr>
        <w:jc w:val="both"/>
        <w:rPr>
          <w:rFonts w:eastAsiaTheme="majorEastAsia"/>
          <w:b/>
          <w:bCs/>
          <w:color w:val="000000" w:themeColor="text1"/>
        </w:rPr>
      </w:pPr>
      <w:r w:rsidRPr="0056681D">
        <w:rPr>
          <w:rFonts w:eastAsiaTheme="majorEastAsia"/>
          <w:b/>
          <w:bCs/>
          <w:color w:val="000000" w:themeColor="text1"/>
        </w:rPr>
        <w:t xml:space="preserve">KYC            </w:t>
      </w:r>
    </w:p>
    <w:p w14:paraId="5BD5ED91" w14:textId="1DBB96A2"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Know Your Customer - The process of verifying the identity of clients, typically required by centralized exchanges</w:t>
      </w:r>
    </w:p>
    <w:p w14:paraId="3907C771" w14:textId="77777777" w:rsidR="00C02ABC" w:rsidRPr="00C02ABC" w:rsidRDefault="00C02ABC" w:rsidP="00127CE2">
      <w:pPr>
        <w:jc w:val="both"/>
        <w:rPr>
          <w:rFonts w:eastAsiaTheme="majorEastAsia"/>
          <w:color w:val="000000" w:themeColor="text1"/>
        </w:rPr>
      </w:pPr>
    </w:p>
    <w:p w14:paraId="7A44C79F" w14:textId="77777777" w:rsidR="00C725C1" w:rsidRPr="0056681D" w:rsidRDefault="00C02ABC" w:rsidP="00127CE2">
      <w:pPr>
        <w:jc w:val="both"/>
        <w:rPr>
          <w:rFonts w:eastAsiaTheme="majorEastAsia"/>
          <w:b/>
          <w:bCs/>
          <w:color w:val="000000" w:themeColor="text1"/>
        </w:rPr>
      </w:pPr>
      <w:r w:rsidRPr="0056681D">
        <w:rPr>
          <w:rFonts w:eastAsiaTheme="majorEastAsia"/>
          <w:b/>
          <w:bCs/>
          <w:color w:val="000000" w:themeColor="text1"/>
        </w:rPr>
        <w:t xml:space="preserve">L1              </w:t>
      </w:r>
    </w:p>
    <w:p w14:paraId="7A7B05E0" w14:textId="265732CE"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Layer 1 - The base blockchain layer (e.g., Ethereum, Bitcoin, Solana)</w:t>
      </w:r>
    </w:p>
    <w:p w14:paraId="5C9D5BAF" w14:textId="77777777" w:rsidR="00C02ABC" w:rsidRPr="00C02ABC" w:rsidRDefault="00C02ABC" w:rsidP="00127CE2">
      <w:pPr>
        <w:jc w:val="both"/>
        <w:rPr>
          <w:rFonts w:eastAsiaTheme="majorEastAsia"/>
          <w:color w:val="000000" w:themeColor="text1"/>
        </w:rPr>
      </w:pPr>
    </w:p>
    <w:p w14:paraId="300BED41" w14:textId="77777777" w:rsidR="00C725C1" w:rsidRPr="0056681D" w:rsidRDefault="00C02ABC" w:rsidP="00127CE2">
      <w:pPr>
        <w:jc w:val="both"/>
        <w:rPr>
          <w:rFonts w:eastAsiaTheme="majorEastAsia"/>
          <w:b/>
          <w:bCs/>
          <w:color w:val="000000" w:themeColor="text1"/>
        </w:rPr>
      </w:pPr>
      <w:r w:rsidRPr="0056681D">
        <w:rPr>
          <w:rFonts w:eastAsiaTheme="majorEastAsia"/>
          <w:b/>
          <w:bCs/>
          <w:color w:val="000000" w:themeColor="text1"/>
        </w:rPr>
        <w:t xml:space="preserve">L2              </w:t>
      </w:r>
    </w:p>
    <w:p w14:paraId="0E4F0903" w14:textId="20B8FBF5"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Layer 2 - Scaling solutions built on top of Layer 1 blockchains to increase transaction throughput and reduce costs (e.g., </w:t>
      </w:r>
      <w:proofErr w:type="spellStart"/>
      <w:r w:rsidRPr="00C02ABC">
        <w:rPr>
          <w:rFonts w:eastAsiaTheme="majorEastAsia"/>
          <w:color w:val="000000" w:themeColor="text1"/>
        </w:rPr>
        <w:t>Arbitrum</w:t>
      </w:r>
      <w:proofErr w:type="spellEnd"/>
      <w:r w:rsidRPr="00C02ABC">
        <w:rPr>
          <w:rFonts w:eastAsiaTheme="majorEastAsia"/>
          <w:color w:val="000000" w:themeColor="text1"/>
        </w:rPr>
        <w:t>, Optimism)</w:t>
      </w:r>
    </w:p>
    <w:p w14:paraId="09195FBB" w14:textId="77777777" w:rsidR="00C02ABC" w:rsidRPr="00C02ABC" w:rsidRDefault="00C02ABC" w:rsidP="00127CE2">
      <w:pPr>
        <w:jc w:val="both"/>
        <w:rPr>
          <w:rFonts w:eastAsiaTheme="majorEastAsia"/>
          <w:color w:val="000000" w:themeColor="text1"/>
        </w:rPr>
      </w:pPr>
    </w:p>
    <w:p w14:paraId="235BAE9F" w14:textId="77777777" w:rsidR="00C725C1" w:rsidRPr="0056681D" w:rsidRDefault="00C02ABC" w:rsidP="00127CE2">
      <w:pPr>
        <w:jc w:val="both"/>
        <w:rPr>
          <w:rFonts w:eastAsiaTheme="majorEastAsia"/>
          <w:b/>
          <w:bCs/>
          <w:color w:val="000000" w:themeColor="text1"/>
        </w:rPr>
      </w:pPr>
      <w:r w:rsidRPr="0056681D">
        <w:rPr>
          <w:rFonts w:eastAsiaTheme="majorEastAsia"/>
          <w:b/>
          <w:bCs/>
          <w:color w:val="000000" w:themeColor="text1"/>
        </w:rPr>
        <w:t xml:space="preserve">LP              </w:t>
      </w:r>
    </w:p>
    <w:p w14:paraId="45EDB3FF" w14:textId="5CEFCC19"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Liquidity Provider - A user who deposits tokens into a liquidity pool to facilitate trading on decentralized exchanges</w:t>
      </w:r>
    </w:p>
    <w:p w14:paraId="4B1F1D65" w14:textId="77777777" w:rsidR="00C02ABC" w:rsidRPr="00C02ABC" w:rsidRDefault="00C02ABC" w:rsidP="00127CE2">
      <w:pPr>
        <w:jc w:val="both"/>
        <w:rPr>
          <w:rFonts w:eastAsiaTheme="majorEastAsia"/>
          <w:color w:val="000000" w:themeColor="text1"/>
        </w:rPr>
      </w:pPr>
    </w:p>
    <w:p w14:paraId="2AF89AC0" w14:textId="77777777" w:rsidR="00C725C1" w:rsidRPr="0056681D" w:rsidRDefault="00C02ABC" w:rsidP="00127CE2">
      <w:pPr>
        <w:jc w:val="both"/>
        <w:rPr>
          <w:rFonts w:eastAsiaTheme="majorEastAsia"/>
          <w:b/>
          <w:bCs/>
          <w:color w:val="000000" w:themeColor="text1"/>
        </w:rPr>
      </w:pPr>
      <w:r w:rsidRPr="0056681D">
        <w:rPr>
          <w:rFonts w:eastAsiaTheme="majorEastAsia"/>
          <w:b/>
          <w:bCs/>
          <w:color w:val="000000" w:themeColor="text1"/>
        </w:rPr>
        <w:t xml:space="preserve">MEV             </w:t>
      </w:r>
    </w:p>
    <w:p w14:paraId="2E3AC101" w14:textId="0EA20F3D"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Maximal Extractable Value (formerly Miner Extractable Value) - The maximum value that can be extracted from block production </w:t>
      </w:r>
      <w:proofErr w:type="gramStart"/>
      <w:r w:rsidRPr="00C02ABC">
        <w:rPr>
          <w:rFonts w:eastAsiaTheme="majorEastAsia"/>
          <w:color w:val="000000" w:themeColor="text1"/>
        </w:rPr>
        <w:t>in excess of</w:t>
      </w:r>
      <w:proofErr w:type="gramEnd"/>
      <w:r w:rsidRPr="00C02ABC">
        <w:rPr>
          <w:rFonts w:eastAsiaTheme="majorEastAsia"/>
          <w:color w:val="000000" w:themeColor="text1"/>
        </w:rPr>
        <w:t xml:space="preserve"> standard block rewards and gas fees</w:t>
      </w:r>
    </w:p>
    <w:p w14:paraId="1F0B0574" w14:textId="77777777" w:rsidR="00C02ABC" w:rsidRPr="00C02ABC" w:rsidRDefault="00C02ABC" w:rsidP="00127CE2">
      <w:pPr>
        <w:jc w:val="both"/>
        <w:rPr>
          <w:rFonts w:eastAsiaTheme="majorEastAsia"/>
          <w:color w:val="000000" w:themeColor="text1"/>
        </w:rPr>
      </w:pPr>
    </w:p>
    <w:p w14:paraId="53D8FE5D" w14:textId="77777777" w:rsidR="00C725C1" w:rsidRPr="0056681D" w:rsidRDefault="00C02ABC" w:rsidP="00127CE2">
      <w:pPr>
        <w:jc w:val="both"/>
        <w:rPr>
          <w:rFonts w:eastAsiaTheme="majorEastAsia"/>
          <w:b/>
          <w:bCs/>
          <w:color w:val="000000" w:themeColor="text1"/>
        </w:rPr>
      </w:pPr>
      <w:r w:rsidRPr="0056681D">
        <w:rPr>
          <w:rFonts w:eastAsiaTheme="majorEastAsia"/>
          <w:b/>
          <w:bCs/>
          <w:color w:val="000000" w:themeColor="text1"/>
        </w:rPr>
        <w:t xml:space="preserve">NFT             </w:t>
      </w:r>
    </w:p>
    <w:p w14:paraId="2AB8BF5D" w14:textId="016676E0"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Non-Fungible Token - A unique digital asset verified using blockchain technology</w:t>
      </w:r>
    </w:p>
    <w:p w14:paraId="0C921D58" w14:textId="77777777" w:rsidR="00C02ABC" w:rsidRPr="00C02ABC" w:rsidRDefault="00C02ABC" w:rsidP="00127CE2">
      <w:pPr>
        <w:jc w:val="both"/>
        <w:rPr>
          <w:rFonts w:eastAsiaTheme="majorEastAsia"/>
          <w:color w:val="000000" w:themeColor="text1"/>
        </w:rPr>
      </w:pPr>
    </w:p>
    <w:p w14:paraId="78BADD5F" w14:textId="77777777" w:rsidR="00C725C1" w:rsidRPr="0056681D" w:rsidRDefault="00C02ABC" w:rsidP="00127CE2">
      <w:pPr>
        <w:jc w:val="both"/>
        <w:rPr>
          <w:rFonts w:eastAsiaTheme="majorEastAsia"/>
          <w:b/>
          <w:bCs/>
          <w:color w:val="000000" w:themeColor="text1"/>
        </w:rPr>
      </w:pPr>
      <w:proofErr w:type="spellStart"/>
      <w:r w:rsidRPr="0056681D">
        <w:rPr>
          <w:rFonts w:eastAsiaTheme="majorEastAsia"/>
          <w:b/>
          <w:bCs/>
          <w:color w:val="000000" w:themeColor="text1"/>
        </w:rPr>
        <w:t>PoA</w:t>
      </w:r>
      <w:proofErr w:type="spellEnd"/>
      <w:r w:rsidRPr="0056681D">
        <w:rPr>
          <w:rFonts w:eastAsiaTheme="majorEastAsia"/>
          <w:b/>
          <w:bCs/>
          <w:color w:val="000000" w:themeColor="text1"/>
        </w:rPr>
        <w:t xml:space="preserve">             </w:t>
      </w:r>
    </w:p>
    <w:p w14:paraId="2ACF54CE" w14:textId="418D2007"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Proof of Authority - A consensus mechanism where transactions are</w:t>
      </w:r>
      <w:r w:rsidR="00C725C1">
        <w:rPr>
          <w:rFonts w:eastAsiaTheme="majorEastAsia"/>
          <w:color w:val="000000" w:themeColor="text1"/>
        </w:rPr>
        <w:t xml:space="preserve"> </w:t>
      </w:r>
      <w:r w:rsidRPr="00C02ABC">
        <w:rPr>
          <w:rFonts w:eastAsiaTheme="majorEastAsia"/>
          <w:color w:val="000000" w:themeColor="text1"/>
        </w:rPr>
        <w:t>validated by approved accounts (validators)</w:t>
      </w:r>
    </w:p>
    <w:p w14:paraId="6EF5315C" w14:textId="77777777" w:rsidR="00C02ABC" w:rsidRPr="00C02ABC" w:rsidRDefault="00C02ABC" w:rsidP="00127CE2">
      <w:pPr>
        <w:jc w:val="both"/>
        <w:rPr>
          <w:rFonts w:eastAsiaTheme="majorEastAsia"/>
          <w:color w:val="000000" w:themeColor="text1"/>
        </w:rPr>
      </w:pPr>
    </w:p>
    <w:p w14:paraId="048F93BF" w14:textId="77777777" w:rsidR="00C725C1" w:rsidRPr="0056681D" w:rsidRDefault="00C02ABC" w:rsidP="00127CE2">
      <w:pPr>
        <w:jc w:val="both"/>
        <w:rPr>
          <w:rFonts w:eastAsiaTheme="majorEastAsia"/>
          <w:b/>
          <w:bCs/>
          <w:color w:val="000000" w:themeColor="text1"/>
        </w:rPr>
      </w:pPr>
      <w:proofErr w:type="spellStart"/>
      <w:r w:rsidRPr="0056681D">
        <w:rPr>
          <w:rFonts w:eastAsiaTheme="majorEastAsia"/>
          <w:b/>
          <w:bCs/>
          <w:color w:val="000000" w:themeColor="text1"/>
        </w:rPr>
        <w:t>PoS</w:t>
      </w:r>
      <w:proofErr w:type="spellEnd"/>
      <w:r w:rsidRPr="0056681D">
        <w:rPr>
          <w:rFonts w:eastAsiaTheme="majorEastAsia"/>
          <w:b/>
          <w:bCs/>
          <w:color w:val="000000" w:themeColor="text1"/>
        </w:rPr>
        <w:t xml:space="preserve">             </w:t>
      </w:r>
    </w:p>
    <w:p w14:paraId="1CB7744B" w14:textId="38D57C3A"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Proof of Stake - A consensus mechanism where validators are chosen based on the number of tokens they hold and are willing to "stake" as collateral</w:t>
      </w:r>
    </w:p>
    <w:p w14:paraId="44F5243B" w14:textId="77777777" w:rsidR="00C02ABC" w:rsidRPr="00C02ABC" w:rsidRDefault="00C02ABC" w:rsidP="00127CE2">
      <w:pPr>
        <w:jc w:val="both"/>
        <w:rPr>
          <w:rFonts w:eastAsiaTheme="majorEastAsia"/>
          <w:color w:val="000000" w:themeColor="text1"/>
        </w:rPr>
      </w:pPr>
    </w:p>
    <w:p w14:paraId="5E3C1255" w14:textId="77777777" w:rsidR="00C725C1" w:rsidRPr="0056681D" w:rsidRDefault="00C02ABC" w:rsidP="00127CE2">
      <w:pPr>
        <w:jc w:val="both"/>
        <w:rPr>
          <w:rFonts w:eastAsiaTheme="majorEastAsia"/>
          <w:b/>
          <w:bCs/>
          <w:color w:val="000000" w:themeColor="text1"/>
        </w:rPr>
      </w:pPr>
      <w:r w:rsidRPr="0056681D">
        <w:rPr>
          <w:rFonts w:eastAsiaTheme="majorEastAsia"/>
          <w:b/>
          <w:bCs/>
          <w:color w:val="000000" w:themeColor="text1"/>
        </w:rPr>
        <w:t xml:space="preserve">PoW             </w:t>
      </w:r>
    </w:p>
    <w:p w14:paraId="2885067F" w14:textId="100BB791"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Proof of Work - A consensus mechanism that requires computational work to validate transactions and create new blocks (used by Bitcoin)</w:t>
      </w:r>
    </w:p>
    <w:p w14:paraId="12570530" w14:textId="77777777" w:rsidR="00C02ABC" w:rsidRPr="00C02ABC" w:rsidRDefault="00C02ABC" w:rsidP="00127CE2">
      <w:pPr>
        <w:jc w:val="both"/>
        <w:rPr>
          <w:rFonts w:eastAsiaTheme="majorEastAsia"/>
          <w:color w:val="000000" w:themeColor="text1"/>
        </w:rPr>
      </w:pPr>
    </w:p>
    <w:p w14:paraId="0728A21E" w14:textId="77777777" w:rsidR="00C725C1" w:rsidRPr="0056681D" w:rsidRDefault="00C02ABC" w:rsidP="00127CE2">
      <w:pPr>
        <w:jc w:val="both"/>
        <w:rPr>
          <w:rFonts w:eastAsiaTheme="majorEastAsia"/>
          <w:color w:val="000000" w:themeColor="text1"/>
        </w:rPr>
      </w:pPr>
      <w:r w:rsidRPr="0056681D">
        <w:rPr>
          <w:rFonts w:eastAsiaTheme="majorEastAsia"/>
          <w:color w:val="000000" w:themeColor="text1"/>
        </w:rPr>
        <w:t xml:space="preserve">RQ              </w:t>
      </w:r>
    </w:p>
    <w:p w14:paraId="2F6ECE1E" w14:textId="419834A6"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Research Question - A specific question that a research project aims to answer</w:t>
      </w:r>
    </w:p>
    <w:p w14:paraId="48E619E8" w14:textId="77777777" w:rsidR="00C02ABC" w:rsidRPr="00C02ABC" w:rsidRDefault="00C02ABC" w:rsidP="00127CE2">
      <w:pPr>
        <w:jc w:val="both"/>
        <w:rPr>
          <w:rFonts w:eastAsiaTheme="majorEastAsia"/>
          <w:color w:val="000000" w:themeColor="text1"/>
        </w:rPr>
      </w:pPr>
    </w:p>
    <w:p w14:paraId="7CA8F520" w14:textId="77777777" w:rsidR="00C725C1" w:rsidRPr="0056681D" w:rsidRDefault="00C02ABC" w:rsidP="00127CE2">
      <w:pPr>
        <w:jc w:val="both"/>
        <w:rPr>
          <w:rFonts w:eastAsiaTheme="majorEastAsia"/>
          <w:b/>
          <w:bCs/>
          <w:color w:val="000000" w:themeColor="text1"/>
        </w:rPr>
      </w:pPr>
      <w:r w:rsidRPr="0056681D">
        <w:rPr>
          <w:rFonts w:eastAsiaTheme="majorEastAsia"/>
          <w:b/>
          <w:bCs/>
          <w:color w:val="000000" w:themeColor="text1"/>
        </w:rPr>
        <w:t xml:space="preserve">SDK             </w:t>
      </w:r>
    </w:p>
    <w:p w14:paraId="529CCAAA" w14:textId="5E7DA913"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Software Development Kit - A collection of software development tools in one installable package</w:t>
      </w:r>
    </w:p>
    <w:p w14:paraId="6417B4EC" w14:textId="77777777" w:rsidR="00C02ABC" w:rsidRPr="00C02ABC" w:rsidRDefault="00C02ABC" w:rsidP="00127CE2">
      <w:pPr>
        <w:jc w:val="both"/>
        <w:rPr>
          <w:rFonts w:eastAsiaTheme="majorEastAsia"/>
          <w:color w:val="000000" w:themeColor="text1"/>
        </w:rPr>
      </w:pPr>
    </w:p>
    <w:p w14:paraId="7E8AE488" w14:textId="77777777" w:rsidR="00C725C1" w:rsidRPr="0056681D" w:rsidRDefault="00C02ABC" w:rsidP="00127CE2">
      <w:pPr>
        <w:jc w:val="both"/>
        <w:rPr>
          <w:rFonts w:eastAsiaTheme="majorEastAsia"/>
          <w:b/>
          <w:bCs/>
          <w:color w:val="000000" w:themeColor="text1"/>
        </w:rPr>
      </w:pPr>
      <w:r w:rsidRPr="0056681D">
        <w:rPr>
          <w:rFonts w:eastAsiaTheme="majorEastAsia"/>
          <w:b/>
          <w:bCs/>
          <w:color w:val="000000" w:themeColor="text1"/>
        </w:rPr>
        <w:t xml:space="preserve">USDC            </w:t>
      </w:r>
    </w:p>
    <w:p w14:paraId="7C84A16A" w14:textId="78D0D511"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USD Coin - A stablecoin pegged to the U.S. dollar, issued by Circle</w:t>
      </w:r>
    </w:p>
    <w:p w14:paraId="07315DFE" w14:textId="77777777" w:rsidR="00C02ABC" w:rsidRPr="00C02ABC" w:rsidRDefault="00C02ABC" w:rsidP="00127CE2">
      <w:pPr>
        <w:jc w:val="both"/>
        <w:rPr>
          <w:rFonts w:eastAsiaTheme="majorEastAsia"/>
          <w:color w:val="000000" w:themeColor="text1"/>
        </w:rPr>
      </w:pPr>
    </w:p>
    <w:p w14:paraId="6E169BE1" w14:textId="77777777" w:rsidR="00C725C1" w:rsidRPr="0056681D" w:rsidRDefault="00C02ABC" w:rsidP="00127CE2">
      <w:pPr>
        <w:jc w:val="both"/>
        <w:rPr>
          <w:rFonts w:eastAsiaTheme="majorEastAsia"/>
          <w:b/>
          <w:bCs/>
          <w:color w:val="000000" w:themeColor="text1"/>
        </w:rPr>
      </w:pPr>
      <w:r w:rsidRPr="0056681D">
        <w:rPr>
          <w:rFonts w:eastAsiaTheme="majorEastAsia"/>
          <w:b/>
          <w:bCs/>
          <w:color w:val="000000" w:themeColor="text1"/>
        </w:rPr>
        <w:t xml:space="preserve">USDT            </w:t>
      </w:r>
    </w:p>
    <w:p w14:paraId="0BEF7DC4" w14:textId="316E433F"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Tether - A stablecoin pegged to the U.S. dollar, issued by Tether Limited</w:t>
      </w:r>
    </w:p>
    <w:p w14:paraId="7DB88D49" w14:textId="77777777" w:rsidR="00C02ABC" w:rsidRPr="00C02ABC" w:rsidRDefault="00C02ABC" w:rsidP="00127CE2">
      <w:pPr>
        <w:jc w:val="both"/>
        <w:rPr>
          <w:rFonts w:eastAsiaTheme="majorEastAsia"/>
          <w:color w:val="000000" w:themeColor="text1"/>
        </w:rPr>
      </w:pPr>
    </w:p>
    <w:p w14:paraId="2D519671" w14:textId="77777777" w:rsidR="00C725C1" w:rsidRPr="0056681D" w:rsidRDefault="00C02ABC" w:rsidP="00127CE2">
      <w:pPr>
        <w:jc w:val="both"/>
        <w:rPr>
          <w:rFonts w:eastAsiaTheme="majorEastAsia"/>
          <w:b/>
          <w:bCs/>
          <w:color w:val="000000" w:themeColor="text1"/>
        </w:rPr>
      </w:pPr>
      <w:r w:rsidRPr="0056681D">
        <w:rPr>
          <w:rFonts w:eastAsiaTheme="majorEastAsia"/>
          <w:b/>
          <w:bCs/>
          <w:color w:val="000000" w:themeColor="text1"/>
        </w:rPr>
        <w:t xml:space="preserve">TVL             </w:t>
      </w:r>
    </w:p>
    <w:p w14:paraId="267252E0" w14:textId="5549BC92"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Total Value Locked - The total value of crypto assets deposited in a DeFi protocol</w:t>
      </w:r>
    </w:p>
    <w:p w14:paraId="0AE21586" w14:textId="77777777" w:rsidR="00C02ABC" w:rsidRPr="00C02ABC" w:rsidRDefault="00C02ABC" w:rsidP="00127CE2">
      <w:pPr>
        <w:jc w:val="both"/>
        <w:rPr>
          <w:rFonts w:eastAsiaTheme="majorEastAsia"/>
          <w:color w:val="000000" w:themeColor="text1"/>
        </w:rPr>
      </w:pPr>
    </w:p>
    <w:p w14:paraId="1B216EA4" w14:textId="77777777" w:rsidR="00C725C1" w:rsidRPr="0056681D" w:rsidRDefault="00C02ABC" w:rsidP="00127CE2">
      <w:pPr>
        <w:jc w:val="both"/>
        <w:rPr>
          <w:rFonts w:eastAsiaTheme="majorEastAsia"/>
          <w:b/>
          <w:bCs/>
          <w:color w:val="000000" w:themeColor="text1"/>
        </w:rPr>
      </w:pPr>
      <w:r w:rsidRPr="0056681D">
        <w:rPr>
          <w:rFonts w:eastAsiaTheme="majorEastAsia"/>
          <w:b/>
          <w:bCs/>
          <w:color w:val="000000" w:themeColor="text1"/>
        </w:rPr>
        <w:t xml:space="preserve">WBTC            </w:t>
      </w:r>
    </w:p>
    <w:p w14:paraId="7369F84E" w14:textId="481BC2CA"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Wrapped Bitcoin - An ERC-20 token that represents Bitcoin on the Ethereum blockchain at a 1:1 ratio</w:t>
      </w:r>
    </w:p>
    <w:p w14:paraId="4367B7E7" w14:textId="77777777" w:rsidR="00C02ABC" w:rsidRPr="00C02ABC" w:rsidRDefault="00C02ABC" w:rsidP="00127CE2">
      <w:pPr>
        <w:jc w:val="both"/>
        <w:rPr>
          <w:rFonts w:eastAsiaTheme="majorEastAsia"/>
          <w:color w:val="000000" w:themeColor="text1"/>
        </w:rPr>
      </w:pPr>
    </w:p>
    <w:p w14:paraId="7D070496" w14:textId="77777777" w:rsidR="00C02ABC" w:rsidRPr="00C02ABC" w:rsidRDefault="00C02ABC" w:rsidP="00127CE2">
      <w:pPr>
        <w:jc w:val="both"/>
        <w:rPr>
          <w:rFonts w:eastAsiaTheme="majorEastAsia"/>
          <w:color w:val="000000" w:themeColor="text1"/>
        </w:rPr>
      </w:pPr>
    </w:p>
    <w:p w14:paraId="12C69A12" w14:textId="77777777" w:rsidR="00C107DF" w:rsidRDefault="00C107DF" w:rsidP="00127CE2">
      <w:pPr>
        <w:spacing w:after="200" w:line="276" w:lineRule="auto"/>
        <w:jc w:val="both"/>
        <w:rPr>
          <w:rFonts w:eastAsiaTheme="majorEastAsia"/>
          <w:b/>
          <w:kern w:val="2"/>
        </w:rPr>
      </w:pPr>
      <w:r>
        <w:rPr>
          <w:rFonts w:eastAsiaTheme="majorEastAsia"/>
        </w:rPr>
        <w:br w:type="page"/>
      </w:r>
    </w:p>
    <w:p w14:paraId="0FB6D32D" w14:textId="2C2B436E" w:rsidR="00C02ABC" w:rsidRPr="00C02ABC" w:rsidRDefault="00C02ABC" w:rsidP="00127CE2">
      <w:pPr>
        <w:pStyle w:val="Heading3"/>
        <w:jc w:val="both"/>
        <w:rPr>
          <w:rFonts w:eastAsiaTheme="majorEastAsia"/>
        </w:rPr>
      </w:pPr>
      <w:bookmarkStart w:id="295" w:name="_Toc214722101"/>
      <w:r w:rsidRPr="00C02ABC">
        <w:rPr>
          <w:rFonts w:eastAsiaTheme="majorEastAsia"/>
        </w:rPr>
        <w:lastRenderedPageBreak/>
        <w:t>SECTION B: TECHNICAL TERMS AND CONCEPTS</w:t>
      </w:r>
      <w:bookmarkEnd w:id="295"/>
    </w:p>
    <w:p w14:paraId="1174C6E8" w14:textId="77777777" w:rsidR="00C02ABC" w:rsidRPr="00C02ABC" w:rsidRDefault="00C02ABC" w:rsidP="00127CE2">
      <w:pPr>
        <w:jc w:val="both"/>
        <w:rPr>
          <w:rFonts w:eastAsiaTheme="majorEastAsia"/>
          <w:color w:val="000000" w:themeColor="text1"/>
        </w:rPr>
      </w:pPr>
    </w:p>
    <w:p w14:paraId="47FF5E6A"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Accessibility Gradient</w:t>
      </w:r>
    </w:p>
    <w:p w14:paraId="6974FDEB" w14:textId="50B801D4"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theoretical framework developed in this research describing the stratified entry points in DeFi with capital-dependent viability. Different capital levels enable access to different strategies and networks, creating a gradient of accessibility rather than binary inclusion/exclusion.</w:t>
      </w:r>
    </w:p>
    <w:p w14:paraId="483E04DA" w14:textId="77777777" w:rsidR="00C02ABC" w:rsidRPr="00C02ABC" w:rsidRDefault="00C02ABC" w:rsidP="00127CE2">
      <w:pPr>
        <w:jc w:val="both"/>
        <w:rPr>
          <w:rFonts w:eastAsiaTheme="majorEastAsia"/>
          <w:color w:val="000000" w:themeColor="text1"/>
        </w:rPr>
      </w:pPr>
    </w:p>
    <w:p w14:paraId="0E4CE8EE"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Accredited Investor</w:t>
      </w:r>
    </w:p>
    <w:p w14:paraId="2990C52F" w14:textId="0711CB7C"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An individual who meets certain income or net worth requirements, allowing them to participate in investments not available to the </w:t>
      </w:r>
      <w:proofErr w:type="gramStart"/>
      <w:r w:rsidRPr="00C02ABC">
        <w:rPr>
          <w:rFonts w:eastAsiaTheme="majorEastAsia"/>
          <w:color w:val="000000" w:themeColor="text1"/>
        </w:rPr>
        <w:t>general public</w:t>
      </w:r>
      <w:proofErr w:type="gramEnd"/>
      <w:r w:rsidRPr="00C02ABC">
        <w:rPr>
          <w:rFonts w:eastAsiaTheme="majorEastAsia"/>
          <w:color w:val="000000" w:themeColor="text1"/>
        </w:rPr>
        <w:t xml:space="preserve"> under traditional financial regulations.</w:t>
      </w:r>
    </w:p>
    <w:p w14:paraId="31E95DB6" w14:textId="77777777" w:rsidR="00C02ABC" w:rsidRPr="00C02ABC" w:rsidRDefault="00C02ABC" w:rsidP="00127CE2">
      <w:pPr>
        <w:jc w:val="both"/>
        <w:rPr>
          <w:rFonts w:eastAsiaTheme="majorEastAsia"/>
          <w:color w:val="000000" w:themeColor="text1"/>
        </w:rPr>
      </w:pPr>
    </w:p>
    <w:p w14:paraId="60BCED73"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Algorithmic Trading</w:t>
      </w:r>
    </w:p>
    <w:p w14:paraId="13AEFC8E" w14:textId="61F9772B"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use of computer programs and algorithms to execute trades automatically based on predefined criteria, often at high speeds and frequencies.</w:t>
      </w:r>
    </w:p>
    <w:p w14:paraId="3B1B8BDC" w14:textId="77777777" w:rsidR="00C02ABC" w:rsidRPr="00C02ABC" w:rsidRDefault="00C02ABC" w:rsidP="00127CE2">
      <w:pPr>
        <w:jc w:val="both"/>
        <w:rPr>
          <w:rFonts w:eastAsiaTheme="majorEastAsia"/>
          <w:color w:val="000000" w:themeColor="text1"/>
        </w:rPr>
      </w:pPr>
    </w:p>
    <w:p w14:paraId="2AD13A36"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Alternative Layer 1 (Alt L1)</w:t>
      </w:r>
    </w:p>
    <w:p w14:paraId="075ADA61" w14:textId="04CC546C"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Blockchain networks that serve as alternatives to Ethereum's </w:t>
      </w:r>
      <w:proofErr w:type="spellStart"/>
      <w:r w:rsidRPr="00C02ABC">
        <w:rPr>
          <w:rFonts w:eastAsiaTheme="majorEastAsia"/>
          <w:color w:val="000000" w:themeColor="text1"/>
        </w:rPr>
        <w:t>mainnet</w:t>
      </w:r>
      <w:proofErr w:type="spellEnd"/>
      <w:r w:rsidRPr="00C02ABC">
        <w:rPr>
          <w:rFonts w:eastAsiaTheme="majorEastAsia"/>
          <w:color w:val="000000" w:themeColor="text1"/>
        </w:rPr>
        <w:t>, offering different trade-offs in terms of speed, cost, and decentralization (e.g., Solana, Polygon, Avalanche).</w:t>
      </w:r>
    </w:p>
    <w:p w14:paraId="437878D4" w14:textId="77777777" w:rsidR="00C02ABC" w:rsidRPr="00C02ABC" w:rsidRDefault="00C02ABC" w:rsidP="00127CE2">
      <w:pPr>
        <w:jc w:val="both"/>
        <w:rPr>
          <w:rFonts w:eastAsiaTheme="majorEastAsia"/>
          <w:color w:val="000000" w:themeColor="text1"/>
        </w:rPr>
      </w:pPr>
    </w:p>
    <w:p w14:paraId="7FC042B1"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Anti-Inductivity</w:t>
      </w:r>
    </w:p>
    <w:p w14:paraId="0363E5EB" w14:textId="383B679D"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market characteristic where discovered patterns and strategies become less effective as more participants adopt them. Markets evolve to invalidate previously successful approaches.</w:t>
      </w:r>
    </w:p>
    <w:p w14:paraId="2A7820CB" w14:textId="77777777" w:rsidR="00C02ABC" w:rsidRPr="00C02ABC" w:rsidRDefault="00C02ABC" w:rsidP="00127CE2">
      <w:pPr>
        <w:jc w:val="both"/>
        <w:rPr>
          <w:rFonts w:eastAsiaTheme="majorEastAsia"/>
          <w:color w:val="000000" w:themeColor="text1"/>
        </w:rPr>
      </w:pPr>
    </w:p>
    <w:p w14:paraId="12328C41" w14:textId="77777777" w:rsidR="00C37DFF" w:rsidRPr="00C107DF" w:rsidRDefault="00C02ABC" w:rsidP="00127CE2">
      <w:pPr>
        <w:jc w:val="both"/>
        <w:rPr>
          <w:rFonts w:eastAsiaTheme="majorEastAsia"/>
          <w:b/>
          <w:bCs/>
          <w:color w:val="000000" w:themeColor="text1"/>
        </w:rPr>
      </w:pPr>
      <w:proofErr w:type="gramStart"/>
      <w:r w:rsidRPr="00C107DF">
        <w:rPr>
          <w:rFonts w:eastAsiaTheme="majorEastAsia"/>
          <w:b/>
          <w:bCs/>
          <w:color w:val="000000" w:themeColor="text1"/>
        </w:rPr>
        <w:t>Arbitrage</w:t>
      </w:r>
      <w:proofErr w:type="gramEnd"/>
      <w:r w:rsidRPr="00C107DF">
        <w:rPr>
          <w:rFonts w:eastAsiaTheme="majorEastAsia"/>
          <w:b/>
          <w:bCs/>
          <w:color w:val="000000" w:themeColor="text1"/>
        </w:rPr>
        <w:t xml:space="preserve">        </w:t>
      </w:r>
    </w:p>
    <w:p w14:paraId="4CBFEC09" w14:textId="043C23B5"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practice of taking advantage of price differences between markets by buying an asset in one market and simultaneously selling it in another.</w:t>
      </w:r>
    </w:p>
    <w:p w14:paraId="79CEFC38" w14:textId="77777777" w:rsidR="00C02ABC" w:rsidRPr="00C02ABC" w:rsidRDefault="00C02ABC" w:rsidP="00127CE2">
      <w:pPr>
        <w:jc w:val="both"/>
        <w:rPr>
          <w:rFonts w:eastAsiaTheme="majorEastAsia"/>
          <w:color w:val="000000" w:themeColor="text1"/>
        </w:rPr>
      </w:pPr>
    </w:p>
    <w:p w14:paraId="3D8A7876"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Base Fee        </w:t>
      </w:r>
    </w:p>
    <w:p w14:paraId="07477A81" w14:textId="781C58A0"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In Ethereum's EIP-1559 fee mechanism, the minimum fee required for transaction inclusion, which is algorithmically adjusted and burned (destroyed).</w:t>
      </w:r>
    </w:p>
    <w:p w14:paraId="5C336C05" w14:textId="77777777" w:rsidR="00C02ABC" w:rsidRPr="00C02ABC" w:rsidRDefault="00C02ABC" w:rsidP="00127CE2">
      <w:pPr>
        <w:jc w:val="both"/>
        <w:rPr>
          <w:rFonts w:eastAsiaTheme="majorEastAsia"/>
          <w:color w:val="000000" w:themeColor="text1"/>
        </w:rPr>
      </w:pPr>
    </w:p>
    <w:p w14:paraId="3BC3EEC2"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Behavioral Finance</w:t>
      </w:r>
    </w:p>
    <w:p w14:paraId="55D0E727" w14:textId="1D5AFEEF"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field of study that combines psychological theory with conventional economics to explain why people make irrational financial decisions.</w:t>
      </w:r>
    </w:p>
    <w:p w14:paraId="4A409BCF" w14:textId="77777777" w:rsidR="00C02ABC" w:rsidRPr="00C02ABC" w:rsidRDefault="00C02ABC" w:rsidP="00127CE2">
      <w:pPr>
        <w:jc w:val="both"/>
        <w:rPr>
          <w:rFonts w:eastAsiaTheme="majorEastAsia"/>
          <w:color w:val="000000" w:themeColor="text1"/>
        </w:rPr>
      </w:pPr>
    </w:p>
    <w:p w14:paraId="553B62F6"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Blockchain      </w:t>
      </w:r>
    </w:p>
    <w:p w14:paraId="2091AF32" w14:textId="543375CF"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distributed digital ledger that records transactions across multiple computers in a way that makes it difficult to alter retroactively.</w:t>
      </w:r>
    </w:p>
    <w:p w14:paraId="0FFAD966" w14:textId="77777777" w:rsidR="00C02ABC" w:rsidRPr="00C02ABC" w:rsidRDefault="00C02ABC" w:rsidP="00127CE2">
      <w:pPr>
        <w:jc w:val="both"/>
        <w:rPr>
          <w:rFonts w:eastAsiaTheme="majorEastAsia"/>
          <w:color w:val="000000" w:themeColor="text1"/>
        </w:rPr>
      </w:pPr>
    </w:p>
    <w:p w14:paraId="57CFA681"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Blue-Chip Token </w:t>
      </w:r>
    </w:p>
    <w:p w14:paraId="4172995A" w14:textId="264FA091"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well-established cryptocurrency with a large market capitalization and relatively stable price history (e.g., Bitcoin, Ethereum).</w:t>
      </w:r>
    </w:p>
    <w:p w14:paraId="6471FAF8" w14:textId="77777777" w:rsidR="00C02ABC" w:rsidRPr="00C02ABC" w:rsidRDefault="00C02ABC" w:rsidP="00127CE2">
      <w:pPr>
        <w:jc w:val="both"/>
        <w:rPr>
          <w:rFonts w:eastAsiaTheme="majorEastAsia"/>
          <w:color w:val="000000" w:themeColor="text1"/>
        </w:rPr>
      </w:pPr>
    </w:p>
    <w:p w14:paraId="03B5DDCE"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Break-Even Analysis</w:t>
      </w:r>
    </w:p>
    <w:p w14:paraId="5A27068F" w14:textId="13EEBEE3"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lastRenderedPageBreak/>
        <w:t>A calculation to determine the point at which revenue equals costs, resulting in neither profit nor loss. Used in this research to establish minimum viable capital thresholds.</w:t>
      </w:r>
    </w:p>
    <w:p w14:paraId="26337591" w14:textId="77777777" w:rsidR="00C02ABC" w:rsidRPr="00C02ABC" w:rsidRDefault="00C02ABC" w:rsidP="00127CE2">
      <w:pPr>
        <w:jc w:val="both"/>
        <w:rPr>
          <w:rFonts w:eastAsiaTheme="majorEastAsia"/>
          <w:color w:val="000000" w:themeColor="text1"/>
        </w:rPr>
      </w:pPr>
    </w:p>
    <w:p w14:paraId="1F320F73"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Capital Efficiency</w:t>
      </w:r>
    </w:p>
    <w:p w14:paraId="739D66C0" w14:textId="205932D0"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ratio of fee generation to capital deployed, adjusted for gas costs and operational overhead. A measure of how effectively capital generates returns.</w:t>
      </w:r>
    </w:p>
    <w:p w14:paraId="787BD692" w14:textId="77777777" w:rsidR="00C02ABC" w:rsidRPr="00C02ABC" w:rsidRDefault="00C02ABC" w:rsidP="00127CE2">
      <w:pPr>
        <w:jc w:val="both"/>
        <w:rPr>
          <w:rFonts w:eastAsiaTheme="majorEastAsia"/>
          <w:color w:val="000000" w:themeColor="text1"/>
        </w:rPr>
      </w:pPr>
    </w:p>
    <w:p w14:paraId="41E3A4C9"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Centralized Exchange (CEX)</w:t>
      </w:r>
    </w:p>
    <w:p w14:paraId="7E7760B4" w14:textId="4C11CACB"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cryptocurrency exchange operated by a centralized organization that acts as an intermediary between buyers and sellers, maintaining custody of user funds.</w:t>
      </w:r>
    </w:p>
    <w:p w14:paraId="44C5D3D3" w14:textId="77777777" w:rsidR="00C02ABC" w:rsidRPr="00C02ABC" w:rsidRDefault="00C02ABC" w:rsidP="00127CE2">
      <w:pPr>
        <w:jc w:val="both"/>
        <w:rPr>
          <w:rFonts w:eastAsiaTheme="majorEastAsia"/>
          <w:color w:val="000000" w:themeColor="text1"/>
        </w:rPr>
      </w:pPr>
    </w:p>
    <w:p w14:paraId="2D295932"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Collateral      </w:t>
      </w:r>
    </w:p>
    <w:p w14:paraId="0C0BC3A4" w14:textId="0ADBCBE2"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Assets pledged to secure a loan or financial position, which can be</w:t>
      </w:r>
      <w:r w:rsidR="00873147">
        <w:rPr>
          <w:rFonts w:eastAsiaTheme="majorEastAsia"/>
          <w:color w:val="000000" w:themeColor="text1"/>
        </w:rPr>
        <w:t xml:space="preserve"> </w:t>
      </w:r>
      <w:r w:rsidRPr="00C02ABC">
        <w:rPr>
          <w:rFonts w:eastAsiaTheme="majorEastAsia"/>
          <w:color w:val="000000" w:themeColor="text1"/>
        </w:rPr>
        <w:t>liquidated if the borrower fails to meet obligations.</w:t>
      </w:r>
    </w:p>
    <w:p w14:paraId="3A5D1BF5" w14:textId="77777777" w:rsidR="00C02ABC" w:rsidRPr="00C02ABC" w:rsidRDefault="00C02ABC" w:rsidP="00127CE2">
      <w:pPr>
        <w:jc w:val="both"/>
        <w:rPr>
          <w:rFonts w:eastAsiaTheme="majorEastAsia"/>
          <w:color w:val="000000" w:themeColor="text1"/>
        </w:rPr>
      </w:pPr>
    </w:p>
    <w:p w14:paraId="21065462"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Concentrated Liquidity</w:t>
      </w:r>
    </w:p>
    <w:p w14:paraId="1C99EBCC" w14:textId="0299B8CF"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feature in Uniswap v3 that allows liquidity providers to allocate capital to specific price ranges rather than across the entire price curve, increasing capital efficiency but also risk exposure.</w:t>
      </w:r>
    </w:p>
    <w:p w14:paraId="57F7BE96" w14:textId="77777777" w:rsidR="00C02ABC" w:rsidRPr="00C02ABC" w:rsidRDefault="00C02ABC" w:rsidP="00127CE2">
      <w:pPr>
        <w:jc w:val="both"/>
        <w:rPr>
          <w:rFonts w:eastAsiaTheme="majorEastAsia"/>
          <w:color w:val="000000" w:themeColor="text1"/>
        </w:rPr>
      </w:pPr>
    </w:p>
    <w:p w14:paraId="56575349"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Conditional Democratization</w:t>
      </w:r>
    </w:p>
    <w:p w14:paraId="7E7DF446" w14:textId="7D708DF5"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theoretical framework developed in this research describing how DeFi offers expanded access but only under specific conditions (sufficient capital, technical competence, time commitment, and risk tolerance).</w:t>
      </w:r>
    </w:p>
    <w:p w14:paraId="41110C47" w14:textId="77777777" w:rsidR="00C02ABC" w:rsidRPr="00C02ABC" w:rsidRDefault="00C02ABC" w:rsidP="00127CE2">
      <w:pPr>
        <w:jc w:val="both"/>
        <w:rPr>
          <w:rFonts w:eastAsiaTheme="majorEastAsia"/>
          <w:color w:val="000000" w:themeColor="text1"/>
        </w:rPr>
      </w:pPr>
    </w:p>
    <w:p w14:paraId="4610DA62"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Consensus Mechanism</w:t>
      </w:r>
    </w:p>
    <w:p w14:paraId="225A29FA" w14:textId="7F51D848"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method by which a blockchain network reaches agreement on the current state of the ledger (e.g., Proof of Work, Proof of Stake).</w:t>
      </w:r>
    </w:p>
    <w:p w14:paraId="78092DCA" w14:textId="77777777" w:rsidR="00C02ABC" w:rsidRPr="00C02ABC" w:rsidRDefault="00C02ABC" w:rsidP="00127CE2">
      <w:pPr>
        <w:jc w:val="both"/>
        <w:rPr>
          <w:rFonts w:eastAsiaTheme="majorEastAsia"/>
          <w:color w:val="000000" w:themeColor="text1"/>
        </w:rPr>
      </w:pPr>
    </w:p>
    <w:p w14:paraId="664EAB03" w14:textId="77777777" w:rsidR="001C55F5"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Cross-Chain    </w:t>
      </w:r>
    </w:p>
    <w:p w14:paraId="7CE3051E" w14:textId="4CB8BD9A"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Referring to operations or protocols that interact with multiple blockchain networks, enabling asset transfers or data sharing between different chains.</w:t>
      </w:r>
    </w:p>
    <w:p w14:paraId="2C484A7C" w14:textId="77777777" w:rsidR="00C02ABC" w:rsidRPr="00C02ABC" w:rsidRDefault="00C02ABC" w:rsidP="00127CE2">
      <w:pPr>
        <w:jc w:val="both"/>
        <w:rPr>
          <w:rFonts w:eastAsiaTheme="majorEastAsia"/>
          <w:color w:val="000000" w:themeColor="text1"/>
        </w:rPr>
      </w:pPr>
    </w:p>
    <w:p w14:paraId="639B026B" w14:textId="77777777" w:rsidR="001C55F5"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Cryptocurrency </w:t>
      </w:r>
    </w:p>
    <w:p w14:paraId="74839D7C" w14:textId="14F05935"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digital or virtual currency that uses cryptography for security and operates on a decentralized network, typically a blockchain.</w:t>
      </w:r>
    </w:p>
    <w:p w14:paraId="783D9CE6" w14:textId="77777777" w:rsidR="00C02ABC" w:rsidRPr="00C02ABC" w:rsidRDefault="00C02ABC" w:rsidP="00127CE2">
      <w:pPr>
        <w:ind w:left="720"/>
        <w:jc w:val="both"/>
        <w:rPr>
          <w:rFonts w:eastAsiaTheme="majorEastAsia"/>
          <w:color w:val="000000" w:themeColor="text1"/>
        </w:rPr>
      </w:pPr>
    </w:p>
    <w:p w14:paraId="6EB91152"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Custodial Service</w:t>
      </w:r>
    </w:p>
    <w:p w14:paraId="74AEF909" w14:textId="24502313"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service where a third party holds and manages cryptocurrency on behalf of users, maintaining control over private keys.</w:t>
      </w:r>
    </w:p>
    <w:p w14:paraId="7794B644" w14:textId="77777777" w:rsidR="00C02ABC" w:rsidRPr="00C02ABC" w:rsidRDefault="00C02ABC" w:rsidP="00127CE2">
      <w:pPr>
        <w:jc w:val="both"/>
        <w:rPr>
          <w:rFonts w:eastAsiaTheme="majorEastAsia"/>
          <w:color w:val="000000" w:themeColor="text1"/>
        </w:rPr>
      </w:pPr>
    </w:p>
    <w:p w14:paraId="657D16AD"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DAI             </w:t>
      </w:r>
    </w:p>
    <w:p w14:paraId="5C896444" w14:textId="249AE62D"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A decentralized stablecoin maintained by the </w:t>
      </w:r>
      <w:proofErr w:type="spellStart"/>
      <w:r w:rsidRPr="00C02ABC">
        <w:rPr>
          <w:rFonts w:eastAsiaTheme="majorEastAsia"/>
          <w:color w:val="000000" w:themeColor="text1"/>
        </w:rPr>
        <w:t>MakerDAO</w:t>
      </w:r>
      <w:proofErr w:type="spellEnd"/>
      <w:r w:rsidRPr="00C02ABC">
        <w:rPr>
          <w:rFonts w:eastAsiaTheme="majorEastAsia"/>
          <w:color w:val="000000" w:themeColor="text1"/>
        </w:rPr>
        <w:t xml:space="preserve"> protocol, designed to maintain a 1:1 peg with the U.S. dollar through algorithmic mechanisms.</w:t>
      </w:r>
    </w:p>
    <w:p w14:paraId="1DD87A58" w14:textId="77777777" w:rsidR="00C02ABC" w:rsidRPr="00C02ABC" w:rsidRDefault="00C02ABC" w:rsidP="00127CE2">
      <w:pPr>
        <w:jc w:val="both"/>
        <w:rPr>
          <w:rFonts w:eastAsiaTheme="majorEastAsia"/>
          <w:color w:val="000000" w:themeColor="text1"/>
        </w:rPr>
      </w:pPr>
    </w:p>
    <w:p w14:paraId="14DA3C31"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Decentralization</w:t>
      </w:r>
    </w:p>
    <w:p w14:paraId="2D6CE78B" w14:textId="3EFFFBE5"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distribution of authority, control, and decision-making away from a central authority to a network of participants.</w:t>
      </w:r>
    </w:p>
    <w:p w14:paraId="45FB8913" w14:textId="77777777" w:rsidR="00C02ABC" w:rsidRPr="00C02ABC" w:rsidRDefault="00C02ABC" w:rsidP="00127CE2">
      <w:pPr>
        <w:jc w:val="both"/>
        <w:rPr>
          <w:rFonts w:eastAsiaTheme="majorEastAsia"/>
          <w:color w:val="000000" w:themeColor="text1"/>
        </w:rPr>
      </w:pPr>
    </w:p>
    <w:p w14:paraId="5DC685FA"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Decentralized Exchange (DEX)</w:t>
      </w:r>
    </w:p>
    <w:p w14:paraId="44D788D6" w14:textId="1974F6BC"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A cryptocurrency exchange that operates without </w:t>
      </w:r>
      <w:proofErr w:type="gramStart"/>
      <w:r w:rsidRPr="00C02ABC">
        <w:rPr>
          <w:rFonts w:eastAsiaTheme="majorEastAsia"/>
          <w:color w:val="000000" w:themeColor="text1"/>
        </w:rPr>
        <w:t>a central</w:t>
      </w:r>
      <w:proofErr w:type="gramEnd"/>
      <w:r w:rsidRPr="00C02ABC">
        <w:rPr>
          <w:rFonts w:eastAsiaTheme="majorEastAsia"/>
          <w:color w:val="000000" w:themeColor="text1"/>
        </w:rPr>
        <w:t xml:space="preserve"> authority, enabling peer-to-peer trading directly from users' wallets through smart contracts.</w:t>
      </w:r>
    </w:p>
    <w:p w14:paraId="1BA95AED" w14:textId="77777777" w:rsidR="00C02ABC" w:rsidRPr="00C02ABC" w:rsidRDefault="00C02ABC" w:rsidP="00127CE2">
      <w:pPr>
        <w:jc w:val="both"/>
        <w:rPr>
          <w:rFonts w:eastAsiaTheme="majorEastAsia"/>
          <w:color w:val="000000" w:themeColor="text1"/>
        </w:rPr>
      </w:pPr>
    </w:p>
    <w:p w14:paraId="4B120020"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Delegated Proof of Stake (</w:t>
      </w:r>
      <w:proofErr w:type="spellStart"/>
      <w:r w:rsidRPr="00C107DF">
        <w:rPr>
          <w:rFonts w:eastAsiaTheme="majorEastAsia"/>
          <w:b/>
          <w:bCs/>
          <w:color w:val="000000" w:themeColor="text1"/>
        </w:rPr>
        <w:t>DPoS</w:t>
      </w:r>
      <w:proofErr w:type="spellEnd"/>
      <w:r w:rsidRPr="00C107DF">
        <w:rPr>
          <w:rFonts w:eastAsiaTheme="majorEastAsia"/>
          <w:b/>
          <w:bCs/>
          <w:color w:val="000000" w:themeColor="text1"/>
        </w:rPr>
        <w:t>)</w:t>
      </w:r>
    </w:p>
    <w:p w14:paraId="14E4F082" w14:textId="47BE7908"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consensus mechanism where token holders vote to elect a limited number of validators who are responsible for validating transactions and maintaining the blockchain.</w:t>
      </w:r>
    </w:p>
    <w:p w14:paraId="2DEB5EC7" w14:textId="77777777" w:rsidR="00C02ABC" w:rsidRPr="00C02ABC" w:rsidRDefault="00C02ABC" w:rsidP="00127CE2">
      <w:pPr>
        <w:jc w:val="both"/>
        <w:rPr>
          <w:rFonts w:eastAsiaTheme="majorEastAsia"/>
          <w:color w:val="000000" w:themeColor="text1"/>
        </w:rPr>
      </w:pPr>
    </w:p>
    <w:p w14:paraId="399FD0EF"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De-pegging Event</w:t>
      </w:r>
    </w:p>
    <w:p w14:paraId="1F6B0552" w14:textId="07D0E596"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When a stablecoin loses its intended 1:1 value relationship with its pegged asset (typically the U.S. dollar), often indicating systemic stress.</w:t>
      </w:r>
    </w:p>
    <w:p w14:paraId="67B7E305" w14:textId="77777777" w:rsidR="00C02ABC" w:rsidRPr="00C02ABC" w:rsidRDefault="00C02ABC" w:rsidP="00127CE2">
      <w:pPr>
        <w:jc w:val="both"/>
        <w:rPr>
          <w:rFonts w:eastAsiaTheme="majorEastAsia"/>
          <w:color w:val="000000" w:themeColor="text1"/>
        </w:rPr>
      </w:pPr>
    </w:p>
    <w:p w14:paraId="148D148E"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Disintermediation</w:t>
      </w:r>
    </w:p>
    <w:p w14:paraId="37EA196D" w14:textId="577F798C"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removal of intermediaries from a supply chain or transaction process. In DeFi, this refers to eliminating traditional financial intermediaries like banks.</w:t>
      </w:r>
    </w:p>
    <w:p w14:paraId="2ADE3F0B" w14:textId="77777777" w:rsidR="00C02ABC" w:rsidRPr="00C02ABC" w:rsidRDefault="00C02ABC" w:rsidP="00127CE2">
      <w:pPr>
        <w:jc w:val="both"/>
        <w:rPr>
          <w:rFonts w:eastAsiaTheme="majorEastAsia"/>
          <w:color w:val="000000" w:themeColor="text1"/>
        </w:rPr>
      </w:pPr>
    </w:p>
    <w:p w14:paraId="2B2557AC"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Failed Transaction</w:t>
      </w:r>
    </w:p>
    <w:p w14:paraId="7616AB91" w14:textId="5ED2A56C"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transaction that was broadcast to the network but did not complete successfully, often due to insufficient gas fees, network congestion, or smart contract errors. Failed transactions still incur gas costs.</w:t>
      </w:r>
    </w:p>
    <w:p w14:paraId="5EC0BF6D" w14:textId="77777777" w:rsidR="00C02ABC" w:rsidRPr="00C02ABC" w:rsidRDefault="00C02ABC" w:rsidP="00127CE2">
      <w:pPr>
        <w:jc w:val="both"/>
        <w:rPr>
          <w:rFonts w:eastAsiaTheme="majorEastAsia"/>
          <w:color w:val="000000" w:themeColor="text1"/>
        </w:rPr>
      </w:pPr>
    </w:p>
    <w:p w14:paraId="6A8A5CD3"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Fee Burning     </w:t>
      </w:r>
    </w:p>
    <w:p w14:paraId="6E61AD6A" w14:textId="4D26F4CE"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The process of permanently removing cryptocurrency from circulation, typically by sending it to an </w:t>
      </w:r>
      <w:proofErr w:type="spellStart"/>
      <w:r w:rsidRPr="00C02ABC">
        <w:rPr>
          <w:rFonts w:eastAsiaTheme="majorEastAsia"/>
          <w:color w:val="000000" w:themeColor="text1"/>
        </w:rPr>
        <w:t>unspendable</w:t>
      </w:r>
      <w:proofErr w:type="spellEnd"/>
      <w:r w:rsidRPr="00C02ABC">
        <w:rPr>
          <w:rFonts w:eastAsiaTheme="majorEastAsia"/>
          <w:color w:val="000000" w:themeColor="text1"/>
        </w:rPr>
        <w:t xml:space="preserve"> address. In Ethereum's EIP-1559, base fees are burned, creating deflationary pressure.</w:t>
      </w:r>
    </w:p>
    <w:p w14:paraId="3446BD23" w14:textId="77777777" w:rsidR="00C02ABC" w:rsidRPr="00C02ABC" w:rsidRDefault="00C02ABC" w:rsidP="00127CE2">
      <w:pPr>
        <w:jc w:val="both"/>
        <w:rPr>
          <w:rFonts w:eastAsiaTheme="majorEastAsia"/>
          <w:color w:val="000000" w:themeColor="text1"/>
        </w:rPr>
      </w:pPr>
    </w:p>
    <w:p w14:paraId="091FD0D3"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Fee Tier        </w:t>
      </w:r>
    </w:p>
    <w:p w14:paraId="723CBD2B" w14:textId="6B828471"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Different fee levels offered by exchanges or protocols for various trading pairs or liquidity pool types (e.g., 0.01%, 0.05%, 0.30%, 1.00% on Uniswap v3).</w:t>
      </w:r>
    </w:p>
    <w:p w14:paraId="1F320386" w14:textId="77777777" w:rsidR="00C02ABC" w:rsidRPr="00C02ABC" w:rsidRDefault="00C02ABC" w:rsidP="00127CE2">
      <w:pPr>
        <w:jc w:val="both"/>
        <w:rPr>
          <w:rFonts w:eastAsiaTheme="majorEastAsia"/>
          <w:color w:val="000000" w:themeColor="text1"/>
        </w:rPr>
      </w:pPr>
    </w:p>
    <w:p w14:paraId="0582DD7E"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Fiat Currency   </w:t>
      </w:r>
    </w:p>
    <w:p w14:paraId="7CDBBF8B" w14:textId="5917EA42"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Government-issued currency that is not backed by a physical </w:t>
      </w:r>
      <w:proofErr w:type="gramStart"/>
      <w:r w:rsidRPr="00C02ABC">
        <w:rPr>
          <w:rFonts w:eastAsiaTheme="majorEastAsia"/>
          <w:color w:val="000000" w:themeColor="text1"/>
        </w:rPr>
        <w:t>commodity  (</w:t>
      </w:r>
      <w:proofErr w:type="gramEnd"/>
      <w:r w:rsidRPr="00C02ABC">
        <w:rPr>
          <w:rFonts w:eastAsiaTheme="majorEastAsia"/>
          <w:color w:val="000000" w:themeColor="text1"/>
        </w:rPr>
        <w:t>e.g., U.S. Dollar, Euro, Japanese Yen).</w:t>
      </w:r>
    </w:p>
    <w:p w14:paraId="15502AAA" w14:textId="77777777" w:rsidR="00C02ABC" w:rsidRPr="00C02ABC" w:rsidRDefault="00C02ABC" w:rsidP="00127CE2">
      <w:pPr>
        <w:jc w:val="both"/>
        <w:rPr>
          <w:rFonts w:eastAsiaTheme="majorEastAsia"/>
          <w:color w:val="000000" w:themeColor="text1"/>
        </w:rPr>
      </w:pPr>
    </w:p>
    <w:p w14:paraId="77F541AC"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Flash Loan      </w:t>
      </w:r>
    </w:p>
    <w:p w14:paraId="693310B4" w14:textId="0877D363"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An uncollateralized loan that must be borrowed and repaid within the same blockchain transaction, enabling complex arbitrage and refinancing strategies.</w:t>
      </w:r>
    </w:p>
    <w:p w14:paraId="6714BAD4" w14:textId="77777777" w:rsidR="00C02ABC" w:rsidRPr="00C02ABC" w:rsidRDefault="00C02ABC" w:rsidP="00127CE2">
      <w:pPr>
        <w:jc w:val="both"/>
        <w:rPr>
          <w:rFonts w:eastAsiaTheme="majorEastAsia"/>
          <w:color w:val="000000" w:themeColor="text1"/>
        </w:rPr>
      </w:pPr>
    </w:p>
    <w:p w14:paraId="76AD2572"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Front-Running   </w:t>
      </w:r>
    </w:p>
    <w:p w14:paraId="55A2339F" w14:textId="16E552FB"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The practice of exploiting </w:t>
      </w:r>
      <w:proofErr w:type="gramStart"/>
      <w:r w:rsidRPr="00C02ABC">
        <w:rPr>
          <w:rFonts w:eastAsiaTheme="majorEastAsia"/>
          <w:color w:val="000000" w:themeColor="text1"/>
        </w:rPr>
        <w:t>advance</w:t>
      </w:r>
      <w:proofErr w:type="gramEnd"/>
      <w:r w:rsidRPr="00C02ABC">
        <w:rPr>
          <w:rFonts w:eastAsiaTheme="majorEastAsia"/>
          <w:color w:val="000000" w:themeColor="text1"/>
        </w:rPr>
        <w:t xml:space="preserve"> knowledge of pending transactions to place one's own transaction ahead in the queue, capturing value at the expense of the original transaction.</w:t>
      </w:r>
    </w:p>
    <w:p w14:paraId="4AA35019" w14:textId="77777777" w:rsidR="00C02ABC" w:rsidRPr="00C02ABC" w:rsidRDefault="00C02ABC" w:rsidP="00127CE2">
      <w:pPr>
        <w:jc w:val="both"/>
        <w:rPr>
          <w:rFonts w:eastAsiaTheme="majorEastAsia"/>
          <w:color w:val="000000" w:themeColor="text1"/>
        </w:rPr>
      </w:pPr>
    </w:p>
    <w:p w14:paraId="03898103"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Gas             </w:t>
      </w:r>
    </w:p>
    <w:p w14:paraId="45A659A9" w14:textId="62FC4900"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unit that measures the computational effort required to execute operations on blockchain networks, particularly Ethereum.</w:t>
      </w:r>
    </w:p>
    <w:p w14:paraId="19CA8D07" w14:textId="77777777" w:rsidR="00C02ABC" w:rsidRPr="00C02ABC" w:rsidRDefault="00C02ABC" w:rsidP="00127CE2">
      <w:pPr>
        <w:jc w:val="both"/>
        <w:rPr>
          <w:rFonts w:eastAsiaTheme="majorEastAsia"/>
          <w:color w:val="000000" w:themeColor="text1"/>
        </w:rPr>
      </w:pPr>
    </w:p>
    <w:p w14:paraId="24B586AC"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Gas Fee         </w:t>
      </w:r>
    </w:p>
    <w:p w14:paraId="0F41C3F9" w14:textId="0A100C53"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lastRenderedPageBreak/>
        <w:t xml:space="preserve">The payment </w:t>
      </w:r>
      <w:proofErr w:type="gramStart"/>
      <w:r w:rsidRPr="00C02ABC">
        <w:rPr>
          <w:rFonts w:eastAsiaTheme="majorEastAsia"/>
          <w:color w:val="000000" w:themeColor="text1"/>
        </w:rPr>
        <w:t>made</w:t>
      </w:r>
      <w:proofErr w:type="gramEnd"/>
      <w:r w:rsidRPr="00C02ABC">
        <w:rPr>
          <w:rFonts w:eastAsiaTheme="majorEastAsia"/>
          <w:color w:val="000000" w:themeColor="text1"/>
        </w:rPr>
        <w:t xml:space="preserve"> to validators/miners for processing and validating transactions on a blockchain. On Ethereum, gas fees are denominated in </w:t>
      </w:r>
      <w:proofErr w:type="spellStart"/>
      <w:r w:rsidRPr="00C02ABC">
        <w:rPr>
          <w:rFonts w:eastAsiaTheme="majorEastAsia"/>
          <w:color w:val="000000" w:themeColor="text1"/>
        </w:rPr>
        <w:t>Gwei</w:t>
      </w:r>
      <w:proofErr w:type="spellEnd"/>
      <w:r w:rsidRPr="00C02ABC">
        <w:rPr>
          <w:rFonts w:eastAsiaTheme="majorEastAsia"/>
          <w:color w:val="000000" w:themeColor="text1"/>
        </w:rPr>
        <w:t xml:space="preserve"> (1 </w:t>
      </w:r>
      <w:proofErr w:type="spellStart"/>
      <w:r w:rsidRPr="00C02ABC">
        <w:rPr>
          <w:rFonts w:eastAsiaTheme="majorEastAsia"/>
          <w:color w:val="000000" w:themeColor="text1"/>
        </w:rPr>
        <w:t>Gwei</w:t>
      </w:r>
      <w:proofErr w:type="spellEnd"/>
      <w:r w:rsidRPr="00C02ABC">
        <w:rPr>
          <w:rFonts w:eastAsiaTheme="majorEastAsia"/>
          <w:color w:val="000000" w:themeColor="text1"/>
        </w:rPr>
        <w:t xml:space="preserve"> = 0.000000001 ETH).</w:t>
      </w:r>
    </w:p>
    <w:p w14:paraId="6907EAD1" w14:textId="77777777" w:rsidR="00C02ABC" w:rsidRPr="00C02ABC" w:rsidRDefault="00C02ABC" w:rsidP="00127CE2">
      <w:pPr>
        <w:jc w:val="both"/>
        <w:rPr>
          <w:rFonts w:eastAsiaTheme="majorEastAsia"/>
          <w:color w:val="000000" w:themeColor="text1"/>
        </w:rPr>
      </w:pPr>
    </w:p>
    <w:p w14:paraId="6FC83914"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Gas Optimization</w:t>
      </w:r>
    </w:p>
    <w:p w14:paraId="43696EFE" w14:textId="7E335E47"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Strategies and techniques used to minimize the gas fees required for blockchain transactions, such as timing transactions during low-congestion periods or batching operations.</w:t>
      </w:r>
    </w:p>
    <w:p w14:paraId="3ED3DA32" w14:textId="77777777" w:rsidR="00C02ABC" w:rsidRPr="00C02ABC" w:rsidRDefault="00C02ABC" w:rsidP="00127CE2">
      <w:pPr>
        <w:jc w:val="both"/>
        <w:rPr>
          <w:rFonts w:eastAsiaTheme="majorEastAsia"/>
          <w:color w:val="000000" w:themeColor="text1"/>
        </w:rPr>
      </w:pPr>
    </w:p>
    <w:p w14:paraId="22008C38"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Gas Price       </w:t>
      </w:r>
    </w:p>
    <w:p w14:paraId="26C18426" w14:textId="5204ECE2"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The amount users are willing to pay per unit of gas, typically measured in </w:t>
      </w:r>
      <w:proofErr w:type="spellStart"/>
      <w:r w:rsidRPr="00C02ABC">
        <w:rPr>
          <w:rFonts w:eastAsiaTheme="majorEastAsia"/>
          <w:color w:val="000000" w:themeColor="text1"/>
        </w:rPr>
        <w:t>Gwei</w:t>
      </w:r>
      <w:proofErr w:type="spellEnd"/>
      <w:r w:rsidRPr="00C02ABC">
        <w:rPr>
          <w:rFonts w:eastAsiaTheme="majorEastAsia"/>
          <w:color w:val="000000" w:themeColor="text1"/>
        </w:rPr>
        <w:t xml:space="preserve"> on Ethereum. Higher gas prices increase the likelihood of faster transaction processing.</w:t>
      </w:r>
    </w:p>
    <w:p w14:paraId="68F77B39" w14:textId="77777777" w:rsidR="00C02ABC" w:rsidRPr="00C02ABC" w:rsidRDefault="00C02ABC" w:rsidP="00127CE2">
      <w:pPr>
        <w:jc w:val="both"/>
        <w:rPr>
          <w:rFonts w:eastAsiaTheme="majorEastAsia"/>
          <w:color w:val="000000" w:themeColor="text1"/>
        </w:rPr>
      </w:pPr>
    </w:p>
    <w:p w14:paraId="793F163E"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Governance Attack</w:t>
      </w:r>
    </w:p>
    <w:p w14:paraId="1ECD44A3" w14:textId="188F8768"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An exploit where malicious actors gain control over a protocol's decision-making process, typically by acquiring </w:t>
      </w:r>
      <w:proofErr w:type="gramStart"/>
      <w:r w:rsidRPr="00C02ABC">
        <w:rPr>
          <w:rFonts w:eastAsiaTheme="majorEastAsia"/>
          <w:color w:val="000000" w:themeColor="text1"/>
        </w:rPr>
        <w:t>a majority of</w:t>
      </w:r>
      <w:proofErr w:type="gramEnd"/>
      <w:r w:rsidRPr="00C02ABC">
        <w:rPr>
          <w:rFonts w:eastAsiaTheme="majorEastAsia"/>
          <w:color w:val="000000" w:themeColor="text1"/>
        </w:rPr>
        <w:t xml:space="preserve"> governance tokens, to implement changes that benefit them at others' expense.</w:t>
      </w:r>
    </w:p>
    <w:p w14:paraId="43CEE147" w14:textId="77777777" w:rsidR="00C02ABC" w:rsidRPr="00C02ABC" w:rsidRDefault="00C02ABC" w:rsidP="00127CE2">
      <w:pPr>
        <w:jc w:val="both"/>
        <w:rPr>
          <w:rFonts w:eastAsiaTheme="majorEastAsia"/>
          <w:color w:val="000000" w:themeColor="text1"/>
        </w:rPr>
      </w:pPr>
    </w:p>
    <w:p w14:paraId="72A5463E"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Governance Token</w:t>
      </w:r>
    </w:p>
    <w:p w14:paraId="03594D33" w14:textId="47FA400A"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cryptocurrency that grants holders voting rights over protocol changes, parameter adjustments, and resource allocation in decentralized protocols.</w:t>
      </w:r>
    </w:p>
    <w:p w14:paraId="13F36011" w14:textId="77777777" w:rsidR="00C02ABC" w:rsidRPr="00C02ABC" w:rsidRDefault="00C02ABC" w:rsidP="00127CE2">
      <w:pPr>
        <w:jc w:val="both"/>
        <w:rPr>
          <w:rFonts w:eastAsiaTheme="majorEastAsia"/>
          <w:color w:val="000000" w:themeColor="text1"/>
        </w:rPr>
      </w:pPr>
    </w:p>
    <w:p w14:paraId="0B763CBE" w14:textId="77777777" w:rsidR="00C37DFF" w:rsidRPr="00C107DF" w:rsidRDefault="00C02ABC" w:rsidP="00127CE2">
      <w:pPr>
        <w:jc w:val="both"/>
        <w:rPr>
          <w:rFonts w:eastAsiaTheme="majorEastAsia"/>
          <w:b/>
          <w:bCs/>
          <w:color w:val="000000" w:themeColor="text1"/>
        </w:rPr>
      </w:pPr>
      <w:proofErr w:type="spellStart"/>
      <w:r w:rsidRPr="00C107DF">
        <w:rPr>
          <w:rFonts w:eastAsiaTheme="majorEastAsia"/>
          <w:b/>
          <w:bCs/>
          <w:color w:val="000000" w:themeColor="text1"/>
        </w:rPr>
        <w:t>Gwei</w:t>
      </w:r>
      <w:proofErr w:type="spellEnd"/>
      <w:r w:rsidRPr="00C107DF">
        <w:rPr>
          <w:rFonts w:eastAsiaTheme="majorEastAsia"/>
          <w:b/>
          <w:bCs/>
          <w:color w:val="000000" w:themeColor="text1"/>
        </w:rPr>
        <w:t xml:space="preserve">            </w:t>
      </w:r>
    </w:p>
    <w:p w14:paraId="2CB507AF" w14:textId="3BD8E92D"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A denomination of Ethereum's native currency (1 </w:t>
      </w:r>
      <w:proofErr w:type="spellStart"/>
      <w:r w:rsidRPr="00C02ABC">
        <w:rPr>
          <w:rFonts w:eastAsiaTheme="majorEastAsia"/>
          <w:color w:val="000000" w:themeColor="text1"/>
        </w:rPr>
        <w:t>Gwei</w:t>
      </w:r>
      <w:proofErr w:type="spellEnd"/>
      <w:r w:rsidRPr="00C02ABC">
        <w:rPr>
          <w:rFonts w:eastAsiaTheme="majorEastAsia"/>
          <w:color w:val="000000" w:themeColor="text1"/>
        </w:rPr>
        <w:t xml:space="preserve"> = 0.000000001 ETH), commonly used to denote gas prices.</w:t>
      </w:r>
    </w:p>
    <w:p w14:paraId="37F49160" w14:textId="77777777" w:rsidR="00C02ABC" w:rsidRPr="00C02ABC" w:rsidRDefault="00C02ABC" w:rsidP="00127CE2">
      <w:pPr>
        <w:jc w:val="both"/>
        <w:rPr>
          <w:rFonts w:eastAsiaTheme="majorEastAsia"/>
          <w:color w:val="000000" w:themeColor="text1"/>
        </w:rPr>
      </w:pPr>
    </w:p>
    <w:p w14:paraId="3C79F0AF"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High-Frequency Trading (HFT)</w:t>
      </w:r>
    </w:p>
    <w:p w14:paraId="2BB3E708" w14:textId="47CCD2E6"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type of algorithmic trading characterized by high speeds, high turnover rates, and order-to-trade ratios, typically conducted by sophisticated institutional participants.</w:t>
      </w:r>
    </w:p>
    <w:p w14:paraId="2FB2FB6B" w14:textId="77777777" w:rsidR="00C02ABC" w:rsidRPr="00C02ABC" w:rsidRDefault="00C02ABC" w:rsidP="00127CE2">
      <w:pPr>
        <w:jc w:val="both"/>
        <w:rPr>
          <w:rFonts w:eastAsiaTheme="majorEastAsia"/>
          <w:color w:val="000000" w:themeColor="text1"/>
        </w:rPr>
      </w:pPr>
    </w:p>
    <w:p w14:paraId="006405BA"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Impermanent Loss (IL)</w:t>
      </w:r>
    </w:p>
    <w:p w14:paraId="34879277" w14:textId="7BA92E3F"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difference in value between holding tokens in a liquidity pool versus holding them in a wallet. The loss is "impermanent" because it can be recovered if token prices return to their original ratio. Calculated as: IL = 2√(</w:t>
      </w:r>
      <w:proofErr w:type="spellStart"/>
      <w:r w:rsidRPr="00C02ABC">
        <w:rPr>
          <w:rFonts w:eastAsiaTheme="majorEastAsia"/>
          <w:color w:val="000000" w:themeColor="text1"/>
        </w:rPr>
        <w:t>price_ratio</w:t>
      </w:r>
      <w:proofErr w:type="spellEnd"/>
      <w:r w:rsidRPr="00C02ABC">
        <w:rPr>
          <w:rFonts w:eastAsiaTheme="majorEastAsia"/>
          <w:color w:val="000000" w:themeColor="text1"/>
        </w:rPr>
        <w:t>)/(1+price_ratio) - 1</w:t>
      </w:r>
    </w:p>
    <w:p w14:paraId="500AB9F8" w14:textId="77777777" w:rsidR="00C02ABC" w:rsidRPr="00C02ABC" w:rsidRDefault="00C02ABC" w:rsidP="00127CE2">
      <w:pPr>
        <w:jc w:val="both"/>
        <w:rPr>
          <w:rFonts w:eastAsiaTheme="majorEastAsia"/>
          <w:color w:val="000000" w:themeColor="text1"/>
        </w:rPr>
      </w:pPr>
    </w:p>
    <w:p w14:paraId="468D37A9" w14:textId="77777777" w:rsidR="00C02ABC" w:rsidRPr="00C107DF" w:rsidRDefault="00C02ABC" w:rsidP="00127CE2">
      <w:pPr>
        <w:jc w:val="both"/>
        <w:rPr>
          <w:rFonts w:eastAsiaTheme="majorEastAsia"/>
          <w:b/>
          <w:bCs/>
          <w:color w:val="000000" w:themeColor="text1"/>
        </w:rPr>
      </w:pPr>
      <w:proofErr w:type="gramStart"/>
      <w:r w:rsidRPr="00C107DF">
        <w:rPr>
          <w:rFonts w:eastAsiaTheme="majorEastAsia"/>
          <w:b/>
          <w:bCs/>
          <w:color w:val="000000" w:themeColor="text1"/>
        </w:rPr>
        <w:t>Interest</w:t>
      </w:r>
      <w:proofErr w:type="gramEnd"/>
      <w:r w:rsidRPr="00C107DF">
        <w:rPr>
          <w:rFonts w:eastAsiaTheme="majorEastAsia"/>
          <w:b/>
          <w:bCs/>
          <w:color w:val="000000" w:themeColor="text1"/>
        </w:rPr>
        <w:t xml:space="preserve"> Rate Parity</w:t>
      </w:r>
    </w:p>
    <w:p w14:paraId="7455BCD1" w14:textId="5DA19C90"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An economic theory that the difference in interest rates between two countries is equal to the difference between the forward and spot exchange rates.</w:t>
      </w:r>
    </w:p>
    <w:p w14:paraId="1839A58C" w14:textId="77777777" w:rsidR="00C02ABC" w:rsidRPr="00C02ABC" w:rsidRDefault="00C02ABC" w:rsidP="00127CE2">
      <w:pPr>
        <w:jc w:val="both"/>
        <w:rPr>
          <w:rFonts w:eastAsiaTheme="majorEastAsia"/>
          <w:color w:val="000000" w:themeColor="text1"/>
        </w:rPr>
      </w:pPr>
    </w:p>
    <w:p w14:paraId="0EFDDB76"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Layer 1 (L1)    </w:t>
      </w:r>
    </w:p>
    <w:p w14:paraId="29AA04F6" w14:textId="29E9F236"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The base blockchain protocol layer that processes and finalizes transactions (e.g., Ethereum </w:t>
      </w:r>
      <w:proofErr w:type="spellStart"/>
      <w:r w:rsidRPr="00C02ABC">
        <w:rPr>
          <w:rFonts w:eastAsiaTheme="majorEastAsia"/>
          <w:color w:val="000000" w:themeColor="text1"/>
        </w:rPr>
        <w:t>mainnet</w:t>
      </w:r>
      <w:proofErr w:type="spellEnd"/>
      <w:r w:rsidRPr="00C02ABC">
        <w:rPr>
          <w:rFonts w:eastAsiaTheme="majorEastAsia"/>
          <w:color w:val="000000" w:themeColor="text1"/>
        </w:rPr>
        <w:t>, Bitcoin, Solana).</w:t>
      </w:r>
    </w:p>
    <w:p w14:paraId="7A8D1E51" w14:textId="77777777" w:rsidR="00C02ABC" w:rsidRPr="00C02ABC" w:rsidRDefault="00C02ABC" w:rsidP="00127CE2">
      <w:pPr>
        <w:jc w:val="both"/>
        <w:rPr>
          <w:rFonts w:eastAsiaTheme="majorEastAsia"/>
          <w:color w:val="000000" w:themeColor="text1"/>
        </w:rPr>
      </w:pPr>
    </w:p>
    <w:p w14:paraId="48FCEBAC"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Layer 2 (L2)    </w:t>
      </w:r>
    </w:p>
    <w:p w14:paraId="661998C2" w14:textId="608AD43C"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Scaling solutions </w:t>
      </w:r>
      <w:proofErr w:type="gramStart"/>
      <w:r w:rsidRPr="00C02ABC">
        <w:rPr>
          <w:rFonts w:eastAsiaTheme="majorEastAsia"/>
          <w:color w:val="000000" w:themeColor="text1"/>
        </w:rPr>
        <w:t>built</w:t>
      </w:r>
      <w:proofErr w:type="gramEnd"/>
      <w:r w:rsidRPr="00C02ABC">
        <w:rPr>
          <w:rFonts w:eastAsiaTheme="majorEastAsia"/>
          <w:color w:val="000000" w:themeColor="text1"/>
        </w:rPr>
        <w:t xml:space="preserve"> on top of Layer 1 blockchains to increase transaction throughput and reduce costs while maintaining security guarantees from the base layer (e.g., </w:t>
      </w:r>
      <w:proofErr w:type="spellStart"/>
      <w:r w:rsidRPr="00C02ABC">
        <w:rPr>
          <w:rFonts w:eastAsiaTheme="majorEastAsia"/>
          <w:color w:val="000000" w:themeColor="text1"/>
        </w:rPr>
        <w:t>Arbitrum</w:t>
      </w:r>
      <w:proofErr w:type="spellEnd"/>
      <w:r w:rsidRPr="00C02ABC">
        <w:rPr>
          <w:rFonts w:eastAsiaTheme="majorEastAsia"/>
          <w:color w:val="000000" w:themeColor="text1"/>
        </w:rPr>
        <w:t>, Optimism, Polygon).</w:t>
      </w:r>
    </w:p>
    <w:p w14:paraId="7F06347F" w14:textId="77777777" w:rsidR="00C02ABC" w:rsidRPr="00C02ABC" w:rsidRDefault="00C02ABC" w:rsidP="00127CE2">
      <w:pPr>
        <w:jc w:val="both"/>
        <w:rPr>
          <w:rFonts w:eastAsiaTheme="majorEastAsia"/>
          <w:color w:val="000000" w:themeColor="text1"/>
        </w:rPr>
      </w:pPr>
    </w:p>
    <w:p w14:paraId="0E049312"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lastRenderedPageBreak/>
        <w:t xml:space="preserve">Liquidity       </w:t>
      </w:r>
    </w:p>
    <w:p w14:paraId="20D1E4FB" w14:textId="0AD44FC3"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degree to which an asset can be quickly bought or sold in the market without affecting its price. Higher liquidity generally indicates easier and more efficient trading.</w:t>
      </w:r>
    </w:p>
    <w:p w14:paraId="2F4A4388" w14:textId="77777777" w:rsidR="00C02ABC" w:rsidRPr="00C02ABC" w:rsidRDefault="00C02ABC" w:rsidP="00127CE2">
      <w:pPr>
        <w:jc w:val="both"/>
        <w:rPr>
          <w:rFonts w:eastAsiaTheme="majorEastAsia"/>
          <w:color w:val="000000" w:themeColor="text1"/>
        </w:rPr>
      </w:pPr>
    </w:p>
    <w:p w14:paraId="4F0D83C9"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Liquidity Mining</w:t>
      </w:r>
    </w:p>
    <w:p w14:paraId="21600E71" w14:textId="580B99A8"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process where users provide liquidity to a protocol and receive rewards, typically in the form of the protocol's native tokens, as an incentive.</w:t>
      </w:r>
    </w:p>
    <w:p w14:paraId="488E2797" w14:textId="77777777" w:rsidR="001C55F5" w:rsidRDefault="001C55F5" w:rsidP="00127CE2">
      <w:pPr>
        <w:jc w:val="both"/>
        <w:rPr>
          <w:rFonts w:eastAsiaTheme="majorEastAsia"/>
          <w:color w:val="000000" w:themeColor="text1"/>
        </w:rPr>
      </w:pPr>
    </w:p>
    <w:p w14:paraId="73C631A2" w14:textId="156B1841" w:rsidR="001C55F5"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Liquidity Pool  </w:t>
      </w:r>
    </w:p>
    <w:p w14:paraId="4F0FA2A9" w14:textId="62806C43"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collection of funds locked in a smart contract that facilitates trading by providing liquidity for decentralized exchanges using automated market maker mechanisms.</w:t>
      </w:r>
    </w:p>
    <w:p w14:paraId="25E01F4A" w14:textId="77777777" w:rsidR="00C02ABC" w:rsidRPr="00C02ABC" w:rsidRDefault="00C02ABC" w:rsidP="00127CE2">
      <w:pPr>
        <w:jc w:val="both"/>
        <w:rPr>
          <w:rFonts w:eastAsiaTheme="majorEastAsia"/>
          <w:color w:val="000000" w:themeColor="text1"/>
        </w:rPr>
      </w:pPr>
    </w:p>
    <w:p w14:paraId="221D10F5"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Liquidity Provision</w:t>
      </w:r>
    </w:p>
    <w:p w14:paraId="24516822" w14:textId="32B85F2E"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act of depositing token pairs into automated market maker pools to facilitate trading. Distinguished from staking (single-asset deposits for network security) and lending (single-asset deposits for borrowing).</w:t>
      </w:r>
    </w:p>
    <w:p w14:paraId="62149C85" w14:textId="77777777" w:rsidR="00C02ABC" w:rsidRPr="00C02ABC" w:rsidRDefault="00C02ABC" w:rsidP="00127CE2">
      <w:pPr>
        <w:jc w:val="both"/>
        <w:rPr>
          <w:rFonts w:eastAsiaTheme="majorEastAsia"/>
          <w:color w:val="000000" w:themeColor="text1"/>
        </w:rPr>
      </w:pPr>
    </w:p>
    <w:p w14:paraId="00FA974E"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Liquid Staking  </w:t>
      </w:r>
    </w:p>
    <w:p w14:paraId="58D312B2" w14:textId="6C5B2DD8"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A staking mechanism that allows users to stake tokens while maintaining liquidity through the issuance of derivative tokens representing their staked position (e.g., </w:t>
      </w:r>
      <w:proofErr w:type="spellStart"/>
      <w:r w:rsidRPr="00C02ABC">
        <w:rPr>
          <w:rFonts w:eastAsiaTheme="majorEastAsia"/>
          <w:color w:val="000000" w:themeColor="text1"/>
        </w:rPr>
        <w:t>stETH</w:t>
      </w:r>
      <w:proofErr w:type="spellEnd"/>
      <w:r w:rsidRPr="00C02ABC">
        <w:rPr>
          <w:rFonts w:eastAsiaTheme="majorEastAsia"/>
          <w:color w:val="000000" w:themeColor="text1"/>
        </w:rPr>
        <w:t xml:space="preserve"> for staked ETH).</w:t>
      </w:r>
    </w:p>
    <w:p w14:paraId="34810FE8" w14:textId="77777777" w:rsidR="00C02ABC" w:rsidRPr="00C02ABC" w:rsidRDefault="00C02ABC" w:rsidP="00127CE2">
      <w:pPr>
        <w:jc w:val="both"/>
        <w:rPr>
          <w:rFonts w:eastAsiaTheme="majorEastAsia"/>
          <w:color w:val="000000" w:themeColor="text1"/>
        </w:rPr>
      </w:pPr>
    </w:p>
    <w:p w14:paraId="02CCEE08"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Maker Fee       </w:t>
      </w:r>
    </w:p>
    <w:p w14:paraId="3B657009" w14:textId="288B4B1A"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fee charged (or rebate provided) to users who add liquidity to an order book by placing limit orders that are not immediately matched.</w:t>
      </w:r>
    </w:p>
    <w:p w14:paraId="3D87D47F" w14:textId="77777777" w:rsidR="00C02ABC" w:rsidRPr="00C02ABC" w:rsidRDefault="00C02ABC" w:rsidP="00127CE2">
      <w:pPr>
        <w:jc w:val="both"/>
        <w:rPr>
          <w:rFonts w:eastAsiaTheme="majorEastAsia"/>
          <w:color w:val="000000" w:themeColor="text1"/>
        </w:rPr>
      </w:pPr>
    </w:p>
    <w:p w14:paraId="1EEFF411"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Maker-Taker Model</w:t>
      </w:r>
    </w:p>
    <w:p w14:paraId="0DA0EFAE" w14:textId="49558272"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fee structure where "makers" (those who add liquidity to the order book) and "takers" (those who remove liquidity by executing market orders) are charged different fees, often with makers receiving rebates.</w:t>
      </w:r>
    </w:p>
    <w:p w14:paraId="7217AF0A" w14:textId="77777777" w:rsidR="00C02ABC" w:rsidRPr="00C02ABC" w:rsidRDefault="00C02ABC" w:rsidP="00127CE2">
      <w:pPr>
        <w:jc w:val="both"/>
        <w:rPr>
          <w:rFonts w:eastAsiaTheme="majorEastAsia"/>
          <w:color w:val="000000" w:themeColor="text1"/>
        </w:rPr>
      </w:pPr>
    </w:p>
    <w:p w14:paraId="11A301C1"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Market Capitalization</w:t>
      </w:r>
    </w:p>
    <w:p w14:paraId="18BCE5B3" w14:textId="139573C2"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total value of a cryptocurrency, calculated by multiplying the current price by the total circulating supply.</w:t>
      </w:r>
    </w:p>
    <w:p w14:paraId="21C4C571" w14:textId="77777777" w:rsidR="00C02ABC" w:rsidRPr="00C02ABC" w:rsidRDefault="00C02ABC" w:rsidP="00127CE2">
      <w:pPr>
        <w:jc w:val="both"/>
        <w:rPr>
          <w:rFonts w:eastAsiaTheme="majorEastAsia"/>
          <w:color w:val="000000" w:themeColor="text1"/>
        </w:rPr>
      </w:pPr>
    </w:p>
    <w:p w14:paraId="222ACDD3" w14:textId="33CB30EC"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Market Making   The practice of providing liquidity to financial markets by continuously offering to buy and sell assets, profiting from the bid-ask spread.</w:t>
      </w:r>
    </w:p>
    <w:p w14:paraId="5F26DED5" w14:textId="77777777" w:rsidR="00C02ABC" w:rsidRPr="00C02ABC" w:rsidRDefault="00C02ABC" w:rsidP="00127CE2">
      <w:pPr>
        <w:jc w:val="both"/>
        <w:rPr>
          <w:rFonts w:eastAsiaTheme="majorEastAsia"/>
          <w:color w:val="000000" w:themeColor="text1"/>
        </w:rPr>
      </w:pPr>
    </w:p>
    <w:p w14:paraId="713F80A5"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Maximal Extractable Value (MEV)</w:t>
      </w:r>
    </w:p>
    <w:p w14:paraId="43EEFAF3" w14:textId="04CA5CEB"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maximum value that can be extracted from block production beyond standard block rewards and gas fees through transaction ordering, inclusion, or exclusion. Includes activities like front-running, sandwich attacks, and arbitrage.</w:t>
      </w:r>
    </w:p>
    <w:p w14:paraId="421E1717" w14:textId="77777777" w:rsidR="00C02ABC" w:rsidRPr="00C02ABC" w:rsidRDefault="00C02ABC" w:rsidP="00127CE2">
      <w:pPr>
        <w:jc w:val="both"/>
        <w:rPr>
          <w:rFonts w:eastAsiaTheme="majorEastAsia"/>
          <w:color w:val="000000" w:themeColor="text1"/>
        </w:rPr>
      </w:pPr>
    </w:p>
    <w:p w14:paraId="1768ACE4"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Meta-Transaction</w:t>
      </w:r>
    </w:p>
    <w:p w14:paraId="6FA52CD2" w14:textId="1693F948"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transaction that allows a third party to pay gas fees on behalf of the user, enabling gasless transactions from the user's perspective.</w:t>
      </w:r>
    </w:p>
    <w:p w14:paraId="2EB55EFD" w14:textId="77777777" w:rsidR="00C02ABC" w:rsidRPr="00C02ABC" w:rsidRDefault="00C02ABC" w:rsidP="00127CE2">
      <w:pPr>
        <w:jc w:val="both"/>
        <w:rPr>
          <w:rFonts w:eastAsiaTheme="majorEastAsia"/>
          <w:color w:val="000000" w:themeColor="text1"/>
        </w:rPr>
      </w:pPr>
    </w:p>
    <w:p w14:paraId="7F09DC8F"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Miner Extractable Value</w:t>
      </w:r>
    </w:p>
    <w:p w14:paraId="74C5A8A9" w14:textId="08C1AF60"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lastRenderedPageBreak/>
        <w:t xml:space="preserve">The original term for MEV, referring specifically to miners' ability to extract value in Proof of </w:t>
      </w:r>
      <w:proofErr w:type="gramStart"/>
      <w:r w:rsidRPr="00C02ABC">
        <w:rPr>
          <w:rFonts w:eastAsiaTheme="majorEastAsia"/>
          <w:color w:val="000000" w:themeColor="text1"/>
        </w:rPr>
        <w:t>Work systems</w:t>
      </w:r>
      <w:proofErr w:type="gramEnd"/>
      <w:r w:rsidRPr="00C02ABC">
        <w:rPr>
          <w:rFonts w:eastAsiaTheme="majorEastAsia"/>
          <w:color w:val="000000" w:themeColor="text1"/>
        </w:rPr>
        <w:t xml:space="preserve"> (now encompassing validators in Proof of Stake).</w:t>
      </w:r>
    </w:p>
    <w:p w14:paraId="5DE45381" w14:textId="77777777" w:rsidR="00C02ABC" w:rsidRPr="00C02ABC" w:rsidRDefault="00C02ABC" w:rsidP="00127CE2">
      <w:pPr>
        <w:jc w:val="both"/>
        <w:rPr>
          <w:rFonts w:eastAsiaTheme="majorEastAsia"/>
          <w:color w:val="000000" w:themeColor="text1"/>
        </w:rPr>
      </w:pPr>
    </w:p>
    <w:p w14:paraId="1B645C4C"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Network Congestion</w:t>
      </w:r>
    </w:p>
    <w:p w14:paraId="77AF1A08" w14:textId="21B14653"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state where transaction demand exceeds the blockchain's processing capacity, resulting in higher gas fees and longer transaction confirmation times.</w:t>
      </w:r>
    </w:p>
    <w:p w14:paraId="13869AFF" w14:textId="77777777" w:rsidR="00C02ABC" w:rsidRPr="00C02ABC" w:rsidRDefault="00C02ABC" w:rsidP="00127CE2">
      <w:pPr>
        <w:jc w:val="both"/>
        <w:rPr>
          <w:rFonts w:eastAsiaTheme="majorEastAsia"/>
          <w:color w:val="000000" w:themeColor="text1"/>
        </w:rPr>
      </w:pPr>
    </w:p>
    <w:p w14:paraId="04EC2CEC" w14:textId="77777777" w:rsidR="002F54C2"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Network Effect  </w:t>
      </w:r>
    </w:p>
    <w:p w14:paraId="2734049F" w14:textId="683CF0BB"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phenomenon where a product or service becomes more valuable as more people use it, creating competitive advantages for established platforms.</w:t>
      </w:r>
    </w:p>
    <w:p w14:paraId="11A209C7" w14:textId="77777777" w:rsidR="00C02ABC" w:rsidRPr="00C02ABC" w:rsidRDefault="00C02ABC" w:rsidP="00127CE2">
      <w:pPr>
        <w:jc w:val="both"/>
        <w:rPr>
          <w:rFonts w:eastAsiaTheme="majorEastAsia"/>
          <w:color w:val="000000" w:themeColor="text1"/>
        </w:rPr>
      </w:pPr>
    </w:p>
    <w:p w14:paraId="105DCBBF"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Network Viability Threshold</w:t>
      </w:r>
    </w:p>
    <w:p w14:paraId="42C70C54" w14:textId="121F8C0C"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The minimum capital required to profitably participate on a specific blockchain network after accounting for operational costs. Varies by network: Ethereum </w:t>
      </w:r>
      <w:proofErr w:type="spellStart"/>
      <w:r w:rsidRPr="00C02ABC">
        <w:rPr>
          <w:rFonts w:eastAsiaTheme="majorEastAsia"/>
          <w:color w:val="000000" w:themeColor="text1"/>
        </w:rPr>
        <w:t>mainnet</w:t>
      </w:r>
      <w:proofErr w:type="spellEnd"/>
      <w:r w:rsidRPr="00C02ABC">
        <w:rPr>
          <w:rFonts w:eastAsiaTheme="majorEastAsia"/>
          <w:color w:val="000000" w:themeColor="text1"/>
        </w:rPr>
        <w:t xml:space="preserve"> (~$25,000), Layer 2 (~$3,500), Alternative L1 (~$750).</w:t>
      </w:r>
    </w:p>
    <w:p w14:paraId="6930BF2A" w14:textId="77777777" w:rsidR="00C02ABC" w:rsidRPr="00C02ABC" w:rsidRDefault="00C02ABC" w:rsidP="00127CE2">
      <w:pPr>
        <w:jc w:val="both"/>
        <w:rPr>
          <w:rFonts w:eastAsiaTheme="majorEastAsia"/>
          <w:color w:val="000000" w:themeColor="text1"/>
        </w:rPr>
      </w:pPr>
    </w:p>
    <w:p w14:paraId="0C3CA04D" w14:textId="77777777" w:rsidR="00C107D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Non-Custodial   </w:t>
      </w:r>
    </w:p>
    <w:p w14:paraId="62806291" w14:textId="74EB9193"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Referring to services where users maintain control of their private keys and funds, rather than entrusting them to a third party.</w:t>
      </w:r>
    </w:p>
    <w:p w14:paraId="72522DB0" w14:textId="77777777" w:rsidR="00C02ABC" w:rsidRPr="00C02ABC" w:rsidRDefault="00C02ABC" w:rsidP="00127CE2">
      <w:pPr>
        <w:jc w:val="both"/>
        <w:rPr>
          <w:rFonts w:eastAsiaTheme="majorEastAsia"/>
          <w:color w:val="000000" w:themeColor="text1"/>
        </w:rPr>
      </w:pPr>
    </w:p>
    <w:p w14:paraId="0C532265"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Oracle          </w:t>
      </w:r>
    </w:p>
    <w:p w14:paraId="5027F9CB" w14:textId="469990C1"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service that provides external, real-world data to blockchain smart contracts, enabling them to interact with off-chain information.</w:t>
      </w:r>
    </w:p>
    <w:p w14:paraId="28A6B1D2" w14:textId="77777777" w:rsidR="00C02ABC" w:rsidRPr="00C02ABC" w:rsidRDefault="00C02ABC" w:rsidP="00127CE2">
      <w:pPr>
        <w:jc w:val="both"/>
        <w:rPr>
          <w:rFonts w:eastAsiaTheme="majorEastAsia"/>
          <w:color w:val="000000" w:themeColor="text1"/>
        </w:rPr>
      </w:pPr>
    </w:p>
    <w:p w14:paraId="0F4AE0AA"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Oracle Failure  </w:t>
      </w:r>
    </w:p>
    <w:p w14:paraId="32F568CF" w14:textId="4D60A29B"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When an oracle provides incorrect price data or fails to update, </w:t>
      </w:r>
      <w:proofErr w:type="gramStart"/>
      <w:r w:rsidRPr="00C02ABC">
        <w:rPr>
          <w:rFonts w:eastAsiaTheme="majorEastAsia"/>
          <w:color w:val="000000" w:themeColor="text1"/>
        </w:rPr>
        <w:t>potentially causing</w:t>
      </w:r>
      <w:proofErr w:type="gramEnd"/>
      <w:r w:rsidRPr="00C02ABC">
        <w:rPr>
          <w:rFonts w:eastAsiaTheme="majorEastAsia"/>
          <w:color w:val="000000" w:themeColor="text1"/>
        </w:rPr>
        <w:t xml:space="preserve"> significant losses in DeFi protocols that rely on this data for operations like </w:t>
      </w:r>
      <w:proofErr w:type="gramStart"/>
      <w:r w:rsidRPr="00C02ABC">
        <w:rPr>
          <w:rFonts w:eastAsiaTheme="majorEastAsia"/>
          <w:color w:val="000000" w:themeColor="text1"/>
        </w:rPr>
        <w:t>liquidations</w:t>
      </w:r>
      <w:proofErr w:type="gramEnd"/>
      <w:r w:rsidRPr="00C02ABC">
        <w:rPr>
          <w:rFonts w:eastAsiaTheme="majorEastAsia"/>
          <w:color w:val="000000" w:themeColor="text1"/>
        </w:rPr>
        <w:t>.</w:t>
      </w:r>
    </w:p>
    <w:p w14:paraId="0BC28EFD" w14:textId="77777777" w:rsidR="00C02ABC" w:rsidRPr="00C02ABC" w:rsidRDefault="00C02ABC" w:rsidP="00127CE2">
      <w:pPr>
        <w:jc w:val="both"/>
        <w:rPr>
          <w:rFonts w:eastAsiaTheme="majorEastAsia"/>
          <w:color w:val="000000" w:themeColor="text1"/>
        </w:rPr>
      </w:pPr>
    </w:p>
    <w:p w14:paraId="3E22854D"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Order Book      </w:t>
      </w:r>
    </w:p>
    <w:p w14:paraId="53274ED2" w14:textId="5583D8D7"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list of buy and sell orders for an asset, organized by price level, used in traditional centralized exchanges.</w:t>
      </w:r>
    </w:p>
    <w:p w14:paraId="2607BDB6" w14:textId="77777777" w:rsidR="00C02ABC" w:rsidRPr="00C02ABC" w:rsidRDefault="00C02ABC" w:rsidP="00127CE2">
      <w:pPr>
        <w:jc w:val="both"/>
        <w:rPr>
          <w:rFonts w:eastAsiaTheme="majorEastAsia"/>
          <w:color w:val="000000" w:themeColor="text1"/>
        </w:rPr>
      </w:pPr>
    </w:p>
    <w:p w14:paraId="41B846E0"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Passive Income  </w:t>
      </w:r>
    </w:p>
    <w:p w14:paraId="64BA86A4" w14:textId="0822FFB4"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Income generated with minimal active effort or time investment. The research demonstrates this is largely marketing fiction in DeFi, with successful participants requiring 15-20 hours weekly.</w:t>
      </w:r>
    </w:p>
    <w:p w14:paraId="62CC22E8" w14:textId="77777777" w:rsidR="00C02ABC" w:rsidRPr="00C02ABC" w:rsidRDefault="00C02ABC" w:rsidP="00127CE2">
      <w:pPr>
        <w:jc w:val="both"/>
        <w:rPr>
          <w:rFonts w:eastAsiaTheme="majorEastAsia"/>
          <w:color w:val="000000" w:themeColor="text1"/>
        </w:rPr>
      </w:pPr>
    </w:p>
    <w:p w14:paraId="7945DC57"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Permissionless  </w:t>
      </w:r>
    </w:p>
    <w:p w14:paraId="2095B0F8" w14:textId="04959370"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system characteristic where anyone can participate without requiring approval from a central authority, though economic and technical barriers may still exist.</w:t>
      </w:r>
    </w:p>
    <w:p w14:paraId="29B2DEF4" w14:textId="77777777" w:rsidR="00C02ABC" w:rsidRPr="00C02ABC" w:rsidRDefault="00C02ABC" w:rsidP="00127CE2">
      <w:pPr>
        <w:jc w:val="both"/>
        <w:rPr>
          <w:rFonts w:eastAsiaTheme="majorEastAsia"/>
          <w:color w:val="000000" w:themeColor="text1"/>
        </w:rPr>
      </w:pPr>
    </w:p>
    <w:p w14:paraId="2E8B04CE" w14:textId="77777777" w:rsidR="002F54C2"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Price Discovery </w:t>
      </w:r>
    </w:p>
    <w:p w14:paraId="3EBAB524" w14:textId="73841E4A"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process by which markets determine the value of an asset through the interaction of buyers and sellers.</w:t>
      </w:r>
    </w:p>
    <w:p w14:paraId="1BC3FE7F" w14:textId="77777777" w:rsidR="00C02ABC" w:rsidRPr="00C02ABC" w:rsidRDefault="00C02ABC" w:rsidP="00127CE2">
      <w:pPr>
        <w:jc w:val="both"/>
        <w:rPr>
          <w:rFonts w:eastAsiaTheme="majorEastAsia"/>
          <w:color w:val="000000" w:themeColor="text1"/>
        </w:rPr>
      </w:pPr>
    </w:p>
    <w:p w14:paraId="49070E80"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Priority Fee (Tip)</w:t>
      </w:r>
    </w:p>
    <w:p w14:paraId="34F7DF57" w14:textId="6F12F8F0"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In Ethereum's EIP-1559 mechanism, an optional fee </w:t>
      </w:r>
      <w:proofErr w:type="gramStart"/>
      <w:r w:rsidRPr="00C02ABC">
        <w:rPr>
          <w:rFonts w:eastAsiaTheme="majorEastAsia"/>
          <w:color w:val="000000" w:themeColor="text1"/>
        </w:rPr>
        <w:t>paid</w:t>
      </w:r>
      <w:proofErr w:type="gramEnd"/>
      <w:r w:rsidRPr="00C02ABC">
        <w:rPr>
          <w:rFonts w:eastAsiaTheme="majorEastAsia"/>
          <w:color w:val="000000" w:themeColor="text1"/>
        </w:rPr>
        <w:t xml:space="preserve"> to validators to prioritize transaction processing during network congestion.</w:t>
      </w:r>
    </w:p>
    <w:p w14:paraId="243FCE8B" w14:textId="77777777" w:rsidR="00C02ABC" w:rsidRPr="00C02ABC" w:rsidRDefault="00C02ABC" w:rsidP="00127CE2">
      <w:pPr>
        <w:jc w:val="both"/>
        <w:rPr>
          <w:rFonts w:eastAsiaTheme="majorEastAsia"/>
          <w:color w:val="000000" w:themeColor="text1"/>
        </w:rPr>
      </w:pPr>
    </w:p>
    <w:p w14:paraId="679CC745"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Protocol        </w:t>
      </w:r>
    </w:p>
    <w:p w14:paraId="2353DB25" w14:textId="77B14B25"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A set of rules and standards that define how data is transmitted and processed on a network. In DeFi, </w:t>
      </w:r>
      <w:proofErr w:type="gramStart"/>
      <w:r w:rsidRPr="00C02ABC">
        <w:rPr>
          <w:rFonts w:eastAsiaTheme="majorEastAsia"/>
          <w:color w:val="000000" w:themeColor="text1"/>
        </w:rPr>
        <w:t>refers</w:t>
      </w:r>
      <w:proofErr w:type="gramEnd"/>
      <w:r w:rsidRPr="00C02ABC">
        <w:rPr>
          <w:rFonts w:eastAsiaTheme="majorEastAsia"/>
          <w:color w:val="000000" w:themeColor="text1"/>
        </w:rPr>
        <w:t xml:space="preserve"> to smart contract-based applications.</w:t>
      </w:r>
    </w:p>
    <w:p w14:paraId="630AF10F" w14:textId="77777777" w:rsidR="00C02ABC" w:rsidRPr="00C02ABC" w:rsidRDefault="00C02ABC" w:rsidP="00127CE2">
      <w:pPr>
        <w:jc w:val="both"/>
        <w:rPr>
          <w:rFonts w:eastAsiaTheme="majorEastAsia"/>
          <w:color w:val="000000" w:themeColor="text1"/>
        </w:rPr>
      </w:pPr>
    </w:p>
    <w:p w14:paraId="35CEA564"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Protocol-Level Fee</w:t>
      </w:r>
    </w:p>
    <w:p w14:paraId="348A889D" w14:textId="4D861A68"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Fees charged at the blockchain infrastructure level for transaction</w:t>
      </w:r>
      <w:r w:rsidR="00FF6FDE">
        <w:rPr>
          <w:rFonts w:eastAsiaTheme="majorEastAsia"/>
          <w:color w:val="000000" w:themeColor="text1"/>
        </w:rPr>
        <w:t xml:space="preserve"> </w:t>
      </w:r>
      <w:r w:rsidRPr="00C02ABC">
        <w:rPr>
          <w:rFonts w:eastAsiaTheme="majorEastAsia"/>
          <w:color w:val="000000" w:themeColor="text1"/>
        </w:rPr>
        <w:t>processing, going to validators/miners (distinct from application-level fees charged by DeFi platforms).</w:t>
      </w:r>
    </w:p>
    <w:p w14:paraId="41A7BEAF" w14:textId="77777777" w:rsidR="00C02ABC" w:rsidRPr="00C02ABC" w:rsidRDefault="00C02ABC" w:rsidP="00127CE2">
      <w:pPr>
        <w:jc w:val="both"/>
        <w:rPr>
          <w:rFonts w:eastAsiaTheme="majorEastAsia"/>
          <w:color w:val="000000" w:themeColor="text1"/>
        </w:rPr>
      </w:pPr>
    </w:p>
    <w:p w14:paraId="5B4B1CA2"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Protocol-Level Incident</w:t>
      </w:r>
    </w:p>
    <w:p w14:paraId="42AF0364" w14:textId="7A38DFBE"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An event resulting in &gt;10% loss of position value from smart contract exploits, governance attacks, oracle failures, protocol abandonment, or systemic de-pegging events.</w:t>
      </w:r>
    </w:p>
    <w:p w14:paraId="4F21E11A" w14:textId="77777777" w:rsidR="00C02ABC" w:rsidRPr="00C02ABC" w:rsidRDefault="00C02ABC" w:rsidP="00127CE2">
      <w:pPr>
        <w:jc w:val="both"/>
        <w:rPr>
          <w:rFonts w:eastAsiaTheme="majorEastAsia"/>
          <w:color w:val="000000" w:themeColor="text1"/>
        </w:rPr>
      </w:pPr>
    </w:p>
    <w:p w14:paraId="61C5911D"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Purposive Sampling</w:t>
      </w:r>
    </w:p>
    <w:p w14:paraId="1FDCE5C0" w14:textId="690E3383"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non-probability sampling method where participants are selected based on specific characteristics relevant to the research objectives, used in</w:t>
      </w:r>
      <w:r w:rsidR="00FF6FDE">
        <w:rPr>
          <w:rFonts w:eastAsiaTheme="majorEastAsia"/>
          <w:color w:val="000000" w:themeColor="text1"/>
        </w:rPr>
        <w:t xml:space="preserve"> </w:t>
      </w:r>
      <w:r w:rsidRPr="00C02ABC">
        <w:rPr>
          <w:rFonts w:eastAsiaTheme="majorEastAsia"/>
          <w:color w:val="000000" w:themeColor="text1"/>
        </w:rPr>
        <w:t>this study to achieve maximum variation across capital levels, protocols, and market conditions.</w:t>
      </w:r>
    </w:p>
    <w:p w14:paraId="7866B277" w14:textId="77777777" w:rsidR="00C02ABC" w:rsidRPr="00C02ABC" w:rsidRDefault="00C02ABC" w:rsidP="00127CE2">
      <w:pPr>
        <w:jc w:val="both"/>
        <w:rPr>
          <w:rFonts w:eastAsiaTheme="majorEastAsia"/>
          <w:color w:val="000000" w:themeColor="text1"/>
        </w:rPr>
      </w:pPr>
    </w:p>
    <w:p w14:paraId="1D1CDF5A"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Rebalancing     </w:t>
      </w:r>
    </w:p>
    <w:p w14:paraId="55C45509" w14:textId="38A13FE4"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process of adjusting a portfolio or liquidity position to maintain desired asset allocations or price ranges, often incurring transaction costs.</w:t>
      </w:r>
    </w:p>
    <w:p w14:paraId="67FF28A3" w14:textId="77777777" w:rsidR="00C02ABC" w:rsidRPr="00C02ABC" w:rsidRDefault="00C02ABC" w:rsidP="00127CE2">
      <w:pPr>
        <w:jc w:val="both"/>
        <w:rPr>
          <w:rFonts w:eastAsiaTheme="majorEastAsia"/>
          <w:color w:val="000000" w:themeColor="text1"/>
        </w:rPr>
      </w:pPr>
    </w:p>
    <w:p w14:paraId="42C6E469"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Reintermediation</w:t>
      </w:r>
    </w:p>
    <w:p w14:paraId="725180A9" w14:textId="519C7134"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process by which DeFi transfers banking functions to individual participants rather than eliminating them, creating technical accessibility but imposing operational burden.</w:t>
      </w:r>
    </w:p>
    <w:p w14:paraId="3BC1BF4B" w14:textId="77777777" w:rsidR="00C02ABC" w:rsidRPr="00C02ABC" w:rsidRDefault="00C02ABC" w:rsidP="00127CE2">
      <w:pPr>
        <w:jc w:val="both"/>
        <w:rPr>
          <w:rFonts w:eastAsiaTheme="majorEastAsia"/>
          <w:color w:val="000000" w:themeColor="text1"/>
        </w:rPr>
      </w:pPr>
    </w:p>
    <w:p w14:paraId="12D4694E"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Risk-Adjusted Return</w:t>
      </w:r>
    </w:p>
    <w:p w14:paraId="0397FEA5" w14:textId="13265C15"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measure of return that accounts for the level of risk taken to achieve that return, often expressed as the Sharpe ratio.</w:t>
      </w:r>
    </w:p>
    <w:p w14:paraId="7910A0AF" w14:textId="77777777" w:rsidR="00C02ABC" w:rsidRPr="00C02ABC" w:rsidRDefault="00C02ABC" w:rsidP="00127CE2">
      <w:pPr>
        <w:jc w:val="both"/>
        <w:rPr>
          <w:rFonts w:eastAsiaTheme="majorEastAsia"/>
          <w:color w:val="000000" w:themeColor="text1"/>
        </w:rPr>
      </w:pPr>
    </w:p>
    <w:p w14:paraId="0D380194"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Rug Pull        </w:t>
      </w:r>
    </w:p>
    <w:p w14:paraId="6C5701FF" w14:textId="634C9D36"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type of cryptocurrency scam where developers abandon a project and run away with investors' funds, often after building hype and attracting significant investments.</w:t>
      </w:r>
    </w:p>
    <w:p w14:paraId="60F483CD" w14:textId="77777777" w:rsidR="00C02ABC" w:rsidRPr="00C02ABC" w:rsidRDefault="00C02ABC" w:rsidP="00127CE2">
      <w:pPr>
        <w:jc w:val="both"/>
        <w:rPr>
          <w:rFonts w:eastAsiaTheme="majorEastAsia"/>
          <w:color w:val="000000" w:themeColor="text1"/>
        </w:rPr>
      </w:pPr>
    </w:p>
    <w:p w14:paraId="3999FB5B"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Sandwich Attack </w:t>
      </w:r>
    </w:p>
    <w:p w14:paraId="6924754C" w14:textId="60C3261C"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form of MEV extraction where an attacker places transactions before and after a victim's transaction to profit from the price impact, essentially extracting value from the victim.</w:t>
      </w:r>
    </w:p>
    <w:p w14:paraId="36B4C977" w14:textId="77777777" w:rsidR="00C02ABC" w:rsidRPr="00C02ABC" w:rsidRDefault="00C02ABC" w:rsidP="00127CE2">
      <w:pPr>
        <w:jc w:val="both"/>
        <w:rPr>
          <w:rFonts w:eastAsiaTheme="majorEastAsia"/>
          <w:color w:val="000000" w:themeColor="text1"/>
        </w:rPr>
      </w:pPr>
    </w:p>
    <w:p w14:paraId="1AB63344"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Sharpe Ratio    </w:t>
      </w:r>
    </w:p>
    <w:p w14:paraId="6394CA18" w14:textId="7C1708B6" w:rsidR="00C02ABC" w:rsidRPr="00C02ABC" w:rsidRDefault="00C02ABC" w:rsidP="00127CE2">
      <w:pPr>
        <w:ind w:left="720"/>
        <w:jc w:val="both"/>
        <w:rPr>
          <w:rFonts w:eastAsiaTheme="majorEastAsia"/>
          <w:color w:val="000000" w:themeColor="text1"/>
        </w:rPr>
      </w:pPr>
      <w:proofErr w:type="gramStart"/>
      <w:r w:rsidRPr="00C02ABC">
        <w:rPr>
          <w:rFonts w:eastAsiaTheme="majorEastAsia"/>
          <w:color w:val="000000" w:themeColor="text1"/>
        </w:rPr>
        <w:t>A measure of risk-adjusted return,</w:t>
      </w:r>
      <w:proofErr w:type="gramEnd"/>
      <w:r w:rsidRPr="00C02ABC">
        <w:rPr>
          <w:rFonts w:eastAsiaTheme="majorEastAsia"/>
          <w:color w:val="000000" w:themeColor="text1"/>
        </w:rPr>
        <w:t xml:space="preserve"> calculated as (return - risk-free rate) / standard deviation. Higher values indicate better risk-adjusted performance.</w:t>
      </w:r>
    </w:p>
    <w:p w14:paraId="5E19D9A7" w14:textId="77777777" w:rsidR="00C02ABC" w:rsidRPr="00C02ABC" w:rsidRDefault="00C02ABC" w:rsidP="00127CE2">
      <w:pPr>
        <w:jc w:val="both"/>
        <w:rPr>
          <w:rFonts w:eastAsiaTheme="majorEastAsia"/>
          <w:color w:val="000000" w:themeColor="text1"/>
        </w:rPr>
      </w:pPr>
    </w:p>
    <w:p w14:paraId="6669A1E9"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Slippage        </w:t>
      </w:r>
    </w:p>
    <w:p w14:paraId="766F24B7" w14:textId="5AD98900"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difference between the expected price of a trade and the actual executed price, often occurring during high volatility or low liquidity.</w:t>
      </w:r>
    </w:p>
    <w:p w14:paraId="20E0682F" w14:textId="77777777" w:rsidR="00C02ABC" w:rsidRPr="00C02ABC" w:rsidRDefault="00C02ABC" w:rsidP="00127CE2">
      <w:pPr>
        <w:jc w:val="both"/>
        <w:rPr>
          <w:rFonts w:eastAsiaTheme="majorEastAsia"/>
          <w:color w:val="000000" w:themeColor="text1"/>
        </w:rPr>
      </w:pPr>
    </w:p>
    <w:p w14:paraId="17B6F434"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Smart Contract  </w:t>
      </w:r>
    </w:p>
    <w:p w14:paraId="76BA8707" w14:textId="7D754A79"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lastRenderedPageBreak/>
        <w:t>Self-executing computer programs stored on a blockchain that automatically enforce the terms of an agreement when predefined conditions are met.</w:t>
      </w:r>
    </w:p>
    <w:p w14:paraId="6CDB04B6" w14:textId="77777777" w:rsidR="00C02ABC" w:rsidRPr="00C02ABC" w:rsidRDefault="00C02ABC" w:rsidP="00127CE2">
      <w:pPr>
        <w:jc w:val="both"/>
        <w:rPr>
          <w:rFonts w:eastAsiaTheme="majorEastAsia"/>
          <w:color w:val="000000" w:themeColor="text1"/>
        </w:rPr>
      </w:pPr>
    </w:p>
    <w:p w14:paraId="2950ACFC" w14:textId="77777777" w:rsidR="00C02ABC" w:rsidRPr="00C107DF" w:rsidRDefault="00C02ABC" w:rsidP="00127CE2">
      <w:pPr>
        <w:jc w:val="both"/>
        <w:rPr>
          <w:rFonts w:eastAsiaTheme="majorEastAsia"/>
          <w:b/>
          <w:bCs/>
          <w:color w:val="000000" w:themeColor="text1"/>
        </w:rPr>
      </w:pPr>
      <w:r w:rsidRPr="00C107DF">
        <w:rPr>
          <w:rFonts w:eastAsiaTheme="majorEastAsia"/>
          <w:color w:val="000000" w:themeColor="text1"/>
        </w:rPr>
        <w:t>Smart</w:t>
      </w:r>
      <w:r w:rsidRPr="00C107DF">
        <w:rPr>
          <w:rFonts w:eastAsiaTheme="majorEastAsia"/>
          <w:b/>
          <w:bCs/>
          <w:color w:val="000000" w:themeColor="text1"/>
        </w:rPr>
        <w:t xml:space="preserve"> Contract Audit</w:t>
      </w:r>
    </w:p>
    <w:p w14:paraId="5000A097" w14:textId="77F0F34F"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systematic examination of a smart contract's code to identify vulnerabilities, bugs, or security issues before deployment.</w:t>
      </w:r>
    </w:p>
    <w:p w14:paraId="431D9500" w14:textId="77777777" w:rsidR="00C02ABC" w:rsidRPr="00C107DF" w:rsidRDefault="00C02ABC" w:rsidP="00127CE2">
      <w:pPr>
        <w:jc w:val="both"/>
        <w:rPr>
          <w:rFonts w:eastAsiaTheme="majorEastAsia"/>
          <w:b/>
          <w:bCs/>
          <w:color w:val="000000" w:themeColor="text1"/>
        </w:rPr>
      </w:pPr>
    </w:p>
    <w:p w14:paraId="60E9FA2A"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Smart Contract Exploit</w:t>
      </w:r>
    </w:p>
    <w:p w14:paraId="3C3D47FA" w14:textId="4337A37C"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An attack that takes advantage of vulnerabilities in smart contract code to extract value or cause unintended behavior, often </w:t>
      </w:r>
      <w:proofErr w:type="gramStart"/>
      <w:r w:rsidRPr="00C02ABC">
        <w:rPr>
          <w:rFonts w:eastAsiaTheme="majorEastAsia"/>
          <w:color w:val="000000" w:themeColor="text1"/>
        </w:rPr>
        <w:t>resulting</w:t>
      </w:r>
      <w:proofErr w:type="gramEnd"/>
      <w:r w:rsidRPr="00C02ABC">
        <w:rPr>
          <w:rFonts w:eastAsiaTheme="majorEastAsia"/>
          <w:color w:val="000000" w:themeColor="text1"/>
        </w:rPr>
        <w:t xml:space="preserve"> in significant financial losses.</w:t>
      </w:r>
    </w:p>
    <w:p w14:paraId="15FF06E8" w14:textId="77777777" w:rsidR="00C02ABC" w:rsidRPr="00C02ABC" w:rsidRDefault="00C02ABC" w:rsidP="00127CE2">
      <w:pPr>
        <w:jc w:val="both"/>
        <w:rPr>
          <w:rFonts w:eastAsiaTheme="majorEastAsia"/>
          <w:color w:val="000000" w:themeColor="text1"/>
        </w:rPr>
      </w:pPr>
    </w:p>
    <w:p w14:paraId="05C1EFBE"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Stablecoin      </w:t>
      </w:r>
    </w:p>
    <w:p w14:paraId="107375DB" w14:textId="225DDBB2"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cryptocurrency designed to maintain a stable value relative to a reference asset, typically the U.S. dollar (e.g., USDC, USDT, DAI).</w:t>
      </w:r>
    </w:p>
    <w:p w14:paraId="387D05BC" w14:textId="77777777" w:rsidR="00C02ABC" w:rsidRPr="00C02ABC" w:rsidRDefault="00C02ABC" w:rsidP="00127CE2">
      <w:pPr>
        <w:jc w:val="both"/>
        <w:rPr>
          <w:rFonts w:eastAsiaTheme="majorEastAsia"/>
          <w:color w:val="000000" w:themeColor="text1"/>
        </w:rPr>
      </w:pPr>
    </w:p>
    <w:p w14:paraId="24992645"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Staking         </w:t>
      </w:r>
    </w:p>
    <w:p w14:paraId="758F20F6" w14:textId="01C95A48"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The process of locking up cryptocurrency to support network </w:t>
      </w:r>
      <w:proofErr w:type="gramStart"/>
      <w:r w:rsidRPr="00C02ABC">
        <w:rPr>
          <w:rFonts w:eastAsiaTheme="majorEastAsia"/>
          <w:color w:val="000000" w:themeColor="text1"/>
        </w:rPr>
        <w:t>operations  (</w:t>
      </w:r>
      <w:proofErr w:type="gramEnd"/>
      <w:r w:rsidRPr="00C02ABC">
        <w:rPr>
          <w:rFonts w:eastAsiaTheme="majorEastAsia"/>
          <w:color w:val="000000" w:themeColor="text1"/>
        </w:rPr>
        <w:t>validating transactions, securing the network) in exchange for rewards, typically in Proof of Stake systems.</w:t>
      </w:r>
    </w:p>
    <w:p w14:paraId="0EF07D93" w14:textId="77777777" w:rsidR="00C02ABC" w:rsidRPr="00C02ABC" w:rsidRDefault="00C02ABC" w:rsidP="00127CE2">
      <w:pPr>
        <w:jc w:val="both"/>
        <w:rPr>
          <w:rFonts w:eastAsiaTheme="majorEastAsia"/>
          <w:color w:val="000000" w:themeColor="text1"/>
        </w:rPr>
      </w:pPr>
    </w:p>
    <w:p w14:paraId="0D188C41"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Staking Rewards </w:t>
      </w:r>
    </w:p>
    <w:p w14:paraId="274CCE61" w14:textId="3D309D8A"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Returns earned by validators or delegators for participating in network consensus, typically paid in the network's native token.</w:t>
      </w:r>
    </w:p>
    <w:p w14:paraId="48962958" w14:textId="77777777" w:rsidR="00C02ABC" w:rsidRPr="00C02ABC" w:rsidRDefault="00C02ABC" w:rsidP="00127CE2">
      <w:pPr>
        <w:jc w:val="both"/>
        <w:rPr>
          <w:rFonts w:eastAsiaTheme="majorEastAsia"/>
          <w:color w:val="000000" w:themeColor="text1"/>
        </w:rPr>
      </w:pPr>
    </w:p>
    <w:p w14:paraId="43BCE119"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Survivorship Bias</w:t>
      </w:r>
    </w:p>
    <w:p w14:paraId="5E0E9A2B" w14:textId="24B079C3"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logical error where analysis focuses only on surviving positions or participants, ignoring those that failed or exited, potentially leading to overly optimistic conclusions. This research accounts for this bias, adjusting the 73% failure rate to potentially 73-90%.</w:t>
      </w:r>
    </w:p>
    <w:p w14:paraId="713D3AC3" w14:textId="77777777" w:rsidR="00C02ABC" w:rsidRPr="00C02ABC" w:rsidRDefault="00C02ABC" w:rsidP="00127CE2">
      <w:pPr>
        <w:jc w:val="both"/>
        <w:rPr>
          <w:rFonts w:eastAsiaTheme="majorEastAsia"/>
          <w:color w:val="000000" w:themeColor="text1"/>
        </w:rPr>
      </w:pPr>
    </w:p>
    <w:p w14:paraId="1D8D1BE3" w14:textId="77777777" w:rsidR="002F54C2"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Taker Fee       </w:t>
      </w:r>
    </w:p>
    <w:p w14:paraId="1C6D0876" w14:textId="26441958"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The fee </w:t>
      </w:r>
      <w:proofErr w:type="gramStart"/>
      <w:r w:rsidRPr="00C02ABC">
        <w:rPr>
          <w:rFonts w:eastAsiaTheme="majorEastAsia"/>
          <w:color w:val="000000" w:themeColor="text1"/>
        </w:rPr>
        <w:t>charged</w:t>
      </w:r>
      <w:proofErr w:type="gramEnd"/>
      <w:r w:rsidRPr="00C02ABC">
        <w:rPr>
          <w:rFonts w:eastAsiaTheme="majorEastAsia"/>
          <w:color w:val="000000" w:themeColor="text1"/>
        </w:rPr>
        <w:t xml:space="preserve"> to users who remove liquidity from an order book by executing market orders that match existing limit orders.</w:t>
      </w:r>
    </w:p>
    <w:p w14:paraId="1DEA579C" w14:textId="77777777" w:rsidR="00C02ABC" w:rsidRPr="00C02ABC" w:rsidRDefault="00C02ABC" w:rsidP="00127CE2">
      <w:pPr>
        <w:jc w:val="both"/>
        <w:rPr>
          <w:rFonts w:eastAsiaTheme="majorEastAsia"/>
          <w:color w:val="000000" w:themeColor="text1"/>
        </w:rPr>
      </w:pPr>
    </w:p>
    <w:p w14:paraId="422FACC0"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Temporal Clustering</w:t>
      </w:r>
    </w:p>
    <w:p w14:paraId="1CB950DB" w14:textId="139D967F"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phenomenon where negative events (like protocol exploits or market crashes) tend to occur in groups during stress periods rather than being randomly distributed over time.</w:t>
      </w:r>
    </w:p>
    <w:p w14:paraId="0C5FAAEB" w14:textId="77777777" w:rsidR="00C02ABC" w:rsidRPr="00C02ABC" w:rsidRDefault="00C02ABC" w:rsidP="00127CE2">
      <w:pPr>
        <w:jc w:val="both"/>
        <w:rPr>
          <w:rFonts w:eastAsiaTheme="majorEastAsia"/>
          <w:color w:val="000000" w:themeColor="text1"/>
        </w:rPr>
      </w:pPr>
    </w:p>
    <w:p w14:paraId="67081C3F"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Token           </w:t>
      </w:r>
    </w:p>
    <w:p w14:paraId="44EFFE04" w14:textId="54EB6ED7"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digital asset created and managed on a blockchain, which can represent various forms of value, utility, or rights.</w:t>
      </w:r>
    </w:p>
    <w:p w14:paraId="45F0A7FC" w14:textId="77777777" w:rsidR="00C02ABC" w:rsidRPr="00C02ABC" w:rsidRDefault="00C02ABC" w:rsidP="00127CE2">
      <w:pPr>
        <w:jc w:val="both"/>
        <w:rPr>
          <w:rFonts w:eastAsiaTheme="majorEastAsia"/>
          <w:color w:val="000000" w:themeColor="text1"/>
        </w:rPr>
      </w:pPr>
    </w:p>
    <w:p w14:paraId="2FE73BBC"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Token Emissions </w:t>
      </w:r>
    </w:p>
    <w:p w14:paraId="0798133B" w14:textId="33DFE880"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release of new tokens into circulation, often used as rewards in yield farming or liquidity mining programs, potentially causing inflation and price dilution.</w:t>
      </w:r>
    </w:p>
    <w:p w14:paraId="70266BB0" w14:textId="77777777" w:rsidR="00C02ABC" w:rsidRPr="00C02ABC" w:rsidRDefault="00C02ABC" w:rsidP="00127CE2">
      <w:pPr>
        <w:jc w:val="both"/>
        <w:rPr>
          <w:rFonts w:eastAsiaTheme="majorEastAsia"/>
          <w:color w:val="000000" w:themeColor="text1"/>
        </w:rPr>
      </w:pPr>
    </w:p>
    <w:p w14:paraId="0CFE340E"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Total Value Locked (TVL)</w:t>
      </w:r>
    </w:p>
    <w:p w14:paraId="4D3B5C31" w14:textId="55FBB1C6"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total value of all crypto assets deposited in a DeFi protocol, commonly used as a metric for protocol size and adoption.</w:t>
      </w:r>
    </w:p>
    <w:p w14:paraId="794CA32E" w14:textId="77777777" w:rsidR="00C02ABC" w:rsidRPr="00C02ABC" w:rsidRDefault="00C02ABC" w:rsidP="00127CE2">
      <w:pPr>
        <w:jc w:val="both"/>
        <w:rPr>
          <w:rFonts w:eastAsiaTheme="majorEastAsia"/>
          <w:color w:val="000000" w:themeColor="text1"/>
        </w:rPr>
      </w:pPr>
    </w:p>
    <w:p w14:paraId="2B6B7F34" w14:textId="77777777" w:rsidR="00C37DFF" w:rsidRPr="00C107DF" w:rsidRDefault="00C02ABC" w:rsidP="00127CE2">
      <w:pPr>
        <w:jc w:val="both"/>
        <w:rPr>
          <w:rFonts w:eastAsiaTheme="majorEastAsia"/>
          <w:b/>
          <w:bCs/>
          <w:color w:val="000000" w:themeColor="text1"/>
        </w:rPr>
      </w:pPr>
      <w:r w:rsidRPr="00C107DF">
        <w:rPr>
          <w:rFonts w:eastAsiaTheme="majorEastAsia"/>
          <w:b/>
          <w:bCs/>
          <w:color w:val="000000" w:themeColor="text1"/>
        </w:rPr>
        <w:t xml:space="preserve">Trading Pair    </w:t>
      </w:r>
    </w:p>
    <w:p w14:paraId="5515028C" w14:textId="16ED5F3E"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Two assets that can be exchanged for one another on an </w:t>
      </w:r>
      <w:proofErr w:type="gramStart"/>
      <w:r w:rsidRPr="00C02ABC">
        <w:rPr>
          <w:rFonts w:eastAsiaTheme="majorEastAsia"/>
          <w:color w:val="000000" w:themeColor="text1"/>
        </w:rPr>
        <w:t>exchange  (</w:t>
      </w:r>
      <w:proofErr w:type="gramEnd"/>
      <w:r w:rsidRPr="00C02ABC">
        <w:rPr>
          <w:rFonts w:eastAsiaTheme="majorEastAsia"/>
          <w:color w:val="000000" w:themeColor="text1"/>
        </w:rPr>
        <w:t>e.g., ETH/USDC, BTC/ETH).</w:t>
      </w:r>
    </w:p>
    <w:p w14:paraId="220F9ECF" w14:textId="77777777" w:rsidR="00C02ABC" w:rsidRPr="00C02ABC" w:rsidRDefault="00C02ABC" w:rsidP="00127CE2">
      <w:pPr>
        <w:jc w:val="both"/>
        <w:rPr>
          <w:rFonts w:eastAsiaTheme="majorEastAsia"/>
          <w:color w:val="000000" w:themeColor="text1"/>
        </w:rPr>
      </w:pPr>
    </w:p>
    <w:p w14:paraId="4C4C3EE5" w14:textId="77777777" w:rsidR="00C02ABC" w:rsidRPr="00C107DF" w:rsidRDefault="00C02ABC" w:rsidP="00127CE2">
      <w:pPr>
        <w:jc w:val="both"/>
        <w:rPr>
          <w:rFonts w:eastAsiaTheme="majorEastAsia"/>
          <w:b/>
          <w:bCs/>
          <w:color w:val="000000" w:themeColor="text1"/>
        </w:rPr>
      </w:pPr>
      <w:r w:rsidRPr="00C107DF">
        <w:rPr>
          <w:rFonts w:eastAsiaTheme="majorEastAsia"/>
          <w:b/>
          <w:bCs/>
          <w:color w:val="000000" w:themeColor="text1"/>
        </w:rPr>
        <w:t>Transaction Confirmation</w:t>
      </w:r>
    </w:p>
    <w:p w14:paraId="6E9738B0" w14:textId="051E455E"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process by which a transaction is validated and added to the blockchain, becoming irreversible after sufficient confirmations.</w:t>
      </w:r>
    </w:p>
    <w:p w14:paraId="3A66B42B" w14:textId="77777777" w:rsidR="00C02ABC" w:rsidRPr="00C02ABC" w:rsidRDefault="00C02ABC" w:rsidP="00127CE2">
      <w:pPr>
        <w:jc w:val="both"/>
        <w:rPr>
          <w:rFonts w:eastAsiaTheme="majorEastAsia"/>
          <w:color w:val="000000" w:themeColor="text1"/>
        </w:rPr>
      </w:pPr>
    </w:p>
    <w:p w14:paraId="111AB59C" w14:textId="77777777" w:rsidR="00C02ABC" w:rsidRPr="00F74CF3" w:rsidRDefault="00C02ABC" w:rsidP="00127CE2">
      <w:pPr>
        <w:jc w:val="both"/>
        <w:rPr>
          <w:rFonts w:eastAsiaTheme="majorEastAsia"/>
          <w:b/>
          <w:bCs/>
          <w:color w:val="000000" w:themeColor="text1"/>
        </w:rPr>
      </w:pPr>
      <w:r w:rsidRPr="00F74CF3">
        <w:rPr>
          <w:rFonts w:eastAsiaTheme="majorEastAsia"/>
          <w:b/>
          <w:bCs/>
          <w:color w:val="000000" w:themeColor="text1"/>
        </w:rPr>
        <w:t>Transaction Throughput</w:t>
      </w:r>
    </w:p>
    <w:p w14:paraId="00EA5990" w14:textId="21A840D6"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number of transactions a blockchain network can process per second, a key metric for scalability and efficiency.</w:t>
      </w:r>
    </w:p>
    <w:p w14:paraId="397A8988" w14:textId="77777777" w:rsidR="00C02ABC" w:rsidRPr="00C02ABC" w:rsidRDefault="00C02ABC" w:rsidP="00127CE2">
      <w:pPr>
        <w:jc w:val="both"/>
        <w:rPr>
          <w:rFonts w:eastAsiaTheme="majorEastAsia"/>
          <w:color w:val="000000" w:themeColor="text1"/>
        </w:rPr>
      </w:pPr>
    </w:p>
    <w:p w14:paraId="0BD7A9E7" w14:textId="77777777" w:rsidR="00C37DFF" w:rsidRPr="00F74CF3" w:rsidRDefault="00C02ABC" w:rsidP="00127CE2">
      <w:pPr>
        <w:jc w:val="both"/>
        <w:rPr>
          <w:rFonts w:eastAsiaTheme="majorEastAsia"/>
          <w:b/>
          <w:bCs/>
          <w:color w:val="000000" w:themeColor="text1"/>
        </w:rPr>
      </w:pPr>
      <w:r w:rsidRPr="00F74CF3">
        <w:rPr>
          <w:rFonts w:eastAsiaTheme="majorEastAsia"/>
          <w:b/>
          <w:bCs/>
          <w:color w:val="000000" w:themeColor="text1"/>
        </w:rPr>
        <w:t xml:space="preserve">Validator       </w:t>
      </w:r>
    </w:p>
    <w:p w14:paraId="34E0870A" w14:textId="5B1D3DC6" w:rsidR="00C02ABC" w:rsidRPr="00C02ABC" w:rsidRDefault="00C02ABC" w:rsidP="00127CE2">
      <w:pPr>
        <w:ind w:left="720"/>
        <w:jc w:val="both"/>
        <w:rPr>
          <w:rFonts w:eastAsiaTheme="majorEastAsia"/>
          <w:color w:val="000000" w:themeColor="text1"/>
        </w:rPr>
      </w:pPr>
      <w:proofErr w:type="gramStart"/>
      <w:r w:rsidRPr="00C02ABC">
        <w:rPr>
          <w:rFonts w:eastAsiaTheme="majorEastAsia"/>
          <w:color w:val="000000" w:themeColor="text1"/>
        </w:rPr>
        <w:t>A participant</w:t>
      </w:r>
      <w:proofErr w:type="gramEnd"/>
      <w:r w:rsidRPr="00C02ABC">
        <w:rPr>
          <w:rFonts w:eastAsiaTheme="majorEastAsia"/>
          <w:color w:val="000000" w:themeColor="text1"/>
        </w:rPr>
        <w:t xml:space="preserve"> in a Proof of Stake blockchain network responsible for validating transactions and creating new blocks in exchange for rewards.</w:t>
      </w:r>
    </w:p>
    <w:p w14:paraId="24A963A6" w14:textId="77777777" w:rsidR="00C02ABC" w:rsidRPr="00C02ABC" w:rsidRDefault="00C02ABC" w:rsidP="00127CE2">
      <w:pPr>
        <w:jc w:val="both"/>
        <w:rPr>
          <w:rFonts w:eastAsiaTheme="majorEastAsia"/>
          <w:color w:val="000000" w:themeColor="text1"/>
        </w:rPr>
      </w:pPr>
    </w:p>
    <w:p w14:paraId="53395FCE" w14:textId="77777777" w:rsidR="00C37DFF" w:rsidRPr="00F74CF3" w:rsidRDefault="00C02ABC" w:rsidP="00127CE2">
      <w:pPr>
        <w:jc w:val="both"/>
        <w:rPr>
          <w:rFonts w:eastAsiaTheme="majorEastAsia"/>
          <w:b/>
          <w:bCs/>
          <w:color w:val="000000" w:themeColor="text1"/>
        </w:rPr>
      </w:pPr>
      <w:r w:rsidRPr="00F74CF3">
        <w:rPr>
          <w:rFonts w:eastAsiaTheme="majorEastAsia"/>
          <w:b/>
          <w:bCs/>
          <w:color w:val="000000" w:themeColor="text1"/>
        </w:rPr>
        <w:t xml:space="preserve">Volatility      </w:t>
      </w:r>
    </w:p>
    <w:p w14:paraId="44423815" w14:textId="56CB6047"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degree of variation in an asset's price over time. Higher volatility indicates greater price fluctuation and potentially higher risk.</w:t>
      </w:r>
    </w:p>
    <w:p w14:paraId="3B6E47BC" w14:textId="77777777" w:rsidR="00C02ABC" w:rsidRPr="00C02ABC" w:rsidRDefault="00C02ABC" w:rsidP="00127CE2">
      <w:pPr>
        <w:jc w:val="both"/>
        <w:rPr>
          <w:rFonts w:eastAsiaTheme="majorEastAsia"/>
          <w:color w:val="000000" w:themeColor="text1"/>
        </w:rPr>
      </w:pPr>
    </w:p>
    <w:p w14:paraId="14713A04" w14:textId="77777777" w:rsidR="00C37DFF" w:rsidRPr="00F74CF3" w:rsidRDefault="00C02ABC" w:rsidP="00127CE2">
      <w:pPr>
        <w:jc w:val="both"/>
        <w:rPr>
          <w:rFonts w:eastAsiaTheme="majorEastAsia"/>
          <w:b/>
          <w:bCs/>
          <w:color w:val="000000" w:themeColor="text1"/>
        </w:rPr>
      </w:pPr>
      <w:r w:rsidRPr="00F74CF3">
        <w:rPr>
          <w:rFonts w:eastAsiaTheme="majorEastAsia"/>
          <w:b/>
          <w:bCs/>
          <w:color w:val="000000" w:themeColor="text1"/>
        </w:rPr>
        <w:t xml:space="preserve">Volume Discount </w:t>
      </w:r>
    </w:p>
    <w:p w14:paraId="1ACFF50E" w14:textId="6D669BBB"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A fee reduction offered to users who trade above certain volume thresholds, typically structured in </w:t>
      </w:r>
      <w:proofErr w:type="gramStart"/>
      <w:r w:rsidRPr="00C02ABC">
        <w:rPr>
          <w:rFonts w:eastAsiaTheme="majorEastAsia"/>
          <w:color w:val="000000" w:themeColor="text1"/>
        </w:rPr>
        <w:t>tiers</w:t>
      </w:r>
      <w:proofErr w:type="gramEnd"/>
      <w:r w:rsidRPr="00C02ABC">
        <w:rPr>
          <w:rFonts w:eastAsiaTheme="majorEastAsia"/>
          <w:color w:val="000000" w:themeColor="text1"/>
        </w:rPr>
        <w:t xml:space="preserve"> on centralized exchanges.</w:t>
      </w:r>
    </w:p>
    <w:p w14:paraId="36F8E65D" w14:textId="77777777" w:rsidR="00C02ABC" w:rsidRPr="00C02ABC" w:rsidRDefault="00C02ABC" w:rsidP="00127CE2">
      <w:pPr>
        <w:jc w:val="both"/>
        <w:rPr>
          <w:rFonts w:eastAsiaTheme="majorEastAsia"/>
          <w:color w:val="000000" w:themeColor="text1"/>
        </w:rPr>
      </w:pPr>
    </w:p>
    <w:p w14:paraId="351B24FC" w14:textId="77777777" w:rsidR="00C37DFF" w:rsidRPr="00F74CF3" w:rsidRDefault="00C02ABC" w:rsidP="00127CE2">
      <w:pPr>
        <w:jc w:val="both"/>
        <w:rPr>
          <w:rFonts w:eastAsiaTheme="majorEastAsia"/>
          <w:b/>
          <w:bCs/>
          <w:color w:val="000000" w:themeColor="text1"/>
        </w:rPr>
      </w:pPr>
      <w:r w:rsidRPr="00F74CF3">
        <w:rPr>
          <w:rFonts w:eastAsiaTheme="majorEastAsia"/>
          <w:b/>
          <w:bCs/>
          <w:color w:val="000000" w:themeColor="text1"/>
        </w:rPr>
        <w:t xml:space="preserve">Wallet          </w:t>
      </w:r>
    </w:p>
    <w:p w14:paraId="726C2CBE" w14:textId="17947362"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software program or hardware device that stores private keys and enables users to send, receive, and manage cryptocurrency.</w:t>
      </w:r>
    </w:p>
    <w:p w14:paraId="3AFD7287" w14:textId="77777777" w:rsidR="00C02ABC" w:rsidRPr="00C02ABC" w:rsidRDefault="00C02ABC" w:rsidP="00127CE2">
      <w:pPr>
        <w:jc w:val="both"/>
        <w:rPr>
          <w:rFonts w:eastAsiaTheme="majorEastAsia"/>
          <w:color w:val="000000" w:themeColor="text1"/>
        </w:rPr>
      </w:pPr>
    </w:p>
    <w:p w14:paraId="6C29B869" w14:textId="77777777" w:rsidR="00C37DFF" w:rsidRPr="00F74CF3" w:rsidRDefault="00C02ABC" w:rsidP="00127CE2">
      <w:pPr>
        <w:jc w:val="both"/>
        <w:rPr>
          <w:rFonts w:eastAsiaTheme="majorEastAsia"/>
          <w:b/>
          <w:bCs/>
          <w:color w:val="000000" w:themeColor="text1"/>
        </w:rPr>
      </w:pPr>
      <w:r w:rsidRPr="00F74CF3">
        <w:rPr>
          <w:rFonts w:eastAsiaTheme="majorEastAsia"/>
          <w:b/>
          <w:bCs/>
          <w:color w:val="000000" w:themeColor="text1"/>
        </w:rPr>
        <w:t xml:space="preserve">Wash Trading    </w:t>
      </w:r>
    </w:p>
    <w:p w14:paraId="4F0EF853" w14:textId="5DBE64B1"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form of market manipulation where the same party buys and sells an asset to create misleading activity and volume, artificially inflating apparent liquidity or interest.</w:t>
      </w:r>
    </w:p>
    <w:p w14:paraId="0C595FF9" w14:textId="77777777" w:rsidR="00C02ABC" w:rsidRPr="00C02ABC" w:rsidRDefault="00C02ABC" w:rsidP="00127CE2">
      <w:pPr>
        <w:jc w:val="both"/>
        <w:rPr>
          <w:rFonts w:eastAsiaTheme="majorEastAsia"/>
          <w:color w:val="000000" w:themeColor="text1"/>
        </w:rPr>
      </w:pPr>
    </w:p>
    <w:p w14:paraId="1D944F99" w14:textId="77777777" w:rsidR="00C37DFF" w:rsidRPr="00F74CF3" w:rsidRDefault="00C02ABC" w:rsidP="00127CE2">
      <w:pPr>
        <w:jc w:val="both"/>
        <w:rPr>
          <w:rFonts w:eastAsiaTheme="majorEastAsia"/>
          <w:b/>
          <w:bCs/>
          <w:color w:val="000000" w:themeColor="text1"/>
        </w:rPr>
      </w:pPr>
      <w:r w:rsidRPr="00F74CF3">
        <w:rPr>
          <w:rFonts w:eastAsiaTheme="majorEastAsia"/>
          <w:b/>
          <w:bCs/>
          <w:color w:val="000000" w:themeColor="text1"/>
        </w:rPr>
        <w:t xml:space="preserve">Wrapped Token   </w:t>
      </w:r>
    </w:p>
    <w:p w14:paraId="3BC82016" w14:textId="6526D3B2"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tokenized version of a cryptocurrency from another blockchain, enabling it to be used on a different network (e.g., WBTC allows Bitcoin to be used on Ethereum).</w:t>
      </w:r>
    </w:p>
    <w:p w14:paraId="0783CA2E" w14:textId="77777777" w:rsidR="00C02ABC" w:rsidRPr="00C02ABC" w:rsidRDefault="00C02ABC" w:rsidP="00127CE2">
      <w:pPr>
        <w:jc w:val="both"/>
        <w:rPr>
          <w:rFonts w:eastAsiaTheme="majorEastAsia"/>
          <w:color w:val="000000" w:themeColor="text1"/>
        </w:rPr>
      </w:pPr>
    </w:p>
    <w:p w14:paraId="6A6FFC16" w14:textId="77777777" w:rsidR="00C37DFF" w:rsidRPr="00F74CF3" w:rsidRDefault="00C02ABC" w:rsidP="00127CE2">
      <w:pPr>
        <w:jc w:val="both"/>
        <w:rPr>
          <w:rFonts w:eastAsiaTheme="majorEastAsia"/>
          <w:b/>
          <w:bCs/>
          <w:color w:val="000000" w:themeColor="text1"/>
        </w:rPr>
      </w:pPr>
      <w:r w:rsidRPr="00F74CF3">
        <w:rPr>
          <w:rFonts w:eastAsiaTheme="majorEastAsia"/>
          <w:b/>
          <w:bCs/>
          <w:color w:val="000000" w:themeColor="text1"/>
        </w:rPr>
        <w:t xml:space="preserve">Yield           </w:t>
      </w:r>
    </w:p>
    <w:p w14:paraId="44381FC5" w14:textId="23B824FE"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return on investment generated by a position, typically expressed as an annual percentage.</w:t>
      </w:r>
    </w:p>
    <w:p w14:paraId="3827AC86" w14:textId="77777777" w:rsidR="00C02ABC" w:rsidRPr="00C02ABC" w:rsidRDefault="00C02ABC" w:rsidP="00127CE2">
      <w:pPr>
        <w:jc w:val="both"/>
        <w:rPr>
          <w:rFonts w:eastAsiaTheme="majorEastAsia"/>
          <w:color w:val="000000" w:themeColor="text1"/>
        </w:rPr>
      </w:pPr>
    </w:p>
    <w:p w14:paraId="2185C3E0" w14:textId="77777777" w:rsidR="00C37DFF" w:rsidRPr="00F74CF3" w:rsidRDefault="00C02ABC" w:rsidP="00127CE2">
      <w:pPr>
        <w:jc w:val="both"/>
        <w:rPr>
          <w:rFonts w:eastAsiaTheme="majorEastAsia"/>
          <w:b/>
          <w:bCs/>
          <w:color w:val="000000" w:themeColor="text1"/>
        </w:rPr>
      </w:pPr>
      <w:r w:rsidRPr="00F74CF3">
        <w:rPr>
          <w:rFonts w:eastAsiaTheme="majorEastAsia"/>
          <w:b/>
          <w:bCs/>
          <w:color w:val="000000" w:themeColor="text1"/>
        </w:rPr>
        <w:t xml:space="preserve">Yield Farming   </w:t>
      </w:r>
    </w:p>
    <w:p w14:paraId="0A93AFC6" w14:textId="7477585C"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practice of providing liquidity or staking tokens across multiple DeFi protocols to maximize returns, often through protocol token rewards.</w:t>
      </w:r>
    </w:p>
    <w:p w14:paraId="5ECAF301" w14:textId="77777777" w:rsidR="00C02ABC" w:rsidRPr="00C02ABC" w:rsidRDefault="00C02ABC" w:rsidP="00127CE2">
      <w:pPr>
        <w:jc w:val="both"/>
        <w:rPr>
          <w:rFonts w:eastAsiaTheme="majorEastAsia"/>
          <w:color w:val="000000" w:themeColor="text1"/>
        </w:rPr>
      </w:pPr>
    </w:p>
    <w:p w14:paraId="2AD9506C" w14:textId="77777777" w:rsidR="00C02ABC" w:rsidRPr="00F74CF3" w:rsidRDefault="00C02ABC" w:rsidP="00127CE2">
      <w:pPr>
        <w:jc w:val="both"/>
        <w:rPr>
          <w:rFonts w:eastAsiaTheme="majorEastAsia"/>
          <w:b/>
          <w:bCs/>
          <w:color w:val="000000" w:themeColor="text1"/>
        </w:rPr>
      </w:pPr>
      <w:r w:rsidRPr="00F74CF3">
        <w:rPr>
          <w:rFonts w:eastAsiaTheme="majorEastAsia"/>
          <w:b/>
          <w:bCs/>
          <w:color w:val="000000" w:themeColor="text1"/>
        </w:rPr>
        <w:t>Yield Optimization</w:t>
      </w:r>
    </w:p>
    <w:p w14:paraId="039FB942" w14:textId="3FB09600"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Strategies to maximize returns through active management, including protocol selection, position adjustment, and reward compounding.</w:t>
      </w:r>
    </w:p>
    <w:p w14:paraId="75E18F52" w14:textId="3470E2BD" w:rsidR="00C02ABC" w:rsidRPr="00C02ABC" w:rsidRDefault="00C02ABC" w:rsidP="00127CE2">
      <w:pPr>
        <w:pStyle w:val="Heading3"/>
        <w:jc w:val="both"/>
        <w:rPr>
          <w:rFonts w:eastAsiaTheme="majorEastAsia"/>
        </w:rPr>
      </w:pPr>
      <w:bookmarkStart w:id="296" w:name="_Toc214722102"/>
      <w:r w:rsidRPr="00C02ABC">
        <w:rPr>
          <w:rFonts w:eastAsiaTheme="majorEastAsia"/>
        </w:rPr>
        <w:lastRenderedPageBreak/>
        <w:t>SECTION C: PROTOCOLS AND PLATFORMS</w:t>
      </w:r>
      <w:bookmarkEnd w:id="296"/>
    </w:p>
    <w:p w14:paraId="3AB6D577" w14:textId="77777777" w:rsidR="002F54C2" w:rsidRPr="00C02ABC" w:rsidRDefault="002F54C2" w:rsidP="00127CE2">
      <w:pPr>
        <w:jc w:val="both"/>
        <w:rPr>
          <w:rFonts w:eastAsiaTheme="majorEastAsia"/>
          <w:color w:val="000000" w:themeColor="text1"/>
        </w:rPr>
      </w:pPr>
    </w:p>
    <w:p w14:paraId="767AD555" w14:textId="77777777" w:rsidR="00C02ABC" w:rsidRPr="00C02ABC" w:rsidRDefault="00C02ABC" w:rsidP="00127CE2">
      <w:pPr>
        <w:jc w:val="both"/>
        <w:rPr>
          <w:rFonts w:eastAsiaTheme="majorEastAsia"/>
          <w:color w:val="000000" w:themeColor="text1"/>
        </w:rPr>
      </w:pPr>
    </w:p>
    <w:p w14:paraId="64FECEFA" w14:textId="77777777" w:rsidR="002F54C2" w:rsidRPr="00127CE2" w:rsidRDefault="00C02ABC" w:rsidP="00127CE2">
      <w:pPr>
        <w:jc w:val="both"/>
        <w:rPr>
          <w:rFonts w:eastAsiaTheme="majorEastAsia"/>
          <w:b/>
          <w:bCs/>
          <w:color w:val="000000" w:themeColor="text1"/>
        </w:rPr>
      </w:pPr>
      <w:proofErr w:type="spellStart"/>
      <w:r w:rsidRPr="00127CE2">
        <w:rPr>
          <w:rFonts w:eastAsiaTheme="majorEastAsia"/>
          <w:b/>
          <w:bCs/>
          <w:color w:val="000000" w:themeColor="text1"/>
        </w:rPr>
        <w:t>Aave</w:t>
      </w:r>
      <w:proofErr w:type="spellEnd"/>
      <w:r w:rsidRPr="00127CE2">
        <w:rPr>
          <w:rFonts w:eastAsiaTheme="majorEastAsia"/>
          <w:b/>
          <w:bCs/>
          <w:color w:val="000000" w:themeColor="text1"/>
        </w:rPr>
        <w:t xml:space="preserve">            </w:t>
      </w:r>
    </w:p>
    <w:p w14:paraId="18A0DC19" w14:textId="760196CE"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decentralized lending protocol that allows users to lend and borrow cryptocurrency without intermediaries, earning interest on deposits or paying interest on loans.</w:t>
      </w:r>
    </w:p>
    <w:p w14:paraId="6E2857F6" w14:textId="77777777" w:rsidR="00C02ABC" w:rsidRPr="00C02ABC" w:rsidRDefault="00C02ABC" w:rsidP="00127CE2">
      <w:pPr>
        <w:jc w:val="both"/>
        <w:rPr>
          <w:rFonts w:eastAsiaTheme="majorEastAsia"/>
          <w:color w:val="000000" w:themeColor="text1"/>
        </w:rPr>
      </w:pPr>
    </w:p>
    <w:p w14:paraId="112AEACB" w14:textId="77777777" w:rsidR="002F54C2" w:rsidRPr="00127CE2" w:rsidRDefault="00C02ABC" w:rsidP="00127CE2">
      <w:pPr>
        <w:jc w:val="both"/>
        <w:rPr>
          <w:rFonts w:eastAsiaTheme="majorEastAsia"/>
          <w:b/>
          <w:bCs/>
          <w:color w:val="000000" w:themeColor="text1"/>
        </w:rPr>
      </w:pPr>
      <w:proofErr w:type="spellStart"/>
      <w:r w:rsidRPr="00127CE2">
        <w:rPr>
          <w:rFonts w:eastAsiaTheme="majorEastAsia"/>
          <w:b/>
          <w:bCs/>
          <w:color w:val="000000" w:themeColor="text1"/>
        </w:rPr>
        <w:t>Algorand</w:t>
      </w:r>
      <w:proofErr w:type="spellEnd"/>
      <w:r w:rsidRPr="00127CE2">
        <w:rPr>
          <w:rFonts w:eastAsiaTheme="majorEastAsia"/>
          <w:b/>
          <w:bCs/>
          <w:color w:val="000000" w:themeColor="text1"/>
        </w:rPr>
        <w:t xml:space="preserve">        </w:t>
      </w:r>
    </w:p>
    <w:p w14:paraId="10D2F7C7" w14:textId="5219FED2"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A Layer 1 blockchain using Pure Proof of Stake consensus, designed for speed </w:t>
      </w:r>
      <w:proofErr w:type="gramStart"/>
      <w:r w:rsidRPr="00C02ABC">
        <w:rPr>
          <w:rFonts w:eastAsiaTheme="majorEastAsia"/>
          <w:color w:val="000000" w:themeColor="text1"/>
        </w:rPr>
        <w:t>an</w:t>
      </w:r>
      <w:proofErr w:type="gramEnd"/>
      <w:r w:rsidR="00F74CF3">
        <w:rPr>
          <w:rFonts w:eastAsiaTheme="majorEastAsia"/>
          <w:color w:val="000000" w:themeColor="text1"/>
        </w:rPr>
        <w:t xml:space="preserve"> </w:t>
      </w:r>
      <w:r w:rsidRPr="00C02ABC">
        <w:rPr>
          <w:rFonts w:eastAsiaTheme="majorEastAsia"/>
          <w:color w:val="000000" w:themeColor="text1"/>
        </w:rPr>
        <w:t>scalability with low transaction costs.</w:t>
      </w:r>
    </w:p>
    <w:p w14:paraId="08783A8E" w14:textId="77777777" w:rsidR="00C02ABC" w:rsidRPr="00C02ABC" w:rsidRDefault="00C02ABC" w:rsidP="00127CE2">
      <w:pPr>
        <w:jc w:val="both"/>
        <w:rPr>
          <w:rFonts w:eastAsiaTheme="majorEastAsia"/>
          <w:color w:val="000000" w:themeColor="text1"/>
        </w:rPr>
      </w:pPr>
    </w:p>
    <w:p w14:paraId="207411E1" w14:textId="77777777" w:rsidR="002F54C2" w:rsidRPr="00127CE2" w:rsidRDefault="00C02ABC" w:rsidP="00127CE2">
      <w:pPr>
        <w:jc w:val="both"/>
        <w:rPr>
          <w:rFonts w:eastAsiaTheme="majorEastAsia"/>
          <w:b/>
          <w:bCs/>
          <w:color w:val="000000" w:themeColor="text1"/>
        </w:rPr>
      </w:pPr>
      <w:proofErr w:type="spellStart"/>
      <w:r w:rsidRPr="00127CE2">
        <w:rPr>
          <w:rFonts w:eastAsiaTheme="majorEastAsia"/>
          <w:b/>
          <w:bCs/>
          <w:color w:val="000000" w:themeColor="text1"/>
        </w:rPr>
        <w:t>Arbitrum</w:t>
      </w:r>
      <w:proofErr w:type="spellEnd"/>
      <w:r w:rsidRPr="00127CE2">
        <w:rPr>
          <w:rFonts w:eastAsiaTheme="majorEastAsia"/>
          <w:b/>
          <w:bCs/>
          <w:color w:val="000000" w:themeColor="text1"/>
        </w:rPr>
        <w:t xml:space="preserve">        </w:t>
      </w:r>
    </w:p>
    <w:p w14:paraId="2F3783A0" w14:textId="0B7C269A"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Layer 2 scaling solution for Ethereum using optimistic rollup technology to reduce gas costs while maintaining Ethereum's security guarantees.</w:t>
      </w:r>
    </w:p>
    <w:p w14:paraId="7FC1669D" w14:textId="77777777" w:rsidR="00C02ABC" w:rsidRPr="00C02ABC" w:rsidRDefault="00C02ABC" w:rsidP="00127CE2">
      <w:pPr>
        <w:jc w:val="both"/>
        <w:rPr>
          <w:rFonts w:eastAsiaTheme="majorEastAsia"/>
          <w:color w:val="000000" w:themeColor="text1"/>
        </w:rPr>
      </w:pPr>
    </w:p>
    <w:p w14:paraId="3DDD9579" w14:textId="77777777" w:rsidR="002F54C2" w:rsidRPr="00127CE2" w:rsidRDefault="00C02ABC" w:rsidP="00127CE2">
      <w:pPr>
        <w:jc w:val="both"/>
        <w:rPr>
          <w:rFonts w:eastAsiaTheme="majorEastAsia"/>
          <w:b/>
          <w:bCs/>
          <w:color w:val="000000" w:themeColor="text1"/>
        </w:rPr>
      </w:pPr>
      <w:r w:rsidRPr="00127CE2">
        <w:rPr>
          <w:rFonts w:eastAsiaTheme="majorEastAsia"/>
          <w:b/>
          <w:bCs/>
          <w:color w:val="000000" w:themeColor="text1"/>
        </w:rPr>
        <w:t xml:space="preserve">Avalanche       </w:t>
      </w:r>
    </w:p>
    <w:p w14:paraId="398A9EE7" w14:textId="1FDEB54A"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A Layer 1 blockchain platform emphasizing high throughput and low latency, </w:t>
      </w:r>
    </w:p>
    <w:p w14:paraId="15FEE627" w14:textId="77777777" w:rsidR="00C02ABC" w:rsidRPr="00C02ABC" w:rsidRDefault="00C02ABC" w:rsidP="00127CE2">
      <w:pPr>
        <w:jc w:val="both"/>
        <w:rPr>
          <w:rFonts w:eastAsiaTheme="majorEastAsia"/>
          <w:color w:val="000000" w:themeColor="text1"/>
        </w:rPr>
      </w:pPr>
      <w:r w:rsidRPr="00C02ABC">
        <w:rPr>
          <w:rFonts w:eastAsiaTheme="majorEastAsia"/>
          <w:color w:val="000000" w:themeColor="text1"/>
        </w:rPr>
        <w:t xml:space="preserve">                using a novel consensus mechanism.</w:t>
      </w:r>
    </w:p>
    <w:p w14:paraId="6ED01EA9" w14:textId="77777777" w:rsidR="00C02ABC" w:rsidRPr="00C02ABC" w:rsidRDefault="00C02ABC" w:rsidP="00127CE2">
      <w:pPr>
        <w:jc w:val="both"/>
        <w:rPr>
          <w:rFonts w:eastAsiaTheme="majorEastAsia"/>
          <w:color w:val="000000" w:themeColor="text1"/>
        </w:rPr>
      </w:pPr>
    </w:p>
    <w:p w14:paraId="413537F3"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Beanstalk Protocol</w:t>
      </w:r>
    </w:p>
    <w:p w14:paraId="50418147" w14:textId="1B60ECF8"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decentralized credit-based stablecoin protocol that experienced a significant governance attack during the study period.</w:t>
      </w:r>
    </w:p>
    <w:p w14:paraId="7C096904" w14:textId="77777777" w:rsidR="00C02ABC" w:rsidRPr="00C02ABC" w:rsidRDefault="00C02ABC" w:rsidP="00127CE2">
      <w:pPr>
        <w:jc w:val="both"/>
        <w:rPr>
          <w:rFonts w:eastAsiaTheme="majorEastAsia"/>
          <w:color w:val="000000" w:themeColor="text1"/>
        </w:rPr>
      </w:pPr>
    </w:p>
    <w:p w14:paraId="0A731FC6" w14:textId="77777777" w:rsidR="002F54C2" w:rsidRPr="00127CE2" w:rsidRDefault="00C02ABC" w:rsidP="00127CE2">
      <w:pPr>
        <w:jc w:val="both"/>
        <w:rPr>
          <w:rFonts w:eastAsiaTheme="majorEastAsia"/>
          <w:b/>
          <w:bCs/>
          <w:color w:val="000000" w:themeColor="text1"/>
        </w:rPr>
      </w:pPr>
      <w:proofErr w:type="spellStart"/>
      <w:r w:rsidRPr="00127CE2">
        <w:rPr>
          <w:rFonts w:eastAsiaTheme="majorEastAsia"/>
          <w:b/>
          <w:bCs/>
          <w:color w:val="000000" w:themeColor="text1"/>
        </w:rPr>
        <w:t>Biconomy</w:t>
      </w:r>
      <w:proofErr w:type="spellEnd"/>
      <w:r w:rsidRPr="00127CE2">
        <w:rPr>
          <w:rFonts w:eastAsiaTheme="majorEastAsia"/>
          <w:b/>
          <w:bCs/>
          <w:color w:val="000000" w:themeColor="text1"/>
        </w:rPr>
        <w:t xml:space="preserve">        </w:t>
      </w:r>
    </w:p>
    <w:p w14:paraId="1EC3BB14" w14:textId="6251A0C5"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platform providing meta-transaction and gasless transaction solutions to improve user experience in DeFi applications.</w:t>
      </w:r>
    </w:p>
    <w:p w14:paraId="55ECB7B2" w14:textId="77777777" w:rsidR="00C02ABC" w:rsidRPr="00C02ABC" w:rsidRDefault="00C02ABC" w:rsidP="00127CE2">
      <w:pPr>
        <w:jc w:val="both"/>
        <w:rPr>
          <w:rFonts w:eastAsiaTheme="majorEastAsia"/>
          <w:color w:val="000000" w:themeColor="text1"/>
        </w:rPr>
      </w:pPr>
    </w:p>
    <w:p w14:paraId="1842D18C" w14:textId="77777777" w:rsidR="002F54C2" w:rsidRPr="00127CE2" w:rsidRDefault="00C02ABC" w:rsidP="00127CE2">
      <w:pPr>
        <w:jc w:val="both"/>
        <w:rPr>
          <w:rFonts w:eastAsiaTheme="majorEastAsia"/>
          <w:b/>
          <w:bCs/>
          <w:color w:val="000000" w:themeColor="text1"/>
        </w:rPr>
      </w:pPr>
      <w:r w:rsidRPr="00127CE2">
        <w:rPr>
          <w:rFonts w:eastAsiaTheme="majorEastAsia"/>
          <w:b/>
          <w:bCs/>
          <w:color w:val="000000" w:themeColor="text1"/>
        </w:rPr>
        <w:t xml:space="preserve">Binance         </w:t>
      </w:r>
    </w:p>
    <w:p w14:paraId="19620305" w14:textId="361DA7E3"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major centralized cryptocurrency exchange offering spot trading, derivatives, staking, and various other services.</w:t>
      </w:r>
    </w:p>
    <w:p w14:paraId="601A9FB8" w14:textId="77777777" w:rsidR="00C02ABC" w:rsidRPr="00C02ABC" w:rsidRDefault="00C02ABC" w:rsidP="00127CE2">
      <w:pPr>
        <w:jc w:val="both"/>
        <w:rPr>
          <w:rFonts w:eastAsiaTheme="majorEastAsia"/>
          <w:color w:val="000000" w:themeColor="text1"/>
        </w:rPr>
      </w:pPr>
    </w:p>
    <w:p w14:paraId="786E4BED"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Binance Smart Chain (BSC)</w:t>
      </w:r>
    </w:p>
    <w:p w14:paraId="21CF2122" w14:textId="2602FAD0"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blockchain network created by Binance to enable smart contract functionality with lower fees than Ethereum (now called BNB Chain).</w:t>
      </w:r>
    </w:p>
    <w:p w14:paraId="2236DE55" w14:textId="77777777" w:rsidR="00C02ABC" w:rsidRPr="00C02ABC" w:rsidRDefault="00C02ABC" w:rsidP="00127CE2">
      <w:pPr>
        <w:jc w:val="both"/>
        <w:rPr>
          <w:rFonts w:eastAsiaTheme="majorEastAsia"/>
          <w:color w:val="000000" w:themeColor="text1"/>
        </w:rPr>
      </w:pPr>
    </w:p>
    <w:p w14:paraId="4A651071" w14:textId="77777777" w:rsidR="002F54C2" w:rsidRPr="00127CE2" w:rsidRDefault="00C02ABC" w:rsidP="00127CE2">
      <w:pPr>
        <w:jc w:val="both"/>
        <w:rPr>
          <w:rFonts w:eastAsiaTheme="majorEastAsia"/>
          <w:b/>
          <w:bCs/>
          <w:color w:val="000000" w:themeColor="text1"/>
        </w:rPr>
      </w:pPr>
      <w:proofErr w:type="spellStart"/>
      <w:r w:rsidRPr="00127CE2">
        <w:rPr>
          <w:rFonts w:eastAsiaTheme="majorEastAsia"/>
          <w:b/>
          <w:bCs/>
          <w:color w:val="000000" w:themeColor="text1"/>
        </w:rPr>
        <w:t>Blocknative</w:t>
      </w:r>
      <w:proofErr w:type="spellEnd"/>
      <w:r w:rsidRPr="00127CE2">
        <w:rPr>
          <w:rFonts w:eastAsiaTheme="majorEastAsia"/>
          <w:b/>
          <w:bCs/>
          <w:color w:val="000000" w:themeColor="text1"/>
        </w:rPr>
        <w:t xml:space="preserve">     </w:t>
      </w:r>
    </w:p>
    <w:p w14:paraId="403975F3" w14:textId="6530230E"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w:t>
      </w:r>
      <w:r w:rsidR="00127CE2">
        <w:rPr>
          <w:rFonts w:eastAsiaTheme="majorEastAsia"/>
          <w:color w:val="000000" w:themeColor="text1"/>
        </w:rPr>
        <w:t xml:space="preserve"> </w:t>
      </w:r>
      <w:r w:rsidRPr="00C02ABC">
        <w:rPr>
          <w:rFonts w:eastAsiaTheme="majorEastAsia"/>
          <w:color w:val="000000" w:themeColor="text1"/>
        </w:rPr>
        <w:t>platform providing real-time transaction data and gas price optimization tools for Ethereum and other networks.</w:t>
      </w:r>
    </w:p>
    <w:p w14:paraId="776EB1EF" w14:textId="77777777" w:rsidR="00C02ABC" w:rsidRPr="00C02ABC" w:rsidRDefault="00C02ABC" w:rsidP="00127CE2">
      <w:pPr>
        <w:jc w:val="both"/>
        <w:rPr>
          <w:rFonts w:eastAsiaTheme="majorEastAsia"/>
          <w:color w:val="000000" w:themeColor="text1"/>
        </w:rPr>
      </w:pPr>
    </w:p>
    <w:p w14:paraId="6CAD02AD"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Build Finance DAO</w:t>
      </w:r>
    </w:p>
    <w:p w14:paraId="48C0515A" w14:textId="532B5426"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decentralized autonomous organization that experienced failure during the study period, analyzed as a protocol-level incident case.</w:t>
      </w:r>
    </w:p>
    <w:p w14:paraId="14FDCF9A" w14:textId="77777777" w:rsidR="00C02ABC" w:rsidRPr="00C02ABC" w:rsidRDefault="00C02ABC" w:rsidP="00127CE2">
      <w:pPr>
        <w:jc w:val="both"/>
        <w:rPr>
          <w:rFonts w:eastAsiaTheme="majorEastAsia"/>
          <w:color w:val="000000" w:themeColor="text1"/>
        </w:rPr>
      </w:pPr>
    </w:p>
    <w:p w14:paraId="31A6F823" w14:textId="77777777" w:rsidR="00063FAC" w:rsidRPr="00127CE2" w:rsidRDefault="00C02ABC" w:rsidP="00127CE2">
      <w:pPr>
        <w:jc w:val="both"/>
        <w:rPr>
          <w:rFonts w:eastAsiaTheme="majorEastAsia"/>
          <w:b/>
          <w:bCs/>
          <w:color w:val="000000" w:themeColor="text1"/>
        </w:rPr>
      </w:pPr>
      <w:r w:rsidRPr="00127CE2">
        <w:rPr>
          <w:rFonts w:eastAsiaTheme="majorEastAsia"/>
          <w:b/>
          <w:bCs/>
          <w:color w:val="000000" w:themeColor="text1"/>
        </w:rPr>
        <w:t xml:space="preserve">Cardano         </w:t>
      </w:r>
    </w:p>
    <w:p w14:paraId="14EED0D7" w14:textId="2F1AC93D"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Layer 1 blockchain using Proof of Stake consensus (Ouroboros protocol), emphasizing formal verification and academic research.</w:t>
      </w:r>
    </w:p>
    <w:p w14:paraId="28CE85EC" w14:textId="77777777" w:rsidR="00C02ABC" w:rsidRPr="00C02ABC" w:rsidRDefault="00C02ABC" w:rsidP="00127CE2">
      <w:pPr>
        <w:jc w:val="both"/>
        <w:rPr>
          <w:rFonts w:eastAsiaTheme="majorEastAsia"/>
          <w:color w:val="000000" w:themeColor="text1"/>
        </w:rPr>
      </w:pPr>
    </w:p>
    <w:p w14:paraId="583324FB" w14:textId="77777777" w:rsidR="002F54C2" w:rsidRPr="00127CE2" w:rsidRDefault="00C02ABC" w:rsidP="00127CE2">
      <w:pPr>
        <w:jc w:val="both"/>
        <w:rPr>
          <w:rFonts w:eastAsiaTheme="majorEastAsia"/>
          <w:b/>
          <w:bCs/>
          <w:color w:val="000000" w:themeColor="text1"/>
        </w:rPr>
      </w:pPr>
      <w:r w:rsidRPr="00127CE2">
        <w:rPr>
          <w:rFonts w:eastAsiaTheme="majorEastAsia"/>
          <w:b/>
          <w:bCs/>
          <w:color w:val="000000" w:themeColor="text1"/>
        </w:rPr>
        <w:t xml:space="preserve">Coinbase        </w:t>
      </w:r>
    </w:p>
    <w:p w14:paraId="6050AAC6" w14:textId="46747EE8"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lastRenderedPageBreak/>
        <w:t>A major centralized cryptocurrency exchange providing trading services, custody solutions, and institutional products.</w:t>
      </w:r>
    </w:p>
    <w:p w14:paraId="11B4497F" w14:textId="77777777" w:rsidR="00C02ABC" w:rsidRPr="00C02ABC" w:rsidRDefault="00C02ABC" w:rsidP="00127CE2">
      <w:pPr>
        <w:jc w:val="both"/>
        <w:rPr>
          <w:rFonts w:eastAsiaTheme="majorEastAsia"/>
          <w:color w:val="000000" w:themeColor="text1"/>
        </w:rPr>
      </w:pPr>
    </w:p>
    <w:p w14:paraId="4C743F43"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Compound Finance</w:t>
      </w:r>
    </w:p>
    <w:p w14:paraId="35FEBF1D" w14:textId="62D002EB"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decentralized lending protocol that allows users to earn interest on crypto deposits or borrow assets against collateral.</w:t>
      </w:r>
    </w:p>
    <w:p w14:paraId="08F68305" w14:textId="77777777" w:rsidR="00C02ABC" w:rsidRPr="00C02ABC" w:rsidRDefault="00C02ABC" w:rsidP="00127CE2">
      <w:pPr>
        <w:jc w:val="both"/>
        <w:rPr>
          <w:rFonts w:eastAsiaTheme="majorEastAsia"/>
          <w:color w:val="000000" w:themeColor="text1"/>
        </w:rPr>
      </w:pPr>
    </w:p>
    <w:p w14:paraId="5857F062" w14:textId="77777777" w:rsidR="002F54C2" w:rsidRPr="00127CE2" w:rsidRDefault="00C02ABC" w:rsidP="00127CE2">
      <w:pPr>
        <w:jc w:val="both"/>
        <w:rPr>
          <w:rFonts w:eastAsiaTheme="majorEastAsia"/>
          <w:b/>
          <w:bCs/>
          <w:color w:val="000000" w:themeColor="text1"/>
        </w:rPr>
      </w:pPr>
      <w:r w:rsidRPr="00127CE2">
        <w:rPr>
          <w:rFonts w:eastAsiaTheme="majorEastAsia"/>
          <w:b/>
          <w:bCs/>
          <w:color w:val="000000" w:themeColor="text1"/>
        </w:rPr>
        <w:t xml:space="preserve">Curve Finance   </w:t>
      </w:r>
    </w:p>
    <w:p w14:paraId="1DC864CD" w14:textId="74DE7C02"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decentralized exchange optimized for stablecoin trading, using a specialized automated market maker algorithm that minimizes slippage for similar-value assets.</w:t>
      </w:r>
    </w:p>
    <w:p w14:paraId="2BCFC4AC" w14:textId="77777777" w:rsidR="00C02ABC" w:rsidRPr="00C02ABC" w:rsidRDefault="00C02ABC" w:rsidP="00127CE2">
      <w:pPr>
        <w:jc w:val="both"/>
        <w:rPr>
          <w:rFonts w:eastAsiaTheme="majorEastAsia"/>
          <w:color w:val="000000" w:themeColor="text1"/>
        </w:rPr>
      </w:pPr>
    </w:p>
    <w:p w14:paraId="673C4CDB" w14:textId="77777777" w:rsidR="002F54C2" w:rsidRPr="00127CE2" w:rsidRDefault="00C02ABC" w:rsidP="00127CE2">
      <w:pPr>
        <w:jc w:val="both"/>
        <w:rPr>
          <w:rFonts w:eastAsiaTheme="majorEastAsia"/>
          <w:b/>
          <w:bCs/>
          <w:color w:val="000000" w:themeColor="text1"/>
        </w:rPr>
      </w:pPr>
      <w:r w:rsidRPr="00127CE2">
        <w:rPr>
          <w:rFonts w:eastAsiaTheme="majorEastAsia"/>
          <w:b/>
          <w:bCs/>
          <w:color w:val="000000" w:themeColor="text1"/>
        </w:rPr>
        <w:t xml:space="preserve">EOS.IO          </w:t>
      </w:r>
    </w:p>
    <w:p w14:paraId="3549B8C8" w14:textId="16C2BDF7"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blockchain platform designed for decentralized application development using Delegated Proof of Stake consensus.</w:t>
      </w:r>
    </w:p>
    <w:p w14:paraId="6842901E" w14:textId="77777777" w:rsidR="00C02ABC" w:rsidRPr="00C02ABC" w:rsidRDefault="00C02ABC" w:rsidP="00127CE2">
      <w:pPr>
        <w:jc w:val="both"/>
        <w:rPr>
          <w:rFonts w:eastAsiaTheme="majorEastAsia"/>
          <w:color w:val="000000" w:themeColor="text1"/>
        </w:rPr>
      </w:pPr>
    </w:p>
    <w:p w14:paraId="08C822E3" w14:textId="77777777" w:rsidR="002F54C2" w:rsidRPr="00127CE2" w:rsidRDefault="00C02ABC" w:rsidP="00127CE2">
      <w:pPr>
        <w:jc w:val="both"/>
        <w:rPr>
          <w:rFonts w:eastAsiaTheme="majorEastAsia"/>
          <w:b/>
          <w:bCs/>
          <w:color w:val="000000" w:themeColor="text1"/>
        </w:rPr>
      </w:pPr>
      <w:r w:rsidRPr="00127CE2">
        <w:rPr>
          <w:rFonts w:eastAsiaTheme="majorEastAsia"/>
          <w:b/>
          <w:bCs/>
          <w:color w:val="000000" w:themeColor="text1"/>
        </w:rPr>
        <w:t xml:space="preserve">Harvest Finance </w:t>
      </w:r>
    </w:p>
    <w:p w14:paraId="78FB9412" w14:textId="3B3ABFEF"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yield farming aggregator protocol that automates yield optimization strategies across multiple DeFi platforms.</w:t>
      </w:r>
    </w:p>
    <w:p w14:paraId="666C80B4" w14:textId="77777777" w:rsidR="00C02ABC" w:rsidRPr="00C02ABC" w:rsidRDefault="00C02ABC" w:rsidP="00127CE2">
      <w:pPr>
        <w:jc w:val="both"/>
        <w:rPr>
          <w:rFonts w:eastAsiaTheme="majorEastAsia"/>
          <w:color w:val="000000" w:themeColor="text1"/>
        </w:rPr>
      </w:pPr>
    </w:p>
    <w:p w14:paraId="6C68350D" w14:textId="77777777" w:rsidR="002F54C2" w:rsidRPr="00127CE2" w:rsidRDefault="00C02ABC" w:rsidP="00127CE2">
      <w:pPr>
        <w:jc w:val="both"/>
        <w:rPr>
          <w:rFonts w:eastAsiaTheme="majorEastAsia"/>
          <w:b/>
          <w:bCs/>
          <w:color w:val="000000" w:themeColor="text1"/>
        </w:rPr>
      </w:pPr>
      <w:r w:rsidRPr="00127CE2">
        <w:rPr>
          <w:rFonts w:eastAsiaTheme="majorEastAsia"/>
          <w:b/>
          <w:bCs/>
          <w:color w:val="000000" w:themeColor="text1"/>
        </w:rPr>
        <w:t xml:space="preserve">Lido Finance    </w:t>
      </w:r>
    </w:p>
    <w:p w14:paraId="104FA848" w14:textId="049E3DC6"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A liquid staking protocol that allows users to stake Ethereum and receive </w:t>
      </w:r>
      <w:proofErr w:type="spellStart"/>
      <w:r w:rsidRPr="00C02ABC">
        <w:rPr>
          <w:rFonts w:eastAsiaTheme="majorEastAsia"/>
          <w:color w:val="000000" w:themeColor="text1"/>
        </w:rPr>
        <w:t>stETH</w:t>
      </w:r>
      <w:proofErr w:type="spellEnd"/>
      <w:r w:rsidRPr="00C02ABC">
        <w:rPr>
          <w:rFonts w:eastAsiaTheme="majorEastAsia"/>
          <w:color w:val="000000" w:themeColor="text1"/>
        </w:rPr>
        <w:t xml:space="preserve"> tokens representing their stake, maintaining liquidity while earning staking rewards.</w:t>
      </w:r>
    </w:p>
    <w:p w14:paraId="5AF795F7" w14:textId="77777777" w:rsidR="00C02ABC" w:rsidRPr="00C02ABC" w:rsidRDefault="00C02ABC" w:rsidP="00127CE2">
      <w:pPr>
        <w:jc w:val="both"/>
        <w:rPr>
          <w:rFonts w:eastAsiaTheme="majorEastAsia"/>
          <w:color w:val="000000" w:themeColor="text1"/>
        </w:rPr>
      </w:pPr>
    </w:p>
    <w:p w14:paraId="3D43C1D7" w14:textId="77777777" w:rsidR="002F54C2" w:rsidRPr="00127CE2" w:rsidRDefault="00C02ABC" w:rsidP="00127CE2">
      <w:pPr>
        <w:jc w:val="both"/>
        <w:rPr>
          <w:rFonts w:eastAsiaTheme="majorEastAsia"/>
          <w:b/>
          <w:bCs/>
          <w:color w:val="000000" w:themeColor="text1"/>
        </w:rPr>
      </w:pPr>
      <w:proofErr w:type="spellStart"/>
      <w:r w:rsidRPr="00127CE2">
        <w:rPr>
          <w:rFonts w:eastAsiaTheme="majorEastAsia"/>
          <w:b/>
          <w:bCs/>
          <w:color w:val="000000" w:themeColor="text1"/>
        </w:rPr>
        <w:t>MakerDAO</w:t>
      </w:r>
      <w:proofErr w:type="spellEnd"/>
      <w:r w:rsidRPr="00127CE2">
        <w:rPr>
          <w:rFonts w:eastAsiaTheme="majorEastAsia"/>
          <w:b/>
          <w:bCs/>
          <w:color w:val="000000" w:themeColor="text1"/>
        </w:rPr>
        <w:t xml:space="preserve">        </w:t>
      </w:r>
    </w:p>
    <w:p w14:paraId="45A93F3C" w14:textId="055E1E48"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decentralized organization behind the DAI stablecoin, maintaining the protocol through community governance.</w:t>
      </w:r>
    </w:p>
    <w:p w14:paraId="08EBB3F9" w14:textId="77777777" w:rsidR="00C02ABC" w:rsidRPr="00C02ABC" w:rsidRDefault="00C02ABC" w:rsidP="00127CE2">
      <w:pPr>
        <w:jc w:val="both"/>
        <w:rPr>
          <w:rFonts w:eastAsiaTheme="majorEastAsia"/>
          <w:color w:val="000000" w:themeColor="text1"/>
        </w:rPr>
      </w:pPr>
    </w:p>
    <w:p w14:paraId="4A108839" w14:textId="77777777" w:rsidR="002F54C2" w:rsidRPr="00127CE2" w:rsidRDefault="00C02ABC" w:rsidP="00127CE2">
      <w:pPr>
        <w:jc w:val="both"/>
        <w:rPr>
          <w:rFonts w:eastAsiaTheme="majorEastAsia"/>
          <w:b/>
          <w:bCs/>
          <w:color w:val="000000" w:themeColor="text1"/>
        </w:rPr>
      </w:pPr>
      <w:r w:rsidRPr="00127CE2">
        <w:rPr>
          <w:rFonts w:eastAsiaTheme="majorEastAsia"/>
          <w:b/>
          <w:bCs/>
          <w:color w:val="000000" w:themeColor="text1"/>
        </w:rPr>
        <w:t xml:space="preserve">Optimism        </w:t>
      </w:r>
    </w:p>
    <w:p w14:paraId="7F6856BC" w14:textId="6BAF0D56"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A Layer 2 scaling solution for Ethereum using optimistic rollup technology, </w:t>
      </w:r>
      <w:proofErr w:type="gramStart"/>
      <w:r w:rsidRPr="00C02ABC">
        <w:rPr>
          <w:rFonts w:eastAsiaTheme="majorEastAsia"/>
          <w:color w:val="000000" w:themeColor="text1"/>
        </w:rPr>
        <w:t>similar to</w:t>
      </w:r>
      <w:proofErr w:type="gramEnd"/>
      <w:r w:rsidRPr="00C02ABC">
        <w:rPr>
          <w:rFonts w:eastAsiaTheme="majorEastAsia"/>
          <w:color w:val="000000" w:themeColor="text1"/>
        </w:rPr>
        <w:t xml:space="preserve"> </w:t>
      </w:r>
      <w:proofErr w:type="spellStart"/>
      <w:r w:rsidRPr="00C02ABC">
        <w:rPr>
          <w:rFonts w:eastAsiaTheme="majorEastAsia"/>
          <w:color w:val="000000" w:themeColor="text1"/>
        </w:rPr>
        <w:t>Arbitrum</w:t>
      </w:r>
      <w:proofErr w:type="spellEnd"/>
      <w:r w:rsidRPr="00C02ABC">
        <w:rPr>
          <w:rFonts w:eastAsiaTheme="majorEastAsia"/>
          <w:color w:val="000000" w:themeColor="text1"/>
        </w:rPr>
        <w:t>, reducing transaction costs while leveraging Ethereum security.</w:t>
      </w:r>
    </w:p>
    <w:p w14:paraId="60D46301" w14:textId="77777777" w:rsidR="00C02ABC" w:rsidRPr="00C02ABC" w:rsidRDefault="00C02ABC" w:rsidP="00127CE2">
      <w:pPr>
        <w:jc w:val="both"/>
        <w:rPr>
          <w:rFonts w:eastAsiaTheme="majorEastAsia"/>
          <w:color w:val="000000" w:themeColor="text1"/>
        </w:rPr>
      </w:pPr>
    </w:p>
    <w:p w14:paraId="73415B99" w14:textId="77777777" w:rsidR="002F54C2" w:rsidRPr="00127CE2" w:rsidRDefault="00C02ABC" w:rsidP="00127CE2">
      <w:pPr>
        <w:jc w:val="both"/>
        <w:rPr>
          <w:rFonts w:eastAsiaTheme="majorEastAsia"/>
          <w:b/>
          <w:bCs/>
          <w:color w:val="000000" w:themeColor="text1"/>
        </w:rPr>
      </w:pPr>
      <w:r w:rsidRPr="00127CE2">
        <w:rPr>
          <w:rFonts w:eastAsiaTheme="majorEastAsia"/>
          <w:b/>
          <w:bCs/>
          <w:color w:val="000000" w:themeColor="text1"/>
        </w:rPr>
        <w:t xml:space="preserve">Polygon         </w:t>
      </w:r>
    </w:p>
    <w:p w14:paraId="197E65B8" w14:textId="3F115E0D"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A Layer 2 scaling solution (formerly Matic) </w:t>
      </w:r>
      <w:proofErr w:type="gramStart"/>
      <w:r w:rsidRPr="00C02ABC">
        <w:rPr>
          <w:rFonts w:eastAsiaTheme="majorEastAsia"/>
          <w:color w:val="000000" w:themeColor="text1"/>
        </w:rPr>
        <w:t>providing</w:t>
      </w:r>
      <w:proofErr w:type="gramEnd"/>
      <w:r w:rsidRPr="00C02ABC">
        <w:rPr>
          <w:rFonts w:eastAsiaTheme="majorEastAsia"/>
          <w:color w:val="000000" w:themeColor="text1"/>
        </w:rPr>
        <w:t xml:space="preserve"> faster and cheaper transactions while maintaining compatibility with Ethereum. Also functions as a standalone Layer 1 chain.</w:t>
      </w:r>
    </w:p>
    <w:p w14:paraId="2110F081" w14:textId="77777777" w:rsidR="00C02ABC" w:rsidRPr="00C02ABC" w:rsidRDefault="00C02ABC" w:rsidP="00127CE2">
      <w:pPr>
        <w:jc w:val="both"/>
        <w:rPr>
          <w:rFonts w:eastAsiaTheme="majorEastAsia"/>
          <w:color w:val="000000" w:themeColor="text1"/>
        </w:rPr>
      </w:pPr>
    </w:p>
    <w:p w14:paraId="6B8FEEAF" w14:textId="77777777" w:rsidR="002F54C2" w:rsidRPr="00127CE2" w:rsidRDefault="00C02ABC" w:rsidP="00127CE2">
      <w:pPr>
        <w:jc w:val="both"/>
        <w:rPr>
          <w:rFonts w:eastAsiaTheme="majorEastAsia"/>
          <w:b/>
          <w:bCs/>
          <w:color w:val="000000" w:themeColor="text1"/>
        </w:rPr>
      </w:pPr>
      <w:r w:rsidRPr="00127CE2">
        <w:rPr>
          <w:rFonts w:eastAsiaTheme="majorEastAsia"/>
          <w:b/>
          <w:bCs/>
          <w:color w:val="000000" w:themeColor="text1"/>
        </w:rPr>
        <w:t xml:space="preserve">Solana          </w:t>
      </w:r>
    </w:p>
    <w:p w14:paraId="3FE4A235" w14:textId="4D33D2C9"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high-performance Layer 1 blockchain using Proof of History combined with Proof of Stake, offering high throughput and low transaction costs.</w:t>
      </w:r>
    </w:p>
    <w:p w14:paraId="412F9DC0" w14:textId="77777777" w:rsidR="00C02ABC" w:rsidRPr="00C02ABC" w:rsidRDefault="00C02ABC" w:rsidP="00127CE2">
      <w:pPr>
        <w:jc w:val="both"/>
        <w:rPr>
          <w:rFonts w:eastAsiaTheme="majorEastAsia"/>
          <w:color w:val="000000" w:themeColor="text1"/>
        </w:rPr>
      </w:pPr>
    </w:p>
    <w:p w14:paraId="117EAF27" w14:textId="77777777" w:rsidR="002F54C2" w:rsidRPr="00127CE2" w:rsidRDefault="00C02ABC" w:rsidP="00127CE2">
      <w:pPr>
        <w:jc w:val="both"/>
        <w:rPr>
          <w:rFonts w:eastAsiaTheme="majorEastAsia"/>
          <w:b/>
          <w:bCs/>
          <w:color w:val="000000" w:themeColor="text1"/>
        </w:rPr>
      </w:pPr>
      <w:r w:rsidRPr="00127CE2">
        <w:rPr>
          <w:rFonts w:eastAsiaTheme="majorEastAsia"/>
          <w:b/>
          <w:bCs/>
          <w:color w:val="000000" w:themeColor="text1"/>
        </w:rPr>
        <w:t xml:space="preserve">Terra/Luna      </w:t>
      </w:r>
    </w:p>
    <w:p w14:paraId="44A78133" w14:textId="1DCF78AC"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blockchain ecosystem featuring algorithmic stablecoins that experienced a catastrophic de-pegging event in May 2022, causing widespread contagion effects across DeFi.</w:t>
      </w:r>
    </w:p>
    <w:p w14:paraId="69144D21" w14:textId="77777777" w:rsidR="00C02ABC" w:rsidRPr="00C02ABC" w:rsidRDefault="00C02ABC" w:rsidP="00127CE2">
      <w:pPr>
        <w:jc w:val="both"/>
        <w:rPr>
          <w:rFonts w:eastAsiaTheme="majorEastAsia"/>
          <w:color w:val="000000" w:themeColor="text1"/>
        </w:rPr>
      </w:pPr>
    </w:p>
    <w:p w14:paraId="069E8C93" w14:textId="77777777" w:rsidR="002F54C2" w:rsidRPr="00127CE2" w:rsidRDefault="00C02ABC" w:rsidP="00127CE2">
      <w:pPr>
        <w:jc w:val="both"/>
        <w:rPr>
          <w:rFonts w:eastAsiaTheme="majorEastAsia"/>
          <w:b/>
          <w:bCs/>
          <w:color w:val="000000" w:themeColor="text1"/>
        </w:rPr>
      </w:pPr>
      <w:r w:rsidRPr="00127CE2">
        <w:rPr>
          <w:rFonts w:eastAsiaTheme="majorEastAsia"/>
          <w:b/>
          <w:bCs/>
          <w:color w:val="000000" w:themeColor="text1"/>
        </w:rPr>
        <w:t xml:space="preserve">Uniswap         </w:t>
      </w:r>
    </w:p>
    <w:p w14:paraId="0ECAEDEA" w14:textId="42E6ACE7"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leading decentralized exchange using automated market maker technology. Uniswap v3 introduced concentrated liquidity, allowing providers to allocate capital to specific price ranges.</w:t>
      </w:r>
    </w:p>
    <w:p w14:paraId="1A15E055" w14:textId="77777777" w:rsidR="00C02ABC" w:rsidRPr="00C02ABC" w:rsidRDefault="00C02ABC" w:rsidP="00127CE2">
      <w:pPr>
        <w:jc w:val="both"/>
        <w:rPr>
          <w:rFonts w:eastAsiaTheme="majorEastAsia"/>
          <w:color w:val="000000" w:themeColor="text1"/>
        </w:rPr>
      </w:pPr>
    </w:p>
    <w:p w14:paraId="5117F4BB" w14:textId="77777777" w:rsidR="002F54C2" w:rsidRPr="00127CE2" w:rsidRDefault="00C02ABC" w:rsidP="00127CE2">
      <w:pPr>
        <w:jc w:val="both"/>
        <w:rPr>
          <w:rFonts w:eastAsiaTheme="majorEastAsia"/>
          <w:b/>
          <w:bCs/>
          <w:color w:val="000000" w:themeColor="text1"/>
        </w:rPr>
      </w:pPr>
      <w:r w:rsidRPr="00127CE2">
        <w:rPr>
          <w:rFonts w:eastAsiaTheme="majorEastAsia"/>
          <w:b/>
          <w:bCs/>
          <w:color w:val="000000" w:themeColor="text1"/>
        </w:rPr>
        <w:t xml:space="preserve">Yearn Finance   </w:t>
      </w:r>
    </w:p>
    <w:p w14:paraId="7F7BB713" w14:textId="7FEA696B"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yield aggregator protocol that automatically moves funds between lending protocols to optimize returns.</w:t>
      </w:r>
    </w:p>
    <w:p w14:paraId="482B56BA" w14:textId="77777777" w:rsidR="00C02ABC" w:rsidRPr="00C02ABC" w:rsidRDefault="00C02ABC" w:rsidP="00127CE2">
      <w:pPr>
        <w:jc w:val="both"/>
        <w:rPr>
          <w:rFonts w:eastAsiaTheme="majorEastAsia"/>
          <w:color w:val="000000" w:themeColor="text1"/>
        </w:rPr>
      </w:pPr>
    </w:p>
    <w:p w14:paraId="41AAFCF4" w14:textId="77777777" w:rsidR="00C02ABC" w:rsidRPr="00C02ABC" w:rsidRDefault="00C02ABC" w:rsidP="00127CE2">
      <w:pPr>
        <w:jc w:val="both"/>
        <w:rPr>
          <w:rFonts w:eastAsiaTheme="majorEastAsia"/>
          <w:color w:val="000000" w:themeColor="text1"/>
        </w:rPr>
      </w:pPr>
    </w:p>
    <w:p w14:paraId="715DB11B" w14:textId="77777777" w:rsidR="002F54C2" w:rsidRDefault="002F54C2" w:rsidP="00127CE2">
      <w:pPr>
        <w:jc w:val="both"/>
        <w:rPr>
          <w:rFonts w:eastAsiaTheme="majorEastAsia"/>
          <w:color w:val="000000" w:themeColor="text1"/>
        </w:rPr>
      </w:pPr>
    </w:p>
    <w:p w14:paraId="2D7C69C9" w14:textId="77777777" w:rsidR="002F54C2" w:rsidRDefault="002F54C2" w:rsidP="00127CE2">
      <w:pPr>
        <w:spacing w:after="200" w:line="276" w:lineRule="auto"/>
        <w:jc w:val="both"/>
        <w:rPr>
          <w:rFonts w:eastAsiaTheme="majorEastAsia"/>
          <w:color w:val="000000" w:themeColor="text1"/>
        </w:rPr>
      </w:pPr>
      <w:r>
        <w:rPr>
          <w:rFonts w:eastAsiaTheme="majorEastAsia"/>
          <w:color w:val="000000" w:themeColor="text1"/>
        </w:rPr>
        <w:br w:type="page"/>
      </w:r>
    </w:p>
    <w:p w14:paraId="226AEF3A" w14:textId="5FCF444F" w:rsidR="00C02ABC" w:rsidRPr="00C02ABC" w:rsidRDefault="00C02ABC" w:rsidP="00127CE2">
      <w:pPr>
        <w:pStyle w:val="Heading3"/>
        <w:rPr>
          <w:rFonts w:eastAsiaTheme="majorEastAsia"/>
        </w:rPr>
      </w:pPr>
      <w:bookmarkStart w:id="297" w:name="_Toc214722103"/>
      <w:r w:rsidRPr="00C02ABC">
        <w:rPr>
          <w:rFonts w:eastAsiaTheme="majorEastAsia"/>
        </w:rPr>
        <w:lastRenderedPageBreak/>
        <w:t>SECTION D: RESEARCH AND STATISTICAL TERMS</w:t>
      </w:r>
      <w:bookmarkEnd w:id="297"/>
    </w:p>
    <w:p w14:paraId="6A91CBB9" w14:textId="77777777" w:rsidR="00C02ABC" w:rsidRDefault="00C02ABC" w:rsidP="00127CE2">
      <w:pPr>
        <w:jc w:val="both"/>
        <w:rPr>
          <w:rFonts w:eastAsiaTheme="majorEastAsia"/>
          <w:color w:val="000000" w:themeColor="text1"/>
        </w:rPr>
      </w:pPr>
    </w:p>
    <w:p w14:paraId="35C4F3F1" w14:textId="77777777" w:rsidR="002F54C2" w:rsidRPr="00C02ABC" w:rsidRDefault="002F54C2" w:rsidP="00127CE2">
      <w:pPr>
        <w:jc w:val="both"/>
        <w:rPr>
          <w:rFonts w:eastAsiaTheme="majorEastAsia"/>
          <w:color w:val="000000" w:themeColor="text1"/>
        </w:rPr>
      </w:pPr>
    </w:p>
    <w:p w14:paraId="7641745C"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95% Confidence Interval (95% CI)</w:t>
      </w:r>
    </w:p>
    <w:p w14:paraId="43F8B2B4" w14:textId="7F1CAC36"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A range that is expected to contain the true population parameter with 95% probability. In this research, </w:t>
      </w:r>
      <w:proofErr w:type="gramStart"/>
      <w:r w:rsidRPr="00C02ABC">
        <w:rPr>
          <w:rFonts w:eastAsiaTheme="majorEastAsia"/>
          <w:color w:val="000000" w:themeColor="text1"/>
        </w:rPr>
        <w:t>used</w:t>
      </w:r>
      <w:proofErr w:type="gramEnd"/>
      <w:r w:rsidRPr="00C02ABC">
        <w:rPr>
          <w:rFonts w:eastAsiaTheme="majorEastAsia"/>
          <w:color w:val="000000" w:themeColor="text1"/>
        </w:rPr>
        <w:t xml:space="preserve"> to express uncertainty around the 73% failure rate estimate.</w:t>
      </w:r>
    </w:p>
    <w:p w14:paraId="36EC6D7F" w14:textId="77777777" w:rsidR="00C02ABC" w:rsidRPr="00C02ABC" w:rsidRDefault="00C02ABC" w:rsidP="00127CE2">
      <w:pPr>
        <w:jc w:val="both"/>
        <w:rPr>
          <w:rFonts w:eastAsiaTheme="majorEastAsia"/>
          <w:color w:val="000000" w:themeColor="text1"/>
        </w:rPr>
      </w:pPr>
    </w:p>
    <w:p w14:paraId="27316D44"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Agent-Based Simulation</w:t>
      </w:r>
    </w:p>
    <w:p w14:paraId="7AB89D60" w14:textId="2B5E2C13"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computational model that simulates the actions and interactions of individual agents to understand system-level outcomes. Used in Chapter 9 to model 10,000 synthetic DeFi positions.</w:t>
      </w:r>
    </w:p>
    <w:p w14:paraId="177A565A" w14:textId="77777777" w:rsidR="00C02ABC" w:rsidRPr="00C02ABC" w:rsidRDefault="00C02ABC" w:rsidP="00127CE2">
      <w:pPr>
        <w:jc w:val="both"/>
        <w:rPr>
          <w:rFonts w:eastAsiaTheme="majorEastAsia"/>
          <w:color w:val="000000" w:themeColor="text1"/>
        </w:rPr>
      </w:pPr>
    </w:p>
    <w:p w14:paraId="4B4F7284"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Analytical Generalization</w:t>
      </w:r>
    </w:p>
    <w:p w14:paraId="7A5AEE37" w14:textId="12522708"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process of generalizing findings to theoretical propositions rather than to populations, appropriate for case study and purposive sampling approaches.</w:t>
      </w:r>
    </w:p>
    <w:p w14:paraId="0D71C006" w14:textId="77777777" w:rsidR="00C02ABC" w:rsidRPr="00C02ABC" w:rsidRDefault="00C02ABC" w:rsidP="00127CE2">
      <w:pPr>
        <w:jc w:val="both"/>
        <w:rPr>
          <w:rFonts w:eastAsiaTheme="majorEastAsia"/>
          <w:color w:val="000000" w:themeColor="text1"/>
        </w:rPr>
      </w:pPr>
    </w:p>
    <w:p w14:paraId="5FE06C63"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Break-Even Point</w:t>
      </w:r>
    </w:p>
    <w:p w14:paraId="1C476273" w14:textId="370ED3D3"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point where total revenue equals total costs, resulting in neither profit nor loss. Central to calculating network viability thresholds.</w:t>
      </w:r>
    </w:p>
    <w:p w14:paraId="79988E92" w14:textId="77777777" w:rsidR="00C02ABC" w:rsidRPr="00C02ABC" w:rsidRDefault="00C02ABC" w:rsidP="00127CE2">
      <w:pPr>
        <w:jc w:val="both"/>
        <w:rPr>
          <w:rFonts w:eastAsiaTheme="majorEastAsia"/>
          <w:color w:val="000000" w:themeColor="text1"/>
        </w:rPr>
      </w:pPr>
    </w:p>
    <w:p w14:paraId="5A261036" w14:textId="77777777" w:rsidR="002F54C2" w:rsidRPr="00127CE2" w:rsidRDefault="00C02ABC" w:rsidP="00127CE2">
      <w:pPr>
        <w:jc w:val="both"/>
        <w:rPr>
          <w:rFonts w:eastAsiaTheme="majorEastAsia"/>
          <w:b/>
          <w:bCs/>
          <w:color w:val="000000" w:themeColor="text1"/>
        </w:rPr>
      </w:pPr>
      <w:r w:rsidRPr="00127CE2">
        <w:rPr>
          <w:rFonts w:eastAsiaTheme="majorEastAsia"/>
          <w:b/>
          <w:bCs/>
          <w:color w:val="000000" w:themeColor="text1"/>
        </w:rPr>
        <w:t xml:space="preserve">Case Study      </w:t>
      </w:r>
    </w:p>
    <w:p w14:paraId="7822D035" w14:textId="442853DD"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An in-depth investigation of a single instance or event to explore causation and identify patterns, used in this research to examine protocol-level incidents.</w:t>
      </w:r>
    </w:p>
    <w:p w14:paraId="6A9A88B9" w14:textId="77777777" w:rsidR="00C02ABC" w:rsidRPr="00C02ABC" w:rsidRDefault="00C02ABC" w:rsidP="00127CE2">
      <w:pPr>
        <w:jc w:val="both"/>
        <w:rPr>
          <w:rFonts w:eastAsiaTheme="majorEastAsia"/>
          <w:color w:val="000000" w:themeColor="text1"/>
        </w:rPr>
      </w:pPr>
    </w:p>
    <w:p w14:paraId="457C0AA2"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Confidence Interval (CI)</w:t>
      </w:r>
    </w:p>
    <w:p w14:paraId="0FAE8E8F" w14:textId="265836C4"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range of values used to estimate an unknown population parameter, with a specified probability that the range contains the true value.</w:t>
      </w:r>
    </w:p>
    <w:p w14:paraId="369FAD03" w14:textId="77777777" w:rsidR="00C02ABC" w:rsidRPr="00C02ABC" w:rsidRDefault="00C02ABC" w:rsidP="00127CE2">
      <w:pPr>
        <w:jc w:val="both"/>
        <w:rPr>
          <w:rFonts w:eastAsiaTheme="majorEastAsia"/>
          <w:color w:val="000000" w:themeColor="text1"/>
        </w:rPr>
      </w:pPr>
    </w:p>
    <w:p w14:paraId="26BD143F"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Contagion Effect</w:t>
      </w:r>
    </w:p>
    <w:p w14:paraId="3E50F965" w14:textId="642A41B9"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spread of negative events from one protocol or asset to related protocols or assets, particularly evident during the Terra/Luna collapse which affected 31% of tracked positions within 72 hours.</w:t>
      </w:r>
    </w:p>
    <w:p w14:paraId="437C7CEB" w14:textId="77777777" w:rsidR="00C02ABC" w:rsidRPr="00C02ABC" w:rsidRDefault="00C02ABC" w:rsidP="00127CE2">
      <w:pPr>
        <w:jc w:val="both"/>
        <w:rPr>
          <w:rFonts w:eastAsiaTheme="majorEastAsia"/>
          <w:color w:val="000000" w:themeColor="text1"/>
        </w:rPr>
      </w:pPr>
    </w:p>
    <w:p w14:paraId="19D12C6C"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Difference-in-Differences Analysis</w:t>
      </w:r>
    </w:p>
    <w:p w14:paraId="6F1A96D0" w14:textId="537C0F89"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statistical technique comparing the changes in outcomes over time between a treatment group and a control group, used to analyze the impact of fee promotions.</w:t>
      </w:r>
    </w:p>
    <w:p w14:paraId="6A18A9B0" w14:textId="77777777" w:rsidR="00C02ABC" w:rsidRPr="00C02ABC" w:rsidRDefault="00C02ABC" w:rsidP="00127CE2">
      <w:pPr>
        <w:jc w:val="both"/>
        <w:rPr>
          <w:rFonts w:eastAsiaTheme="majorEastAsia"/>
          <w:color w:val="000000" w:themeColor="text1"/>
        </w:rPr>
      </w:pPr>
    </w:p>
    <w:p w14:paraId="4F32B601"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Empirical Analysis</w:t>
      </w:r>
    </w:p>
    <w:p w14:paraId="46895C3A" w14:textId="059DBD72"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Research </w:t>
      </w:r>
      <w:proofErr w:type="gramStart"/>
      <w:r w:rsidRPr="00C02ABC">
        <w:rPr>
          <w:rFonts w:eastAsiaTheme="majorEastAsia"/>
          <w:color w:val="000000" w:themeColor="text1"/>
        </w:rPr>
        <w:t>based</w:t>
      </w:r>
      <w:proofErr w:type="gramEnd"/>
      <w:r w:rsidRPr="00C02ABC">
        <w:rPr>
          <w:rFonts w:eastAsiaTheme="majorEastAsia"/>
          <w:color w:val="000000" w:themeColor="text1"/>
        </w:rPr>
        <w:t xml:space="preserve"> on observed and measured phenomena, deriving knowledge from actual experience rather than theory alone.</w:t>
      </w:r>
    </w:p>
    <w:p w14:paraId="1EA3EC59" w14:textId="77777777" w:rsidR="00C02ABC" w:rsidRPr="00C02ABC" w:rsidRDefault="00C02ABC" w:rsidP="00127CE2">
      <w:pPr>
        <w:jc w:val="both"/>
        <w:rPr>
          <w:rFonts w:eastAsiaTheme="majorEastAsia"/>
          <w:color w:val="000000" w:themeColor="text1"/>
        </w:rPr>
      </w:pPr>
    </w:p>
    <w:p w14:paraId="11AECC8E"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Financial Intermediation Theory</w:t>
      </w:r>
    </w:p>
    <w:p w14:paraId="1F9202F8" w14:textId="052662D3"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Theoretical framework explaining how financial institutions facilitate transactions between parties, which this research extends to show how DeFi transforms rather than eliminates intermediation.</w:t>
      </w:r>
    </w:p>
    <w:p w14:paraId="3F88ACC6" w14:textId="77777777" w:rsidR="00C02ABC" w:rsidRPr="00C02ABC" w:rsidRDefault="00C02ABC" w:rsidP="00127CE2">
      <w:pPr>
        <w:jc w:val="both"/>
        <w:rPr>
          <w:rFonts w:eastAsiaTheme="majorEastAsia"/>
          <w:color w:val="000000" w:themeColor="text1"/>
        </w:rPr>
      </w:pPr>
    </w:p>
    <w:p w14:paraId="0EC8E02C" w14:textId="77777777" w:rsidR="002F54C2" w:rsidRPr="00127CE2" w:rsidRDefault="00C02ABC" w:rsidP="00127CE2">
      <w:pPr>
        <w:jc w:val="both"/>
        <w:rPr>
          <w:rFonts w:eastAsiaTheme="majorEastAsia"/>
          <w:b/>
          <w:bCs/>
          <w:color w:val="000000" w:themeColor="text1"/>
        </w:rPr>
      </w:pPr>
      <w:r w:rsidRPr="00127CE2">
        <w:rPr>
          <w:rFonts w:eastAsiaTheme="majorEastAsia"/>
          <w:b/>
          <w:bCs/>
          <w:color w:val="000000" w:themeColor="text1"/>
        </w:rPr>
        <w:t xml:space="preserve">Grounded Theory </w:t>
      </w:r>
    </w:p>
    <w:p w14:paraId="34F4EAD6" w14:textId="62E895AD"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lastRenderedPageBreak/>
        <w:t>A research methodology where theory emerges from systematic analysis of data rather than being predetermined, used in the qualitative analysis of practitioner interviews.</w:t>
      </w:r>
    </w:p>
    <w:p w14:paraId="32E1E052" w14:textId="77777777" w:rsidR="00C02ABC" w:rsidRPr="00C02ABC" w:rsidRDefault="00C02ABC" w:rsidP="00127CE2">
      <w:pPr>
        <w:jc w:val="both"/>
        <w:rPr>
          <w:rFonts w:eastAsiaTheme="majorEastAsia"/>
          <w:color w:val="000000" w:themeColor="text1"/>
        </w:rPr>
      </w:pPr>
    </w:p>
    <w:p w14:paraId="1E6775B2"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Interquartile Range (IQR)</w:t>
      </w:r>
    </w:p>
    <w:p w14:paraId="5C3ED39F" w14:textId="56AC0560"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measure of statistical dispersion equal to the difference between the 75th and 25th percentiles, representing the middle 50% of data.</w:t>
      </w:r>
    </w:p>
    <w:p w14:paraId="71495008" w14:textId="77777777" w:rsidR="00C02ABC" w:rsidRPr="00C02ABC" w:rsidRDefault="00C02ABC" w:rsidP="00127CE2">
      <w:pPr>
        <w:jc w:val="both"/>
        <w:rPr>
          <w:rFonts w:eastAsiaTheme="majorEastAsia"/>
          <w:color w:val="000000" w:themeColor="text1"/>
        </w:rPr>
      </w:pPr>
    </w:p>
    <w:p w14:paraId="24902883"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Maximum Variation Sampling</w:t>
      </w:r>
    </w:p>
    <w:p w14:paraId="6590B490" w14:textId="557A7CE9"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purposive sampling strategy that aims to capture a wide range of perspectives by selecting participants with diverse characteristics, used to achieve variation across capital levels, protocols, and market conditions.</w:t>
      </w:r>
    </w:p>
    <w:p w14:paraId="7B6BDE23" w14:textId="77777777" w:rsidR="00C02ABC" w:rsidRPr="00C02ABC" w:rsidRDefault="00C02ABC" w:rsidP="00127CE2">
      <w:pPr>
        <w:jc w:val="both"/>
        <w:rPr>
          <w:rFonts w:eastAsiaTheme="majorEastAsia"/>
          <w:color w:val="000000" w:themeColor="text1"/>
        </w:rPr>
      </w:pPr>
    </w:p>
    <w:p w14:paraId="7435DF25"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Mixed-Methods Research</w:t>
      </w:r>
    </w:p>
    <w:p w14:paraId="69D20C72" w14:textId="52CBA27F"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research approach combining quantitative and qualitative methods to provide comprehensive understanding. This dissertation tracks 156 positions (quantitative) and conducts 27 interviews (qualitative).</w:t>
      </w:r>
    </w:p>
    <w:p w14:paraId="3A346208" w14:textId="77777777" w:rsidR="00C02ABC" w:rsidRPr="00C02ABC" w:rsidRDefault="00C02ABC" w:rsidP="00127CE2">
      <w:pPr>
        <w:jc w:val="both"/>
        <w:rPr>
          <w:rFonts w:eastAsiaTheme="majorEastAsia"/>
          <w:color w:val="000000" w:themeColor="text1"/>
        </w:rPr>
      </w:pPr>
    </w:p>
    <w:p w14:paraId="06A1A6F9"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Natural Experiment</w:t>
      </w:r>
    </w:p>
    <w:p w14:paraId="2EECA5F1" w14:textId="6B089056"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 xml:space="preserve">A study where </w:t>
      </w:r>
      <w:proofErr w:type="gramStart"/>
      <w:r w:rsidRPr="00C02ABC">
        <w:rPr>
          <w:rFonts w:eastAsiaTheme="majorEastAsia"/>
          <w:color w:val="000000" w:themeColor="text1"/>
        </w:rPr>
        <w:t>assignment</w:t>
      </w:r>
      <w:proofErr w:type="gramEnd"/>
      <w:r w:rsidRPr="00C02ABC">
        <w:rPr>
          <w:rFonts w:eastAsiaTheme="majorEastAsia"/>
          <w:color w:val="000000" w:themeColor="text1"/>
        </w:rPr>
        <w:t xml:space="preserve"> to treatment or control groups </w:t>
      </w:r>
      <w:proofErr w:type="gramStart"/>
      <w:r w:rsidRPr="00C02ABC">
        <w:rPr>
          <w:rFonts w:eastAsiaTheme="majorEastAsia"/>
          <w:color w:val="000000" w:themeColor="text1"/>
        </w:rPr>
        <w:t>occurs</w:t>
      </w:r>
      <w:proofErr w:type="gramEnd"/>
      <w:r w:rsidRPr="00C02ABC">
        <w:rPr>
          <w:rFonts w:eastAsiaTheme="majorEastAsia"/>
          <w:color w:val="000000" w:themeColor="text1"/>
        </w:rPr>
        <w:t xml:space="preserve"> through natural circumstances rather than researcher intervention. EIP-1559 implementation provided a natural experiment in fee mechanism design.</w:t>
      </w:r>
    </w:p>
    <w:p w14:paraId="47A6E6BE" w14:textId="77777777" w:rsidR="00C02ABC" w:rsidRPr="00C02ABC" w:rsidRDefault="00C02ABC" w:rsidP="00127CE2">
      <w:pPr>
        <w:jc w:val="both"/>
        <w:rPr>
          <w:rFonts w:eastAsiaTheme="majorEastAsia"/>
          <w:color w:val="000000" w:themeColor="text1"/>
        </w:rPr>
      </w:pPr>
    </w:p>
    <w:p w14:paraId="68EED8D8"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Purposive Sampling</w:t>
      </w:r>
    </w:p>
    <w:p w14:paraId="64B8C9A4" w14:textId="12166408"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non-probability sampling method selecting participants based on specific characteristics relevant to research objectives. Used to achieve maximum variation across capital levels ($500-$100,000+), protocols, and market conditions.</w:t>
      </w:r>
    </w:p>
    <w:p w14:paraId="201C769E" w14:textId="77777777" w:rsidR="00C02ABC" w:rsidRPr="00C02ABC" w:rsidRDefault="00C02ABC" w:rsidP="00127CE2">
      <w:pPr>
        <w:jc w:val="both"/>
        <w:rPr>
          <w:rFonts w:eastAsiaTheme="majorEastAsia"/>
          <w:color w:val="000000" w:themeColor="text1"/>
        </w:rPr>
      </w:pPr>
    </w:p>
    <w:p w14:paraId="680BCB43" w14:textId="77777777" w:rsidR="00300BBF" w:rsidRPr="00127CE2" w:rsidRDefault="00C02ABC" w:rsidP="00127CE2">
      <w:pPr>
        <w:jc w:val="both"/>
        <w:rPr>
          <w:rFonts w:eastAsiaTheme="majorEastAsia"/>
          <w:b/>
          <w:bCs/>
          <w:color w:val="000000" w:themeColor="text1"/>
        </w:rPr>
      </w:pPr>
      <w:r w:rsidRPr="00127CE2">
        <w:rPr>
          <w:rFonts w:eastAsiaTheme="majorEastAsia"/>
          <w:b/>
          <w:bCs/>
          <w:color w:val="000000" w:themeColor="text1"/>
        </w:rPr>
        <w:t>Semi-Structured Interview</w:t>
      </w:r>
    </w:p>
    <w:p w14:paraId="47A8C196" w14:textId="1540BBED"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qualitative research method combining predetermined questions with flexibility to explore emerging themes. Used to interview 27 DeFi practitioners.</w:t>
      </w:r>
    </w:p>
    <w:p w14:paraId="301782B7" w14:textId="77777777" w:rsidR="00C02ABC" w:rsidRPr="00C02ABC" w:rsidRDefault="00C02ABC" w:rsidP="00127CE2">
      <w:pPr>
        <w:jc w:val="both"/>
        <w:rPr>
          <w:rFonts w:eastAsiaTheme="majorEastAsia"/>
          <w:color w:val="000000" w:themeColor="text1"/>
        </w:rPr>
      </w:pPr>
    </w:p>
    <w:p w14:paraId="10FE7D8D"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Statistical Generalization</w:t>
      </w:r>
    </w:p>
    <w:p w14:paraId="20F435B4" w14:textId="18EA53DF"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The process of applying findings from a sample to a broader population. Purposive sampling limits statistical generalization but enables analytical generalization.</w:t>
      </w:r>
    </w:p>
    <w:p w14:paraId="53BCEF10" w14:textId="77777777" w:rsidR="00C02ABC" w:rsidRPr="00C02ABC" w:rsidRDefault="00C02ABC" w:rsidP="00127CE2">
      <w:pPr>
        <w:jc w:val="both"/>
        <w:rPr>
          <w:rFonts w:eastAsiaTheme="majorEastAsia"/>
          <w:color w:val="000000" w:themeColor="text1"/>
        </w:rPr>
      </w:pPr>
    </w:p>
    <w:p w14:paraId="122C2D41"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Survival Analysis</w:t>
      </w:r>
    </w:p>
    <w:p w14:paraId="661448D8" w14:textId="72553548"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statistical method for analyzing time-to-event data, used to model the probability of protocol-level incidents accounting for temporal clustering and contagion effects.</w:t>
      </w:r>
    </w:p>
    <w:p w14:paraId="333B6208" w14:textId="77777777" w:rsidR="00C02ABC" w:rsidRPr="00C02ABC" w:rsidRDefault="00C02ABC" w:rsidP="00127CE2">
      <w:pPr>
        <w:jc w:val="both"/>
        <w:rPr>
          <w:rFonts w:eastAsiaTheme="majorEastAsia"/>
          <w:color w:val="000000" w:themeColor="text1"/>
        </w:rPr>
      </w:pPr>
    </w:p>
    <w:p w14:paraId="082CA566" w14:textId="77777777" w:rsidR="00C02ABC" w:rsidRPr="00127CE2" w:rsidRDefault="00C02ABC" w:rsidP="00127CE2">
      <w:pPr>
        <w:jc w:val="both"/>
        <w:rPr>
          <w:rFonts w:eastAsiaTheme="majorEastAsia"/>
          <w:b/>
          <w:bCs/>
          <w:color w:val="000000" w:themeColor="text1"/>
        </w:rPr>
      </w:pPr>
      <w:r w:rsidRPr="00127CE2">
        <w:rPr>
          <w:rFonts w:eastAsiaTheme="majorEastAsia"/>
          <w:b/>
          <w:bCs/>
          <w:color w:val="000000" w:themeColor="text1"/>
        </w:rPr>
        <w:t>Thematic Analysis</w:t>
      </w:r>
    </w:p>
    <w:p w14:paraId="1A8C09CF" w14:textId="33FB2FCE"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A qualitative research method for identifying, analyzing, and reporting patterns (themes) within data, used to analyze interview transcripts.</w:t>
      </w:r>
    </w:p>
    <w:p w14:paraId="096111AF" w14:textId="77777777" w:rsidR="00C02ABC" w:rsidRPr="00C02ABC" w:rsidRDefault="00C02ABC" w:rsidP="00127CE2">
      <w:pPr>
        <w:jc w:val="both"/>
        <w:rPr>
          <w:rFonts w:eastAsiaTheme="majorEastAsia"/>
          <w:color w:val="000000" w:themeColor="text1"/>
        </w:rPr>
      </w:pPr>
    </w:p>
    <w:p w14:paraId="46D3E518" w14:textId="77777777" w:rsidR="00300BBF" w:rsidRPr="00127CE2" w:rsidRDefault="00C02ABC" w:rsidP="00127CE2">
      <w:pPr>
        <w:jc w:val="both"/>
        <w:rPr>
          <w:rFonts w:eastAsiaTheme="majorEastAsia"/>
          <w:b/>
          <w:bCs/>
          <w:color w:val="000000" w:themeColor="text1"/>
        </w:rPr>
      </w:pPr>
      <w:r w:rsidRPr="00127CE2">
        <w:rPr>
          <w:rFonts w:eastAsiaTheme="majorEastAsia"/>
          <w:b/>
          <w:bCs/>
          <w:color w:val="000000" w:themeColor="text1"/>
        </w:rPr>
        <w:t xml:space="preserve">Triangulation   </w:t>
      </w:r>
    </w:p>
    <w:p w14:paraId="6D6FFE1E" w14:textId="1D8696CC" w:rsidR="00C02ABC" w:rsidRPr="00C02ABC" w:rsidRDefault="00C02ABC" w:rsidP="00127CE2">
      <w:pPr>
        <w:ind w:left="720"/>
        <w:jc w:val="both"/>
        <w:rPr>
          <w:rFonts w:eastAsiaTheme="majorEastAsia"/>
          <w:color w:val="000000" w:themeColor="text1"/>
        </w:rPr>
      </w:pPr>
      <w:r w:rsidRPr="00C02ABC">
        <w:rPr>
          <w:rFonts w:eastAsiaTheme="majorEastAsia"/>
          <w:color w:val="000000" w:themeColor="text1"/>
        </w:rPr>
        <w:t>Using multiple methods or data sources to develop a comprehensive understanding of a phenomenon, enhancing validity through convergence of findings.</w:t>
      </w:r>
    </w:p>
    <w:p w14:paraId="7C74A388" w14:textId="77777777" w:rsidR="00C02ABC" w:rsidRPr="00C02ABC" w:rsidRDefault="00C02ABC" w:rsidP="00C02ABC">
      <w:pPr>
        <w:rPr>
          <w:rFonts w:eastAsiaTheme="majorEastAsia"/>
          <w:color w:val="000000" w:themeColor="text1"/>
        </w:rPr>
      </w:pPr>
    </w:p>
    <w:p w14:paraId="21B28222" w14:textId="77777777" w:rsidR="00C02ABC" w:rsidRPr="00C02ABC" w:rsidRDefault="00C02ABC" w:rsidP="00C02ABC">
      <w:pPr>
        <w:rPr>
          <w:rFonts w:eastAsiaTheme="majorEastAsia"/>
          <w:color w:val="000000" w:themeColor="text1"/>
        </w:rPr>
      </w:pPr>
    </w:p>
    <w:p w14:paraId="539C5407" w14:textId="709C158F" w:rsidR="00C02ABC" w:rsidRPr="00C02ABC" w:rsidRDefault="00C02ABC" w:rsidP="00407853">
      <w:pPr>
        <w:pStyle w:val="Heading3"/>
        <w:rPr>
          <w:rFonts w:eastAsiaTheme="majorEastAsia"/>
        </w:rPr>
      </w:pPr>
      <w:bookmarkStart w:id="298" w:name="_Toc214722104"/>
      <w:r w:rsidRPr="00C02ABC">
        <w:rPr>
          <w:rFonts w:eastAsiaTheme="majorEastAsia"/>
        </w:rPr>
        <w:lastRenderedPageBreak/>
        <w:t>SECTION E: THEORETICAL FRAMEWORKS DEVELOPED IN THIS RESEARCH</w:t>
      </w:r>
      <w:bookmarkEnd w:id="298"/>
    </w:p>
    <w:p w14:paraId="3ED99790" w14:textId="77777777" w:rsidR="00C02ABC" w:rsidRPr="00C02ABC" w:rsidRDefault="00C02ABC" w:rsidP="00407853">
      <w:pPr>
        <w:jc w:val="both"/>
        <w:rPr>
          <w:rFonts w:eastAsiaTheme="majorEastAsia"/>
          <w:color w:val="000000" w:themeColor="text1"/>
        </w:rPr>
      </w:pPr>
    </w:p>
    <w:p w14:paraId="3C983CDD" w14:textId="77777777" w:rsidR="00C02ABC" w:rsidRPr="00407853" w:rsidRDefault="00C02ABC" w:rsidP="00407853">
      <w:pPr>
        <w:jc w:val="both"/>
        <w:rPr>
          <w:rFonts w:eastAsiaTheme="majorEastAsia"/>
          <w:b/>
          <w:bCs/>
          <w:color w:val="000000" w:themeColor="text1"/>
        </w:rPr>
      </w:pPr>
      <w:r w:rsidRPr="00407853">
        <w:rPr>
          <w:rFonts w:eastAsiaTheme="majorEastAsia"/>
          <w:b/>
          <w:bCs/>
          <w:color w:val="000000" w:themeColor="text1"/>
        </w:rPr>
        <w:t>Accessibility Gradient Theory</w:t>
      </w:r>
    </w:p>
    <w:p w14:paraId="0A0F7575" w14:textId="05879865" w:rsidR="00C02ABC" w:rsidRPr="00C02ABC" w:rsidRDefault="00C02ABC" w:rsidP="00407853">
      <w:pPr>
        <w:ind w:left="720"/>
        <w:jc w:val="both"/>
        <w:rPr>
          <w:rFonts w:eastAsiaTheme="majorEastAsia"/>
          <w:color w:val="000000" w:themeColor="text1"/>
        </w:rPr>
      </w:pPr>
      <w:r w:rsidRPr="00C02ABC">
        <w:rPr>
          <w:rFonts w:eastAsiaTheme="majorEastAsia"/>
          <w:color w:val="000000" w:themeColor="text1"/>
        </w:rPr>
        <w:t>A theoretical contribution of this research describing stratified entry points in DeFi with capital-dependent viability. Different capital levels enable access to different strategies and networks (81% failure &lt;$3,500 vs. 38% failure &gt;$25,000), creating a gradient of accessibility rather than binary inclusion/exclusion.</w:t>
      </w:r>
    </w:p>
    <w:p w14:paraId="0E19CF44" w14:textId="77777777" w:rsidR="00C02ABC" w:rsidRPr="00C02ABC" w:rsidRDefault="00C02ABC" w:rsidP="00407853">
      <w:pPr>
        <w:jc w:val="both"/>
        <w:rPr>
          <w:rFonts w:eastAsiaTheme="majorEastAsia"/>
          <w:color w:val="000000" w:themeColor="text1"/>
        </w:rPr>
      </w:pPr>
    </w:p>
    <w:p w14:paraId="0F311B4E" w14:textId="77777777" w:rsidR="00C02ABC" w:rsidRPr="00407853" w:rsidRDefault="00C02ABC" w:rsidP="00407853">
      <w:pPr>
        <w:jc w:val="both"/>
        <w:rPr>
          <w:rFonts w:eastAsiaTheme="majorEastAsia"/>
          <w:b/>
          <w:bCs/>
          <w:color w:val="000000" w:themeColor="text1"/>
        </w:rPr>
      </w:pPr>
      <w:r w:rsidRPr="00407853">
        <w:rPr>
          <w:rFonts w:eastAsiaTheme="majorEastAsia"/>
          <w:b/>
          <w:bCs/>
          <w:color w:val="000000" w:themeColor="text1"/>
        </w:rPr>
        <w:t>Conditional Democratization Theory</w:t>
      </w:r>
    </w:p>
    <w:p w14:paraId="78109271" w14:textId="30A91399" w:rsidR="00C02ABC" w:rsidRPr="00C02ABC" w:rsidRDefault="00C02ABC" w:rsidP="00407853">
      <w:pPr>
        <w:ind w:left="720"/>
        <w:jc w:val="both"/>
        <w:rPr>
          <w:rFonts w:eastAsiaTheme="majorEastAsia"/>
          <w:color w:val="000000" w:themeColor="text1"/>
        </w:rPr>
      </w:pPr>
      <w:r w:rsidRPr="00C02ABC">
        <w:rPr>
          <w:rFonts w:eastAsiaTheme="majorEastAsia"/>
          <w:color w:val="000000" w:themeColor="text1"/>
        </w:rPr>
        <w:t>A theoretical contribution of this research describing how DeFi achieves partial expansion of financial access but only under multiple simultaneous requirements. Success requires capital AND technical competence AND time commitment AND risk tolerance, challenging simplistic democratization narratives.</w:t>
      </w:r>
    </w:p>
    <w:p w14:paraId="2ECEF43C" w14:textId="77777777" w:rsidR="00C02ABC" w:rsidRPr="00C02ABC" w:rsidRDefault="00C02ABC" w:rsidP="00407853">
      <w:pPr>
        <w:jc w:val="both"/>
        <w:rPr>
          <w:rFonts w:eastAsiaTheme="majorEastAsia"/>
          <w:color w:val="000000" w:themeColor="text1"/>
        </w:rPr>
      </w:pPr>
    </w:p>
    <w:p w14:paraId="547C787D" w14:textId="77777777" w:rsidR="00C02ABC" w:rsidRPr="00407853" w:rsidRDefault="00C02ABC" w:rsidP="00407853">
      <w:pPr>
        <w:jc w:val="both"/>
        <w:rPr>
          <w:rFonts w:eastAsiaTheme="majorEastAsia"/>
          <w:b/>
          <w:bCs/>
          <w:color w:val="000000" w:themeColor="text1"/>
        </w:rPr>
      </w:pPr>
      <w:r w:rsidRPr="00407853">
        <w:rPr>
          <w:rFonts w:eastAsiaTheme="majorEastAsia"/>
          <w:b/>
          <w:bCs/>
          <w:color w:val="000000" w:themeColor="text1"/>
        </w:rPr>
        <w:t>Reintermediation Theory</w:t>
      </w:r>
    </w:p>
    <w:p w14:paraId="0A6924D7" w14:textId="12B90561" w:rsidR="00C02ABC" w:rsidRPr="00C02ABC" w:rsidRDefault="00C02ABC" w:rsidP="00407853">
      <w:pPr>
        <w:ind w:left="720"/>
        <w:jc w:val="both"/>
        <w:rPr>
          <w:rFonts w:eastAsiaTheme="majorEastAsia"/>
          <w:color w:val="000000" w:themeColor="text1"/>
        </w:rPr>
      </w:pPr>
      <w:r w:rsidRPr="00C02ABC">
        <w:rPr>
          <w:rFonts w:eastAsiaTheme="majorEastAsia"/>
          <w:color w:val="000000" w:themeColor="text1"/>
        </w:rPr>
        <w:t>A theoretical contribution extending financial intermediation theory by demonstrating that DeFi disaggregates banking functions and transfers them to individual participants rather than eliminating them. This creates technical accessibility while imposing operational burden that functions as a barrier.</w:t>
      </w:r>
    </w:p>
    <w:p w14:paraId="7EB704AC" w14:textId="77777777" w:rsidR="00C02ABC" w:rsidRPr="00C02ABC" w:rsidRDefault="00C02ABC" w:rsidP="00407853">
      <w:pPr>
        <w:jc w:val="both"/>
        <w:rPr>
          <w:rFonts w:eastAsiaTheme="majorEastAsia"/>
          <w:color w:val="000000" w:themeColor="text1"/>
        </w:rPr>
      </w:pPr>
    </w:p>
    <w:p w14:paraId="4E3B4002" w14:textId="77777777" w:rsidR="00C02ABC" w:rsidRPr="00407853" w:rsidRDefault="00C02ABC" w:rsidP="00407853">
      <w:pPr>
        <w:jc w:val="both"/>
        <w:rPr>
          <w:rFonts w:eastAsiaTheme="majorEastAsia"/>
          <w:b/>
          <w:bCs/>
          <w:color w:val="000000" w:themeColor="text1"/>
        </w:rPr>
      </w:pPr>
      <w:r w:rsidRPr="00407853">
        <w:rPr>
          <w:rFonts w:eastAsiaTheme="majorEastAsia"/>
          <w:b/>
          <w:bCs/>
          <w:color w:val="000000" w:themeColor="text1"/>
        </w:rPr>
        <w:t>The Democratization Paradox</w:t>
      </w:r>
    </w:p>
    <w:p w14:paraId="57E7C395" w14:textId="385E08F0" w:rsidR="00C02ABC" w:rsidRPr="00C02ABC" w:rsidRDefault="00C02ABC" w:rsidP="00407853">
      <w:pPr>
        <w:ind w:left="720"/>
        <w:jc w:val="both"/>
        <w:rPr>
          <w:rFonts w:eastAsiaTheme="majorEastAsia"/>
          <w:color w:val="000000" w:themeColor="text1"/>
        </w:rPr>
      </w:pPr>
      <w:r w:rsidRPr="00C02ABC">
        <w:rPr>
          <w:rFonts w:eastAsiaTheme="majorEastAsia"/>
          <w:color w:val="000000" w:themeColor="text1"/>
        </w:rPr>
        <w:t xml:space="preserve">The central research problem: the gap between DeFi's technical </w:t>
      </w:r>
      <w:proofErr w:type="gramStart"/>
      <w:r w:rsidRPr="00C02ABC">
        <w:rPr>
          <w:rFonts w:eastAsiaTheme="majorEastAsia"/>
          <w:color w:val="000000" w:themeColor="text1"/>
        </w:rPr>
        <w:t>accessibility  (</w:t>
      </w:r>
      <w:proofErr w:type="gramEnd"/>
      <w:r w:rsidRPr="00C02ABC">
        <w:rPr>
          <w:rFonts w:eastAsiaTheme="majorEastAsia"/>
          <w:color w:val="000000" w:themeColor="text1"/>
        </w:rPr>
        <w:t>anyone can participate) and economic viability (most participants lose money). The research examines whether DeFi achieves democratization when measured by substantive rather than formal access criteria.</w:t>
      </w:r>
    </w:p>
    <w:p w14:paraId="7147184C" w14:textId="77777777" w:rsidR="00C02ABC" w:rsidRPr="00C02ABC" w:rsidRDefault="00C02ABC" w:rsidP="00C02ABC">
      <w:pPr>
        <w:spacing w:after="200" w:line="276" w:lineRule="auto"/>
        <w:rPr>
          <w:rFonts w:eastAsiaTheme="majorEastAsia"/>
          <w:b/>
          <w:bCs/>
          <w:color w:val="000000" w:themeColor="text1"/>
        </w:rPr>
      </w:pPr>
    </w:p>
    <w:p w14:paraId="4F7C0E66" w14:textId="77777777" w:rsidR="00C02ABC" w:rsidRPr="00C02ABC" w:rsidRDefault="00C02ABC" w:rsidP="00C02ABC">
      <w:pPr>
        <w:spacing w:after="200" w:line="276" w:lineRule="auto"/>
        <w:rPr>
          <w:rFonts w:eastAsiaTheme="majorEastAsia"/>
          <w:b/>
          <w:bCs/>
          <w:color w:val="000000" w:themeColor="text1"/>
        </w:rPr>
      </w:pPr>
    </w:p>
    <w:p w14:paraId="06FBCEC7" w14:textId="6ED47F96" w:rsidR="00C12EB3" w:rsidRDefault="00C12EB3" w:rsidP="00C12EB3">
      <w:pPr>
        <w:spacing w:after="200" w:line="276" w:lineRule="auto"/>
        <w:rPr>
          <w:rFonts w:eastAsiaTheme="majorEastAsia"/>
          <w:b/>
          <w:bCs/>
          <w:color w:val="000000" w:themeColor="text1"/>
        </w:rPr>
      </w:pPr>
      <w:r>
        <w:rPr>
          <w:rFonts w:eastAsiaTheme="majorEastAsia"/>
          <w:b/>
          <w:bCs/>
          <w:color w:val="000000" w:themeColor="text1"/>
        </w:rPr>
        <w:br w:type="page"/>
      </w:r>
    </w:p>
    <w:p w14:paraId="1DDE68CB" w14:textId="77777777" w:rsidR="00C12EB3" w:rsidRDefault="00C12EB3" w:rsidP="00717D21">
      <w:pPr>
        <w:spacing w:after="200" w:line="276" w:lineRule="auto"/>
        <w:jc w:val="both"/>
        <w:rPr>
          <w:rFonts w:eastAsiaTheme="majorEastAsia"/>
          <w:b/>
          <w:bCs/>
          <w:color w:val="000000" w:themeColor="text1"/>
        </w:rPr>
      </w:pPr>
    </w:p>
    <w:p w14:paraId="1D7E5EA7" w14:textId="77777777" w:rsidR="0057214E" w:rsidRDefault="0057214E" w:rsidP="00582C44">
      <w:pPr>
        <w:pStyle w:val="Heading1"/>
        <w:jc w:val="center"/>
      </w:pPr>
      <w:bookmarkStart w:id="299" w:name="_Toc214722105"/>
      <w:r w:rsidRPr="00787316">
        <w:t>Bibliography</w:t>
      </w:r>
      <w:bookmarkEnd w:id="299"/>
    </w:p>
    <w:p w14:paraId="03A0454E" w14:textId="77777777" w:rsidR="00582C44" w:rsidRPr="00582C44" w:rsidRDefault="00582C44" w:rsidP="00582C44"/>
    <w:p w14:paraId="21CD4913" w14:textId="77777777" w:rsidR="00F31D9D" w:rsidRPr="00F31D9D" w:rsidRDefault="00F31D9D" w:rsidP="00F31D9D"/>
    <w:p w14:paraId="540E3137" w14:textId="77777777" w:rsidR="00DA6454" w:rsidRPr="00DA6454" w:rsidRDefault="00DA6454" w:rsidP="0069580A">
      <w:pPr>
        <w:spacing w:before="100" w:beforeAutospacing="1" w:after="100" w:afterAutospacing="1"/>
        <w:jc w:val="both"/>
      </w:pPr>
      <w:r w:rsidRPr="00DA6454">
        <w:t>3Commas (2023) DeFi Bot Setup and Learning Curve Analysis. Platform Statistics Report.</w:t>
      </w:r>
    </w:p>
    <w:p w14:paraId="3F82F6CD" w14:textId="77777777" w:rsidR="00DA6454" w:rsidRPr="00DA6454" w:rsidRDefault="00DA6454" w:rsidP="0069580A">
      <w:pPr>
        <w:spacing w:before="100" w:beforeAutospacing="1" w:after="100" w:afterAutospacing="1"/>
        <w:jc w:val="both"/>
      </w:pPr>
      <w:r w:rsidRPr="00DA6454">
        <w:t>Acemoglu, D. and Autor, D. (2011) 'Skills, tasks and technologies: Implications for employment and earnings', in O. Ashenfelter &amp; D. Card (eds), Handbook of Labor Economics, vol. 4, Part B. Amsterdam: Elsevier, pp. 1043-1171.</w:t>
      </w:r>
    </w:p>
    <w:p w14:paraId="1E42FEED" w14:textId="77777777" w:rsidR="00DA6454" w:rsidRPr="00DA6454" w:rsidRDefault="00DA6454" w:rsidP="0069580A">
      <w:pPr>
        <w:spacing w:before="100" w:beforeAutospacing="1" w:after="100" w:afterAutospacing="1"/>
        <w:jc w:val="both"/>
      </w:pPr>
      <w:r w:rsidRPr="00DA6454">
        <w:t>Acemoglu, D. and Autor, D. (2011) 'Skills, tasks and technologies: Implications for</w:t>
      </w:r>
    </w:p>
    <w:p w14:paraId="7C97DAA3" w14:textId="77777777" w:rsidR="003D7ACC" w:rsidRDefault="003D7ACC" w:rsidP="0069580A">
      <w:pPr>
        <w:spacing w:before="100" w:beforeAutospacing="1" w:after="100" w:afterAutospacing="1"/>
        <w:jc w:val="both"/>
        <w:rPr>
          <w:rFonts w:ascii="Times-Roman" w:eastAsiaTheme="minorEastAsia" w:hAnsi="Times-Roman" w:cs="Times-Roman"/>
        </w:rPr>
      </w:pPr>
      <w:r>
        <w:rPr>
          <w:rFonts w:ascii="Times-Roman" w:eastAsiaTheme="minorEastAsia" w:hAnsi="Times-Roman" w:cs="Times-Roman"/>
        </w:rPr>
        <w:t xml:space="preserve">Adams, H. et al. (2021) 'Uniswap v3 Core', </w:t>
      </w:r>
      <w:r>
        <w:rPr>
          <w:rFonts w:ascii="Times-Italic" w:eastAsiaTheme="minorEastAsia" w:hAnsi="Times-Italic" w:cs="Times-Italic"/>
          <w:i/>
          <w:iCs/>
        </w:rPr>
        <w:t>Uniswap Whitepaper</w:t>
      </w:r>
      <w:r>
        <w:rPr>
          <w:rFonts w:ascii="Times-Roman" w:eastAsiaTheme="minorEastAsia" w:hAnsi="Times-Roman" w:cs="Times-Roman"/>
        </w:rPr>
        <w:t xml:space="preserve">. </w:t>
      </w:r>
    </w:p>
    <w:p w14:paraId="0B3A8585" w14:textId="7148454F" w:rsidR="00DA6454" w:rsidRPr="00DA6454" w:rsidRDefault="00DA6454" w:rsidP="0069580A">
      <w:pPr>
        <w:spacing w:before="100" w:beforeAutospacing="1" w:after="100" w:afterAutospacing="1"/>
        <w:jc w:val="both"/>
      </w:pPr>
      <w:r w:rsidRPr="00DA6454">
        <w:t>Adams, H., Zinsmeister, N., Salem, M., Keefer, R., &amp; Robinson, D. (2021) Uniswap v3 Core. Uniswap Labs. Available at: https://uniswap.org/whitepaper-v3.pdf</w:t>
      </w:r>
    </w:p>
    <w:p w14:paraId="5F20F45D" w14:textId="77777777" w:rsidR="00DA6454" w:rsidRPr="00DA6454" w:rsidRDefault="00DA6454" w:rsidP="0069580A">
      <w:pPr>
        <w:spacing w:before="100" w:beforeAutospacing="1" w:after="100" w:afterAutospacing="1"/>
        <w:jc w:val="both"/>
      </w:pPr>
      <w:r w:rsidRPr="00DA6454">
        <w:t>Adams, H., Zinsmeister, N., Salem, M., Keefer, R. and Robinson, D. (2021) 'Uniswap v3</w:t>
      </w:r>
    </w:p>
    <w:p w14:paraId="0E4B84B5" w14:textId="77777777" w:rsidR="00DA6454" w:rsidRPr="00DA6454" w:rsidRDefault="00DA6454" w:rsidP="0069580A">
      <w:pPr>
        <w:spacing w:before="100" w:beforeAutospacing="1" w:after="100" w:afterAutospacing="1"/>
        <w:jc w:val="both"/>
      </w:pPr>
      <w:r w:rsidRPr="00DA6454">
        <w:t xml:space="preserve">Allen, F. and </w:t>
      </w:r>
      <w:proofErr w:type="spellStart"/>
      <w:r w:rsidRPr="00DA6454">
        <w:t>Santomero</w:t>
      </w:r>
      <w:proofErr w:type="spellEnd"/>
      <w:r w:rsidRPr="00DA6454">
        <w:t>, A. M. (1997) 'The theory of financial intermediation', Journal of Banking &amp; Finance, 21(11-12), pp. 1461-1485.</w:t>
      </w:r>
    </w:p>
    <w:p w14:paraId="022EBCF8" w14:textId="77777777" w:rsidR="00DA6454" w:rsidRPr="00DA6454" w:rsidRDefault="00DA6454" w:rsidP="0069580A">
      <w:pPr>
        <w:spacing w:before="100" w:beforeAutospacing="1" w:after="100" w:afterAutospacing="1"/>
        <w:jc w:val="both"/>
      </w:pPr>
      <w:r w:rsidRPr="00DA6454">
        <w:t>Allen, F., &amp; Gale, D. (2000). Financial contagion. Journal of Political Economy, 108(1), 1-33. https://doi.org/10.1086/262109</w:t>
      </w:r>
    </w:p>
    <w:p w14:paraId="561425D2" w14:textId="77777777" w:rsidR="00DA6454" w:rsidRPr="00DA6454" w:rsidRDefault="00DA6454" w:rsidP="0069580A">
      <w:pPr>
        <w:spacing w:before="100" w:beforeAutospacing="1" w:after="100" w:afterAutospacing="1"/>
        <w:jc w:val="both"/>
      </w:pPr>
      <w:r w:rsidRPr="00DA6454">
        <w:t xml:space="preserve">Allen, H.J., </w:t>
      </w:r>
      <w:proofErr w:type="spellStart"/>
      <w:r w:rsidRPr="00DA6454">
        <w:t>Beittel</w:t>
      </w:r>
      <w:proofErr w:type="spellEnd"/>
      <w:r w:rsidRPr="00DA6454">
        <w:t>, L., Brummer, C., Cuéllar, M.-F., Garcia, G.G., Gelzinis, G.,</w:t>
      </w:r>
    </w:p>
    <w:p w14:paraId="5DFBDE2E" w14:textId="77777777" w:rsidR="00DA6454" w:rsidRPr="00DA6454" w:rsidRDefault="00DA6454" w:rsidP="0069580A">
      <w:pPr>
        <w:spacing w:before="100" w:beforeAutospacing="1" w:after="100" w:afterAutospacing="1"/>
        <w:jc w:val="both"/>
      </w:pPr>
      <w:proofErr w:type="spellStart"/>
      <w:r w:rsidRPr="00DA6454">
        <w:t>Angeris</w:t>
      </w:r>
      <w:proofErr w:type="spellEnd"/>
      <w:r w:rsidRPr="00DA6454">
        <w:t>, G. and Chitra, T. (2020) 'Improved price oracles: Constant function market makers', Proceedings of the 2nd ACM Conference on Advances in Financial Technologies, pp. 80-91.</w:t>
      </w:r>
    </w:p>
    <w:p w14:paraId="228762FB" w14:textId="77777777" w:rsidR="00DA6454" w:rsidRPr="00DA6454" w:rsidRDefault="00DA6454" w:rsidP="0069580A">
      <w:pPr>
        <w:spacing w:before="100" w:beforeAutospacing="1" w:after="100" w:afterAutospacing="1"/>
        <w:jc w:val="both"/>
      </w:pPr>
      <w:proofErr w:type="spellStart"/>
      <w:r w:rsidRPr="00DA6454">
        <w:t>Angeris</w:t>
      </w:r>
      <w:proofErr w:type="spellEnd"/>
      <w:r w:rsidRPr="00DA6454">
        <w:t xml:space="preserve">, G., Evans, A., and Chitra, T. (2019) 'When does the tail wag the dog? Curvature and market making', </w:t>
      </w:r>
      <w:proofErr w:type="spellStart"/>
      <w:r w:rsidRPr="00DA6454">
        <w:t>arXiv</w:t>
      </w:r>
      <w:proofErr w:type="spellEnd"/>
      <w:r w:rsidRPr="00DA6454">
        <w:t xml:space="preserve"> preprint arXiv:1911.01892.</w:t>
      </w:r>
    </w:p>
    <w:p w14:paraId="3EECE99C" w14:textId="77777777" w:rsidR="00DA6454" w:rsidRPr="00DA6454" w:rsidRDefault="00DA6454" w:rsidP="0069580A">
      <w:pPr>
        <w:spacing w:before="100" w:beforeAutospacing="1" w:after="100" w:afterAutospacing="1"/>
        <w:jc w:val="both"/>
      </w:pPr>
      <w:proofErr w:type="spellStart"/>
      <w:r w:rsidRPr="00DA6454">
        <w:t>Angeris</w:t>
      </w:r>
      <w:proofErr w:type="spellEnd"/>
      <w:r w:rsidRPr="00DA6454">
        <w:t xml:space="preserve">, G., Kao, H. T., Chiang, R., Noyes, C., &amp; Chitra, T. (2021) 'An analysis of Uniswap markets', </w:t>
      </w:r>
      <w:proofErr w:type="spellStart"/>
      <w:r w:rsidRPr="00DA6454">
        <w:t>Cryptoeconomic</w:t>
      </w:r>
      <w:proofErr w:type="spellEnd"/>
      <w:r w:rsidRPr="00DA6454">
        <w:t xml:space="preserve"> Systems, 1(1).</w:t>
      </w:r>
    </w:p>
    <w:p w14:paraId="21CAE8E1" w14:textId="77777777" w:rsidR="00DA6454" w:rsidRPr="00DA6454" w:rsidRDefault="00DA6454" w:rsidP="0069580A">
      <w:pPr>
        <w:spacing w:before="100" w:beforeAutospacing="1" w:after="100" w:afterAutospacing="1"/>
        <w:jc w:val="both"/>
      </w:pPr>
      <w:proofErr w:type="spellStart"/>
      <w:r w:rsidRPr="00DA6454">
        <w:t>Angeris</w:t>
      </w:r>
      <w:proofErr w:type="spellEnd"/>
      <w:r w:rsidRPr="00DA6454">
        <w:t xml:space="preserve">, G., Kao, H. T., Chiang, R., Noyes, C., &amp; Chitra, T. (2022) 'An analysis of Uniswap markets', </w:t>
      </w:r>
      <w:proofErr w:type="spellStart"/>
      <w:r w:rsidRPr="00DA6454">
        <w:t>Cryptoeconomic</w:t>
      </w:r>
      <w:proofErr w:type="spellEnd"/>
      <w:r w:rsidRPr="00DA6454">
        <w:t xml:space="preserve"> Systems, 1(2), pp. 1-34.</w:t>
      </w:r>
    </w:p>
    <w:p w14:paraId="0054C61A" w14:textId="77777777" w:rsidR="00DA6454" w:rsidRPr="00DA6454" w:rsidRDefault="00DA6454" w:rsidP="0069580A">
      <w:pPr>
        <w:spacing w:before="100" w:beforeAutospacing="1" w:after="100" w:afterAutospacing="1"/>
        <w:jc w:val="both"/>
      </w:pPr>
      <w:proofErr w:type="spellStart"/>
      <w:r w:rsidRPr="00DA6454">
        <w:t>Angeris</w:t>
      </w:r>
      <w:proofErr w:type="spellEnd"/>
      <w:r w:rsidRPr="00DA6454">
        <w:t>, G. and Chitra, T. (2020) 'Improved price oracles: Constant function market</w:t>
      </w:r>
    </w:p>
    <w:p w14:paraId="4F407610" w14:textId="77777777" w:rsidR="00DA6454" w:rsidRPr="00DA6454" w:rsidRDefault="00DA6454" w:rsidP="0069580A">
      <w:pPr>
        <w:spacing w:before="100" w:beforeAutospacing="1" w:after="100" w:afterAutospacing="1"/>
        <w:jc w:val="both"/>
      </w:pPr>
      <w:r w:rsidRPr="00DA6454">
        <w:t>Aoyagi, J. (2021) 'Liquidity provision by automated market makers', Working Paper, UC Berkeley.</w:t>
      </w:r>
    </w:p>
    <w:p w14:paraId="76FE1A81" w14:textId="77777777" w:rsidR="00DA6454" w:rsidRPr="00DA6454" w:rsidRDefault="00DA6454" w:rsidP="0069580A">
      <w:pPr>
        <w:spacing w:before="100" w:beforeAutospacing="1" w:after="100" w:afterAutospacing="1"/>
        <w:jc w:val="both"/>
      </w:pPr>
      <w:proofErr w:type="spellStart"/>
      <w:r w:rsidRPr="00DA6454">
        <w:t>Aramonte</w:t>
      </w:r>
      <w:proofErr w:type="spellEnd"/>
      <w:r w:rsidRPr="00DA6454">
        <w:t xml:space="preserve">, S., Huang, W., &amp; Schrimpf, A. (2021) 'DeFi risks and the </w:t>
      </w:r>
      <w:proofErr w:type="spellStart"/>
      <w:r w:rsidRPr="00DA6454">
        <w:t>decentralisation</w:t>
      </w:r>
      <w:proofErr w:type="spellEnd"/>
      <w:r w:rsidRPr="00DA6454">
        <w:t xml:space="preserve"> illusion', BIS Quarterly Review, December 2021, pp. 21-36.</w:t>
      </w:r>
    </w:p>
    <w:p w14:paraId="0D4BB529" w14:textId="77777777" w:rsidR="00DA6454" w:rsidRPr="00DA6454" w:rsidRDefault="00DA6454" w:rsidP="0069580A">
      <w:pPr>
        <w:spacing w:before="100" w:beforeAutospacing="1" w:after="100" w:afterAutospacing="1"/>
        <w:jc w:val="both"/>
      </w:pPr>
      <w:r w:rsidRPr="00DA6454">
        <w:lastRenderedPageBreak/>
        <w:t>Arkes, H. R., &amp; Blumer, C. (1985). The psychology of sunk cost. Organizational Behavior and Human Decision Processes, 35(1), 124-140. https://doi.org/10.1016/0749-5978(85)90049-4</w:t>
      </w:r>
    </w:p>
    <w:p w14:paraId="2C71A7C2" w14:textId="77777777" w:rsidR="00DA6454" w:rsidRPr="00DA6454" w:rsidRDefault="00DA6454" w:rsidP="0069580A">
      <w:pPr>
        <w:spacing w:before="100" w:beforeAutospacing="1" w:after="100" w:afterAutospacing="1"/>
        <w:jc w:val="both"/>
      </w:pPr>
      <w:r w:rsidRPr="00DA6454">
        <w:t>Arthur, W. B. (1989) 'Competing technologies, increasing returns, and lock-in by historical events', Economic Journal, 99(394), pp. 116-131.</w:t>
      </w:r>
    </w:p>
    <w:p w14:paraId="1F3D8A5B" w14:textId="77777777" w:rsidR="00DA6454" w:rsidRPr="00DA6454" w:rsidRDefault="00DA6454" w:rsidP="0069580A">
      <w:pPr>
        <w:spacing w:before="100" w:beforeAutospacing="1" w:after="100" w:afterAutospacing="1"/>
        <w:jc w:val="both"/>
      </w:pPr>
      <w:r w:rsidRPr="00DA6454">
        <w:t xml:space="preserve">Auer, R. and Tercero-Lucas, D. (2022) 'Distrust or speculation? </w:t>
      </w:r>
      <w:proofErr w:type="gramStart"/>
      <w:r w:rsidRPr="00DA6454">
        <w:t>The socioeconomic</w:t>
      </w:r>
      <w:proofErr w:type="gramEnd"/>
    </w:p>
    <w:p w14:paraId="16F18679" w14:textId="77777777" w:rsidR="00DA6454" w:rsidRPr="00DA6454" w:rsidRDefault="00DA6454" w:rsidP="0069580A">
      <w:pPr>
        <w:spacing w:before="100" w:beforeAutospacing="1" w:after="100" w:afterAutospacing="1"/>
        <w:jc w:val="both"/>
      </w:pPr>
      <w:r w:rsidRPr="00DA6454">
        <w:t>Author's Analysis (2024) Empirical patterns in liquid staking derivatives. [Unpublished raw data from doctoral research].</w:t>
      </w:r>
    </w:p>
    <w:p w14:paraId="4AC09963" w14:textId="77777777" w:rsidR="00DA6454" w:rsidRPr="00DA6454" w:rsidRDefault="00DA6454" w:rsidP="0069580A">
      <w:pPr>
        <w:spacing w:before="100" w:beforeAutospacing="1" w:after="100" w:afterAutospacing="1"/>
        <w:jc w:val="both"/>
      </w:pPr>
      <w:r w:rsidRPr="00DA6454">
        <w:t>Author's Analysis (2024) Synthesis of multi-method research findings on DeFi viability. [Unpublished doctoral research].</w:t>
      </w:r>
    </w:p>
    <w:p w14:paraId="59C9451A" w14:textId="77777777" w:rsidR="00DA6454" w:rsidRPr="00DA6454" w:rsidRDefault="00DA6454" w:rsidP="0069580A">
      <w:pPr>
        <w:spacing w:before="100" w:beforeAutospacing="1" w:after="100" w:afterAutospacing="1"/>
        <w:jc w:val="both"/>
      </w:pPr>
      <w:r w:rsidRPr="00DA6454">
        <w:t>Author's Empirical Study (2023) Tracking analysis of 156 DeFi liquidity positions: January-December 2023. [Unpublished raw data from doctoral research].</w:t>
      </w:r>
    </w:p>
    <w:p w14:paraId="196CE3FE" w14:textId="77777777" w:rsidR="00DA6454" w:rsidRPr="00DA6454" w:rsidRDefault="00DA6454" w:rsidP="0069580A">
      <w:pPr>
        <w:spacing w:before="100" w:beforeAutospacing="1" w:after="100" w:afterAutospacing="1"/>
        <w:jc w:val="both"/>
      </w:pPr>
      <w:r w:rsidRPr="00DA6454">
        <w:t>Author's Empirical Study (2024) Tracking analysis of 156 DeFi liquidity positions: January 2020-December 2024. [Unpublished raw data from doctoral research].</w:t>
      </w:r>
    </w:p>
    <w:p w14:paraId="0173502F" w14:textId="77777777" w:rsidR="00DA6454" w:rsidRPr="00DA6454" w:rsidRDefault="00DA6454" w:rsidP="0069580A">
      <w:pPr>
        <w:spacing w:before="100" w:beforeAutospacing="1" w:after="100" w:afterAutospacing="1"/>
        <w:jc w:val="both"/>
      </w:pPr>
      <w:r w:rsidRPr="00DA6454">
        <w:t>Author's Interview Data (2023) Semi-structured interviews with 27 DeFi practitioners. [Unpublished interview transcripts from doctoral research].</w:t>
      </w:r>
    </w:p>
    <w:p w14:paraId="3FD7C46F" w14:textId="77777777" w:rsidR="00DA6454" w:rsidRPr="00DA6454" w:rsidRDefault="00DA6454" w:rsidP="0069580A">
      <w:pPr>
        <w:spacing w:before="100" w:beforeAutospacing="1" w:after="100" w:afterAutospacing="1"/>
        <w:jc w:val="both"/>
      </w:pPr>
      <w:r w:rsidRPr="00DA6454">
        <w:t>Available at: https://www.imf.org/en/Publications/WEO (Accessed: 15 January 2025).</w:t>
      </w:r>
    </w:p>
    <w:p w14:paraId="5397BA5B" w14:textId="77777777" w:rsidR="00DA6454" w:rsidRPr="00DA6454" w:rsidRDefault="00DA6454" w:rsidP="0069580A">
      <w:pPr>
        <w:spacing w:before="100" w:beforeAutospacing="1" w:after="100" w:afterAutospacing="1"/>
        <w:jc w:val="both"/>
      </w:pPr>
      <w:r w:rsidRPr="00DA6454">
        <w:t xml:space="preserve">Bailey, D. H., </w:t>
      </w:r>
      <w:proofErr w:type="spellStart"/>
      <w:r w:rsidRPr="00DA6454">
        <w:t>Borwein</w:t>
      </w:r>
      <w:proofErr w:type="spellEnd"/>
      <w:r w:rsidRPr="00DA6454">
        <w:t xml:space="preserve">, J. M., López de Prado, M., &amp; Zhu, Q. J. (2014) 'The probability of </w:t>
      </w:r>
      <w:proofErr w:type="spellStart"/>
      <w:r w:rsidRPr="00DA6454">
        <w:t>backtest</w:t>
      </w:r>
      <w:proofErr w:type="spellEnd"/>
      <w:r w:rsidRPr="00DA6454">
        <w:t xml:space="preserve"> overfitting', Journal of Computational Finance, 17(4), pp. 39-69.</w:t>
      </w:r>
    </w:p>
    <w:p w14:paraId="6A648C85" w14:textId="77777777" w:rsidR="003D7ACC" w:rsidRDefault="003D7ACC" w:rsidP="0069580A">
      <w:pPr>
        <w:spacing w:before="100" w:beforeAutospacing="1" w:after="100" w:afterAutospacing="1"/>
        <w:jc w:val="both"/>
        <w:rPr>
          <w:rFonts w:ascii="Times-Roman" w:eastAsiaTheme="minorEastAsia" w:hAnsi="Times-Roman" w:cs="Times-Roman"/>
        </w:rPr>
      </w:pPr>
      <w:proofErr w:type="spellStart"/>
      <w:r>
        <w:rPr>
          <w:rFonts w:ascii="Times-Roman" w:eastAsiaTheme="minorEastAsia" w:hAnsi="Times-Roman" w:cs="Times-Roman"/>
        </w:rPr>
        <w:t>Bancor</w:t>
      </w:r>
      <w:proofErr w:type="spellEnd"/>
      <w:r>
        <w:rPr>
          <w:rFonts w:ascii="Times-Roman" w:eastAsiaTheme="minorEastAsia" w:hAnsi="Times-Roman" w:cs="Times-Roman"/>
        </w:rPr>
        <w:t xml:space="preserve"> (2021) 'Uniswap v3 Impermanent Loss Study', November. </w:t>
      </w:r>
    </w:p>
    <w:p w14:paraId="7ED506CD" w14:textId="68ED15A7" w:rsidR="00DA6454" w:rsidRPr="00DA6454" w:rsidRDefault="00DA6454" w:rsidP="0069580A">
      <w:pPr>
        <w:spacing w:before="100" w:beforeAutospacing="1" w:after="100" w:afterAutospacing="1"/>
        <w:jc w:val="both"/>
      </w:pPr>
      <w:r w:rsidRPr="00DA6454">
        <w:t>Barber, B. M. and Odean, T. (2000) 'Trading is hazardous to your wealth: The common stock investment performance of individual investors', Journal of Finance, 55(2), pp. 773-806.</w:t>
      </w:r>
    </w:p>
    <w:p w14:paraId="4D72ED31" w14:textId="77777777" w:rsidR="00DA6454" w:rsidRPr="00DA6454" w:rsidRDefault="00DA6454" w:rsidP="0069580A">
      <w:pPr>
        <w:spacing w:before="100" w:beforeAutospacing="1" w:after="100" w:afterAutospacing="1"/>
        <w:jc w:val="both"/>
      </w:pPr>
      <w:r w:rsidRPr="00DA6454">
        <w:t>Barber, B. M., Lee, Y. T., Liu, Y. J., &amp; Odean, T. (2009) 'Just how much do individual investors lose by trading?', Review of Financial Studies, 22(2), pp. 609-632.</w:t>
      </w:r>
    </w:p>
    <w:p w14:paraId="4D02616B" w14:textId="77777777" w:rsidR="00DA6454" w:rsidRPr="00DA6454" w:rsidRDefault="00DA6454" w:rsidP="0069580A">
      <w:pPr>
        <w:spacing w:before="100" w:beforeAutospacing="1" w:after="100" w:afterAutospacing="1"/>
        <w:jc w:val="both"/>
      </w:pPr>
      <w:r w:rsidRPr="00DA6454">
        <w:t>Barber, B. M., &amp; Odean, T. (2000). Trading is hazardous to your wealth: The common stock investment performance of individual investors. The Journal of Finance, 55(2), 773-806. https://doi.org/10.1111/0022-1082.00226</w:t>
      </w:r>
    </w:p>
    <w:p w14:paraId="6F601FEF" w14:textId="77777777" w:rsidR="00DA6454" w:rsidRPr="00DA6454" w:rsidRDefault="00DA6454" w:rsidP="0069580A">
      <w:pPr>
        <w:spacing w:before="100" w:beforeAutospacing="1" w:after="100" w:afterAutospacing="1"/>
        <w:jc w:val="both"/>
      </w:pPr>
      <w:r w:rsidRPr="00DA6454">
        <w:t>Barbon, A. and Ranaldo, A. (2023) 'On the quality of cryptocurrency markets:</w:t>
      </w:r>
    </w:p>
    <w:p w14:paraId="55B5FA66" w14:textId="77777777" w:rsidR="00DA6454" w:rsidRPr="00DA6454" w:rsidRDefault="00DA6454" w:rsidP="0069580A">
      <w:pPr>
        <w:spacing w:before="100" w:beforeAutospacing="1" w:after="100" w:afterAutospacing="1"/>
        <w:jc w:val="both"/>
      </w:pPr>
      <w:r w:rsidRPr="00DA6454">
        <w:t xml:space="preserve">Bates, D., </w:t>
      </w:r>
      <w:proofErr w:type="spellStart"/>
      <w:r w:rsidRPr="00DA6454">
        <w:t>Mächler</w:t>
      </w:r>
      <w:proofErr w:type="spellEnd"/>
      <w:r w:rsidRPr="00DA6454">
        <w:t>, M., Bolker, B., &amp; Walker, S. (2015) 'Fitting linear mixed-effects models using lme4', Journal of Statistical Software, 67(1), pp. 1-48.</w:t>
      </w:r>
    </w:p>
    <w:p w14:paraId="17487A94" w14:textId="0F002A57" w:rsidR="00AB6731" w:rsidRDefault="00AB6731" w:rsidP="00AB6731">
      <w:pPr>
        <w:spacing w:before="100" w:beforeAutospacing="1" w:after="100" w:afterAutospacing="1"/>
        <w:jc w:val="both"/>
      </w:pPr>
      <w:r w:rsidRPr="00AB6731">
        <w:t xml:space="preserve">Belchior, R. et al. (2024) 'A systematic literature review on blockchain consensus mechanisms' security: Applications and open challenges', Computer Systems Science and Engineering, 48(6). </w:t>
      </w:r>
    </w:p>
    <w:p w14:paraId="7635F4E0" w14:textId="77777777" w:rsidR="00AB6731" w:rsidRDefault="00AB6731" w:rsidP="00AB6731">
      <w:pPr>
        <w:spacing w:before="100" w:beforeAutospacing="1" w:after="100" w:afterAutospacing="1"/>
        <w:jc w:val="both"/>
      </w:pPr>
      <w:r>
        <w:lastRenderedPageBreak/>
        <w:t xml:space="preserve">Belotti, M. et al. (2019) 'Core concepts, challenges, and future directions in blockchain: A centralized tutorial', ACM Computing Surveys, 52(5). </w:t>
      </w:r>
    </w:p>
    <w:p w14:paraId="41540E85" w14:textId="7796FB5C" w:rsidR="00DA6454" w:rsidRPr="00DA6454" w:rsidRDefault="00DA6454" w:rsidP="00AB6731">
      <w:pPr>
        <w:spacing w:before="100" w:beforeAutospacing="1" w:after="100" w:afterAutospacing="1"/>
        <w:jc w:val="both"/>
      </w:pPr>
      <w:r w:rsidRPr="00DA6454">
        <w:t>Bijker, W. E., &amp; Law, J. (1992). Shaping technology/building society: Studies in sociotechnical change. MIT Press.</w:t>
      </w:r>
    </w:p>
    <w:p w14:paraId="50BDDAA2" w14:textId="77777777" w:rsidR="00DA6454" w:rsidRPr="00DA6454" w:rsidRDefault="00DA6454" w:rsidP="0069580A">
      <w:pPr>
        <w:spacing w:before="100" w:beforeAutospacing="1" w:after="100" w:afterAutospacing="1"/>
        <w:jc w:val="both"/>
      </w:pPr>
      <w:r w:rsidRPr="00DA6454">
        <w:t>Bijker, W.E. and Law, J. (eds.) (1992) Shaping technology/building society: Studies</w:t>
      </w:r>
    </w:p>
    <w:p w14:paraId="1E795C49" w14:textId="77777777" w:rsidR="00DA6454" w:rsidRPr="00DA6454" w:rsidRDefault="00DA6454" w:rsidP="0069580A">
      <w:pPr>
        <w:spacing w:before="100" w:beforeAutospacing="1" w:after="100" w:afterAutospacing="1"/>
        <w:jc w:val="both"/>
      </w:pPr>
      <w:r w:rsidRPr="00DA6454">
        <w:t>Bikhchandani, S. and Sharma, S. (2000) 'Herd behavior in financial markets', IMF Staff Papers, 47(3), pp. 279-310.</w:t>
      </w:r>
    </w:p>
    <w:p w14:paraId="30D6116C" w14:textId="77777777" w:rsidR="00DA6454" w:rsidRPr="00DA6454" w:rsidRDefault="00DA6454" w:rsidP="0069580A">
      <w:pPr>
        <w:spacing w:before="100" w:beforeAutospacing="1" w:after="100" w:afterAutospacing="1"/>
        <w:jc w:val="both"/>
      </w:pPr>
      <w:r w:rsidRPr="00DA6454">
        <w:t>Black, F. (1986) 'Noise', Journal of Finance, 41(3), pp. 528-543.</w:t>
      </w:r>
    </w:p>
    <w:p w14:paraId="1F6718DB" w14:textId="77777777" w:rsidR="00DA6454" w:rsidRPr="00DA6454" w:rsidRDefault="00DA6454" w:rsidP="0069580A">
      <w:pPr>
        <w:spacing w:before="100" w:beforeAutospacing="1" w:after="100" w:afterAutospacing="1"/>
        <w:jc w:val="both"/>
      </w:pPr>
      <w:proofErr w:type="spellStart"/>
      <w:r w:rsidRPr="00DA6454">
        <w:t>Bookstaber</w:t>
      </w:r>
      <w:proofErr w:type="spellEnd"/>
      <w:r w:rsidRPr="00DA6454">
        <w:t>, R. (2007) A demon of our own design: Markets, hedge funds, and the perils of financial innovation. John Wiley &amp; Sons.</w:t>
      </w:r>
    </w:p>
    <w:p w14:paraId="51313B03" w14:textId="77777777" w:rsidR="00DA6454" w:rsidRPr="00DA6454" w:rsidRDefault="00DA6454" w:rsidP="0069580A">
      <w:pPr>
        <w:spacing w:before="100" w:beforeAutospacing="1" w:after="100" w:afterAutospacing="1"/>
        <w:jc w:val="both"/>
      </w:pPr>
      <w:proofErr w:type="spellStart"/>
      <w:r w:rsidRPr="00DA6454">
        <w:t>Bookstaber</w:t>
      </w:r>
      <w:proofErr w:type="spellEnd"/>
      <w:r w:rsidRPr="00DA6454">
        <w:t>, R. (2017). The end of theory: Financial crises, the failure of economics, and the sweep of human interaction. Princeton University Press.</w:t>
      </w:r>
    </w:p>
    <w:p w14:paraId="68B1B76E" w14:textId="77777777" w:rsidR="00DA6454" w:rsidRPr="00DA6454" w:rsidRDefault="00DA6454" w:rsidP="0069580A">
      <w:pPr>
        <w:spacing w:before="100" w:beforeAutospacing="1" w:after="100" w:afterAutospacing="1"/>
        <w:jc w:val="both"/>
      </w:pPr>
      <w:r w:rsidRPr="00DA6454">
        <w:t>Bourdieu, P. (1986) 'The forms of capital', in J. Richardson (ed.), Handbook of Theory and Research for the Sociology of Education. Westport, CT: Greenwood, pp. 241-258.</w:t>
      </w:r>
    </w:p>
    <w:p w14:paraId="04D6F2E5" w14:textId="77777777" w:rsidR="00DA6454" w:rsidRPr="00DA6454" w:rsidRDefault="00DA6454" w:rsidP="0069580A">
      <w:pPr>
        <w:spacing w:before="100" w:beforeAutospacing="1" w:after="100" w:afterAutospacing="1"/>
        <w:jc w:val="both"/>
      </w:pPr>
      <w:r w:rsidRPr="00DA6454">
        <w:t>Boyd, J. H. and Prescott, E. C. (1986) 'Financial intermediary-coalitions', Journal of Economic Theory, 38(2), pp. 211-232.</w:t>
      </w:r>
    </w:p>
    <w:p w14:paraId="4530FF4D" w14:textId="77777777" w:rsidR="00DA6454" w:rsidRPr="00DA6454" w:rsidRDefault="00DA6454" w:rsidP="0069580A">
      <w:pPr>
        <w:spacing w:before="100" w:beforeAutospacing="1" w:after="100" w:afterAutospacing="1"/>
        <w:jc w:val="both"/>
      </w:pPr>
      <w:r w:rsidRPr="00DA6454">
        <w:t>Boyd, S. and Vandenberghe, L. (2004) Convex optimization. Cambridge University Press.</w:t>
      </w:r>
    </w:p>
    <w:p w14:paraId="03BF0B16" w14:textId="77777777" w:rsidR="00DA6454" w:rsidRPr="00DA6454" w:rsidRDefault="00DA6454" w:rsidP="0069580A">
      <w:pPr>
        <w:spacing w:before="100" w:beforeAutospacing="1" w:after="100" w:afterAutospacing="1"/>
        <w:jc w:val="both"/>
      </w:pPr>
      <w:r w:rsidRPr="00DA6454">
        <w:t>Braun, V. and Clarke, V. (2006) 'Using thematic analysis in psychology', Qualitative Research in Psychology, 3(2), pp. 77-101.</w:t>
      </w:r>
    </w:p>
    <w:p w14:paraId="531903DD" w14:textId="77777777" w:rsidR="00DA6454" w:rsidRPr="00DA6454" w:rsidRDefault="00DA6454" w:rsidP="0069580A">
      <w:pPr>
        <w:spacing w:before="100" w:beforeAutospacing="1" w:after="100" w:afterAutospacing="1"/>
        <w:jc w:val="both"/>
      </w:pPr>
      <w:r w:rsidRPr="00DA6454">
        <w:t>Braun, V. and Clarke, V. (2022) Thematic analysis: A practical guide. SAGE Publications.</w:t>
      </w:r>
    </w:p>
    <w:p w14:paraId="01B609F5" w14:textId="77777777" w:rsidR="00DA6454" w:rsidRPr="00DA6454" w:rsidRDefault="00DA6454" w:rsidP="0069580A">
      <w:pPr>
        <w:spacing w:before="100" w:beforeAutospacing="1" w:after="100" w:afterAutospacing="1"/>
        <w:jc w:val="both"/>
      </w:pPr>
      <w:r w:rsidRPr="00DA6454">
        <w:t>Brennan, M. J. and Schwartz, E. S. (1985) 'Evaluating natural resource investments', Journal of Business, 58(2), pp. 135-157.</w:t>
      </w:r>
    </w:p>
    <w:p w14:paraId="3FA8B938" w14:textId="77777777" w:rsidR="00DA6454" w:rsidRPr="00DA6454" w:rsidRDefault="00DA6454" w:rsidP="0069580A">
      <w:pPr>
        <w:spacing w:before="100" w:beforeAutospacing="1" w:after="100" w:afterAutospacing="1"/>
        <w:jc w:val="both"/>
      </w:pPr>
      <w:r w:rsidRPr="00DA6454">
        <w:t xml:space="preserve">Brock, W., </w:t>
      </w:r>
      <w:proofErr w:type="spellStart"/>
      <w:r w:rsidRPr="00DA6454">
        <w:t>Lakonishok</w:t>
      </w:r>
      <w:proofErr w:type="spellEnd"/>
      <w:r w:rsidRPr="00DA6454">
        <w:t>, J., &amp; LeBaron, B. (1992) 'Simple technical trading rules and the stochastic properties of stock returns', Journal of Finance, 47(5), pp. 1731-1764.</w:t>
      </w:r>
    </w:p>
    <w:p w14:paraId="46D6828C" w14:textId="77777777" w:rsidR="00DA6454" w:rsidRPr="00DA6454" w:rsidRDefault="00DA6454" w:rsidP="0069580A">
      <w:pPr>
        <w:spacing w:before="100" w:beforeAutospacing="1" w:after="100" w:afterAutospacing="1"/>
        <w:jc w:val="both"/>
      </w:pPr>
      <w:r w:rsidRPr="00DA6454">
        <w:t>Brown, S. J., Goetzmann, W., Ibbotson, R. G., &amp; Ross, S. A. (1992) 'Survivorship bias in performance studies', Review of Financial Studies, 5(4), pp. 553-580.</w:t>
      </w:r>
    </w:p>
    <w:p w14:paraId="2E5B003D" w14:textId="77777777" w:rsidR="00DA6454" w:rsidRPr="00DA6454" w:rsidRDefault="00DA6454" w:rsidP="0069580A">
      <w:pPr>
        <w:spacing w:before="100" w:beforeAutospacing="1" w:after="100" w:afterAutospacing="1"/>
        <w:jc w:val="both"/>
      </w:pPr>
      <w:r w:rsidRPr="00DA6454">
        <w:t>Brown, S.J., Goetzmann, W.N. and Ross, S.A. (1995) 'Survival', Journal of Finance,</w:t>
      </w:r>
    </w:p>
    <w:p w14:paraId="7424F3A8" w14:textId="77777777" w:rsidR="00DA6454" w:rsidRPr="00DA6454" w:rsidRDefault="00DA6454" w:rsidP="0069580A">
      <w:pPr>
        <w:spacing w:before="100" w:beforeAutospacing="1" w:after="100" w:afterAutospacing="1"/>
        <w:jc w:val="both"/>
      </w:pPr>
      <w:r w:rsidRPr="00DA6454">
        <w:t>Brynjolfsson, E. and McAfee, A. (2014) The second machine age: Work, progress, and prosperity in a time of brilliant technologies. W. W. Norton &amp; Company.</w:t>
      </w:r>
    </w:p>
    <w:p w14:paraId="0133E26D" w14:textId="77777777" w:rsidR="00AB6731" w:rsidRDefault="00AB6731" w:rsidP="0069580A">
      <w:pPr>
        <w:spacing w:before="100" w:beforeAutospacing="1" w:after="100" w:afterAutospacing="1"/>
        <w:jc w:val="both"/>
      </w:pPr>
      <w:r w:rsidRPr="00AB6731">
        <w:t>BSC News (2021) 'What are BNB Chain Validators', 27 March. Available at: https://bsc.news/post/bsc-validators-explained (Accessed: 1 November 2025).</w:t>
      </w:r>
    </w:p>
    <w:p w14:paraId="48A46985" w14:textId="729CB760" w:rsidR="00DA6454" w:rsidRPr="00DA6454" w:rsidRDefault="00DA6454" w:rsidP="0069580A">
      <w:pPr>
        <w:spacing w:before="100" w:beforeAutospacing="1" w:after="100" w:afterAutospacing="1"/>
        <w:jc w:val="both"/>
      </w:pPr>
      <w:r w:rsidRPr="00DA6454">
        <w:lastRenderedPageBreak/>
        <w:t>Buterin, V. (2014) 'A next-generation smart contract and decentralized application platform', Ethereum White Paper.</w:t>
      </w:r>
    </w:p>
    <w:p w14:paraId="6670E5F6" w14:textId="77777777" w:rsidR="00DA6454" w:rsidRPr="00DA6454" w:rsidRDefault="00DA6454" w:rsidP="0069580A">
      <w:pPr>
        <w:spacing w:before="100" w:beforeAutospacing="1" w:after="100" w:afterAutospacing="1"/>
        <w:jc w:val="both"/>
      </w:pPr>
      <w:r w:rsidRPr="00DA6454">
        <w:t>Buterin, V. (2014) 'A next-generation smart contract and decentralized application</w:t>
      </w:r>
    </w:p>
    <w:p w14:paraId="1432F59F" w14:textId="77777777" w:rsidR="00DA6454" w:rsidRPr="00DA6454" w:rsidRDefault="00DA6454" w:rsidP="0069580A">
      <w:pPr>
        <w:spacing w:before="100" w:beforeAutospacing="1" w:after="100" w:afterAutospacing="1"/>
        <w:jc w:val="both"/>
      </w:pPr>
      <w:r w:rsidRPr="00DA6454">
        <w:t>Cameron, A. C., &amp; Trivedi, P. K. (2013). Regression Analysis of Count Data (2nd ed.). Cambridge University Press.</w:t>
      </w:r>
    </w:p>
    <w:p w14:paraId="020593C8" w14:textId="77777777" w:rsidR="00DA6454" w:rsidRPr="00DA6454" w:rsidRDefault="00DA6454" w:rsidP="0069580A">
      <w:pPr>
        <w:spacing w:before="100" w:beforeAutospacing="1" w:after="100" w:afterAutospacing="1"/>
        <w:jc w:val="both"/>
      </w:pPr>
      <w:r w:rsidRPr="00DA6454">
        <w:t>Campbell, J. Y., Giglio, S., &amp; Pathak, P. (2023) 'Forced sales and house prices', American Economic Review, 113(1), pp. 108-132.</w:t>
      </w:r>
    </w:p>
    <w:p w14:paraId="2B0309EB" w14:textId="77777777" w:rsidR="00DA6454" w:rsidRPr="00DA6454" w:rsidRDefault="00DA6454" w:rsidP="0069580A">
      <w:pPr>
        <w:spacing w:before="100" w:beforeAutospacing="1" w:after="100" w:afterAutospacing="1"/>
        <w:jc w:val="both"/>
      </w:pPr>
      <w:r w:rsidRPr="00DA6454">
        <w:t>Canty, A. and Ripley, B. (2021) boot: Bootstrap R (S-Plus) Functions. R package version 1.3-28.1. Available at: https://CRAN.R-project.org/package=boot</w:t>
      </w:r>
    </w:p>
    <w:p w14:paraId="2EA040EF" w14:textId="77777777" w:rsidR="00DA6454" w:rsidRPr="00DA6454" w:rsidRDefault="00DA6454" w:rsidP="0069580A">
      <w:pPr>
        <w:spacing w:before="100" w:beforeAutospacing="1" w:after="100" w:afterAutospacing="1"/>
        <w:jc w:val="both"/>
      </w:pPr>
      <w:r w:rsidRPr="00DA6454">
        <w:t xml:space="preserve">Capponi, A. and Jia, R. (2021) 'The adoption of blockchain-based decentralized exchanges', </w:t>
      </w:r>
      <w:proofErr w:type="spellStart"/>
      <w:r w:rsidRPr="00DA6454">
        <w:t>arXiv</w:t>
      </w:r>
      <w:proofErr w:type="spellEnd"/>
      <w:r w:rsidRPr="00DA6454">
        <w:t xml:space="preserve"> preprint arXiv:2103.08842.</w:t>
      </w:r>
    </w:p>
    <w:p w14:paraId="54E7E305" w14:textId="77777777" w:rsidR="00DA6454" w:rsidRPr="00DA6454" w:rsidRDefault="00DA6454" w:rsidP="0069580A">
      <w:pPr>
        <w:spacing w:before="100" w:beforeAutospacing="1" w:after="100" w:afterAutospacing="1"/>
        <w:jc w:val="both"/>
      </w:pPr>
      <w:r w:rsidRPr="00DA6454">
        <w:t>Capponi, A., Jia, R. and Wang, S. (2023) 'The evolution of decentralized exchanges',</w:t>
      </w:r>
    </w:p>
    <w:p w14:paraId="127A2E3B" w14:textId="77777777" w:rsidR="00AE42F0" w:rsidRDefault="00AE42F0" w:rsidP="0069580A">
      <w:pPr>
        <w:spacing w:before="100" w:beforeAutospacing="1" w:after="100" w:afterAutospacing="1"/>
        <w:jc w:val="both"/>
        <w:rPr>
          <w:rFonts w:ascii="Times-Roman" w:eastAsiaTheme="minorEastAsia" w:hAnsi="Times-Roman" w:cs="Times-Roman"/>
        </w:rPr>
      </w:pPr>
      <w:r>
        <w:rPr>
          <w:rFonts w:ascii="Times-Roman" w:eastAsiaTheme="minorEastAsia" w:hAnsi="Times-Roman" w:cs="Times-Roman"/>
        </w:rPr>
        <w:t xml:space="preserve">Cartea, Á., Drissi, F. and Monga, M. (2023) 'Predictable losses of liquidity provision in constant function markets and concentrated liquidity markets', </w:t>
      </w:r>
      <w:r>
        <w:rPr>
          <w:rFonts w:ascii="Times-Italic" w:eastAsiaTheme="minorEastAsia" w:hAnsi="Times-Italic" w:cs="Times-Italic"/>
          <w:i/>
          <w:iCs/>
        </w:rPr>
        <w:t>Quantitative Finance</w:t>
      </w:r>
      <w:r>
        <w:rPr>
          <w:rFonts w:ascii="Times-Roman" w:eastAsiaTheme="minorEastAsia" w:hAnsi="Times-Roman" w:cs="Times-Roman"/>
        </w:rPr>
        <w:t xml:space="preserve">, 23(12), pp. 1793-1816. </w:t>
      </w:r>
    </w:p>
    <w:p w14:paraId="5EFD1A9F" w14:textId="461AF01C" w:rsidR="00DA6454" w:rsidRPr="00DA6454" w:rsidRDefault="00DA6454" w:rsidP="0069580A">
      <w:pPr>
        <w:spacing w:before="100" w:beforeAutospacing="1" w:after="100" w:afterAutospacing="1"/>
        <w:jc w:val="both"/>
      </w:pPr>
      <w:r w:rsidRPr="00DA6454">
        <w:t>Cartea, Á. and Jaimungal, S. (2016) Algorithmic and high-frequency trading. Cambridge University Press.</w:t>
      </w:r>
    </w:p>
    <w:p w14:paraId="2EF31D81" w14:textId="77777777" w:rsidR="00DA6454" w:rsidRPr="00DA6454" w:rsidRDefault="00DA6454" w:rsidP="0069580A">
      <w:pPr>
        <w:spacing w:before="100" w:beforeAutospacing="1" w:after="100" w:afterAutospacing="1"/>
        <w:jc w:val="both"/>
      </w:pPr>
      <w:r w:rsidRPr="00DA6454">
        <w:t>Catalini, C. and Gans, J. S. (2020) 'Some simple economics of the blockchain', Communications of the ACM, 63(7), pp. 80-90.</w:t>
      </w:r>
    </w:p>
    <w:p w14:paraId="3FBFAC3D" w14:textId="77777777" w:rsidR="00DA6454" w:rsidRPr="00DA6454" w:rsidRDefault="00DA6454" w:rsidP="0069580A">
      <w:pPr>
        <w:spacing w:before="100" w:beforeAutospacing="1" w:after="100" w:afterAutospacing="1"/>
        <w:jc w:val="both"/>
      </w:pPr>
      <w:r w:rsidRPr="00DA6454">
        <w:t>Central Bank of Nigeria (2023) 'Foreign Exchange Management in Nigeria', CBN</w:t>
      </w:r>
    </w:p>
    <w:p w14:paraId="373F79DA" w14:textId="77777777" w:rsidR="00DA6454" w:rsidRPr="00DA6454" w:rsidRDefault="00DA6454" w:rsidP="0069580A">
      <w:pPr>
        <w:spacing w:before="100" w:beforeAutospacing="1" w:after="100" w:afterAutospacing="1"/>
        <w:jc w:val="both"/>
      </w:pPr>
      <w:r w:rsidRPr="00DA6454">
        <w:t>Central Bank of Nigeria (2023) 'Foreign exchange management in Nigeria', CBN Statistical Bulletin, 34(1), pp. 1-45.</w:t>
      </w:r>
    </w:p>
    <w:p w14:paraId="193263EF" w14:textId="77777777" w:rsidR="00DA6454" w:rsidRPr="00DA6454" w:rsidRDefault="00DA6454" w:rsidP="0069580A">
      <w:pPr>
        <w:spacing w:before="100" w:beforeAutospacing="1" w:after="100" w:afterAutospacing="1"/>
        <w:jc w:val="both"/>
      </w:pPr>
      <w:r w:rsidRPr="00DA6454">
        <w:t>Centralized versus decentralized exchanges', Journal of Financial Economics,</w:t>
      </w:r>
    </w:p>
    <w:p w14:paraId="3D308318" w14:textId="77777777" w:rsidR="00DA6454" w:rsidRPr="00DA6454" w:rsidRDefault="00DA6454" w:rsidP="0069580A">
      <w:pPr>
        <w:spacing w:before="100" w:beforeAutospacing="1" w:after="100" w:afterAutospacing="1"/>
        <w:jc w:val="both"/>
      </w:pPr>
      <w:r w:rsidRPr="00DA6454">
        <w:t>Centralized versus decentralized exchanges', Journal of Financial Economics, 148(1),</w:t>
      </w:r>
    </w:p>
    <w:p w14:paraId="0921FD33" w14:textId="77777777" w:rsidR="00DA6454" w:rsidRPr="00DA6454" w:rsidRDefault="00DA6454" w:rsidP="0069580A">
      <w:pPr>
        <w:spacing w:before="100" w:beforeAutospacing="1" w:after="100" w:afterAutospacing="1"/>
        <w:jc w:val="both"/>
      </w:pPr>
      <w:proofErr w:type="spellStart"/>
      <w:r w:rsidRPr="00DA6454">
        <w:t>Chainalysis</w:t>
      </w:r>
      <w:proofErr w:type="spellEnd"/>
      <w:r w:rsidRPr="00DA6454">
        <w:t xml:space="preserve"> (2024) Global Cryptocurrency Adoption Report 2024. New York: </w:t>
      </w:r>
      <w:proofErr w:type="spellStart"/>
      <w:r w:rsidRPr="00DA6454">
        <w:t>Chainalysis</w:t>
      </w:r>
      <w:proofErr w:type="spellEnd"/>
      <w:r w:rsidRPr="00DA6454">
        <w:t xml:space="preserve"> Inc.</w:t>
      </w:r>
    </w:p>
    <w:p w14:paraId="77FB39F5" w14:textId="77777777" w:rsidR="00DA6454" w:rsidRPr="00DA6454" w:rsidRDefault="00DA6454" w:rsidP="0069580A">
      <w:pPr>
        <w:spacing w:before="100" w:beforeAutospacing="1" w:after="100" w:afterAutospacing="1"/>
        <w:jc w:val="both"/>
      </w:pPr>
      <w:r w:rsidRPr="00DA6454">
        <w:t>Charmaz, K. (2014) Constructing grounded theory (2nd ed.). SAGE Publications.</w:t>
      </w:r>
    </w:p>
    <w:p w14:paraId="7BEB6130" w14:textId="77777777" w:rsidR="00DA6454" w:rsidRPr="00DA6454" w:rsidRDefault="00DA6454" w:rsidP="0069580A">
      <w:pPr>
        <w:spacing w:before="100" w:beforeAutospacing="1" w:after="100" w:afterAutospacing="1"/>
        <w:jc w:val="both"/>
      </w:pPr>
      <w:r w:rsidRPr="00DA6454">
        <w:t xml:space="preserve">Chen, W., Wu, J., </w:t>
      </w:r>
      <w:proofErr w:type="gramStart"/>
      <w:r w:rsidRPr="00DA6454">
        <w:t>Zheng, Z.</w:t>
      </w:r>
      <w:proofErr w:type="gramEnd"/>
      <w:r w:rsidRPr="00DA6454">
        <w:t>, Chen, C. and Zhou, Y. (2023) 'Market manipulation in</w:t>
      </w:r>
    </w:p>
    <w:p w14:paraId="0FFC71F1" w14:textId="77777777" w:rsidR="00DA6454" w:rsidRPr="00DA6454" w:rsidRDefault="00DA6454" w:rsidP="0069580A">
      <w:pPr>
        <w:spacing w:before="100" w:beforeAutospacing="1" w:after="100" w:afterAutospacing="1"/>
        <w:jc w:val="both"/>
      </w:pPr>
      <w:r w:rsidRPr="00DA6454">
        <w:t>Christians, C. G. (2011) 'Ethics and politics in qualitative research', in N. K. Denzin &amp; Y. S. Lincoln (eds), The SAGE handbook of qualitative research (4th ed.). SAGE Publications, pp. 61-80.</w:t>
      </w:r>
    </w:p>
    <w:p w14:paraId="62ABD5A2" w14:textId="77777777" w:rsidR="00DA6454" w:rsidRPr="00DA6454" w:rsidRDefault="00DA6454" w:rsidP="0069580A">
      <w:pPr>
        <w:spacing w:before="100" w:beforeAutospacing="1" w:after="100" w:afterAutospacing="1"/>
        <w:jc w:val="both"/>
      </w:pPr>
      <w:r w:rsidRPr="00DA6454">
        <w:lastRenderedPageBreak/>
        <w:t>Clausewitz, C. von (1832) On War [</w:t>
      </w:r>
      <w:proofErr w:type="spellStart"/>
      <w:r w:rsidRPr="00DA6454">
        <w:t>Vom</w:t>
      </w:r>
      <w:proofErr w:type="spellEnd"/>
      <w:r w:rsidRPr="00DA6454">
        <w:t xml:space="preserve"> Kriege]. Berlin: </w:t>
      </w:r>
      <w:proofErr w:type="spellStart"/>
      <w:r w:rsidRPr="00DA6454">
        <w:t>Dümmlers</w:t>
      </w:r>
      <w:proofErr w:type="spellEnd"/>
      <w:r w:rsidRPr="00DA6454">
        <w:t xml:space="preserve"> Verlag.</w:t>
      </w:r>
    </w:p>
    <w:p w14:paraId="752F92B2" w14:textId="77777777" w:rsidR="00DA6454" w:rsidRPr="00DA6454" w:rsidRDefault="00DA6454" w:rsidP="0069580A">
      <w:pPr>
        <w:spacing w:before="100" w:beforeAutospacing="1" w:after="100" w:afterAutospacing="1"/>
        <w:jc w:val="both"/>
      </w:pPr>
      <w:r w:rsidRPr="00DA6454">
        <w:t>Clausewitz, C. von. (1832/1989). On war (M. Howard &amp; P. Paret, Trans.). Princeton University Press. (Original work published 1832)</w:t>
      </w:r>
    </w:p>
    <w:p w14:paraId="3D1BB79E" w14:textId="77777777" w:rsidR="00DA6454" w:rsidRPr="00DA6454" w:rsidRDefault="00DA6454" w:rsidP="0069580A">
      <w:pPr>
        <w:spacing w:before="100" w:beforeAutospacing="1" w:after="100" w:afterAutospacing="1"/>
        <w:jc w:val="both"/>
      </w:pPr>
      <w:proofErr w:type="spellStart"/>
      <w:r w:rsidRPr="00DA6454">
        <w:t>CoinGecko</w:t>
      </w:r>
      <w:proofErr w:type="spellEnd"/>
      <w:r w:rsidRPr="00DA6454">
        <w:t xml:space="preserve"> (2023) USDC </w:t>
      </w:r>
      <w:proofErr w:type="spellStart"/>
      <w:r w:rsidRPr="00DA6454">
        <w:t>Depeg</w:t>
      </w:r>
      <w:proofErr w:type="spellEnd"/>
      <w:r w:rsidRPr="00DA6454">
        <w:t xml:space="preserve"> Event Analysis: March 2023. Market Report.</w:t>
      </w:r>
    </w:p>
    <w:p w14:paraId="6B5FF31A" w14:textId="77777777" w:rsidR="00DA6454" w:rsidRPr="00DA6454" w:rsidRDefault="00DA6454" w:rsidP="0069580A">
      <w:pPr>
        <w:spacing w:before="100" w:beforeAutospacing="1" w:after="100" w:afterAutospacing="1"/>
        <w:jc w:val="both"/>
      </w:pPr>
      <w:r w:rsidRPr="00DA6454">
        <w:t>Constantinides, G. M. (1979) 'A note on the suboptimality of dollar-cost averaging as an investment policy', Journal of Financial and Quantitative Analysis, 14(2), pp. 443-450.</w:t>
      </w:r>
    </w:p>
    <w:p w14:paraId="5AFE09F4" w14:textId="77777777" w:rsidR="00DA6454" w:rsidRPr="00DA6454" w:rsidRDefault="00DA6454" w:rsidP="0069580A">
      <w:pPr>
        <w:spacing w:before="100" w:beforeAutospacing="1" w:after="100" w:afterAutospacing="1"/>
        <w:jc w:val="both"/>
      </w:pPr>
      <w:proofErr w:type="spellStart"/>
      <w:r w:rsidRPr="00DA6454">
        <w:t>Cont</w:t>
      </w:r>
      <w:proofErr w:type="spellEnd"/>
      <w:r w:rsidRPr="00DA6454">
        <w:t>, R. (2001) 'Empirical properties of asset returns: Stylized facts and statistical issues', Quantitative Finance, 1(2), pp. 223-236.</w:t>
      </w:r>
    </w:p>
    <w:p w14:paraId="5ED0C9DA" w14:textId="77777777" w:rsidR="00DA6454" w:rsidRPr="00DA6454" w:rsidRDefault="00DA6454" w:rsidP="0069580A">
      <w:pPr>
        <w:spacing w:before="100" w:beforeAutospacing="1" w:after="100" w:afterAutospacing="1"/>
        <w:jc w:val="both"/>
      </w:pPr>
      <w:r w:rsidRPr="00DA6454">
        <w:t>Cook, T. D. and Campbell, D. T. (1979) Quasi-experimentation: Design and analysis issues for field settings. Boston: Houghton Mifflin.</w:t>
      </w:r>
    </w:p>
    <w:p w14:paraId="0ADCA5D6" w14:textId="77777777" w:rsidR="00DA6454" w:rsidRPr="00DA6454" w:rsidRDefault="00DA6454" w:rsidP="0069580A">
      <w:pPr>
        <w:spacing w:before="100" w:beforeAutospacing="1" w:after="100" w:afterAutospacing="1"/>
        <w:jc w:val="both"/>
      </w:pPr>
      <w:r w:rsidRPr="00DA6454">
        <w:t>Core', Technical whitepaper. Available at: https://uniswap.org/whitepaper-v3.pdf</w:t>
      </w:r>
    </w:p>
    <w:p w14:paraId="4DD2BCF6" w14:textId="77777777" w:rsidR="00DA6454" w:rsidRPr="00DA6454" w:rsidRDefault="00DA6454" w:rsidP="0069580A">
      <w:pPr>
        <w:spacing w:before="100" w:beforeAutospacing="1" w:after="100" w:afterAutospacing="1"/>
        <w:jc w:val="both"/>
      </w:pPr>
      <w:r w:rsidRPr="00DA6454">
        <w:t xml:space="preserve">Cox, D. R. (1972) 'Regression models and </w:t>
      </w:r>
      <w:proofErr w:type="gramStart"/>
      <w:r w:rsidRPr="00DA6454">
        <w:t>life-tables</w:t>
      </w:r>
      <w:proofErr w:type="gramEnd"/>
      <w:r w:rsidRPr="00DA6454">
        <w:t>', Journal of the Royal Statistical Society: Series B, 34(2), pp. 187-202.</w:t>
      </w:r>
    </w:p>
    <w:p w14:paraId="65C5BA9E" w14:textId="77777777" w:rsidR="003D7ACC" w:rsidRDefault="003D7ACC" w:rsidP="0069580A">
      <w:pPr>
        <w:spacing w:before="100" w:beforeAutospacing="1" w:after="100" w:afterAutospacing="1"/>
        <w:jc w:val="both"/>
        <w:rPr>
          <w:rFonts w:ascii="Times-Roman" w:eastAsiaTheme="minorEastAsia" w:hAnsi="Times-Roman" w:cs="Times-Roman"/>
        </w:rPr>
      </w:pPr>
      <w:r>
        <w:rPr>
          <w:rFonts w:ascii="Times-Roman" w:eastAsiaTheme="minorEastAsia" w:hAnsi="Times-Roman" w:cs="Times-Roman"/>
        </w:rPr>
        <w:t xml:space="preserve">Crenshaw, C.A. (2021) 'Statement on DeFi Risks, Regulations, and Opportunities', U.S. Securities and Exchange Commission, 9 November. </w:t>
      </w:r>
    </w:p>
    <w:p w14:paraId="28A80861" w14:textId="34ACD720" w:rsidR="00DA6454" w:rsidRPr="00DA6454" w:rsidRDefault="00DA6454" w:rsidP="0069580A">
      <w:pPr>
        <w:spacing w:before="100" w:beforeAutospacing="1" w:after="100" w:afterAutospacing="1"/>
        <w:jc w:val="both"/>
      </w:pPr>
      <w:r w:rsidRPr="00DA6454">
        <w:t>Creswell, J. W. and Plano Clark, V. L. (2017) Designing and conducting mixed methods research (3rd ed.). SAGE Publications.</w:t>
      </w:r>
    </w:p>
    <w:p w14:paraId="51563100" w14:textId="77777777" w:rsidR="00DA6454" w:rsidRDefault="00DA6454" w:rsidP="0069580A">
      <w:pPr>
        <w:spacing w:before="100" w:beforeAutospacing="1" w:after="100" w:afterAutospacing="1"/>
        <w:jc w:val="both"/>
      </w:pPr>
      <w:r w:rsidRPr="00DA6454">
        <w:t>Creswell, J. W. and Poth, C. N. (2018) Qualitative inquiry and research design: Choosing among five approaches (4th ed.). SAGE Publications.</w:t>
      </w:r>
    </w:p>
    <w:p w14:paraId="4F8AC9D4" w14:textId="79D52A01" w:rsidR="00ED08F0" w:rsidRPr="00DA6454" w:rsidRDefault="00ED08F0" w:rsidP="0069580A">
      <w:pPr>
        <w:spacing w:before="100" w:beforeAutospacing="1" w:after="100" w:afterAutospacing="1"/>
        <w:jc w:val="both"/>
      </w:pPr>
      <w:r>
        <w:rPr>
          <w:rFonts w:ascii="Times-Roman" w:eastAsiaTheme="minorEastAsia" w:hAnsi="Times-Roman" w:cs="Times-Roman"/>
        </w:rPr>
        <w:t xml:space="preserve">Cui, Z. et al. (2023) 'Static replication of impermanent loss for concentrated liquidity provision in </w:t>
      </w:r>
      <w:proofErr w:type="spellStart"/>
      <w:r>
        <w:rPr>
          <w:rFonts w:ascii="Times-Roman" w:eastAsiaTheme="minorEastAsia" w:hAnsi="Times-Roman" w:cs="Times-Roman"/>
        </w:rPr>
        <w:t>decentralised</w:t>
      </w:r>
      <w:proofErr w:type="spellEnd"/>
      <w:r>
        <w:rPr>
          <w:rFonts w:ascii="Times-Roman" w:eastAsiaTheme="minorEastAsia" w:hAnsi="Times-Roman" w:cs="Times-Roman"/>
        </w:rPr>
        <w:t xml:space="preserve"> markets', </w:t>
      </w:r>
      <w:r>
        <w:rPr>
          <w:rFonts w:ascii="Times-Italic" w:eastAsiaTheme="minorEastAsia" w:hAnsi="Times-Italic" w:cs="Times-Italic"/>
          <w:i/>
          <w:iCs/>
        </w:rPr>
        <w:t>Economics Letters</w:t>
      </w:r>
      <w:r>
        <w:rPr>
          <w:rFonts w:ascii="Times-Roman" w:eastAsiaTheme="minorEastAsia" w:hAnsi="Times-Roman" w:cs="Times-Roman"/>
        </w:rPr>
        <w:t>, 226, 111087.</w:t>
      </w:r>
    </w:p>
    <w:p w14:paraId="72A2BCF1" w14:textId="77777777" w:rsidR="00DA6454" w:rsidRPr="00DA6454" w:rsidRDefault="00DA6454" w:rsidP="0069580A">
      <w:pPr>
        <w:spacing w:before="100" w:beforeAutospacing="1" w:after="100" w:afterAutospacing="1"/>
        <w:jc w:val="both"/>
      </w:pPr>
      <w:r w:rsidRPr="00DA6454">
        <w:t>Cumming, G. (2014) 'The new statistics: Why and how', Psychological Science, 25(1), pp. 7-29.</w:t>
      </w:r>
    </w:p>
    <w:p w14:paraId="683751A0" w14:textId="77777777" w:rsidR="00DA6454" w:rsidRPr="00DA6454" w:rsidRDefault="00DA6454" w:rsidP="0069580A">
      <w:pPr>
        <w:spacing w:before="100" w:beforeAutospacing="1" w:after="100" w:afterAutospacing="1"/>
        <w:jc w:val="both"/>
      </w:pPr>
      <w:r w:rsidRPr="00DA6454">
        <w:t>D. G. (2016) 'Statistical tests, P values, confidence intervals, and power: A guide to misinterpretations', European Journal of Epidemiology, 31(4), pp. 337-350.</w:t>
      </w:r>
    </w:p>
    <w:p w14:paraId="2D434C81" w14:textId="77777777" w:rsidR="00DA6454" w:rsidRPr="00DA6454" w:rsidRDefault="00DA6454" w:rsidP="0069580A">
      <w:pPr>
        <w:spacing w:before="100" w:beforeAutospacing="1" w:after="100" w:afterAutospacing="1"/>
        <w:jc w:val="both"/>
      </w:pPr>
      <w:r w:rsidRPr="00DA6454">
        <w:t>Dahl, R.A. (1989) Democracy and its critics. New Haven: Yale University Press.</w:t>
      </w:r>
    </w:p>
    <w:p w14:paraId="09DAC17D" w14:textId="77777777" w:rsidR="00DA6454" w:rsidRPr="00DA6454" w:rsidRDefault="00DA6454" w:rsidP="0069580A">
      <w:pPr>
        <w:spacing w:before="100" w:beforeAutospacing="1" w:after="100" w:afterAutospacing="1"/>
        <w:jc w:val="both"/>
      </w:pPr>
      <w:r w:rsidRPr="00DA6454">
        <w:t>Daian, P., Goldfeder, S., Kell, T., Li, Y., Zhao, X., Bentov, I., Breidenbach, L., &amp; Juels, A. (2020) 'Flash Boys 2.0: Frontrunning in decentralized exchanges, miner extractable value, and consensus instability', IEEE Symposium on Security and Privacy, pp. 910-927.</w:t>
      </w:r>
    </w:p>
    <w:p w14:paraId="283D9CF9" w14:textId="77777777" w:rsidR="00DA6454" w:rsidRPr="00DA6454" w:rsidRDefault="00DA6454" w:rsidP="0069580A">
      <w:pPr>
        <w:spacing w:before="100" w:beforeAutospacing="1" w:after="100" w:afterAutospacing="1"/>
        <w:jc w:val="both"/>
      </w:pPr>
      <w:r w:rsidRPr="00DA6454">
        <w:t>DeFi: An empirical study of wash trading on decentralized exchanges', ACM Computing</w:t>
      </w:r>
    </w:p>
    <w:p w14:paraId="5EBBB7A6" w14:textId="77777777" w:rsidR="00DA6454" w:rsidRPr="00DA6454" w:rsidRDefault="00DA6454" w:rsidP="0069580A">
      <w:pPr>
        <w:spacing w:before="100" w:beforeAutospacing="1" w:after="100" w:afterAutospacing="1"/>
        <w:jc w:val="both"/>
      </w:pPr>
      <w:proofErr w:type="spellStart"/>
      <w:r w:rsidRPr="00DA6454">
        <w:t>DeFiLlama</w:t>
      </w:r>
      <w:proofErr w:type="spellEnd"/>
      <w:r w:rsidRPr="00DA6454">
        <w:t xml:space="preserve"> (2024) Total Value Locked in DeFi 2024 Report. Available at: https://defillama.com/tvl (Accessed: 15 January 2024).</w:t>
      </w:r>
    </w:p>
    <w:p w14:paraId="6281482C" w14:textId="77777777" w:rsidR="00DA6454" w:rsidRPr="00DA6454" w:rsidRDefault="00DA6454" w:rsidP="0069580A">
      <w:pPr>
        <w:spacing w:before="100" w:beforeAutospacing="1" w:after="100" w:afterAutospacing="1"/>
        <w:jc w:val="both"/>
      </w:pPr>
      <w:proofErr w:type="spellStart"/>
      <w:r w:rsidRPr="00DA6454">
        <w:lastRenderedPageBreak/>
        <w:t>DeFiLlama</w:t>
      </w:r>
      <w:proofErr w:type="spellEnd"/>
      <w:r w:rsidRPr="00DA6454">
        <w:t xml:space="preserve"> (2025) Total Value Locked in DeFi 2025 Report. Available at: https://defillama.com/tvl (Accessed: 15 January 2025).</w:t>
      </w:r>
    </w:p>
    <w:p w14:paraId="14BABD44" w14:textId="1EDE2D1A" w:rsidR="00DA6454" w:rsidRPr="00DA6454" w:rsidRDefault="00DA6454" w:rsidP="0069580A">
      <w:pPr>
        <w:spacing w:before="100" w:beforeAutospacing="1" w:after="100" w:afterAutospacing="1"/>
        <w:jc w:val="both"/>
      </w:pPr>
      <w:proofErr w:type="spellStart"/>
      <w:r w:rsidRPr="00DA6454">
        <w:t>Demirgüç</w:t>
      </w:r>
      <w:proofErr w:type="spellEnd"/>
      <w:r w:rsidRPr="00DA6454">
        <w:t xml:space="preserve">-Kunt, A., Klapper, L., Singer, D., Ansar, S., &amp; Hess, J. (2018). The Global Findex Database 2017: Measuring financial inclusion and the fintech revolution. World Bank. </w:t>
      </w:r>
    </w:p>
    <w:p w14:paraId="5AFBA827" w14:textId="77777777" w:rsidR="00DA6454" w:rsidRPr="00DA6454" w:rsidRDefault="00DA6454" w:rsidP="0069580A">
      <w:pPr>
        <w:spacing w:before="100" w:beforeAutospacing="1" w:after="100" w:afterAutospacing="1"/>
        <w:jc w:val="both"/>
      </w:pPr>
      <w:proofErr w:type="spellStart"/>
      <w:r w:rsidRPr="00DA6454">
        <w:t>Demirgüç</w:t>
      </w:r>
      <w:proofErr w:type="spellEnd"/>
      <w:r w:rsidRPr="00DA6454">
        <w:t>-Kunt, A., Klapper, L., Singer, D., Ansar, S. and Hess, J. (2018)</w:t>
      </w:r>
    </w:p>
    <w:p w14:paraId="036EC0D4" w14:textId="77777777" w:rsidR="00DA6454" w:rsidRPr="00DA6454" w:rsidRDefault="00DA6454" w:rsidP="0069580A">
      <w:pPr>
        <w:spacing w:before="100" w:beforeAutospacing="1" w:after="100" w:afterAutospacing="1"/>
        <w:jc w:val="both"/>
      </w:pPr>
      <w:proofErr w:type="spellStart"/>
      <w:r w:rsidRPr="00DA6454">
        <w:t>Demirgüç</w:t>
      </w:r>
      <w:proofErr w:type="spellEnd"/>
      <w:r w:rsidRPr="00DA6454">
        <w:t xml:space="preserve">-Kunt, A., Klapper, L., Singer, D., Ansar, S. and Hess, J. (2018) The Global Findex Database 2017: Measuring financial inclusion and the fintech revolution. Washington, DC: World Bank. </w:t>
      </w:r>
      <w:proofErr w:type="spellStart"/>
      <w:r w:rsidRPr="00DA6454">
        <w:t>doi</w:t>
      </w:r>
      <w:proofErr w:type="spellEnd"/>
      <w:r w:rsidRPr="00DA6454">
        <w:t>: 10.1596/978-1-4648-1259-0.</w:t>
      </w:r>
    </w:p>
    <w:p w14:paraId="4AE844A1" w14:textId="77777777" w:rsidR="00DA6454" w:rsidRPr="00DA6454" w:rsidRDefault="00DA6454" w:rsidP="0069580A">
      <w:pPr>
        <w:spacing w:before="100" w:beforeAutospacing="1" w:after="100" w:afterAutospacing="1"/>
        <w:jc w:val="both"/>
      </w:pPr>
      <w:proofErr w:type="spellStart"/>
      <w:r w:rsidRPr="00DA6454">
        <w:t>Demirgüç</w:t>
      </w:r>
      <w:proofErr w:type="spellEnd"/>
      <w:r w:rsidRPr="00DA6454">
        <w:t>-Kunt, A., Klapper, L., Singer, D., Ansar, S. and Hess, J. (2018) The Global</w:t>
      </w:r>
    </w:p>
    <w:p w14:paraId="4B9DB67E" w14:textId="77777777" w:rsidR="00DA6454" w:rsidRPr="00DA6454" w:rsidRDefault="00DA6454" w:rsidP="0069580A">
      <w:pPr>
        <w:spacing w:before="100" w:beforeAutospacing="1" w:after="100" w:afterAutospacing="1"/>
        <w:jc w:val="both"/>
      </w:pPr>
      <w:r w:rsidRPr="00DA6454">
        <w:t>Diamond, D. W. (1984) 'Financial intermediation and delegated monitoring', Review of Economic Studies, 51(3), pp. 393-414.</w:t>
      </w:r>
    </w:p>
    <w:p w14:paraId="7C6EF016" w14:textId="77777777" w:rsidR="00DA6454" w:rsidRPr="00DA6454" w:rsidRDefault="00DA6454" w:rsidP="0069580A">
      <w:pPr>
        <w:spacing w:before="100" w:beforeAutospacing="1" w:after="100" w:afterAutospacing="1"/>
        <w:jc w:val="both"/>
      </w:pPr>
      <w:r w:rsidRPr="00DA6454">
        <w:t>Diamond, D. W. and Dybvig, P. H. (1983) 'Bank runs, deposit insurance, and liquidity', Journal of Political Economy, 91(3), pp. 401-419.</w:t>
      </w:r>
    </w:p>
    <w:p w14:paraId="6885CF6A" w14:textId="77777777" w:rsidR="007B1B7D" w:rsidRDefault="007B1B7D" w:rsidP="007B1B7D">
      <w:pPr>
        <w:autoSpaceDE w:val="0"/>
        <w:autoSpaceDN w:val="0"/>
        <w:adjustRightInd w:val="0"/>
        <w:spacing w:after="240"/>
        <w:rPr>
          <w:rFonts w:ascii="Times-Roman" w:eastAsiaTheme="minorEastAsia" w:hAnsi="Times-Roman" w:cs="Times-Roman"/>
        </w:rPr>
      </w:pPr>
      <w:proofErr w:type="spellStart"/>
      <w:r>
        <w:rPr>
          <w:rFonts w:ascii="Times-Roman" w:eastAsiaTheme="minorEastAsia" w:hAnsi="Times-Roman" w:cs="Times-Roman"/>
        </w:rPr>
        <w:t>Donmez</w:t>
      </w:r>
      <w:proofErr w:type="spellEnd"/>
      <w:r>
        <w:rPr>
          <w:rFonts w:ascii="Times-Roman" w:eastAsiaTheme="minorEastAsia" w:hAnsi="Times-Roman" w:cs="Times-Roman"/>
        </w:rPr>
        <w:t xml:space="preserve">, A. (2022) 'Transaction fee economics in the Ethereum blockchain', </w:t>
      </w:r>
      <w:r>
        <w:rPr>
          <w:rFonts w:ascii="Times-Italic" w:eastAsiaTheme="minorEastAsia" w:hAnsi="Times-Italic" w:cs="Times-Italic"/>
          <w:i/>
          <w:iCs/>
        </w:rPr>
        <w:t>Economic Inquiry</w:t>
      </w:r>
      <w:r>
        <w:rPr>
          <w:rFonts w:ascii="Times-Roman" w:eastAsiaTheme="minorEastAsia" w:hAnsi="Times-Roman" w:cs="Times-Roman"/>
        </w:rPr>
        <w:t xml:space="preserve">, 60(1), pp. 265-292. </w:t>
      </w:r>
    </w:p>
    <w:p w14:paraId="46FD86E9" w14:textId="1A24BC50" w:rsidR="00DA6454" w:rsidRPr="00DA6454" w:rsidRDefault="00DA6454" w:rsidP="0069580A">
      <w:pPr>
        <w:spacing w:before="100" w:beforeAutospacing="1" w:after="100" w:afterAutospacing="1"/>
        <w:jc w:val="both"/>
      </w:pPr>
      <w:r w:rsidRPr="00DA6454">
        <w:t>Dreyfus, H. and Dreyfus, S. (2005) 'Expertise in real world contexts', Organization Studies, 26(5), pp. 779-792.</w:t>
      </w:r>
    </w:p>
    <w:p w14:paraId="072D697F" w14:textId="77777777" w:rsidR="00DA6454" w:rsidRPr="00DA6454" w:rsidRDefault="00DA6454" w:rsidP="0069580A">
      <w:pPr>
        <w:spacing w:before="100" w:beforeAutospacing="1" w:after="100" w:afterAutospacing="1"/>
        <w:jc w:val="both"/>
      </w:pPr>
      <w:r w:rsidRPr="00DA6454">
        <w:t>Dune Analytics (2023) ETH/</w:t>
      </w:r>
      <w:proofErr w:type="spellStart"/>
      <w:r w:rsidRPr="00DA6454">
        <w:t>stETH</w:t>
      </w:r>
      <w:proofErr w:type="spellEnd"/>
      <w:r w:rsidRPr="00DA6454">
        <w:t xml:space="preserve"> Correlation During Market Stress. Dashboard #45782.</w:t>
      </w:r>
    </w:p>
    <w:p w14:paraId="7434E03C" w14:textId="77777777" w:rsidR="00DA6454" w:rsidRPr="00DA6454" w:rsidRDefault="00DA6454" w:rsidP="0069580A">
      <w:pPr>
        <w:spacing w:before="100" w:beforeAutospacing="1" w:after="100" w:afterAutospacing="1"/>
        <w:jc w:val="both"/>
      </w:pPr>
      <w:r w:rsidRPr="00DA6454">
        <w:t>Dunning, D. (2011) 'The Dunning-Kruger effect: On being ignorant of one's own ignorance', Advances in Experimental Social Psychology, 44, pp. 247-296.</w:t>
      </w:r>
    </w:p>
    <w:p w14:paraId="2B8B595B" w14:textId="77777777" w:rsidR="00DA6454" w:rsidRPr="00DA6454" w:rsidRDefault="00DA6454" w:rsidP="0069580A">
      <w:pPr>
        <w:spacing w:before="100" w:beforeAutospacing="1" w:after="100" w:afterAutospacing="1"/>
        <w:jc w:val="both"/>
      </w:pPr>
      <w:r w:rsidRPr="00DA6454">
        <w:t xml:space="preserve">Dunning, D. and Kruger, J. (1999) 'Unskilled and unaware of it: How difficulties in recognizing one's own incompetence </w:t>
      </w:r>
      <w:proofErr w:type="gramStart"/>
      <w:r w:rsidRPr="00DA6454">
        <w:t>lead</w:t>
      </w:r>
      <w:proofErr w:type="gramEnd"/>
      <w:r w:rsidRPr="00DA6454">
        <w:t xml:space="preserve"> to inflated self-assessments', Journal of Personality and Social Psychology, 77(6), pp. 1121-1134.</w:t>
      </w:r>
    </w:p>
    <w:p w14:paraId="1BEFBFC4" w14:textId="4C74F67E" w:rsidR="00DA6454" w:rsidRPr="00DA6454" w:rsidRDefault="00DA6454" w:rsidP="0069580A">
      <w:pPr>
        <w:spacing w:before="100" w:beforeAutospacing="1" w:after="100" w:afterAutospacing="1"/>
        <w:jc w:val="both"/>
      </w:pPr>
      <w:r w:rsidRPr="00DA6454">
        <w:t xml:space="preserve">Dunning, D. (2011). The Dunning-Kruger effect: On being ignorant of one's own ignorance. In J. M. Olson &amp; M. P. Zanna (Eds.), Advances in experimental social psychology (Vol. 44, pp. 247-296). Academic Press. </w:t>
      </w:r>
    </w:p>
    <w:p w14:paraId="579C9586" w14:textId="77777777" w:rsidR="00DA6454" w:rsidRPr="00DA6454" w:rsidRDefault="00DA6454" w:rsidP="0069580A">
      <w:pPr>
        <w:spacing w:before="100" w:beforeAutospacing="1" w:after="100" w:afterAutospacing="1"/>
        <w:jc w:val="both"/>
      </w:pPr>
      <w:r w:rsidRPr="00DA6454">
        <w:t>Eisenhardt, K. M. (1989) 'Building theories from case study research', Academy of Management Review, 14(4), pp. 532-550.</w:t>
      </w:r>
    </w:p>
    <w:p w14:paraId="2D210EEC" w14:textId="77777777" w:rsidR="00DA6454" w:rsidRPr="00DA6454" w:rsidRDefault="00DA6454" w:rsidP="0069580A">
      <w:pPr>
        <w:spacing w:before="100" w:beforeAutospacing="1" w:after="100" w:afterAutospacing="1"/>
        <w:jc w:val="both"/>
      </w:pPr>
      <w:r w:rsidRPr="00DA6454">
        <w:t>Ellis, P. D. (2010) The Essential Guide to Effect Sizes: Statistical Power, Meta-Analysis, and the Interpretation of Research Results. Cambridge University Press.</w:t>
      </w:r>
    </w:p>
    <w:p w14:paraId="68463405" w14:textId="77777777" w:rsidR="00DA6454" w:rsidRPr="00DA6454" w:rsidRDefault="00DA6454" w:rsidP="0069580A">
      <w:pPr>
        <w:spacing w:before="100" w:beforeAutospacing="1" w:after="100" w:afterAutospacing="1"/>
        <w:jc w:val="both"/>
      </w:pPr>
      <w:r w:rsidRPr="00DA6454">
        <w:t xml:space="preserve">Ericsson, K. A. and </w:t>
      </w:r>
      <w:proofErr w:type="spellStart"/>
      <w:r w:rsidRPr="00DA6454">
        <w:t>Charness</w:t>
      </w:r>
      <w:proofErr w:type="spellEnd"/>
      <w:r w:rsidRPr="00DA6454">
        <w:t>, N. (1994) 'Expert performance: Its structure and acquisition', American Psychologist, 49(8), pp. 725-747.</w:t>
      </w:r>
    </w:p>
    <w:p w14:paraId="68469E2C" w14:textId="3E211485" w:rsidR="00DA6454" w:rsidRPr="00DA6454" w:rsidRDefault="00DA6454" w:rsidP="0069580A">
      <w:pPr>
        <w:spacing w:before="100" w:beforeAutospacing="1" w:after="100" w:afterAutospacing="1"/>
        <w:jc w:val="both"/>
      </w:pPr>
      <w:r w:rsidRPr="00DA6454">
        <w:lastRenderedPageBreak/>
        <w:t xml:space="preserve">Ethereum Foundation (2023) Network Activity Patterns and Gas Optimization. Ethereum Research. </w:t>
      </w:r>
    </w:p>
    <w:p w14:paraId="782EEF93" w14:textId="77777777" w:rsidR="00DA6454" w:rsidRPr="00DA6454" w:rsidRDefault="00DA6454" w:rsidP="0069580A">
      <w:pPr>
        <w:spacing w:before="100" w:beforeAutospacing="1" w:after="100" w:afterAutospacing="1"/>
        <w:jc w:val="both"/>
      </w:pPr>
      <w:r w:rsidRPr="00DA6454">
        <w:t>Ethereum Gas Report (2024) Ethereum Transaction Cost Analysis Q1-Q4 2024. DeFi Analytics Platform.</w:t>
      </w:r>
    </w:p>
    <w:p w14:paraId="3BA9C254" w14:textId="77777777" w:rsidR="00DA6454" w:rsidRPr="00DA6454" w:rsidRDefault="00DA6454" w:rsidP="0069580A">
      <w:pPr>
        <w:spacing w:before="100" w:beforeAutospacing="1" w:after="100" w:afterAutospacing="1"/>
        <w:jc w:val="both"/>
      </w:pPr>
      <w:proofErr w:type="spellStart"/>
      <w:r w:rsidRPr="00DA6454">
        <w:t>Etherscan</w:t>
      </w:r>
      <w:proofErr w:type="spellEnd"/>
      <w:r w:rsidRPr="00DA6454">
        <w:t xml:space="preserve"> (2023) Ethereum Gas Tracker Analytics Report 2023. Retrieved from https://etherscan.io/gastracker</w:t>
      </w:r>
    </w:p>
    <w:p w14:paraId="7A90E7F4" w14:textId="77777777" w:rsidR="00DA6454" w:rsidRPr="00DA6454" w:rsidRDefault="00DA6454" w:rsidP="0069580A">
      <w:pPr>
        <w:spacing w:before="100" w:beforeAutospacing="1" w:after="100" w:afterAutospacing="1"/>
        <w:jc w:val="both"/>
      </w:pPr>
      <w:proofErr w:type="spellStart"/>
      <w:r w:rsidRPr="00DA6454">
        <w:t>Etikan</w:t>
      </w:r>
      <w:proofErr w:type="spellEnd"/>
      <w:r w:rsidRPr="00DA6454">
        <w:t>, I., Musa, S. A., &amp; Alkassim, R. S. (2016) 'Comparison of convenience sampling and purposive sampling', American Journal of Theoretical and Applied Statistics, 5(1), pp. 1-4.</w:t>
      </w:r>
    </w:p>
    <w:p w14:paraId="241F7ADF" w14:textId="77777777" w:rsidR="00DA6454" w:rsidRPr="00DA6454" w:rsidRDefault="00DA6454" w:rsidP="0069580A">
      <w:pPr>
        <w:spacing w:before="100" w:beforeAutospacing="1" w:after="100" w:afterAutospacing="1"/>
        <w:jc w:val="both"/>
      </w:pPr>
      <w:r w:rsidRPr="00DA6454">
        <w:t>Evans, J. L. and Archer, S. H. (1968) 'Diversification and the reduction of dispersion: An empirical analysis', Journal of Finance, 23(5), pp. 761-767.</w:t>
      </w:r>
    </w:p>
    <w:p w14:paraId="66B980F8" w14:textId="77777777" w:rsidR="00DA6454" w:rsidRPr="00DA6454" w:rsidRDefault="00DA6454" w:rsidP="0069580A">
      <w:pPr>
        <w:spacing w:before="100" w:beforeAutospacing="1" w:after="100" w:afterAutospacing="1"/>
        <w:jc w:val="both"/>
      </w:pPr>
      <w:r w:rsidRPr="00DA6454">
        <w:t>Fama, E. F. and French, K. R. (2010) 'Luck versus skill in the cross-section of mutual fund returns', Journal of Finance, 65(5), pp. 1915-1947.</w:t>
      </w:r>
    </w:p>
    <w:p w14:paraId="7595A0A1" w14:textId="161CF681" w:rsidR="00DA6454" w:rsidRPr="00DA6454" w:rsidRDefault="00DA6454" w:rsidP="0069580A">
      <w:pPr>
        <w:spacing w:before="100" w:beforeAutospacing="1" w:after="100" w:afterAutospacing="1"/>
        <w:jc w:val="both"/>
      </w:pPr>
      <w:r w:rsidRPr="00DA6454">
        <w:t xml:space="preserve">Fama, E. F. (1970). Efficient capital markets: A review of theory and empirical work. The Journal of Finance, 25(2), 383-417. </w:t>
      </w:r>
    </w:p>
    <w:p w14:paraId="159B64BF" w14:textId="77777777" w:rsidR="00EB6076" w:rsidRPr="00EB6076" w:rsidRDefault="00EB6076" w:rsidP="0069580A">
      <w:pPr>
        <w:spacing w:before="100" w:beforeAutospacing="1" w:after="100" w:afterAutospacing="1"/>
        <w:jc w:val="both"/>
      </w:pPr>
      <w:r w:rsidRPr="00EB6076">
        <w:t>Farmer, J. D., &amp; Skouras, S. (2013). An ecological perspective on the future of computer trading. Quantitative Finance, 13(3), 325-346.</w:t>
      </w:r>
    </w:p>
    <w:p w14:paraId="084027F8" w14:textId="676B2C9D" w:rsidR="00DA6454" w:rsidRPr="00DA6454" w:rsidRDefault="00DA6454" w:rsidP="0069580A">
      <w:pPr>
        <w:spacing w:before="100" w:beforeAutospacing="1" w:after="100" w:afterAutospacing="1"/>
        <w:jc w:val="both"/>
      </w:pPr>
      <w:r w:rsidRPr="00DA6454">
        <w:t xml:space="preserve">Faul, F., </w:t>
      </w:r>
      <w:proofErr w:type="spellStart"/>
      <w:r w:rsidRPr="00DA6454">
        <w:t>Erdfelder</w:t>
      </w:r>
      <w:proofErr w:type="spellEnd"/>
      <w:r w:rsidRPr="00DA6454">
        <w:t>, E., Buchner, A., &amp; Lang, A.-G. (2009) 'Statistical power analyses using G*Power 3.1: Tests for correlation and regression analyses', Behavior Research Methods, 41(4), pp. 1149-1160.</w:t>
      </w:r>
    </w:p>
    <w:p w14:paraId="204A02BA" w14:textId="77777777" w:rsidR="00DA6454" w:rsidRPr="00DA6454" w:rsidRDefault="00DA6454" w:rsidP="0069580A">
      <w:pPr>
        <w:spacing w:before="100" w:beforeAutospacing="1" w:after="100" w:afterAutospacing="1"/>
        <w:jc w:val="both"/>
      </w:pPr>
      <w:r w:rsidRPr="00DA6454">
        <w:t>Federal Reserve (2024) Selected interest rates (Daily) - H.15. Board of Governors of the Federal Reserve System.</w:t>
      </w:r>
    </w:p>
    <w:p w14:paraId="7DC2CE08" w14:textId="77777777" w:rsidR="00DA6454" w:rsidRPr="00DA6454" w:rsidRDefault="00DA6454" w:rsidP="0069580A">
      <w:pPr>
        <w:spacing w:before="100" w:beforeAutospacing="1" w:after="100" w:afterAutospacing="1"/>
        <w:jc w:val="both"/>
      </w:pPr>
      <w:r w:rsidRPr="00DA6454">
        <w:t>Federal Reserve (2024) Selected interest rates (Daily) - H.15. Available at: https://www.federalreserve.gov/releases/h15/ (Accessed: 10 January 2025).</w:t>
      </w:r>
    </w:p>
    <w:p w14:paraId="356706A3" w14:textId="77777777" w:rsidR="00DA6454" w:rsidRPr="00DA6454" w:rsidRDefault="00DA6454" w:rsidP="0069580A">
      <w:pPr>
        <w:spacing w:before="100" w:beforeAutospacing="1" w:after="100" w:afterAutospacing="1"/>
        <w:jc w:val="both"/>
      </w:pPr>
      <w:r w:rsidRPr="00DA6454">
        <w:t>Federal Reserve (2024) Survey of Consumer Finances. Washington, DC: Board of Governors</w:t>
      </w:r>
    </w:p>
    <w:p w14:paraId="4C766D43" w14:textId="77777777" w:rsidR="00DA6454" w:rsidRPr="00DA6454" w:rsidRDefault="00DA6454" w:rsidP="0069580A">
      <w:pPr>
        <w:spacing w:before="100" w:beforeAutospacing="1" w:after="100" w:afterAutospacing="1"/>
        <w:jc w:val="both"/>
      </w:pPr>
      <w:r w:rsidRPr="00DA6454">
        <w:t>Ferguson, T. S. (2006) 'Optimal stopping and applications', Mathematics Department, UCLA.</w:t>
      </w:r>
    </w:p>
    <w:p w14:paraId="764A7934" w14:textId="77777777" w:rsidR="00DA6454" w:rsidRPr="00DA6454" w:rsidRDefault="00DA6454" w:rsidP="0069580A">
      <w:pPr>
        <w:spacing w:before="100" w:beforeAutospacing="1" w:after="100" w:afterAutospacing="1"/>
        <w:jc w:val="both"/>
      </w:pPr>
      <w:r w:rsidRPr="00DA6454">
        <w:t>Field, A. (2018) Discovering statistics using IBM SPSS statistics (5th ed.). SAGE Publications.</w:t>
      </w:r>
    </w:p>
    <w:p w14:paraId="5F4AB2DE" w14:textId="77777777" w:rsidR="000F22B2" w:rsidRDefault="000F22B2" w:rsidP="0069580A">
      <w:pPr>
        <w:spacing w:before="100" w:beforeAutospacing="1" w:after="100" w:afterAutospacing="1"/>
        <w:jc w:val="both"/>
        <w:rPr>
          <w:rFonts w:ascii="Times-Roman" w:eastAsiaTheme="minorEastAsia" w:hAnsi="Times-Roman" w:cs="Times-Roman"/>
        </w:rPr>
      </w:pPr>
      <w:r>
        <w:rPr>
          <w:rFonts w:ascii="Times-Roman" w:eastAsiaTheme="minorEastAsia" w:hAnsi="Times-Roman" w:cs="Times-Roman"/>
        </w:rPr>
        <w:t xml:space="preserve">Financial Stability Board (2023) </w:t>
      </w:r>
      <w:r>
        <w:rPr>
          <w:rFonts w:ascii="Times-Italic" w:eastAsiaTheme="minorEastAsia" w:hAnsi="Times-Italic" w:cs="Times-Italic"/>
          <w:i/>
          <w:iCs/>
        </w:rPr>
        <w:t xml:space="preserve">The Financial Stability Risks of </w:t>
      </w:r>
      <w:proofErr w:type="spellStart"/>
      <w:r>
        <w:rPr>
          <w:rFonts w:ascii="Times-Italic" w:eastAsiaTheme="minorEastAsia" w:hAnsi="Times-Italic" w:cs="Times-Italic"/>
          <w:i/>
          <w:iCs/>
        </w:rPr>
        <w:t>Decentralised</w:t>
      </w:r>
      <w:proofErr w:type="spellEnd"/>
      <w:r>
        <w:rPr>
          <w:rFonts w:ascii="Times-Italic" w:eastAsiaTheme="minorEastAsia" w:hAnsi="Times-Italic" w:cs="Times-Italic"/>
          <w:i/>
          <w:iCs/>
        </w:rPr>
        <w:t xml:space="preserve"> Finance</w:t>
      </w:r>
      <w:r>
        <w:rPr>
          <w:rFonts w:ascii="Times-Roman" w:eastAsiaTheme="minorEastAsia" w:hAnsi="Times-Roman" w:cs="Times-Roman"/>
        </w:rPr>
        <w:t xml:space="preserve">, 16 February. </w:t>
      </w:r>
    </w:p>
    <w:p w14:paraId="2218C63D" w14:textId="7F0433F8" w:rsidR="00DA6454" w:rsidRPr="00DA6454" w:rsidRDefault="00DA6454" w:rsidP="0069580A">
      <w:pPr>
        <w:spacing w:before="100" w:beforeAutospacing="1" w:after="100" w:afterAutospacing="1"/>
        <w:jc w:val="both"/>
      </w:pPr>
      <w:r w:rsidRPr="00DA6454">
        <w:t>Firestone, W. A. (1993) 'Alternative arguments for generalizing from data as applied to qualitative research', Educational Researcher, 22(4), pp. 16-23.</w:t>
      </w:r>
    </w:p>
    <w:p w14:paraId="2B79DFDD" w14:textId="77777777" w:rsidR="00DA6454" w:rsidRPr="00DA6454" w:rsidRDefault="00DA6454" w:rsidP="0069580A">
      <w:pPr>
        <w:spacing w:before="100" w:beforeAutospacing="1" w:after="100" w:afterAutospacing="1"/>
        <w:jc w:val="both"/>
      </w:pPr>
      <w:r w:rsidRPr="00DA6454">
        <w:t>Fisher, I. (1930) The theory of interest. New York: Macmillan.</w:t>
      </w:r>
    </w:p>
    <w:p w14:paraId="7D8DE29F" w14:textId="77777777" w:rsidR="00DA6454" w:rsidRPr="00DA6454" w:rsidRDefault="00DA6454" w:rsidP="0069580A">
      <w:pPr>
        <w:spacing w:before="100" w:beforeAutospacing="1" w:after="100" w:afterAutospacing="1"/>
        <w:jc w:val="both"/>
      </w:pPr>
      <w:r w:rsidRPr="00DA6454">
        <w:lastRenderedPageBreak/>
        <w:t>Flick, U. (2018) An introduction to qualitative research (6th ed.). SAGE Publications.</w:t>
      </w:r>
    </w:p>
    <w:p w14:paraId="473BD696" w14:textId="77777777" w:rsidR="00DA6454" w:rsidRPr="00DA6454" w:rsidRDefault="00DA6454" w:rsidP="0069580A">
      <w:pPr>
        <w:spacing w:before="100" w:beforeAutospacing="1" w:after="100" w:afterAutospacing="1"/>
        <w:jc w:val="both"/>
      </w:pPr>
      <w:r w:rsidRPr="00DA6454">
        <w:t xml:space="preserve">Forbes, K. J. and </w:t>
      </w:r>
      <w:proofErr w:type="spellStart"/>
      <w:r w:rsidRPr="00DA6454">
        <w:t>Rigobon</w:t>
      </w:r>
      <w:proofErr w:type="spellEnd"/>
      <w:r w:rsidRPr="00DA6454">
        <w:t xml:space="preserve">, R. (2002) 'No contagion, only interdependence: Measuring stock market </w:t>
      </w:r>
      <w:proofErr w:type="spellStart"/>
      <w:r w:rsidRPr="00DA6454">
        <w:t>comovements</w:t>
      </w:r>
      <w:proofErr w:type="spellEnd"/>
      <w:r w:rsidRPr="00DA6454">
        <w:t>', Journal of Finance, 57(5), pp. 2223-2261.</w:t>
      </w:r>
    </w:p>
    <w:p w14:paraId="5DA416D3" w14:textId="77777777" w:rsidR="00DA6454" w:rsidRPr="00DA6454" w:rsidRDefault="00DA6454" w:rsidP="0069580A">
      <w:pPr>
        <w:spacing w:before="100" w:beforeAutospacing="1" w:after="100" w:afterAutospacing="1"/>
        <w:jc w:val="both"/>
      </w:pPr>
      <w:r w:rsidRPr="00DA6454">
        <w:t>Forrester, J. W. (1961). Industrial dynamics. MIT Press.</w:t>
      </w:r>
    </w:p>
    <w:p w14:paraId="7B0C90CA" w14:textId="77777777" w:rsidR="00DA6454" w:rsidRPr="00DA6454" w:rsidRDefault="00DA6454" w:rsidP="0069580A">
      <w:pPr>
        <w:spacing w:before="100" w:beforeAutospacing="1" w:after="100" w:afterAutospacing="1"/>
        <w:jc w:val="both"/>
      </w:pPr>
      <w:r w:rsidRPr="00DA6454">
        <w:t>Friedman, M. (1975) There's no such thing as a free lunch. LaSalle, IL: Open Court Publishing.</w:t>
      </w:r>
    </w:p>
    <w:p w14:paraId="54FCDA5D" w14:textId="77777777" w:rsidR="003649BC" w:rsidRDefault="003649BC" w:rsidP="0069580A">
      <w:pPr>
        <w:spacing w:before="100" w:beforeAutospacing="1" w:after="100" w:afterAutospacing="1"/>
        <w:jc w:val="both"/>
        <w:rPr>
          <w:rFonts w:ascii="Times-Roman" w:eastAsiaTheme="minorEastAsia" w:hAnsi="Times-Roman" w:cs="Times-Roman"/>
        </w:rPr>
      </w:pPr>
      <w:proofErr w:type="spellStart"/>
      <w:r>
        <w:rPr>
          <w:rFonts w:ascii="Times-Roman" w:eastAsiaTheme="minorEastAsia" w:hAnsi="Times-Roman" w:cs="Times-Roman"/>
        </w:rPr>
        <w:t>Fukasawa</w:t>
      </w:r>
      <w:proofErr w:type="spellEnd"/>
      <w:r>
        <w:rPr>
          <w:rFonts w:ascii="Times-Roman" w:eastAsiaTheme="minorEastAsia" w:hAnsi="Times-Roman" w:cs="Times-Roman"/>
        </w:rPr>
        <w:t>, M., Maire, J. and Wunsch, M. (2023) 'Hedging Impermanent Loss: Optimal Liquidity Provision in Automated Market Makers’.</w:t>
      </w:r>
    </w:p>
    <w:p w14:paraId="2C1B840E" w14:textId="45C295E2" w:rsidR="00DA6454" w:rsidRPr="00DA6454" w:rsidRDefault="00DA6454" w:rsidP="0069580A">
      <w:pPr>
        <w:spacing w:before="100" w:beforeAutospacing="1" w:after="100" w:afterAutospacing="1"/>
        <w:jc w:val="both"/>
      </w:pPr>
      <w:r w:rsidRPr="00DA6454">
        <w:t>Fung, A., &amp; Wright, E. O. (Eds.). (2003). Deepening democracy: Institutional innovations in empowered participatory governance. Verso.</w:t>
      </w:r>
    </w:p>
    <w:p w14:paraId="36A5CB81" w14:textId="77777777" w:rsidR="00DA6454" w:rsidRPr="00DA6454" w:rsidRDefault="00DA6454" w:rsidP="0069580A">
      <w:pPr>
        <w:spacing w:before="100" w:beforeAutospacing="1" w:after="100" w:afterAutospacing="1"/>
        <w:jc w:val="both"/>
      </w:pPr>
      <w:r w:rsidRPr="00DA6454">
        <w:t xml:space="preserve">Gall, J. (1975) </w:t>
      </w:r>
      <w:proofErr w:type="spellStart"/>
      <w:r w:rsidRPr="00DA6454">
        <w:t>Systemantics</w:t>
      </w:r>
      <w:proofErr w:type="spellEnd"/>
      <w:r w:rsidRPr="00DA6454">
        <w:t xml:space="preserve">: How systems work and especially how they fail. General </w:t>
      </w:r>
      <w:proofErr w:type="spellStart"/>
      <w:r w:rsidRPr="00DA6454">
        <w:t>Systemantics</w:t>
      </w:r>
      <w:proofErr w:type="spellEnd"/>
      <w:r w:rsidRPr="00DA6454">
        <w:t xml:space="preserve"> Press.</w:t>
      </w:r>
    </w:p>
    <w:p w14:paraId="117CD31B" w14:textId="77777777" w:rsidR="00DA6454" w:rsidRPr="00DA6454" w:rsidRDefault="00DA6454" w:rsidP="0069580A">
      <w:pPr>
        <w:spacing w:before="100" w:beforeAutospacing="1" w:after="100" w:afterAutospacing="1"/>
        <w:jc w:val="both"/>
      </w:pPr>
      <w:proofErr w:type="spellStart"/>
      <w:r w:rsidRPr="00DA6454">
        <w:t>Gandal</w:t>
      </w:r>
      <w:proofErr w:type="spellEnd"/>
      <w:r w:rsidRPr="00DA6454">
        <w:t>, N., Hamrick, J. T., Moore, T., &amp; Oberman, T. (2018) 'Price manipulation in the Bitcoin ecosystem', Journal of Monetary Economics, 95, pp. 86-96.</w:t>
      </w:r>
    </w:p>
    <w:p w14:paraId="7CBB71F8" w14:textId="77777777" w:rsidR="00DA6454" w:rsidRPr="00DA6454" w:rsidRDefault="00DA6454" w:rsidP="0069580A">
      <w:pPr>
        <w:spacing w:before="100" w:beforeAutospacing="1" w:after="100" w:afterAutospacing="1"/>
        <w:jc w:val="both"/>
      </w:pPr>
      <w:r w:rsidRPr="00DA6454">
        <w:t>Gas Report (2023) Ethereum Transaction Cost Analysis Q1-Q4 2023. DeFi Analytics Platform.</w:t>
      </w:r>
    </w:p>
    <w:p w14:paraId="3E103C04" w14:textId="77777777" w:rsidR="00DA6454" w:rsidRPr="00DA6454" w:rsidRDefault="00DA6454" w:rsidP="0069580A">
      <w:pPr>
        <w:spacing w:before="100" w:beforeAutospacing="1" w:after="100" w:afterAutospacing="1"/>
        <w:jc w:val="both"/>
      </w:pPr>
      <w:r w:rsidRPr="00DA6454">
        <w:t>Gelato Network (2023) Automation Infrastructure Documentation v2.1. Retrieved from https://docs.gelato.network/</w:t>
      </w:r>
    </w:p>
    <w:p w14:paraId="0FDB4849" w14:textId="77777777" w:rsidR="00DA6454" w:rsidRPr="00DA6454" w:rsidRDefault="00DA6454" w:rsidP="0069580A">
      <w:pPr>
        <w:spacing w:before="100" w:beforeAutospacing="1" w:after="100" w:afterAutospacing="1"/>
        <w:jc w:val="both"/>
      </w:pPr>
      <w:r w:rsidRPr="00DA6454">
        <w:t xml:space="preserve">Gigerenzer, G. and Brighton, H. (2009) 'Homo </w:t>
      </w:r>
      <w:proofErr w:type="spellStart"/>
      <w:r w:rsidRPr="00DA6454">
        <w:t>heuristicus</w:t>
      </w:r>
      <w:proofErr w:type="spellEnd"/>
      <w:r w:rsidRPr="00DA6454">
        <w:t>: Why biased minds make better inferences', Topics in Cognitive Science, 1(1), pp. 107-143.</w:t>
      </w:r>
    </w:p>
    <w:p w14:paraId="6A70E266" w14:textId="77777777" w:rsidR="00DA6454" w:rsidRPr="00DA6454" w:rsidRDefault="00DA6454" w:rsidP="0069580A">
      <w:pPr>
        <w:spacing w:before="100" w:beforeAutospacing="1" w:after="100" w:afterAutospacing="1"/>
        <w:jc w:val="both"/>
      </w:pPr>
      <w:r w:rsidRPr="00DA6454">
        <w:t xml:space="preserve">Gigerenzer, G. and </w:t>
      </w:r>
      <w:proofErr w:type="spellStart"/>
      <w:r w:rsidRPr="00DA6454">
        <w:t>Gaissmaier</w:t>
      </w:r>
      <w:proofErr w:type="spellEnd"/>
      <w:r w:rsidRPr="00DA6454">
        <w:t>, W. (2011) 'Heuristic decision making', Annual Review of Psychology, 62, pp. 451-482.</w:t>
      </w:r>
    </w:p>
    <w:p w14:paraId="07AA40A5" w14:textId="77777777" w:rsidR="00DA6454" w:rsidRPr="00DA6454" w:rsidRDefault="00DA6454" w:rsidP="0069580A">
      <w:pPr>
        <w:spacing w:before="100" w:beforeAutospacing="1" w:after="100" w:afterAutospacing="1"/>
        <w:jc w:val="both"/>
      </w:pPr>
      <w:r w:rsidRPr="00DA6454">
        <w:t xml:space="preserve">Gigerenzer, G., &amp; Brighton, H. (2009). Homo </w:t>
      </w:r>
      <w:proofErr w:type="spellStart"/>
      <w:r w:rsidRPr="00DA6454">
        <w:t>heuristicus</w:t>
      </w:r>
      <w:proofErr w:type="spellEnd"/>
      <w:r w:rsidRPr="00DA6454">
        <w:t>: Why biased minds make better inferences. Topics in Cognitive Science, 1(1), 107-143. https://doi.org/10.1111/j.1756-8765.2008.01006.x</w:t>
      </w:r>
    </w:p>
    <w:p w14:paraId="297EA866" w14:textId="77777777" w:rsidR="00DA6454" w:rsidRPr="00DA6454" w:rsidRDefault="00DA6454" w:rsidP="0069580A">
      <w:pPr>
        <w:spacing w:before="100" w:beforeAutospacing="1" w:after="100" w:afterAutospacing="1"/>
        <w:jc w:val="both"/>
      </w:pPr>
      <w:r w:rsidRPr="00DA6454">
        <w:t>Gigerenzer, G., &amp; Goldstein, D. G. (1996). Reasoning the fast and frugal way: Models of bounded rationality. Psychological Review, 103(4), 650-669. https://doi.org/10.1037/0033-295X.103.4.650</w:t>
      </w:r>
    </w:p>
    <w:p w14:paraId="7B0F1C34" w14:textId="77777777" w:rsidR="00DA6454" w:rsidRPr="00DA6454" w:rsidRDefault="00DA6454" w:rsidP="0069580A">
      <w:pPr>
        <w:spacing w:before="100" w:beforeAutospacing="1" w:after="100" w:afterAutospacing="1"/>
        <w:jc w:val="both"/>
      </w:pPr>
      <w:proofErr w:type="spellStart"/>
      <w:r w:rsidRPr="00DA6454">
        <w:t>Glasserman</w:t>
      </w:r>
      <w:proofErr w:type="spellEnd"/>
      <w:r w:rsidRPr="00DA6454">
        <w:t>, P. (2003). Monte Carlo methods in financial engineering. Springer. https://doi.org/10.1007/978-0-387-21617-1</w:t>
      </w:r>
    </w:p>
    <w:p w14:paraId="0DB9FE37" w14:textId="77777777" w:rsidR="00DA6454" w:rsidRPr="00DA6454" w:rsidRDefault="00DA6454" w:rsidP="0069580A">
      <w:pPr>
        <w:spacing w:before="100" w:beforeAutospacing="1" w:after="100" w:afterAutospacing="1"/>
        <w:jc w:val="both"/>
      </w:pPr>
      <w:r w:rsidRPr="00DA6454">
        <w:t>Global Health, and the Study of Business Enterprise, No. 247, pp. 1-28.</w:t>
      </w:r>
    </w:p>
    <w:p w14:paraId="335A3941" w14:textId="77777777" w:rsidR="00DA6454" w:rsidRPr="00DA6454" w:rsidRDefault="00DA6454" w:rsidP="0069580A">
      <w:pPr>
        <w:spacing w:before="100" w:beforeAutospacing="1" w:after="100" w:afterAutospacing="1"/>
        <w:jc w:val="both"/>
      </w:pPr>
      <w:r w:rsidRPr="00DA6454">
        <w:t>Gould, S. J. and Eldredge, N. (1977) 'Punctuated equilibria: The tempo and mode of evolution reconsidered', Paleobiology, 3(2), pp. 115-151.</w:t>
      </w:r>
    </w:p>
    <w:p w14:paraId="27535213" w14:textId="77777777" w:rsidR="00DA6454" w:rsidRPr="00DA6454" w:rsidRDefault="00DA6454" w:rsidP="0069580A">
      <w:pPr>
        <w:spacing w:before="100" w:beforeAutospacing="1" w:after="100" w:afterAutospacing="1"/>
        <w:jc w:val="both"/>
      </w:pPr>
      <w:r w:rsidRPr="00DA6454">
        <w:t>Greenland, S., Senn, S. J., Rothman, K. J., Carlin, J. B., Poole, C., Goodman, S. N., &amp; Altman,</w:t>
      </w:r>
    </w:p>
    <w:p w14:paraId="4280661D" w14:textId="77777777" w:rsidR="00DA6454" w:rsidRPr="00DA6454" w:rsidRDefault="00DA6454" w:rsidP="0069580A">
      <w:pPr>
        <w:spacing w:before="100" w:beforeAutospacing="1" w:after="100" w:afterAutospacing="1"/>
        <w:jc w:val="both"/>
      </w:pPr>
      <w:r w:rsidRPr="00DA6454">
        <w:lastRenderedPageBreak/>
        <w:t>Grewal, D.S., Hockett, R., Omarova, S.T., Ricks, M., Saul, J., Skeel, D.A., Sovern,</w:t>
      </w:r>
    </w:p>
    <w:p w14:paraId="52DA3DC0" w14:textId="77777777" w:rsidR="00DA6454" w:rsidRPr="00DA6454" w:rsidRDefault="00DA6454" w:rsidP="0069580A">
      <w:pPr>
        <w:spacing w:before="100" w:beforeAutospacing="1" w:after="100" w:afterAutospacing="1"/>
        <w:jc w:val="both"/>
      </w:pPr>
      <w:r w:rsidRPr="00DA6454">
        <w:t>Griffin, J. M. and Shams, A. (2020) 'Is Bitcoin really untethered?', The Journal of Finance, 75(4), pp. 1913-1964.</w:t>
      </w:r>
    </w:p>
    <w:p w14:paraId="197FD913" w14:textId="77777777" w:rsidR="00DA6454" w:rsidRPr="00DA6454" w:rsidRDefault="00DA6454" w:rsidP="0069580A">
      <w:pPr>
        <w:spacing w:before="100" w:beforeAutospacing="1" w:after="100" w:afterAutospacing="1"/>
        <w:jc w:val="both"/>
      </w:pPr>
      <w:r w:rsidRPr="00DA6454">
        <w:t>Gudgeon, L., Perez, D., Harz, D., Livshits, B. and Gervais, A. (2020) 'The decentralized</w:t>
      </w:r>
    </w:p>
    <w:p w14:paraId="58B77E13" w14:textId="77777777" w:rsidR="00DA6454" w:rsidRPr="00DA6454" w:rsidRDefault="00DA6454" w:rsidP="0069580A">
      <w:pPr>
        <w:spacing w:before="100" w:beforeAutospacing="1" w:after="100" w:afterAutospacing="1"/>
        <w:jc w:val="both"/>
      </w:pPr>
      <w:r w:rsidRPr="00DA6454">
        <w:t xml:space="preserve">Hamilton, J. D. (1989). A new approach to the economic analysis of nonstationary time series and the business cycle. </w:t>
      </w:r>
      <w:proofErr w:type="spellStart"/>
      <w:r w:rsidRPr="00DA6454">
        <w:t>Econometrica</w:t>
      </w:r>
      <w:proofErr w:type="spellEnd"/>
      <w:r w:rsidRPr="00DA6454">
        <w:t>, 57(2), 357-384. https://doi.org/10.2307/1912559</w:t>
      </w:r>
    </w:p>
    <w:p w14:paraId="126C8662" w14:textId="77777777" w:rsidR="00DA6454" w:rsidRPr="00DA6454" w:rsidRDefault="00DA6454" w:rsidP="0069580A">
      <w:pPr>
        <w:spacing w:before="100" w:beforeAutospacing="1" w:after="100" w:afterAutospacing="1"/>
        <w:jc w:val="both"/>
      </w:pPr>
      <w:r w:rsidRPr="00DA6454">
        <w:t>Hanke, S.H. and Bushnell, C. (2024) 'Venezuela in hyperinflation, 2016-2023',</w:t>
      </w:r>
    </w:p>
    <w:p w14:paraId="686C0B28" w14:textId="77777777" w:rsidR="00DA6454" w:rsidRPr="00DA6454" w:rsidRDefault="00DA6454" w:rsidP="0069580A">
      <w:pPr>
        <w:spacing w:before="100" w:beforeAutospacing="1" w:after="100" w:afterAutospacing="1"/>
        <w:jc w:val="both"/>
      </w:pPr>
      <w:r w:rsidRPr="00DA6454">
        <w:t>Hanke, S.H. and Bushnell, C. (2024) 'Venezuela in hyperinflation, 2016-2023', Studies in Applied Economics, Johns Hopkins Institute for Applied Economics, Global Health, and the Study of Business Enterprise, 247, pp. 1-28.</w:t>
      </w:r>
    </w:p>
    <w:p w14:paraId="13F4E828" w14:textId="77777777" w:rsidR="00DA6454" w:rsidRPr="00DA6454" w:rsidRDefault="00DA6454" w:rsidP="0069580A">
      <w:pPr>
        <w:spacing w:before="100" w:beforeAutospacing="1" w:after="100" w:afterAutospacing="1"/>
        <w:jc w:val="both"/>
      </w:pPr>
      <w:r w:rsidRPr="00DA6454">
        <w:t>Hansen, L. P. and Jagannathan, R. (1991) 'Implications of security market data for models of dynamic economies', Journal of Political Economy, 99(2), pp. 225-262.</w:t>
      </w:r>
    </w:p>
    <w:p w14:paraId="357B0C37" w14:textId="77777777" w:rsidR="00DA6454" w:rsidRPr="00DA6454" w:rsidRDefault="00DA6454" w:rsidP="0069580A">
      <w:pPr>
        <w:spacing w:before="100" w:beforeAutospacing="1" w:after="100" w:afterAutospacing="1"/>
        <w:jc w:val="both"/>
      </w:pPr>
      <w:r w:rsidRPr="00DA6454">
        <w:t>Harvey, C. R., Ramachandran, A., &amp; Santoro, J. (2021) DeFi and the future of finance. John Wiley &amp; Sons.</w:t>
      </w:r>
    </w:p>
    <w:p w14:paraId="4C9070F9" w14:textId="77777777" w:rsidR="00DA6454" w:rsidRPr="00DA6454" w:rsidRDefault="00DA6454" w:rsidP="0069580A">
      <w:pPr>
        <w:spacing w:before="100" w:beforeAutospacing="1" w:after="100" w:afterAutospacing="1"/>
        <w:jc w:val="both"/>
      </w:pPr>
      <w:r w:rsidRPr="00DA6454">
        <w:t>Hasbrouck, J. (2009) 'Trading costs and returns for US equities: Estimating effective costs from daily data', Journal of Finance, 64(3), pp. 1445-1477.</w:t>
      </w:r>
    </w:p>
    <w:p w14:paraId="5C4AD5E0" w14:textId="77777777" w:rsidR="00DA6454" w:rsidRPr="00DA6454" w:rsidRDefault="00DA6454" w:rsidP="0069580A">
      <w:pPr>
        <w:spacing w:before="100" w:beforeAutospacing="1" w:after="100" w:afterAutospacing="1"/>
        <w:jc w:val="both"/>
      </w:pPr>
      <w:r w:rsidRPr="00DA6454">
        <w:t xml:space="preserve">Hastie, T., </w:t>
      </w:r>
      <w:proofErr w:type="spellStart"/>
      <w:r w:rsidRPr="00DA6454">
        <w:t>Tibshirani</w:t>
      </w:r>
      <w:proofErr w:type="spellEnd"/>
      <w:r w:rsidRPr="00DA6454">
        <w:t>, R., &amp; Friedman, J. (2009) The Elements of Statistical Learning: Data Mining, Inference, and Prediction (2nd ed.). Springer.</w:t>
      </w:r>
    </w:p>
    <w:p w14:paraId="3DFBCEE9" w14:textId="77777777" w:rsidR="00DA6454" w:rsidRPr="00DA6454" w:rsidRDefault="00DA6454" w:rsidP="0069580A">
      <w:pPr>
        <w:spacing w:before="100" w:beforeAutospacing="1" w:after="100" w:afterAutospacing="1"/>
        <w:jc w:val="both"/>
      </w:pPr>
      <w:r w:rsidRPr="00DA6454">
        <w:t>Hayes, A. F. (2022) Introduction to mediation, moderation, and conditional process analysis (3rd ed.). The Guilford Press.</w:t>
      </w:r>
    </w:p>
    <w:p w14:paraId="003DA700" w14:textId="77777777" w:rsidR="00DA6454" w:rsidRPr="00DA6454" w:rsidRDefault="00DA6454" w:rsidP="0069580A">
      <w:pPr>
        <w:spacing w:before="100" w:beforeAutospacing="1" w:after="100" w:afterAutospacing="1"/>
        <w:jc w:val="both"/>
      </w:pPr>
      <w:r w:rsidRPr="00DA6454">
        <w:t>Heckathorn, D. D. (2011) 'Comment: Snowball versus respondent-driven sampling', Sociological Methodology, 41(1), pp. 355-366.</w:t>
      </w:r>
    </w:p>
    <w:p w14:paraId="583C631F" w14:textId="77777777" w:rsidR="00DA6454" w:rsidRPr="00DA6454" w:rsidRDefault="00DA6454" w:rsidP="0069580A">
      <w:pPr>
        <w:spacing w:before="100" w:beforeAutospacing="1" w:after="100" w:afterAutospacing="1"/>
        <w:jc w:val="both"/>
      </w:pPr>
      <w:r w:rsidRPr="00DA6454">
        <w:t xml:space="preserve">Heimbach, L., Wang, Y., &amp; </w:t>
      </w:r>
      <w:proofErr w:type="spellStart"/>
      <w:r w:rsidRPr="00DA6454">
        <w:t>Wattenhofer</w:t>
      </w:r>
      <w:proofErr w:type="spellEnd"/>
      <w:r w:rsidRPr="00DA6454">
        <w:t xml:space="preserve">, R. (2022) 'Behavior of liquidity providers in decentralized exchanges', </w:t>
      </w:r>
      <w:proofErr w:type="spellStart"/>
      <w:r w:rsidRPr="00DA6454">
        <w:t>arXiv</w:t>
      </w:r>
      <w:proofErr w:type="spellEnd"/>
      <w:r w:rsidRPr="00DA6454">
        <w:t xml:space="preserve"> preprint arXiv:2105.13822.</w:t>
      </w:r>
    </w:p>
    <w:p w14:paraId="17852778" w14:textId="77777777" w:rsidR="00F819B2" w:rsidRDefault="00F819B2" w:rsidP="0069580A">
      <w:pPr>
        <w:spacing w:before="100" w:beforeAutospacing="1" w:after="100" w:afterAutospacing="1"/>
        <w:jc w:val="both"/>
        <w:rPr>
          <w:rFonts w:ascii="Times-Roman" w:eastAsiaTheme="minorEastAsia" w:hAnsi="Times-Roman" w:cs="Times-Roman"/>
        </w:rPr>
      </w:pPr>
      <w:r>
        <w:rPr>
          <w:rFonts w:ascii="Times-Roman" w:eastAsiaTheme="minorEastAsia" w:hAnsi="Times-Roman" w:cs="Times-Roman"/>
        </w:rPr>
        <w:t xml:space="preserve">Heimbach, L., </w:t>
      </w:r>
      <w:proofErr w:type="spellStart"/>
      <w:r>
        <w:rPr>
          <w:rFonts w:ascii="Times-Roman" w:eastAsiaTheme="minorEastAsia" w:hAnsi="Times-Roman" w:cs="Times-Roman"/>
        </w:rPr>
        <w:t>Schertenleib</w:t>
      </w:r>
      <w:proofErr w:type="spellEnd"/>
      <w:r>
        <w:rPr>
          <w:rFonts w:ascii="Times-Roman" w:eastAsiaTheme="minorEastAsia" w:hAnsi="Times-Roman" w:cs="Times-Roman"/>
        </w:rPr>
        <w:t xml:space="preserve">, C. and </w:t>
      </w:r>
      <w:proofErr w:type="spellStart"/>
      <w:r>
        <w:rPr>
          <w:rFonts w:ascii="Times-Roman" w:eastAsiaTheme="minorEastAsia" w:hAnsi="Times-Roman" w:cs="Times-Roman"/>
        </w:rPr>
        <w:t>Wattenhofer</w:t>
      </w:r>
      <w:proofErr w:type="spellEnd"/>
      <w:r>
        <w:rPr>
          <w:rFonts w:ascii="Times-Roman" w:eastAsiaTheme="minorEastAsia" w:hAnsi="Times-Roman" w:cs="Times-Roman"/>
        </w:rPr>
        <w:t>, R. (2022) 'Risks and Returns of Uniswap V3 Liquidity Providers.</w:t>
      </w:r>
    </w:p>
    <w:p w14:paraId="1FB377FA" w14:textId="406C5852" w:rsidR="00DA6454" w:rsidRPr="00DA6454" w:rsidRDefault="00DA6454" w:rsidP="0069580A">
      <w:pPr>
        <w:spacing w:before="100" w:beforeAutospacing="1" w:after="100" w:afterAutospacing="1"/>
        <w:jc w:val="both"/>
      </w:pPr>
      <w:r w:rsidRPr="00DA6454">
        <w:t xml:space="preserve">Hendershott, T., Jones, C. M., &amp; </w:t>
      </w:r>
      <w:proofErr w:type="spellStart"/>
      <w:r w:rsidRPr="00DA6454">
        <w:t>Menkveld</w:t>
      </w:r>
      <w:proofErr w:type="spellEnd"/>
      <w:r w:rsidRPr="00DA6454">
        <w:t>, A. J. (2011) 'Does algorithmic trading improve liquidity?', Journal of Finance, 66(1), pp. 1-33.</w:t>
      </w:r>
    </w:p>
    <w:p w14:paraId="430E8045" w14:textId="77777777" w:rsidR="00DA6454" w:rsidRPr="00DA6454" w:rsidRDefault="00DA6454" w:rsidP="0069580A">
      <w:pPr>
        <w:spacing w:before="100" w:beforeAutospacing="1" w:after="100" w:afterAutospacing="1"/>
        <w:jc w:val="both"/>
      </w:pPr>
      <w:r w:rsidRPr="00DA6454">
        <w:t>Hoffmann, A. O., Post, T., &amp; Pennings, J. M. (2013) 'Individual investor perceptions and behavior during the financial crisis', Journal of Banking &amp; Finance, 37(1), pp. 60-74.</w:t>
      </w:r>
    </w:p>
    <w:p w14:paraId="1E5BB7BA" w14:textId="77777777" w:rsidR="00DA6454" w:rsidRPr="00DA6454" w:rsidRDefault="00DA6454" w:rsidP="0069580A">
      <w:pPr>
        <w:spacing w:before="100" w:beforeAutospacing="1" w:after="100" w:afterAutospacing="1"/>
        <w:jc w:val="both"/>
      </w:pPr>
      <w:r w:rsidRPr="00DA6454">
        <w:t>Holm, S. (1979) 'A simple sequentially rejective multiple test procedure', Scandinavian Journal of Statistics, 6(2), pp. 65-70.</w:t>
      </w:r>
    </w:p>
    <w:p w14:paraId="3FA41A2F" w14:textId="77777777" w:rsidR="00DA6454" w:rsidRPr="00DA6454" w:rsidRDefault="00DA6454" w:rsidP="0069580A">
      <w:pPr>
        <w:spacing w:before="100" w:beforeAutospacing="1" w:after="100" w:afterAutospacing="1"/>
        <w:jc w:val="both"/>
      </w:pPr>
      <w:r w:rsidRPr="00DA6454">
        <w:lastRenderedPageBreak/>
        <w:t>Hougaard, P. (2012). Analysis of Multivariate Survival Data. Springer.</w:t>
      </w:r>
    </w:p>
    <w:p w14:paraId="158D5F15" w14:textId="77777777" w:rsidR="00DA6454" w:rsidRPr="00DA6454" w:rsidRDefault="00DA6454" w:rsidP="0069580A">
      <w:pPr>
        <w:spacing w:before="100" w:beforeAutospacing="1" w:after="100" w:afterAutospacing="1"/>
        <w:jc w:val="both"/>
      </w:pPr>
      <w:r w:rsidRPr="00DA6454">
        <w:t>International Monetary Fund (2024) World Economic Outlook Database, October 2024.</w:t>
      </w:r>
    </w:p>
    <w:p w14:paraId="6B857295" w14:textId="77777777" w:rsidR="00DA6454" w:rsidRPr="00DA6454" w:rsidRDefault="00DA6454" w:rsidP="0069580A">
      <w:pPr>
        <w:spacing w:before="100" w:beforeAutospacing="1" w:after="100" w:afterAutospacing="1"/>
        <w:jc w:val="both"/>
      </w:pPr>
      <w:r w:rsidRPr="00DA6454">
        <w:t>International Monetary Fund (2024) World Economic Outlook Database, October 2024. Available at: https://www.imf.org/en/Publications/WEO (Accessed: 15 January 2025).</w:t>
      </w:r>
    </w:p>
    <w:p w14:paraId="637348C0" w14:textId="77777777" w:rsidR="002F076B" w:rsidRDefault="002F076B" w:rsidP="0069580A">
      <w:pPr>
        <w:spacing w:before="100" w:beforeAutospacing="1" w:after="100" w:afterAutospacing="1"/>
        <w:jc w:val="both"/>
        <w:rPr>
          <w:rFonts w:ascii="Times-Roman" w:eastAsiaTheme="minorEastAsia" w:hAnsi="Times-Roman" w:cs="Times-Roman"/>
        </w:rPr>
      </w:pPr>
      <w:r>
        <w:rPr>
          <w:rFonts w:ascii="Times-Roman" w:eastAsiaTheme="minorEastAsia" w:hAnsi="Times-Roman" w:cs="Times-Roman"/>
        </w:rPr>
        <w:t xml:space="preserve">International Organization of Securities Commissions (IOSCO) (2023) </w:t>
      </w:r>
      <w:r>
        <w:rPr>
          <w:rFonts w:ascii="Times-Italic" w:eastAsiaTheme="minorEastAsia" w:hAnsi="Times-Italic" w:cs="Times-Italic"/>
          <w:i/>
          <w:iCs/>
        </w:rPr>
        <w:t>Policy Recommendations for Decentralized Finance (DeFi)</w:t>
      </w:r>
      <w:r>
        <w:rPr>
          <w:rFonts w:ascii="Times-Roman" w:eastAsiaTheme="minorEastAsia" w:hAnsi="Times-Roman" w:cs="Times-Roman"/>
        </w:rPr>
        <w:t xml:space="preserve">, October. </w:t>
      </w:r>
    </w:p>
    <w:p w14:paraId="6859B03B" w14:textId="2AF06584" w:rsidR="002F076B" w:rsidRDefault="002F076B" w:rsidP="0069580A">
      <w:pPr>
        <w:spacing w:before="100" w:beforeAutospacing="1" w:after="100" w:afterAutospacing="1"/>
        <w:jc w:val="both"/>
        <w:rPr>
          <w:rFonts w:ascii="Times-Roman" w:eastAsiaTheme="minorEastAsia" w:hAnsi="Times-Roman" w:cs="Times-Roman"/>
        </w:rPr>
      </w:pPr>
      <w:proofErr w:type="spellStart"/>
      <w:r>
        <w:rPr>
          <w:rFonts w:ascii="Times-Roman" w:eastAsiaTheme="minorEastAsia" w:hAnsi="Times-Roman" w:cs="Times-Roman"/>
        </w:rPr>
        <w:t>IntoTheBlock</w:t>
      </w:r>
      <w:proofErr w:type="spellEnd"/>
      <w:r>
        <w:rPr>
          <w:rFonts w:ascii="Times-Roman" w:eastAsiaTheme="minorEastAsia" w:hAnsi="Times-Roman" w:cs="Times-Roman"/>
        </w:rPr>
        <w:t xml:space="preserve"> (2021) 'Concentrated Liquidity Increases Risk of Impermanent Loss', 25 November. </w:t>
      </w:r>
    </w:p>
    <w:p w14:paraId="7989A2AE" w14:textId="06117F9F" w:rsidR="00DA6454" w:rsidRPr="00DA6454" w:rsidRDefault="00DA6454" w:rsidP="0069580A">
      <w:pPr>
        <w:spacing w:before="100" w:beforeAutospacing="1" w:after="100" w:afterAutospacing="1"/>
        <w:jc w:val="both"/>
      </w:pPr>
      <w:r w:rsidRPr="00DA6454">
        <w:t xml:space="preserve">Ioannidis, J. P. (2005) 'Why most published research findings are false', </w:t>
      </w:r>
      <w:proofErr w:type="spellStart"/>
      <w:r w:rsidRPr="00DA6454">
        <w:t>PLoS</w:t>
      </w:r>
      <w:proofErr w:type="spellEnd"/>
      <w:r w:rsidRPr="00DA6454">
        <w:t xml:space="preserve"> Medicine, 2(8), e124.</w:t>
      </w:r>
    </w:p>
    <w:p w14:paraId="3032E46C" w14:textId="77777777" w:rsidR="00DA6454" w:rsidRPr="00DA6454" w:rsidRDefault="00DA6454" w:rsidP="0069580A">
      <w:pPr>
        <w:spacing w:before="100" w:beforeAutospacing="1" w:after="100" w:afterAutospacing="1"/>
        <w:jc w:val="both"/>
      </w:pPr>
      <w:r w:rsidRPr="00DA6454">
        <w:t>Israel, M. and Hay, I. (2006) Research ethics for social scientists. SAGE Publications.</w:t>
      </w:r>
    </w:p>
    <w:p w14:paraId="2B71DCC6" w14:textId="77777777" w:rsidR="00DA6454" w:rsidRPr="00DA6454" w:rsidRDefault="00DA6454" w:rsidP="0069580A">
      <w:pPr>
        <w:spacing w:before="100" w:beforeAutospacing="1" w:after="100" w:afterAutospacing="1"/>
        <w:jc w:val="both"/>
      </w:pPr>
      <w:r w:rsidRPr="00DA6454">
        <w:t xml:space="preserve">Iyengar, S. S. and </w:t>
      </w:r>
      <w:proofErr w:type="spellStart"/>
      <w:r w:rsidRPr="00DA6454">
        <w:t>Kamenica</w:t>
      </w:r>
      <w:proofErr w:type="spellEnd"/>
      <w:r w:rsidRPr="00DA6454">
        <w:t>, E. (2010) 'Choice proliferation, simplicity seeking, and asset allocation', Journal of Public Economics, 94(7-8), pp. 530-539.</w:t>
      </w:r>
    </w:p>
    <w:p w14:paraId="4A2F7417" w14:textId="77777777" w:rsidR="00DA6454" w:rsidRPr="00DA6454" w:rsidRDefault="00DA6454" w:rsidP="0069580A">
      <w:pPr>
        <w:spacing w:before="100" w:beforeAutospacing="1" w:after="100" w:afterAutospacing="1"/>
        <w:jc w:val="both"/>
      </w:pPr>
      <w:r w:rsidRPr="00DA6454">
        <w:t>J., Wilmarth, A.E. and Zaring, D. (2022) 'DeFi: Shadow banking 2.0?', UC Davis Law</w:t>
      </w:r>
    </w:p>
    <w:p w14:paraId="1985803B" w14:textId="77777777" w:rsidR="00DA6454" w:rsidRPr="00DA6454" w:rsidRDefault="00DA6454" w:rsidP="0069580A">
      <w:pPr>
        <w:spacing w:before="100" w:beforeAutospacing="1" w:after="100" w:afterAutospacing="1"/>
        <w:jc w:val="both"/>
      </w:pPr>
      <w:r w:rsidRPr="00DA6454">
        <w:t xml:space="preserve">James, G., Witten, D., Hastie, T., &amp; </w:t>
      </w:r>
      <w:proofErr w:type="spellStart"/>
      <w:r w:rsidRPr="00DA6454">
        <w:t>Tibshirani</w:t>
      </w:r>
      <w:proofErr w:type="spellEnd"/>
      <w:r w:rsidRPr="00DA6454">
        <w:t>, R. (2021) An introduction to statistical learning (2nd ed.). Springer.</w:t>
      </w:r>
    </w:p>
    <w:p w14:paraId="31952429" w14:textId="77777777" w:rsidR="00DA6454" w:rsidRPr="00DA6454" w:rsidRDefault="00DA6454" w:rsidP="0069580A">
      <w:pPr>
        <w:spacing w:before="100" w:beforeAutospacing="1" w:after="100" w:afterAutospacing="1"/>
        <w:jc w:val="both"/>
      </w:pPr>
      <w:r w:rsidRPr="00DA6454">
        <w:t>Johnson, M. and Rivera, C. (2024) 'Cryptocurrency market dynamics and fee-based revenue models: A longitudinal analysis', Journal of Digital Finance, 8(2), pp. 234-251.</w:t>
      </w:r>
    </w:p>
    <w:p w14:paraId="419912BC" w14:textId="77777777" w:rsidR="00DA6454" w:rsidRPr="00DA6454" w:rsidRDefault="00DA6454" w:rsidP="0069580A">
      <w:pPr>
        <w:spacing w:before="100" w:beforeAutospacing="1" w:after="100" w:afterAutospacing="1"/>
        <w:jc w:val="both"/>
      </w:pPr>
      <w:r w:rsidRPr="00DA6454">
        <w:t>Johnson, R. B. and Onwuegbuzie, A. J. (2004) 'Mixed methods research: A research paradigm whose time has come', Educational Researcher, 33(7), pp. 14-26.</w:t>
      </w:r>
    </w:p>
    <w:p w14:paraId="287087F8" w14:textId="77777777" w:rsidR="00DA6454" w:rsidRPr="00DA6454" w:rsidRDefault="00DA6454" w:rsidP="0069580A">
      <w:pPr>
        <w:spacing w:before="100" w:beforeAutospacing="1" w:after="100" w:afterAutospacing="1"/>
        <w:jc w:val="both"/>
      </w:pPr>
      <w:proofErr w:type="spellStart"/>
      <w:r w:rsidRPr="00DA6454">
        <w:t>Jorion</w:t>
      </w:r>
      <w:proofErr w:type="spellEnd"/>
      <w:r w:rsidRPr="00DA6454">
        <w:t>, P. (2006) Value at risk: The new benchmark for managing financial risk (3rd ed.). McGraw-Hill.</w:t>
      </w:r>
    </w:p>
    <w:p w14:paraId="001D0E7D" w14:textId="77777777" w:rsidR="00DA6454" w:rsidRPr="00DA6454" w:rsidRDefault="00DA6454" w:rsidP="0069580A">
      <w:pPr>
        <w:spacing w:before="100" w:beforeAutospacing="1" w:after="100" w:afterAutospacing="1"/>
        <w:jc w:val="both"/>
      </w:pPr>
      <w:proofErr w:type="spellStart"/>
      <w:r w:rsidRPr="00DA6454">
        <w:t>Kacperczyk</w:t>
      </w:r>
      <w:proofErr w:type="spellEnd"/>
      <w:r w:rsidRPr="00DA6454">
        <w:t>, M. and Seru, A. (2007) 'Fund manager use of public information: New evidence on managerial skills', Journal of Finance, 62(2), pp. 485-528.</w:t>
      </w:r>
    </w:p>
    <w:p w14:paraId="75C17945" w14:textId="77777777" w:rsidR="00DA6454" w:rsidRPr="00DA6454" w:rsidRDefault="00DA6454" w:rsidP="0069580A">
      <w:pPr>
        <w:spacing w:before="100" w:beforeAutospacing="1" w:after="100" w:afterAutospacing="1"/>
        <w:jc w:val="both"/>
      </w:pPr>
      <w:proofErr w:type="spellStart"/>
      <w:r w:rsidRPr="00DA6454">
        <w:t>Kacperczyk</w:t>
      </w:r>
      <w:proofErr w:type="spellEnd"/>
      <w:r w:rsidRPr="00DA6454">
        <w:t>, M., Sialm, C., &amp; Zheng, L. (2005) 'On the industry concentration of actively managed equity mutual funds', Journal of Finance, 60(4), pp. 1983-2011.</w:t>
      </w:r>
    </w:p>
    <w:p w14:paraId="1A563E30" w14:textId="77777777" w:rsidR="00DA6454" w:rsidRPr="00DA6454" w:rsidRDefault="00DA6454" w:rsidP="0069580A">
      <w:pPr>
        <w:spacing w:before="100" w:beforeAutospacing="1" w:after="100" w:afterAutospacing="1"/>
        <w:jc w:val="both"/>
      </w:pPr>
      <w:r w:rsidRPr="00DA6454">
        <w:t>Kahneman, D. (2011) Thinking, fast and slow. Farrar, Straus and Giroux.</w:t>
      </w:r>
    </w:p>
    <w:p w14:paraId="799C6B82" w14:textId="77777777" w:rsidR="00DA6454" w:rsidRPr="00DA6454" w:rsidRDefault="00DA6454" w:rsidP="0069580A">
      <w:pPr>
        <w:spacing w:before="100" w:beforeAutospacing="1" w:after="100" w:afterAutospacing="1"/>
        <w:jc w:val="both"/>
      </w:pPr>
      <w:r w:rsidRPr="00DA6454">
        <w:t xml:space="preserve">Kahneman, D. and Tversky, A. (1979) 'Prospect theory: An analysis of decision under risk', </w:t>
      </w:r>
      <w:proofErr w:type="spellStart"/>
      <w:r w:rsidRPr="00DA6454">
        <w:t>Econometrica</w:t>
      </w:r>
      <w:proofErr w:type="spellEnd"/>
      <w:r w:rsidRPr="00DA6454">
        <w:t>, 47(2), pp. 263-291.</w:t>
      </w:r>
    </w:p>
    <w:p w14:paraId="00D563A6" w14:textId="77777777" w:rsidR="00DA6454" w:rsidRPr="00DA6454" w:rsidRDefault="00DA6454" w:rsidP="0069580A">
      <w:pPr>
        <w:spacing w:before="100" w:beforeAutospacing="1" w:after="100" w:afterAutospacing="1"/>
        <w:jc w:val="both"/>
      </w:pPr>
      <w:r w:rsidRPr="00DA6454">
        <w:t>Kahneman, D. (2011). Thinking, fast and slow. Farrar, Straus and Giroux.</w:t>
      </w:r>
    </w:p>
    <w:p w14:paraId="155C8FE1" w14:textId="7B978FA7" w:rsidR="00DA6454" w:rsidRPr="00DA6454" w:rsidRDefault="00DA6454" w:rsidP="0069580A">
      <w:pPr>
        <w:spacing w:before="100" w:beforeAutospacing="1" w:after="100" w:afterAutospacing="1"/>
        <w:jc w:val="both"/>
      </w:pPr>
      <w:r w:rsidRPr="00DA6454">
        <w:lastRenderedPageBreak/>
        <w:t xml:space="preserve">Kahneman, D., &amp; Tversky, A. (1979). Prospect theory: An analysis of </w:t>
      </w:r>
      <w:proofErr w:type="gramStart"/>
      <w:r w:rsidRPr="00DA6454">
        <w:t>decision</w:t>
      </w:r>
      <w:proofErr w:type="gramEnd"/>
      <w:r w:rsidRPr="00DA6454">
        <w:t xml:space="preserve"> under risk. </w:t>
      </w:r>
      <w:proofErr w:type="spellStart"/>
      <w:r w:rsidRPr="00DA6454">
        <w:t>Econometrica</w:t>
      </w:r>
      <w:proofErr w:type="spellEnd"/>
      <w:r w:rsidRPr="00DA6454">
        <w:t xml:space="preserve">, 47(2), 263-291. </w:t>
      </w:r>
    </w:p>
    <w:p w14:paraId="1B08638A" w14:textId="006EFFDE" w:rsidR="00DA6454" w:rsidRPr="00DA6454" w:rsidRDefault="00DA6454" w:rsidP="0069580A">
      <w:pPr>
        <w:spacing w:before="100" w:beforeAutospacing="1" w:after="100" w:afterAutospacing="1"/>
        <w:jc w:val="both"/>
      </w:pPr>
      <w:proofErr w:type="spellStart"/>
      <w:r w:rsidRPr="00DA6454">
        <w:t>Kermack</w:t>
      </w:r>
      <w:proofErr w:type="spellEnd"/>
      <w:r w:rsidRPr="00DA6454">
        <w:t xml:space="preserve">, W. O., &amp; McKendrick, A. G. (1927). A contribution to the mathematical theory of epidemics. Proceedings of the Royal Society of London. Series A, 115(772), 700-721. </w:t>
      </w:r>
    </w:p>
    <w:p w14:paraId="4229D98A" w14:textId="77777777" w:rsidR="006F295C" w:rsidRDefault="006F295C" w:rsidP="0069580A">
      <w:pPr>
        <w:spacing w:before="100" w:beforeAutospacing="1" w:after="100" w:afterAutospacing="1"/>
        <w:jc w:val="both"/>
        <w:rPr>
          <w:rFonts w:ascii="Times-Roman" w:eastAsiaTheme="minorEastAsia" w:hAnsi="Times-Roman" w:cs="Times-Roman"/>
        </w:rPr>
      </w:pPr>
      <w:proofErr w:type="spellStart"/>
      <w:r>
        <w:rPr>
          <w:rFonts w:ascii="Times-Roman" w:eastAsiaTheme="minorEastAsia" w:hAnsi="Times-Roman" w:cs="Times-Roman"/>
        </w:rPr>
        <w:t>Koutmos</w:t>
      </w:r>
      <w:proofErr w:type="spellEnd"/>
      <w:r>
        <w:rPr>
          <w:rFonts w:ascii="Times-Roman" w:eastAsiaTheme="minorEastAsia" w:hAnsi="Times-Roman" w:cs="Times-Roman"/>
        </w:rPr>
        <w:t xml:space="preserve">, D. (2023) 'Network activity and Ethereum gas prices', </w:t>
      </w:r>
      <w:r>
        <w:rPr>
          <w:rFonts w:ascii="Times-Italic" w:eastAsiaTheme="minorEastAsia" w:hAnsi="Times-Italic" w:cs="Times-Italic"/>
          <w:i/>
          <w:iCs/>
        </w:rPr>
        <w:t>Journal of Risk and Financial Management</w:t>
      </w:r>
      <w:r>
        <w:rPr>
          <w:rFonts w:ascii="Times-Roman" w:eastAsiaTheme="minorEastAsia" w:hAnsi="Times-Roman" w:cs="Times-Roman"/>
        </w:rPr>
        <w:t xml:space="preserve">, 16(10), 431. </w:t>
      </w:r>
    </w:p>
    <w:p w14:paraId="2BDF57F9" w14:textId="40E23C23" w:rsidR="00DA6454" w:rsidRPr="00DA6454" w:rsidRDefault="00DA6454" w:rsidP="0069580A">
      <w:pPr>
        <w:spacing w:before="100" w:beforeAutospacing="1" w:after="100" w:afterAutospacing="1"/>
        <w:jc w:val="both"/>
      </w:pPr>
      <w:proofErr w:type="spellStart"/>
      <w:r w:rsidRPr="00DA6454">
        <w:t>Kozinets</w:t>
      </w:r>
      <w:proofErr w:type="spellEnd"/>
      <w:r w:rsidRPr="00DA6454">
        <w:t xml:space="preserve">, R. V. (2019) </w:t>
      </w:r>
      <w:proofErr w:type="spellStart"/>
      <w:r w:rsidRPr="00DA6454">
        <w:t>Netnography</w:t>
      </w:r>
      <w:proofErr w:type="spellEnd"/>
      <w:r w:rsidRPr="00DA6454">
        <w:t>: The essential guide to qualitative social media research (3rd ed.). SAGE Publications.</w:t>
      </w:r>
    </w:p>
    <w:p w14:paraId="323EBB72" w14:textId="77777777" w:rsidR="00DA6454" w:rsidRPr="00DA6454" w:rsidRDefault="00DA6454" w:rsidP="0069580A">
      <w:pPr>
        <w:spacing w:before="100" w:beforeAutospacing="1" w:after="100" w:afterAutospacing="1"/>
        <w:jc w:val="both"/>
      </w:pPr>
      <w:r w:rsidRPr="00DA6454">
        <w:t xml:space="preserve">Kvale, S. and Brinkmann, S. (2009) </w:t>
      </w:r>
      <w:proofErr w:type="spellStart"/>
      <w:r w:rsidRPr="00DA6454">
        <w:t>InterViews</w:t>
      </w:r>
      <w:proofErr w:type="spellEnd"/>
      <w:r w:rsidRPr="00DA6454">
        <w:t>: Learning the craft of qualitative research interviewing (2nd ed.). SAGE Publications.</w:t>
      </w:r>
    </w:p>
    <w:p w14:paraId="2BA9C74A" w14:textId="77777777" w:rsidR="00DA6454" w:rsidRPr="00DA6454" w:rsidRDefault="00DA6454" w:rsidP="0069580A">
      <w:pPr>
        <w:spacing w:before="100" w:beforeAutospacing="1" w:after="100" w:afterAutospacing="1"/>
        <w:jc w:val="both"/>
      </w:pPr>
      <w:r w:rsidRPr="00DA6454">
        <w:t>L2Beat (2023) Layer 2 Scaling Analytics. Retrieved from https://l2beat.com/</w:t>
      </w:r>
    </w:p>
    <w:p w14:paraId="2B4F2CED" w14:textId="77777777" w:rsidR="00DA6454" w:rsidRPr="00DA6454" w:rsidRDefault="00DA6454" w:rsidP="0069580A">
      <w:pPr>
        <w:spacing w:before="100" w:beforeAutospacing="1" w:after="100" w:afterAutospacing="1"/>
        <w:jc w:val="both"/>
      </w:pPr>
      <w:r w:rsidRPr="00DA6454">
        <w:t xml:space="preserve">Laffer, A. B. (1974) 'The Laffer curve', in J. Wanniski, </w:t>
      </w:r>
      <w:proofErr w:type="gramStart"/>
      <w:r w:rsidRPr="00DA6454">
        <w:t>The</w:t>
      </w:r>
      <w:proofErr w:type="gramEnd"/>
      <w:r w:rsidRPr="00DA6454">
        <w:t xml:space="preserve"> way the world works. New York: Basic Books.</w:t>
      </w:r>
    </w:p>
    <w:p w14:paraId="177B436C" w14:textId="77777777" w:rsidR="00DA6454" w:rsidRPr="00DA6454" w:rsidRDefault="00DA6454" w:rsidP="0069580A">
      <w:pPr>
        <w:spacing w:before="100" w:beforeAutospacing="1" w:after="100" w:afterAutospacing="1"/>
        <w:jc w:val="both"/>
      </w:pPr>
      <w:r w:rsidRPr="00DA6454">
        <w:t xml:space="preserve">Lehar, A. and </w:t>
      </w:r>
      <w:proofErr w:type="spellStart"/>
      <w:r w:rsidRPr="00DA6454">
        <w:t>Parlour</w:t>
      </w:r>
      <w:proofErr w:type="spellEnd"/>
      <w:r w:rsidRPr="00DA6454">
        <w:t>, C. A. (2022) 'Decentralized exchange: The Uniswap automated market maker', Journal of Finance, 77(3), pp. 1421-1467.</w:t>
      </w:r>
    </w:p>
    <w:p w14:paraId="2F7D0E2B" w14:textId="77777777" w:rsidR="00DA6454" w:rsidRPr="00DA6454" w:rsidRDefault="00DA6454" w:rsidP="0069580A">
      <w:pPr>
        <w:spacing w:before="100" w:beforeAutospacing="1" w:after="100" w:afterAutospacing="1"/>
        <w:jc w:val="both"/>
      </w:pPr>
      <w:r w:rsidRPr="00DA6454">
        <w:t>Little, R. J. A. (1988) 'A test of missing completely at random for multivariate data with missing values', Journal of the American Statistical Association, 83(404), pp. 1198-1202.</w:t>
      </w:r>
    </w:p>
    <w:p w14:paraId="6B955877" w14:textId="77777777" w:rsidR="00DA6454" w:rsidRPr="00DA6454" w:rsidRDefault="00DA6454" w:rsidP="0069580A">
      <w:pPr>
        <w:spacing w:before="100" w:beforeAutospacing="1" w:after="100" w:afterAutospacing="1"/>
        <w:jc w:val="both"/>
      </w:pPr>
      <w:r w:rsidRPr="00DA6454">
        <w:t>Liu, Y. and Tsyvinski, A. (2021) 'Risks and returns of cryptocurrency', The Review of Financial Studies, 34(6), pp. 2689-2727.</w:t>
      </w:r>
    </w:p>
    <w:p w14:paraId="5B6FCD0F" w14:textId="77777777" w:rsidR="00DA6454" w:rsidRPr="00DA6454" w:rsidRDefault="00DA6454" w:rsidP="0069580A">
      <w:pPr>
        <w:spacing w:before="100" w:beforeAutospacing="1" w:after="100" w:afterAutospacing="1"/>
        <w:jc w:val="both"/>
      </w:pPr>
      <w:r w:rsidRPr="00DA6454">
        <w:t>Lo, A. W. (2004) 'The adaptive markets hypothesis', Journal of Portfolio Management, 30(5), pp. 15-29.</w:t>
      </w:r>
    </w:p>
    <w:p w14:paraId="6B1A8DCA" w14:textId="77777777" w:rsidR="00DA6454" w:rsidRPr="00DA6454" w:rsidRDefault="00DA6454" w:rsidP="0069580A">
      <w:pPr>
        <w:spacing w:before="100" w:beforeAutospacing="1" w:after="100" w:afterAutospacing="1"/>
        <w:jc w:val="both"/>
      </w:pPr>
      <w:r w:rsidRPr="00DA6454">
        <w:t>Loesch, S., Hindman, N., Richardson, M., &amp; Welch, N. (2021) 'Impermanent loss in Uniswap v3', Paradigm Research.</w:t>
      </w:r>
    </w:p>
    <w:p w14:paraId="74BE7A50" w14:textId="77777777" w:rsidR="00DA6454" w:rsidRPr="00DA6454" w:rsidRDefault="00DA6454" w:rsidP="0069580A">
      <w:pPr>
        <w:spacing w:before="100" w:beforeAutospacing="1" w:after="100" w:afterAutospacing="1"/>
        <w:jc w:val="both"/>
      </w:pPr>
      <w:r w:rsidRPr="00DA6454">
        <w:t>Lusardi, A., &amp; Mitchell, O. S. (2014). The economic importance of financial literacy: Theory and evidence. Journal of Economic Literature, 52(1), 5-44. https://doi.org/10.1257/jel.52.1.5</w:t>
      </w:r>
    </w:p>
    <w:p w14:paraId="4A6739AF" w14:textId="77777777" w:rsidR="00DA6454" w:rsidRPr="00DA6454" w:rsidRDefault="00DA6454" w:rsidP="0069580A">
      <w:pPr>
        <w:spacing w:before="100" w:beforeAutospacing="1" w:after="100" w:afterAutospacing="1"/>
        <w:jc w:val="both"/>
      </w:pPr>
      <w:r w:rsidRPr="00DA6454">
        <w:t xml:space="preserve">Makarov, I. and </w:t>
      </w:r>
      <w:proofErr w:type="spellStart"/>
      <w:r w:rsidRPr="00DA6454">
        <w:t>Schoar</w:t>
      </w:r>
      <w:proofErr w:type="spellEnd"/>
      <w:r w:rsidRPr="00DA6454">
        <w:t>, A. (2020) 'Trading and arbitrage in cryptocurrency markets', Journal of Financial Economics, 135(2), pp. 293-319.</w:t>
      </w:r>
    </w:p>
    <w:p w14:paraId="751CDAB1" w14:textId="77777777" w:rsidR="00DA6454" w:rsidRPr="00DA6454" w:rsidRDefault="00DA6454" w:rsidP="0069580A">
      <w:pPr>
        <w:spacing w:before="100" w:beforeAutospacing="1" w:after="100" w:afterAutospacing="1"/>
        <w:jc w:val="both"/>
      </w:pPr>
      <w:r w:rsidRPr="00DA6454">
        <w:t xml:space="preserve">Makarov, I. and </w:t>
      </w:r>
      <w:proofErr w:type="spellStart"/>
      <w:r w:rsidRPr="00DA6454">
        <w:t>Schoar</w:t>
      </w:r>
      <w:proofErr w:type="spellEnd"/>
      <w:r w:rsidRPr="00DA6454">
        <w:t>, A. (2022) 'Cryptocurrencies and decentralized finance (DeFi)',</w:t>
      </w:r>
    </w:p>
    <w:p w14:paraId="6EFEBC9F" w14:textId="77777777" w:rsidR="00DA6454" w:rsidRPr="00DA6454" w:rsidRDefault="00DA6454" w:rsidP="0069580A">
      <w:pPr>
        <w:spacing w:before="100" w:beforeAutospacing="1" w:after="100" w:afterAutospacing="1"/>
        <w:jc w:val="both"/>
      </w:pPr>
      <w:r w:rsidRPr="00DA6454">
        <w:t>Malkiel, B. G. (1973) A random walk down Wall Street. W. W. Norton.</w:t>
      </w:r>
    </w:p>
    <w:p w14:paraId="3D971793" w14:textId="77777777" w:rsidR="00DA6454" w:rsidRPr="00DA6454" w:rsidRDefault="00DA6454" w:rsidP="0069580A">
      <w:pPr>
        <w:spacing w:before="100" w:beforeAutospacing="1" w:after="100" w:afterAutospacing="1"/>
        <w:jc w:val="both"/>
      </w:pPr>
      <w:r w:rsidRPr="00DA6454">
        <w:t>Malkiel, B. G. (2003) 'Passive investment strategies and efficient markets', European Financial Management, 9(1), pp. 1-10.</w:t>
      </w:r>
    </w:p>
    <w:p w14:paraId="687026F6" w14:textId="77777777" w:rsidR="00DA6454" w:rsidRPr="00DA6454" w:rsidRDefault="00DA6454" w:rsidP="0069580A">
      <w:pPr>
        <w:spacing w:before="100" w:beforeAutospacing="1" w:after="100" w:afterAutospacing="1"/>
        <w:jc w:val="both"/>
      </w:pPr>
      <w:r w:rsidRPr="00DA6454">
        <w:lastRenderedPageBreak/>
        <w:t>Management Science, 69(8), pp. 4638-4656.</w:t>
      </w:r>
    </w:p>
    <w:p w14:paraId="31938CED" w14:textId="77777777" w:rsidR="00DA6454" w:rsidRPr="00DA6454" w:rsidRDefault="00DA6454" w:rsidP="0069580A">
      <w:pPr>
        <w:spacing w:before="100" w:beforeAutospacing="1" w:after="100" w:afterAutospacing="1"/>
        <w:jc w:val="both"/>
      </w:pPr>
      <w:r w:rsidRPr="00DA6454">
        <w:t>March, J. G. (1991) 'Exploration and exploitation in organizational learning', Organization Science, 2(1), pp. 71-87.</w:t>
      </w:r>
    </w:p>
    <w:p w14:paraId="2B817912" w14:textId="77777777" w:rsidR="004F3DB8" w:rsidRDefault="004F3DB8" w:rsidP="004F3DB8">
      <w:pPr>
        <w:autoSpaceDE w:val="0"/>
        <w:autoSpaceDN w:val="0"/>
        <w:adjustRightInd w:val="0"/>
        <w:spacing w:after="240"/>
        <w:rPr>
          <w:rFonts w:ascii="Times-Roman" w:eastAsiaTheme="minorEastAsia" w:hAnsi="Times-Roman" w:cs="Times-Roman"/>
        </w:rPr>
      </w:pPr>
      <w:r>
        <w:rPr>
          <w:rFonts w:ascii="Times-Roman" w:eastAsiaTheme="minorEastAsia" w:hAnsi="Times-Roman" w:cs="Times-Roman"/>
        </w:rPr>
        <w:t xml:space="preserve">Marchioro, M. (2020a) 'When is the best time to send Ethereum transactions?', </w:t>
      </w:r>
      <w:r>
        <w:rPr>
          <w:rFonts w:ascii="Times-Italic" w:eastAsiaTheme="minorEastAsia" w:hAnsi="Times-Italic" w:cs="Times-Italic"/>
          <w:i/>
          <w:iCs/>
        </w:rPr>
        <w:t>Medium</w:t>
      </w:r>
      <w:r>
        <w:rPr>
          <w:rFonts w:ascii="Times-Roman" w:eastAsiaTheme="minorEastAsia" w:hAnsi="Times-Roman" w:cs="Times-Roman"/>
        </w:rPr>
        <w:t xml:space="preserve">, 30 July. </w:t>
      </w:r>
    </w:p>
    <w:p w14:paraId="1514D5AB" w14:textId="77777777" w:rsidR="004F3DB8" w:rsidRDefault="004F3DB8" w:rsidP="004F3DB8">
      <w:pPr>
        <w:spacing w:before="100" w:beforeAutospacing="1" w:after="100" w:afterAutospacing="1"/>
        <w:jc w:val="both"/>
        <w:rPr>
          <w:rFonts w:ascii="Times-Roman" w:eastAsiaTheme="minorEastAsia" w:hAnsi="Times-Roman" w:cs="Times-Roman"/>
        </w:rPr>
      </w:pPr>
      <w:r>
        <w:rPr>
          <w:rFonts w:ascii="Times-Roman" w:eastAsiaTheme="minorEastAsia" w:hAnsi="Times-Roman" w:cs="Times-Roman"/>
        </w:rPr>
        <w:t xml:space="preserve">Marchioro, M. (2020b) 'Ethereum: how to save even more on gas price with a weekly plan', </w:t>
      </w:r>
      <w:r>
        <w:rPr>
          <w:rFonts w:ascii="Times-Italic" w:eastAsiaTheme="minorEastAsia" w:hAnsi="Times-Italic" w:cs="Times-Italic"/>
          <w:i/>
          <w:iCs/>
        </w:rPr>
        <w:t>Medium</w:t>
      </w:r>
      <w:r>
        <w:rPr>
          <w:rFonts w:ascii="Times-Roman" w:eastAsiaTheme="minorEastAsia" w:hAnsi="Times-Roman" w:cs="Times-Roman"/>
        </w:rPr>
        <w:t>, 2 August.</w:t>
      </w:r>
    </w:p>
    <w:p w14:paraId="0492269C" w14:textId="1F302554" w:rsidR="00DA6454" w:rsidRPr="00DA6454" w:rsidRDefault="00DA6454" w:rsidP="004F3DB8">
      <w:pPr>
        <w:spacing w:before="100" w:beforeAutospacing="1" w:after="100" w:afterAutospacing="1"/>
        <w:jc w:val="both"/>
      </w:pPr>
      <w:r w:rsidRPr="00DA6454">
        <w:t>Markowitz, H. (1952) 'Portfolio selection', The Journal of Finance, 7(1), pp. 77-91.</w:t>
      </w:r>
    </w:p>
    <w:p w14:paraId="28838286" w14:textId="77777777" w:rsidR="00DA6454" w:rsidRPr="00DA6454" w:rsidRDefault="00DA6454" w:rsidP="0069580A">
      <w:pPr>
        <w:spacing w:before="100" w:beforeAutospacing="1" w:after="100" w:afterAutospacing="1"/>
        <w:jc w:val="both"/>
      </w:pPr>
      <w:r w:rsidRPr="00DA6454">
        <w:t>Martinez, J. and Brown, K. (2023) 'Optimal range strategies in concentrated liquidity protocols', DeFi Research Quarterly, 7(2), pp. 145-162.</w:t>
      </w:r>
    </w:p>
    <w:p w14:paraId="5833090C" w14:textId="77777777" w:rsidR="00DA6454" w:rsidRPr="00DA6454" w:rsidRDefault="00DA6454" w:rsidP="0069580A">
      <w:pPr>
        <w:spacing w:before="100" w:beforeAutospacing="1" w:after="100" w:afterAutospacing="1"/>
        <w:jc w:val="both"/>
      </w:pPr>
      <w:r w:rsidRPr="00DA6454">
        <w:t>Martinez, J. and Garcia, R. (2023) 'Ethereum gas price patterns and optimization strategies', IEEE Transactions on Network Science, 10(3), pp. 412-428.</w:t>
      </w:r>
    </w:p>
    <w:p w14:paraId="4B035F72" w14:textId="77777777" w:rsidR="004F3DB8" w:rsidRDefault="004F3DB8" w:rsidP="0069580A">
      <w:pPr>
        <w:spacing w:before="100" w:beforeAutospacing="1" w:after="100" w:afterAutospacing="1"/>
        <w:jc w:val="both"/>
        <w:rPr>
          <w:rFonts w:ascii="Times-Roman" w:eastAsiaTheme="minorEastAsia" w:hAnsi="Times-Roman" w:cs="Times-Roman"/>
        </w:rPr>
      </w:pPr>
      <w:r>
        <w:rPr>
          <w:rFonts w:ascii="Times-Roman" w:eastAsiaTheme="minorEastAsia" w:hAnsi="Times-Roman" w:cs="Times-Roman"/>
        </w:rPr>
        <w:t xml:space="preserve">Massari, F. and Catalini, C. (2021) 'DeFi, Disintermediation, and the Regulatory Path Ahead', </w:t>
      </w:r>
      <w:r>
        <w:rPr>
          <w:rFonts w:ascii="Times-Italic" w:eastAsiaTheme="minorEastAsia" w:hAnsi="Times-Italic" w:cs="Times-Italic"/>
          <w:i/>
          <w:iCs/>
        </w:rPr>
        <w:t>The Regulatory Review</w:t>
      </w:r>
      <w:r>
        <w:rPr>
          <w:rFonts w:ascii="Times-Roman" w:eastAsiaTheme="minorEastAsia" w:hAnsi="Times-Roman" w:cs="Times-Roman"/>
        </w:rPr>
        <w:t xml:space="preserve">, 10 May. </w:t>
      </w:r>
    </w:p>
    <w:p w14:paraId="38EEFE4E" w14:textId="3C19F61C" w:rsidR="00DA6454" w:rsidRPr="00DA6454" w:rsidRDefault="00DA6454" w:rsidP="0069580A">
      <w:pPr>
        <w:spacing w:before="100" w:beforeAutospacing="1" w:after="100" w:afterAutospacing="1"/>
        <w:jc w:val="both"/>
      </w:pPr>
      <w:r w:rsidRPr="00DA6454">
        <w:t>Maxwell, J. A. (2013) Qualitative research design: An interactive approach (3rd ed.). SAGE Publications.</w:t>
      </w:r>
    </w:p>
    <w:p w14:paraId="439ED439" w14:textId="77777777" w:rsidR="00DA6454" w:rsidRPr="00DA6454" w:rsidRDefault="00DA6454" w:rsidP="0069580A">
      <w:pPr>
        <w:spacing w:before="100" w:beforeAutospacing="1" w:after="100" w:afterAutospacing="1"/>
        <w:jc w:val="both"/>
      </w:pPr>
      <w:proofErr w:type="spellStart"/>
      <w:r w:rsidRPr="00DA6454">
        <w:t>Menkveld</w:t>
      </w:r>
      <w:proofErr w:type="spellEnd"/>
      <w:r w:rsidRPr="00DA6454">
        <w:t>, A. J. (2013) 'High frequency trading and the new market makers', Journal of Financial Markets, 16(4), pp. 712-740.</w:t>
      </w:r>
    </w:p>
    <w:p w14:paraId="3F405909" w14:textId="77777777" w:rsidR="00DA6454" w:rsidRPr="00DA6454" w:rsidRDefault="00DA6454" w:rsidP="0069580A">
      <w:pPr>
        <w:spacing w:before="100" w:beforeAutospacing="1" w:after="100" w:afterAutospacing="1"/>
        <w:jc w:val="both"/>
      </w:pPr>
      <w:r w:rsidRPr="00DA6454">
        <w:t>Merton, R. C. (1973) 'Theory of rational option pricing', Bell Journal of Economics and Management Science, 4(1), pp. 141-183.</w:t>
      </w:r>
    </w:p>
    <w:p w14:paraId="22A48F4E" w14:textId="77777777" w:rsidR="00DA6454" w:rsidRPr="00DA6454" w:rsidRDefault="00DA6454" w:rsidP="0069580A">
      <w:pPr>
        <w:spacing w:before="100" w:beforeAutospacing="1" w:after="100" w:afterAutospacing="1"/>
        <w:jc w:val="both"/>
      </w:pPr>
      <w:r w:rsidRPr="00DA6454">
        <w:t>Miles, M. B. and Huberman, A. M. (1994) Qualitative data analysis: An expanded sourcebook (2nd ed.). SAGE Publications.</w:t>
      </w:r>
    </w:p>
    <w:p w14:paraId="1E1A5F6E" w14:textId="77777777" w:rsidR="00DA6454" w:rsidRPr="00DA6454" w:rsidRDefault="00DA6454" w:rsidP="0069580A">
      <w:pPr>
        <w:spacing w:before="100" w:beforeAutospacing="1" w:after="100" w:afterAutospacing="1"/>
        <w:jc w:val="both"/>
      </w:pPr>
      <w:r w:rsidRPr="00DA6454">
        <w:t>Miller, G. A. (1956) 'The magical number seven, plus or minus two: Some limits on our capacity for processing information', Psychological Review, 63(2), pp. 81-97.</w:t>
      </w:r>
    </w:p>
    <w:p w14:paraId="74CBCC5C" w14:textId="77777777" w:rsidR="00DA6454" w:rsidRPr="00DA6454" w:rsidRDefault="00DA6454" w:rsidP="0069580A">
      <w:pPr>
        <w:spacing w:before="100" w:beforeAutospacing="1" w:after="100" w:afterAutospacing="1"/>
        <w:jc w:val="both"/>
      </w:pPr>
      <w:proofErr w:type="spellStart"/>
      <w:r w:rsidRPr="00DA6454">
        <w:t>Moallemi</w:t>
      </w:r>
      <w:proofErr w:type="spellEnd"/>
      <w:r w:rsidRPr="00DA6454">
        <w:t>, C. C. and Sağlam, M. (2022) 'Dynamic liquidity provision in Uniswap v3', Working Paper, Columbia University.</w:t>
      </w:r>
    </w:p>
    <w:p w14:paraId="496BD79D" w14:textId="77777777" w:rsidR="00DA6454" w:rsidRPr="00DA6454" w:rsidRDefault="00DA6454" w:rsidP="0069580A">
      <w:pPr>
        <w:spacing w:before="100" w:beforeAutospacing="1" w:after="100" w:afterAutospacing="1"/>
        <w:jc w:val="both"/>
      </w:pPr>
      <w:r w:rsidRPr="00DA6454">
        <w:t>Mohan, V. (2022) 'Automated market makers and decentralized exchanges: A DeFi primer',</w:t>
      </w:r>
    </w:p>
    <w:p w14:paraId="493B74FB" w14:textId="77777777" w:rsidR="00DA6454" w:rsidRPr="00DA6454" w:rsidRDefault="00DA6454" w:rsidP="0069580A">
      <w:pPr>
        <w:spacing w:before="100" w:beforeAutospacing="1" w:after="100" w:afterAutospacing="1"/>
        <w:jc w:val="both"/>
      </w:pPr>
      <w:r w:rsidRPr="00DA6454">
        <w:t>Moody's Investors Service (2023) Annual default study: Corporate default rate will rise in 2023. New York: Moody's Corporation.</w:t>
      </w:r>
    </w:p>
    <w:p w14:paraId="09039DF3" w14:textId="77777777" w:rsidR="00DA6454" w:rsidRPr="00DA6454" w:rsidRDefault="00DA6454" w:rsidP="0069580A">
      <w:pPr>
        <w:spacing w:before="100" w:beforeAutospacing="1" w:after="100" w:afterAutospacing="1"/>
        <w:jc w:val="both"/>
      </w:pPr>
      <w:r w:rsidRPr="00DA6454">
        <w:t>Morgan, D. L. (2007) 'Paradigms lost and pragmatism regained: Methodological implications of combining qualitative and quantitative methods', Journal of Mixed Methods Research, 1(1), pp. 48-76.</w:t>
      </w:r>
    </w:p>
    <w:p w14:paraId="6ACF21CE" w14:textId="77777777" w:rsidR="00DA6454" w:rsidRPr="00DA6454" w:rsidRDefault="00DA6454" w:rsidP="0069580A">
      <w:pPr>
        <w:spacing w:before="100" w:beforeAutospacing="1" w:after="100" w:afterAutospacing="1"/>
        <w:jc w:val="both"/>
      </w:pPr>
      <w:r w:rsidRPr="00DA6454">
        <w:lastRenderedPageBreak/>
        <w:t>Morgan, D. L. (2014) 'Pragmatism as a paradigm for social research', Qualitative Inquiry, 20(8), pp. 1045-1053.</w:t>
      </w:r>
    </w:p>
    <w:p w14:paraId="2750D453" w14:textId="77777777" w:rsidR="00DA6454" w:rsidRPr="00DA6454" w:rsidRDefault="00DA6454" w:rsidP="0069580A">
      <w:pPr>
        <w:spacing w:before="100" w:beforeAutospacing="1" w:after="100" w:afterAutospacing="1"/>
        <w:jc w:val="both"/>
      </w:pPr>
      <w:r w:rsidRPr="00DA6454">
        <w:t>NBER Working Paper No. 30006. Cambridge, MA: National Bureau of Economic Research.</w:t>
      </w:r>
    </w:p>
    <w:p w14:paraId="62EE2AA0" w14:textId="77777777" w:rsidR="00DA6454" w:rsidRPr="00DA6454" w:rsidRDefault="00DA6454" w:rsidP="0069580A">
      <w:pPr>
        <w:spacing w:before="100" w:beforeAutospacing="1" w:after="100" w:afterAutospacing="1"/>
        <w:jc w:val="both"/>
      </w:pPr>
      <w:r w:rsidRPr="00DA6454">
        <w:t>Odean, T. (1999) 'Do investors trade too much?', American Economic Review, 89(5), pp. 1279-1298.</w:t>
      </w:r>
    </w:p>
    <w:p w14:paraId="473312E9" w14:textId="77777777" w:rsidR="00DA6454" w:rsidRPr="00DA6454" w:rsidRDefault="00DA6454" w:rsidP="0069580A">
      <w:pPr>
        <w:spacing w:before="100" w:beforeAutospacing="1" w:after="100" w:afterAutospacing="1"/>
        <w:jc w:val="both"/>
      </w:pPr>
      <w:r w:rsidRPr="00DA6454">
        <w:t>Organization Law Review, 24, pp. 1-45.</w:t>
      </w:r>
    </w:p>
    <w:p w14:paraId="0D6951DC" w14:textId="4C3C362B" w:rsidR="00DA6454" w:rsidRPr="00DA6454" w:rsidRDefault="00DA6454" w:rsidP="0069580A">
      <w:pPr>
        <w:spacing w:before="100" w:beforeAutospacing="1" w:after="100" w:afterAutospacing="1"/>
        <w:jc w:val="both"/>
      </w:pPr>
      <w:r w:rsidRPr="00DA6454">
        <w:t xml:space="preserve">Ozcan, Rasim &amp; Khan, Asad Ul Islam &amp; Napari, Ayuba &amp; Turgut, Murat. (2022). Choosing Solitude in Turmoil, Herding in the Decentralized Finance (DeFi) Token Market: An International Perspective. Journal of Asian Finance Economics and Business. Volume 9. 105-0114. </w:t>
      </w:r>
    </w:p>
    <w:p w14:paraId="1C7616E7" w14:textId="77777777" w:rsidR="00DA6454" w:rsidRPr="00DA6454" w:rsidRDefault="00DA6454" w:rsidP="0069580A">
      <w:pPr>
        <w:spacing w:before="100" w:beforeAutospacing="1" w:after="100" w:afterAutospacing="1"/>
        <w:jc w:val="both"/>
      </w:pPr>
      <w:r w:rsidRPr="00DA6454">
        <w:t xml:space="preserve">Palinkas, L. A., Horwitz, S. M., Green, C. A., Wisdom, J. P., Duan, N., &amp; </w:t>
      </w:r>
      <w:proofErr w:type="spellStart"/>
      <w:r w:rsidRPr="00DA6454">
        <w:t>Hoagwood</w:t>
      </w:r>
      <w:proofErr w:type="spellEnd"/>
      <w:r w:rsidRPr="00DA6454">
        <w:t>, K. (2015)</w:t>
      </w:r>
    </w:p>
    <w:p w14:paraId="7959554F" w14:textId="77777777" w:rsidR="00DA6454" w:rsidRPr="00DA6454" w:rsidRDefault="00DA6454" w:rsidP="0069580A">
      <w:pPr>
        <w:spacing w:before="100" w:beforeAutospacing="1" w:after="100" w:afterAutospacing="1"/>
        <w:jc w:val="both"/>
      </w:pPr>
      <w:r w:rsidRPr="00DA6454">
        <w:t xml:space="preserve">Pareto, V. (1896) Cours </w:t>
      </w:r>
      <w:proofErr w:type="spellStart"/>
      <w:r w:rsidRPr="00DA6454">
        <w:t>d'économie</w:t>
      </w:r>
      <w:proofErr w:type="spellEnd"/>
      <w:r w:rsidRPr="00DA6454">
        <w:t xml:space="preserve"> politique. Lausanne: F. Rouge.</w:t>
      </w:r>
    </w:p>
    <w:p w14:paraId="732ABD25" w14:textId="77777777" w:rsidR="00DA6454" w:rsidRPr="00DA6454" w:rsidRDefault="00DA6454" w:rsidP="0069580A">
      <w:pPr>
        <w:spacing w:before="100" w:beforeAutospacing="1" w:after="100" w:afterAutospacing="1"/>
        <w:jc w:val="both"/>
      </w:pPr>
      <w:r w:rsidRPr="00DA6454">
        <w:t>Park, A. (2023) 'The adoption of blockchain-based decentralized exchanges', Management Science, 69(3), pp. 1539-1561.</w:t>
      </w:r>
    </w:p>
    <w:p w14:paraId="49A7219D" w14:textId="77777777" w:rsidR="00DA6454" w:rsidRPr="00DA6454" w:rsidRDefault="00DA6454" w:rsidP="0069580A">
      <w:pPr>
        <w:spacing w:before="100" w:beforeAutospacing="1" w:after="100" w:afterAutospacing="1"/>
        <w:jc w:val="both"/>
      </w:pPr>
      <w:r w:rsidRPr="00DA6454">
        <w:t>Patton, M. Q. (2015) Qualitative research &amp; evaluation methods (4th ed.). SAGE Publications.</w:t>
      </w:r>
    </w:p>
    <w:p w14:paraId="2BC1508A" w14:textId="77777777" w:rsidR="00DA6454" w:rsidRPr="00DA6454" w:rsidRDefault="00DA6454" w:rsidP="0069580A">
      <w:pPr>
        <w:spacing w:before="100" w:beforeAutospacing="1" w:after="100" w:afterAutospacing="1"/>
        <w:jc w:val="both"/>
      </w:pPr>
      <w:r w:rsidRPr="00DA6454">
        <w:t xml:space="preserve">Paulk, M. C., Curtis, B., </w:t>
      </w:r>
      <w:proofErr w:type="spellStart"/>
      <w:r w:rsidRPr="00DA6454">
        <w:t>Chrissis</w:t>
      </w:r>
      <w:proofErr w:type="spellEnd"/>
      <w:r w:rsidRPr="00DA6454">
        <w:t>, M. B., &amp; Weber, C. V. (1993) 'Capability maturity model for software', Software Engineering Institute, Carnegie Mellon University.</w:t>
      </w:r>
    </w:p>
    <w:p w14:paraId="2BC8498D" w14:textId="77777777" w:rsidR="00F819B2" w:rsidRDefault="00F819B2" w:rsidP="0069580A">
      <w:pPr>
        <w:spacing w:before="100" w:beforeAutospacing="1" w:after="100" w:afterAutospacing="1"/>
        <w:jc w:val="both"/>
        <w:rPr>
          <w:rFonts w:ascii="Times-Roman" w:eastAsiaTheme="minorEastAsia" w:hAnsi="Times-Roman" w:cs="Times-Roman"/>
        </w:rPr>
      </w:pPr>
      <w:r>
        <w:rPr>
          <w:rFonts w:ascii="Times-Roman" w:eastAsiaTheme="minorEastAsia" w:hAnsi="Times-Roman" w:cs="Times-Roman"/>
        </w:rPr>
        <w:t xml:space="preserve">Perez, D., Werner, S.M., Xu, J. and Livshits, B. (2021) 'Liquidations: DeFi on a Knife-edge', in </w:t>
      </w:r>
      <w:r>
        <w:rPr>
          <w:rFonts w:ascii="Times-Italic" w:eastAsiaTheme="minorEastAsia" w:hAnsi="Times-Italic" w:cs="Times-Italic"/>
          <w:i/>
          <w:iCs/>
        </w:rPr>
        <w:t>International Conference on Financial Cryptography and Data Security</w:t>
      </w:r>
      <w:r>
        <w:rPr>
          <w:rFonts w:ascii="Times-Roman" w:eastAsiaTheme="minorEastAsia" w:hAnsi="Times-Roman" w:cs="Times-Roman"/>
        </w:rPr>
        <w:t>. Springer.</w:t>
      </w:r>
    </w:p>
    <w:p w14:paraId="30200136" w14:textId="1EA1445C" w:rsidR="00DA6454" w:rsidRPr="00DA6454" w:rsidRDefault="00DA6454" w:rsidP="0069580A">
      <w:pPr>
        <w:spacing w:before="100" w:beforeAutospacing="1" w:after="100" w:afterAutospacing="1"/>
        <w:jc w:val="both"/>
      </w:pPr>
      <w:r w:rsidRPr="00DA6454">
        <w:t>Perrow, C. (1984) Normal accidents: Living with high-risk technologies. New York: Basic Books.</w:t>
      </w:r>
    </w:p>
    <w:p w14:paraId="362152E4" w14:textId="77777777" w:rsidR="00DA6454" w:rsidRPr="00DA6454" w:rsidRDefault="00DA6454" w:rsidP="0069580A">
      <w:pPr>
        <w:spacing w:before="100" w:beforeAutospacing="1" w:after="100" w:afterAutospacing="1"/>
        <w:jc w:val="both"/>
      </w:pPr>
      <w:r w:rsidRPr="00DA6454">
        <w:t>Piketty, T. (2014) Capital in the twenty-first century. Cambridge, MA: Harvard University Press.</w:t>
      </w:r>
    </w:p>
    <w:p w14:paraId="3775D809" w14:textId="77777777" w:rsidR="00DA6454" w:rsidRPr="00DA6454" w:rsidRDefault="00DA6454" w:rsidP="0069580A">
      <w:pPr>
        <w:spacing w:before="100" w:beforeAutospacing="1" w:after="100" w:afterAutospacing="1"/>
        <w:jc w:val="both"/>
      </w:pPr>
      <w:r w:rsidRPr="00DA6454">
        <w:t xml:space="preserve">Pink, S., Horst, H., </w:t>
      </w:r>
      <w:proofErr w:type="spellStart"/>
      <w:r w:rsidRPr="00DA6454">
        <w:t>Postill</w:t>
      </w:r>
      <w:proofErr w:type="spellEnd"/>
      <w:r w:rsidRPr="00DA6454">
        <w:t>, J., Hjorth, L., Lewis, T., &amp; Tacchi, J. (2016) Digital ethnography: Principles and practice. SAGE Publications.</w:t>
      </w:r>
    </w:p>
    <w:p w14:paraId="3EED97A1" w14:textId="12D4B566" w:rsidR="00DA6454" w:rsidRPr="00DA6454" w:rsidRDefault="00DA6454" w:rsidP="0069580A">
      <w:pPr>
        <w:spacing w:before="100" w:beforeAutospacing="1" w:after="100" w:afterAutospacing="1"/>
        <w:jc w:val="both"/>
      </w:pPr>
      <w:r w:rsidRPr="00DA6454">
        <w:t xml:space="preserve">Pintail (2019) 'Uniswap: A good deal for liquidity providers?', Medium. </w:t>
      </w:r>
    </w:p>
    <w:p w14:paraId="3BDEC478" w14:textId="77777777" w:rsidR="00DA6454" w:rsidRPr="00DA6454" w:rsidRDefault="00DA6454" w:rsidP="0069580A">
      <w:pPr>
        <w:spacing w:before="100" w:beforeAutospacing="1" w:after="100" w:afterAutospacing="1"/>
        <w:jc w:val="both"/>
      </w:pPr>
      <w:r w:rsidRPr="00DA6454">
        <w:t>'Purposeful sampling for qualitative data collection and analysis in mixed method implementation research', Administration and Policy in Mental Health, 42(5), pp. 533-544.</w:t>
      </w:r>
    </w:p>
    <w:p w14:paraId="6C240649" w14:textId="77777777" w:rsidR="00DA6454" w:rsidRPr="00DA6454" w:rsidRDefault="00DA6454" w:rsidP="0069580A">
      <w:pPr>
        <w:spacing w:before="100" w:beforeAutospacing="1" w:after="100" w:afterAutospacing="1"/>
        <w:jc w:val="both"/>
      </w:pPr>
      <w:r w:rsidRPr="00DA6454">
        <w:t>Qin, K., Zhou, L. and Livshits, B. (2021) 'Attacking the DeFi ecosystem with flash</w:t>
      </w:r>
    </w:p>
    <w:p w14:paraId="3D11FE6E" w14:textId="77777777" w:rsidR="00DA6454" w:rsidRPr="00DA6454" w:rsidRDefault="00DA6454" w:rsidP="0069580A">
      <w:pPr>
        <w:spacing w:before="100" w:beforeAutospacing="1" w:after="100" w:afterAutospacing="1"/>
        <w:jc w:val="both"/>
      </w:pPr>
      <w:r w:rsidRPr="00DA6454">
        <w:t xml:space="preserve">Revolution. Washington, DC: World Bank. </w:t>
      </w:r>
      <w:proofErr w:type="spellStart"/>
      <w:r w:rsidRPr="00DA6454">
        <w:t>doi</w:t>
      </w:r>
      <w:proofErr w:type="spellEnd"/>
      <w:r w:rsidRPr="00DA6454">
        <w:t>: 10.1596/978-1-4648-1259-0.</w:t>
      </w:r>
    </w:p>
    <w:p w14:paraId="765A889E" w14:textId="77777777" w:rsidR="00DA6454" w:rsidRPr="00DA6454" w:rsidRDefault="00DA6454" w:rsidP="0069580A">
      <w:pPr>
        <w:spacing w:before="100" w:beforeAutospacing="1" w:after="100" w:afterAutospacing="1"/>
        <w:jc w:val="both"/>
      </w:pPr>
      <w:r w:rsidRPr="00DA6454">
        <w:t>Rodriguez, M. and Davidson, P. (2023) 'Predictive models for impermanent loss in concentrated liquidity', Journal of DeFi, 3(1), pp. 78-94.</w:t>
      </w:r>
    </w:p>
    <w:p w14:paraId="0A37FA41" w14:textId="77777777" w:rsidR="00DA6454" w:rsidRPr="00DA6454" w:rsidRDefault="00DA6454" w:rsidP="0069580A">
      <w:pPr>
        <w:spacing w:before="100" w:beforeAutospacing="1" w:after="100" w:afterAutospacing="1"/>
        <w:jc w:val="both"/>
      </w:pPr>
      <w:r w:rsidRPr="00DA6454">
        <w:lastRenderedPageBreak/>
        <w:t>Rogers, E. M. (2003) Diffusion of Innovations (5th ed.). New York: Free Press.</w:t>
      </w:r>
    </w:p>
    <w:p w14:paraId="208855F9" w14:textId="40F070C2" w:rsidR="00DA6454" w:rsidRPr="00DA6454" w:rsidRDefault="00DA6454" w:rsidP="0069580A">
      <w:pPr>
        <w:spacing w:before="100" w:beforeAutospacing="1" w:after="100" w:afterAutospacing="1"/>
        <w:jc w:val="both"/>
      </w:pPr>
      <w:r w:rsidRPr="00DA6454">
        <w:t>Rosenbaum, P. R. (2002) Observational Studies (2nd ed.). Springer-Verlag.</w:t>
      </w:r>
    </w:p>
    <w:p w14:paraId="2956FA70" w14:textId="794E3C77" w:rsidR="00DA6454" w:rsidRPr="00DA6454" w:rsidRDefault="00DA6454" w:rsidP="0069580A">
      <w:pPr>
        <w:spacing w:before="100" w:beforeAutospacing="1" w:after="100" w:afterAutospacing="1"/>
        <w:jc w:val="both"/>
      </w:pPr>
      <w:r w:rsidRPr="00DA6454">
        <w:t>Roughgarden, T. (2021) 'Transaction fee mechanism design for the Ethereum blockchain: An economic analysis of EIP-1559'</w:t>
      </w:r>
      <w:r w:rsidR="000A3BF9">
        <w:t>.</w:t>
      </w:r>
    </w:p>
    <w:p w14:paraId="08D27162" w14:textId="77777777" w:rsidR="00DA6454" w:rsidRPr="00DA6454" w:rsidRDefault="00DA6454" w:rsidP="0069580A">
      <w:pPr>
        <w:spacing w:before="100" w:beforeAutospacing="1" w:after="100" w:afterAutospacing="1"/>
        <w:jc w:val="both"/>
      </w:pPr>
      <w:r w:rsidRPr="00DA6454">
        <w:t>Rubin, D. B. (1987) Multiple Imputation for Nonresponse in Surveys. John Wiley &amp; Sons.</w:t>
      </w:r>
    </w:p>
    <w:p w14:paraId="1F455677" w14:textId="77777777" w:rsidR="00DA6454" w:rsidRPr="00DA6454" w:rsidRDefault="00DA6454" w:rsidP="0069580A">
      <w:pPr>
        <w:spacing w:before="100" w:beforeAutospacing="1" w:after="100" w:afterAutospacing="1"/>
        <w:jc w:val="both"/>
      </w:pPr>
      <w:r w:rsidRPr="00DA6454">
        <w:t>S&amp;P Dow Jones Indices (2024) S&amp;P 500 annual returns. Available at: https://www.spglobal.com/spdji/en/indices/equity/sp-500/ (Accessed: 12 January 2025).</w:t>
      </w:r>
    </w:p>
    <w:p w14:paraId="4212D1B9" w14:textId="77777777" w:rsidR="00DA6454" w:rsidRPr="00DA6454" w:rsidRDefault="00DA6454" w:rsidP="0069580A">
      <w:pPr>
        <w:spacing w:before="100" w:beforeAutospacing="1" w:after="100" w:afterAutospacing="1"/>
        <w:jc w:val="both"/>
      </w:pPr>
      <w:r w:rsidRPr="00DA6454">
        <w:t>Saldaña, J. (2021) The coding manual for qualitative researchers (4th ed.). SAGE Publications.</w:t>
      </w:r>
    </w:p>
    <w:p w14:paraId="67046C6A" w14:textId="77777777" w:rsidR="00DA6454" w:rsidRPr="00DA6454" w:rsidRDefault="00DA6454" w:rsidP="0069580A">
      <w:pPr>
        <w:spacing w:before="100" w:beforeAutospacing="1" w:after="100" w:afterAutospacing="1"/>
        <w:jc w:val="both"/>
      </w:pPr>
      <w:r w:rsidRPr="00DA6454">
        <w:t>Samuelson, P. A. (1969) 'Lifetime portfolio selection by dynamic stochastic programming', Review of Economics and Statistics, 51(3), pp. 239-246.</w:t>
      </w:r>
    </w:p>
    <w:p w14:paraId="2FBFFFEA" w14:textId="77777777" w:rsidR="00DA6454" w:rsidRPr="00DA6454" w:rsidRDefault="00DA6454" w:rsidP="0069580A">
      <w:pPr>
        <w:spacing w:before="100" w:beforeAutospacing="1" w:after="100" w:afterAutospacing="1"/>
        <w:jc w:val="both"/>
      </w:pPr>
      <w:r w:rsidRPr="00DA6454">
        <w:t>Sargent, R. G. (2013) 'Verification and validation of simulation models', Journal of Simulation, 7(1), pp. 12-24.</w:t>
      </w:r>
    </w:p>
    <w:p w14:paraId="73C992F0" w14:textId="77777777" w:rsidR="00DA6454" w:rsidRPr="00DA6454" w:rsidRDefault="00DA6454" w:rsidP="0069580A">
      <w:pPr>
        <w:spacing w:before="100" w:beforeAutospacing="1" w:after="100" w:afterAutospacing="1"/>
        <w:jc w:val="both"/>
      </w:pPr>
      <w:r w:rsidRPr="00DA6454">
        <w:t>Schär, F. (2021) 'Decentralized finance: On blockchain- and smart contract-based financial markets', Federal Reserve Bank of St. Louis Review, 103(2), pp. 153-174.</w:t>
      </w:r>
    </w:p>
    <w:p w14:paraId="171706B6" w14:textId="77777777" w:rsidR="00DA6454" w:rsidRPr="00DA6454" w:rsidRDefault="00DA6454" w:rsidP="0069580A">
      <w:pPr>
        <w:spacing w:before="100" w:beforeAutospacing="1" w:after="100" w:afterAutospacing="1"/>
        <w:jc w:val="both"/>
      </w:pPr>
      <w:proofErr w:type="spellStart"/>
      <w:r w:rsidRPr="00DA6454">
        <w:t>Schüll</w:t>
      </w:r>
      <w:proofErr w:type="spellEnd"/>
      <w:r w:rsidRPr="00DA6454">
        <w:t>, N. D. (2012). Addiction by design: Machine gambling in Las Vegas. Princeton University Press.</w:t>
      </w:r>
    </w:p>
    <w:p w14:paraId="696941F7" w14:textId="77777777" w:rsidR="00DA6454" w:rsidRPr="00DA6454" w:rsidRDefault="00DA6454" w:rsidP="0069580A">
      <w:pPr>
        <w:spacing w:before="100" w:beforeAutospacing="1" w:after="100" w:afterAutospacing="1"/>
        <w:jc w:val="both"/>
      </w:pPr>
      <w:r w:rsidRPr="00DA6454">
        <w:t xml:space="preserve">Schoenfeld, D. (1982) 'Partial residuals for the proportional hazards regression model', </w:t>
      </w:r>
      <w:proofErr w:type="spellStart"/>
      <w:r w:rsidRPr="00DA6454">
        <w:t>Biometrika</w:t>
      </w:r>
      <w:proofErr w:type="spellEnd"/>
      <w:r w:rsidRPr="00DA6454">
        <w:t>, 69(1), pp. 239-241.</w:t>
      </w:r>
    </w:p>
    <w:p w14:paraId="0614965F" w14:textId="77777777" w:rsidR="00DA6454" w:rsidRPr="00DA6454" w:rsidRDefault="00DA6454" w:rsidP="0069580A">
      <w:pPr>
        <w:spacing w:before="100" w:beforeAutospacing="1" w:after="100" w:afterAutospacing="1"/>
        <w:jc w:val="both"/>
      </w:pPr>
      <w:r w:rsidRPr="00DA6454">
        <w:t>Schumpeter, J. A. (1942) Capitalism, socialism and democracy. New York: Harper &amp; Brothers.</w:t>
      </w:r>
    </w:p>
    <w:p w14:paraId="5ED974BB" w14:textId="77777777" w:rsidR="00DA6454" w:rsidRPr="00DA6454" w:rsidRDefault="00DA6454" w:rsidP="0069580A">
      <w:pPr>
        <w:spacing w:before="100" w:beforeAutospacing="1" w:after="100" w:afterAutospacing="1"/>
        <w:jc w:val="both"/>
      </w:pPr>
      <w:r w:rsidRPr="00DA6454">
        <w:t>Schwartz, B. (2004) The paradox of choice: Why more is less. New York: Ecco.</w:t>
      </w:r>
    </w:p>
    <w:p w14:paraId="576008F1" w14:textId="77777777" w:rsidR="00DA6454" w:rsidRPr="00DA6454" w:rsidRDefault="00DA6454" w:rsidP="0069580A">
      <w:pPr>
        <w:spacing w:before="100" w:beforeAutospacing="1" w:after="100" w:afterAutospacing="1"/>
        <w:jc w:val="both"/>
      </w:pPr>
      <w:r w:rsidRPr="00DA6454">
        <w:t>SEC (2023) Kraken to discontinue unregistered offer and sale of crypto asset staking-as-a-service program and pay $30 million to settle SEC charges. Press Release 2023-25.</w:t>
      </w:r>
    </w:p>
    <w:p w14:paraId="1A43EBAE" w14:textId="77777777" w:rsidR="00DA6454" w:rsidRPr="00DA6454" w:rsidRDefault="00DA6454" w:rsidP="0069580A">
      <w:pPr>
        <w:spacing w:before="100" w:beforeAutospacing="1" w:after="100" w:afterAutospacing="1"/>
        <w:jc w:val="both"/>
      </w:pPr>
      <w:r w:rsidRPr="00DA6454">
        <w:t>Seidman, I. (2019) Interviewing as qualitative research (5th ed.). Teachers College Press.</w:t>
      </w:r>
    </w:p>
    <w:p w14:paraId="55C39C75" w14:textId="77777777" w:rsidR="00DA6454" w:rsidRPr="00DA6454" w:rsidRDefault="00DA6454" w:rsidP="0069580A">
      <w:pPr>
        <w:spacing w:before="100" w:beforeAutospacing="1" w:after="100" w:afterAutospacing="1"/>
        <w:jc w:val="both"/>
      </w:pPr>
      <w:r w:rsidRPr="00DA6454">
        <w:t>Sen, A. (1999) Development as freedom. Oxford: Oxford University Press.</w:t>
      </w:r>
    </w:p>
    <w:p w14:paraId="4C5619CE" w14:textId="77777777" w:rsidR="00DA6454" w:rsidRPr="00DA6454" w:rsidRDefault="00DA6454" w:rsidP="0069580A">
      <w:pPr>
        <w:spacing w:before="100" w:beforeAutospacing="1" w:after="100" w:afterAutospacing="1"/>
        <w:jc w:val="both"/>
      </w:pPr>
      <w:proofErr w:type="spellStart"/>
      <w:r w:rsidRPr="00DA6454">
        <w:t>Shadish</w:t>
      </w:r>
      <w:proofErr w:type="spellEnd"/>
      <w:r w:rsidRPr="00DA6454">
        <w:t>, W. R., Cook, T. D., &amp; Campbell, D. T. (2002) Experimental and quasi-experimental designs for generalized causal inference. Boston: Houghton Mifflin.</w:t>
      </w:r>
    </w:p>
    <w:p w14:paraId="1E28E3DB" w14:textId="77777777" w:rsidR="00DA6454" w:rsidRPr="00DA6454" w:rsidRDefault="00DA6454" w:rsidP="0069580A">
      <w:pPr>
        <w:spacing w:before="100" w:beforeAutospacing="1" w:after="100" w:afterAutospacing="1"/>
        <w:jc w:val="both"/>
      </w:pPr>
      <w:r w:rsidRPr="00DA6454">
        <w:t>Sharpe, W. F. (1994) 'The Sharpe ratio', Journal of Portfolio Management, 21(1), pp. 49-58.</w:t>
      </w:r>
    </w:p>
    <w:p w14:paraId="7A343257" w14:textId="77777777" w:rsidR="00DA6454" w:rsidRPr="00DA6454" w:rsidRDefault="00DA6454" w:rsidP="0069580A">
      <w:pPr>
        <w:spacing w:before="100" w:beforeAutospacing="1" w:after="100" w:afterAutospacing="1"/>
        <w:jc w:val="both"/>
      </w:pPr>
      <w:r w:rsidRPr="00DA6454">
        <w:t>Shiller, R. J. (2019) Narrative economics: How stories go viral and drive major economic events. Princeton University Press.</w:t>
      </w:r>
    </w:p>
    <w:p w14:paraId="3F7C2400" w14:textId="77777777" w:rsidR="00DA6454" w:rsidRPr="00DA6454" w:rsidRDefault="00DA6454" w:rsidP="0069580A">
      <w:pPr>
        <w:spacing w:before="100" w:beforeAutospacing="1" w:after="100" w:afterAutospacing="1"/>
        <w:jc w:val="both"/>
      </w:pPr>
      <w:r w:rsidRPr="00DA6454">
        <w:lastRenderedPageBreak/>
        <w:t xml:space="preserve">Shiller, R.J. (2015) Irrational exuberance. 3rd </w:t>
      </w:r>
      <w:proofErr w:type="spellStart"/>
      <w:proofErr w:type="gramStart"/>
      <w:r w:rsidRPr="00DA6454">
        <w:t>edn</w:t>
      </w:r>
      <w:proofErr w:type="spellEnd"/>
      <w:proofErr w:type="gramEnd"/>
      <w:r w:rsidRPr="00DA6454">
        <w:t>. Princeton: Princeton University</w:t>
      </w:r>
    </w:p>
    <w:p w14:paraId="187DD929" w14:textId="77777777" w:rsidR="00DA6454" w:rsidRPr="00DA6454" w:rsidRDefault="00DA6454" w:rsidP="0069580A">
      <w:pPr>
        <w:spacing w:before="100" w:beforeAutospacing="1" w:after="100" w:afterAutospacing="1"/>
        <w:jc w:val="both"/>
      </w:pPr>
      <w:r w:rsidRPr="00DA6454">
        <w:t>Simon, H. A. (1955) 'A behavioral model of rational choice', Quarterly Journal of Economics, 69(1), pp. 99-118.</w:t>
      </w:r>
    </w:p>
    <w:p w14:paraId="2F00C679" w14:textId="77777777" w:rsidR="00DA6454" w:rsidRPr="00DA6454" w:rsidRDefault="00DA6454" w:rsidP="0069580A">
      <w:pPr>
        <w:spacing w:before="100" w:beforeAutospacing="1" w:after="100" w:afterAutospacing="1"/>
        <w:jc w:val="both"/>
      </w:pPr>
      <w:r w:rsidRPr="00DA6454">
        <w:t>Simon, H. A. (1956) 'Rational choice and the structure of the environment', Psychological Review, 63(2), pp. 129-138.</w:t>
      </w:r>
    </w:p>
    <w:p w14:paraId="4BCADBDC" w14:textId="77777777" w:rsidR="00DA6454" w:rsidRPr="00DA6454" w:rsidRDefault="00DA6454" w:rsidP="0069580A">
      <w:pPr>
        <w:spacing w:before="100" w:beforeAutospacing="1" w:after="100" w:afterAutospacing="1"/>
        <w:jc w:val="both"/>
      </w:pPr>
      <w:r w:rsidRPr="00DA6454">
        <w:t>Simon, H. A. (1962) 'The architecture of complexity', Proceedings of the American Philosophical Society, 106(6), pp. 467-482.</w:t>
      </w:r>
    </w:p>
    <w:p w14:paraId="72CCCA61" w14:textId="77777777" w:rsidR="00DA6454" w:rsidRPr="00DA6454" w:rsidRDefault="00DA6454" w:rsidP="0069580A">
      <w:pPr>
        <w:spacing w:before="100" w:beforeAutospacing="1" w:after="100" w:afterAutospacing="1"/>
        <w:jc w:val="both"/>
      </w:pPr>
      <w:r w:rsidRPr="00DA6454">
        <w:t>Singer, J. D. and Willett, J. B. (2003) Applied longitudinal data analysis: Modeling change and event occurrence. Oxford University Press.</w:t>
      </w:r>
    </w:p>
    <w:p w14:paraId="13B1C7C4" w14:textId="6A5EC9B6" w:rsidR="00DA6454" w:rsidRPr="00DA6454" w:rsidRDefault="00DA6454" w:rsidP="0069580A">
      <w:pPr>
        <w:spacing w:before="100" w:beforeAutospacing="1" w:after="100" w:afterAutospacing="1"/>
        <w:jc w:val="both"/>
      </w:pPr>
      <w:r w:rsidRPr="00DA6454">
        <w:t>Soros, G. (1987) The alchemy of finance. New York: Simon &amp; Schuster.</w:t>
      </w:r>
      <w:r w:rsidR="000156FA">
        <w:t xml:space="preserve"> </w:t>
      </w:r>
      <w:r w:rsidRPr="00DA6454">
        <w:t>Statistical Bulletin, 34(1), pp. 1-45.</w:t>
      </w:r>
    </w:p>
    <w:p w14:paraId="26495A02" w14:textId="77777777" w:rsidR="00DA6454" w:rsidRPr="00DA6454" w:rsidRDefault="00DA6454" w:rsidP="0069580A">
      <w:pPr>
        <w:spacing w:before="100" w:beforeAutospacing="1" w:after="100" w:afterAutospacing="1"/>
        <w:jc w:val="both"/>
      </w:pPr>
      <w:r w:rsidRPr="00DA6454">
        <w:t>Steel, P. (2007) 'The nature of procrastination: A meta-analytic and theoretical review of quintessential self-regulatory failure', Psychological Bulletin, 133(1), pp. 65-94.</w:t>
      </w:r>
    </w:p>
    <w:p w14:paraId="3EF04BD9" w14:textId="77777777" w:rsidR="00DA6454" w:rsidRPr="00DA6454" w:rsidRDefault="00DA6454" w:rsidP="0069580A">
      <w:pPr>
        <w:spacing w:before="100" w:beforeAutospacing="1" w:after="100" w:afterAutospacing="1"/>
        <w:jc w:val="both"/>
      </w:pPr>
      <w:r w:rsidRPr="00DA6454">
        <w:t>Sutton, R. S., &amp; Barto, A. G. (2018). Reinforcement learning: An introduction (2nd ed.). MIT Press.</w:t>
      </w:r>
    </w:p>
    <w:p w14:paraId="239AA611" w14:textId="77777777" w:rsidR="00DA6454" w:rsidRPr="00DA6454" w:rsidRDefault="00DA6454" w:rsidP="0069580A">
      <w:pPr>
        <w:spacing w:before="100" w:beforeAutospacing="1" w:after="100" w:afterAutospacing="1"/>
        <w:jc w:val="both"/>
      </w:pPr>
      <w:proofErr w:type="spellStart"/>
      <w:r w:rsidRPr="00DA6454">
        <w:t>Sweller</w:t>
      </w:r>
      <w:proofErr w:type="spellEnd"/>
      <w:r w:rsidRPr="00DA6454">
        <w:t>, J. (1988) 'Cognitive load during problem solving: Effects on learning', Cognitive Science, 12(2), pp. 257-285.</w:t>
      </w:r>
    </w:p>
    <w:p w14:paraId="7EE192AB" w14:textId="77777777" w:rsidR="00DA6454" w:rsidRPr="00DA6454" w:rsidRDefault="00DA6454" w:rsidP="0069580A">
      <w:pPr>
        <w:spacing w:before="100" w:beforeAutospacing="1" w:after="100" w:afterAutospacing="1"/>
        <w:jc w:val="both"/>
      </w:pPr>
      <w:r w:rsidRPr="00DA6454">
        <w:t xml:space="preserve">Szabo, N. (1996) </w:t>
      </w:r>
      <w:proofErr w:type="spellStart"/>
      <w:r w:rsidRPr="00DA6454">
        <w:t>'Smart</w:t>
      </w:r>
      <w:proofErr w:type="spellEnd"/>
      <w:r w:rsidRPr="00DA6454">
        <w:t xml:space="preserve"> contracts: Building blocks for digital markets', Extropy, 16(18), pp. 28-31.</w:t>
      </w:r>
    </w:p>
    <w:p w14:paraId="2EC4A8AD" w14:textId="77777777" w:rsidR="00DA6454" w:rsidRPr="00DA6454" w:rsidRDefault="00DA6454" w:rsidP="0069580A">
      <w:pPr>
        <w:spacing w:before="100" w:beforeAutospacing="1" w:after="100" w:afterAutospacing="1"/>
        <w:jc w:val="both"/>
      </w:pPr>
      <w:r w:rsidRPr="00DA6454">
        <w:t>Taleb, N. N. (2007) The Black Swan: The impact of the highly improbable. Random House.</w:t>
      </w:r>
    </w:p>
    <w:p w14:paraId="4987C6BE" w14:textId="77777777" w:rsidR="00DA6454" w:rsidRPr="00DA6454" w:rsidRDefault="00DA6454" w:rsidP="0069580A">
      <w:pPr>
        <w:spacing w:before="100" w:beforeAutospacing="1" w:after="100" w:afterAutospacing="1"/>
        <w:jc w:val="both"/>
      </w:pPr>
      <w:r w:rsidRPr="00DA6454">
        <w:t>Taleb, N. N. (2012) Antifragile: Things That Gain from Disorder. Random House.</w:t>
      </w:r>
    </w:p>
    <w:p w14:paraId="78E05551" w14:textId="77777777" w:rsidR="00DA6454" w:rsidRPr="00DA6454" w:rsidRDefault="00DA6454" w:rsidP="0069580A">
      <w:pPr>
        <w:spacing w:before="100" w:beforeAutospacing="1" w:after="100" w:afterAutospacing="1"/>
        <w:jc w:val="both"/>
      </w:pPr>
      <w:proofErr w:type="spellStart"/>
      <w:r w:rsidRPr="00DA6454">
        <w:t>Tashakkori</w:t>
      </w:r>
      <w:proofErr w:type="spellEnd"/>
      <w:r w:rsidRPr="00DA6454">
        <w:t>, A. and Teddlie, C. (2010) SAGE handbook of mixed methods in social &amp; behavioral research (2nd ed.). SAGE Publications.</w:t>
      </w:r>
    </w:p>
    <w:p w14:paraId="5135ECA6" w14:textId="77777777" w:rsidR="00DA6454" w:rsidRPr="00DA6454" w:rsidRDefault="00DA6454" w:rsidP="0069580A">
      <w:pPr>
        <w:spacing w:before="100" w:beforeAutospacing="1" w:after="100" w:afterAutospacing="1"/>
        <w:jc w:val="both"/>
      </w:pPr>
      <w:r w:rsidRPr="00DA6454">
        <w:t>Teddlie, C. and Yu, F. (2007) 'Mixed methods sampling: A typology with examples', Journal of Mixed Methods Research, 1(1), pp. 77-100.</w:t>
      </w:r>
    </w:p>
    <w:p w14:paraId="1CC48F9F" w14:textId="77777777" w:rsidR="00DA6454" w:rsidRPr="00DA6454" w:rsidRDefault="00DA6454" w:rsidP="0069580A">
      <w:pPr>
        <w:spacing w:before="100" w:beforeAutospacing="1" w:after="100" w:afterAutospacing="1"/>
        <w:jc w:val="both"/>
      </w:pPr>
      <w:proofErr w:type="spellStart"/>
      <w:r w:rsidRPr="00DA6454">
        <w:t>Tesfatsion</w:t>
      </w:r>
      <w:proofErr w:type="spellEnd"/>
      <w:r w:rsidRPr="00DA6454">
        <w:t>, L. (2006) 'Agent-based computational economics: A constructive approach to economic theory', Handbook of Computational Economics, 2, pp. 831-880.</w:t>
      </w:r>
    </w:p>
    <w:p w14:paraId="3BC68F25" w14:textId="77777777" w:rsidR="00DA6454" w:rsidRPr="00DA6454" w:rsidRDefault="00DA6454" w:rsidP="0069580A">
      <w:pPr>
        <w:spacing w:before="100" w:beforeAutospacing="1" w:after="100" w:afterAutospacing="1"/>
        <w:jc w:val="both"/>
      </w:pPr>
      <w:r w:rsidRPr="00DA6454">
        <w:t xml:space="preserve">The Global Findex Database 2017: Measuring Financial Inclusion and </w:t>
      </w:r>
      <w:proofErr w:type="gramStart"/>
      <w:r w:rsidRPr="00DA6454">
        <w:t>the Fintech</w:t>
      </w:r>
      <w:proofErr w:type="gramEnd"/>
    </w:p>
    <w:p w14:paraId="4B6E43C0" w14:textId="77777777" w:rsidR="00DA6454" w:rsidRPr="00DA6454" w:rsidRDefault="00DA6454" w:rsidP="0069580A">
      <w:pPr>
        <w:spacing w:before="100" w:beforeAutospacing="1" w:after="100" w:afterAutospacing="1"/>
        <w:jc w:val="both"/>
      </w:pPr>
      <w:proofErr w:type="spellStart"/>
      <w:r w:rsidRPr="00DA6454">
        <w:t>Therneau</w:t>
      </w:r>
      <w:proofErr w:type="spellEnd"/>
      <w:r w:rsidRPr="00DA6454">
        <w:t xml:space="preserve">, T. M. and </w:t>
      </w:r>
      <w:proofErr w:type="spellStart"/>
      <w:r w:rsidRPr="00DA6454">
        <w:t>Grambsch</w:t>
      </w:r>
      <w:proofErr w:type="spellEnd"/>
      <w:r w:rsidRPr="00DA6454">
        <w:t>, P. M. (2000) Modeling Survival Data: Extending the Cox Model. Springer-Verlag.</w:t>
      </w:r>
    </w:p>
    <w:p w14:paraId="6029F743" w14:textId="77777777" w:rsidR="00DA6454" w:rsidRPr="00DA6454" w:rsidRDefault="00DA6454" w:rsidP="0069580A">
      <w:pPr>
        <w:spacing w:before="100" w:beforeAutospacing="1" w:after="100" w:afterAutospacing="1"/>
        <w:jc w:val="both"/>
      </w:pPr>
      <w:r w:rsidRPr="00DA6454">
        <w:lastRenderedPageBreak/>
        <w:t>Thompson, L., Chen, W., &amp; Nakamoto, H. (2023) 'Structural vulnerabilities in decentralized finance: Lessons from the 2022 market collapse', Review of Financial Studies, 36(8), pp. 3142-3179.</w:t>
      </w:r>
    </w:p>
    <w:p w14:paraId="44FFAF5D" w14:textId="77777777" w:rsidR="00DA6454" w:rsidRPr="00DA6454" w:rsidRDefault="00DA6454" w:rsidP="0069580A">
      <w:pPr>
        <w:spacing w:before="100" w:beforeAutospacing="1" w:after="100" w:afterAutospacing="1"/>
        <w:jc w:val="both"/>
      </w:pPr>
      <w:r w:rsidRPr="00DA6454">
        <w:t>Tongco, M. D. C. (2007) 'Purposive sampling as a tool for informant selection', Ethnobotany Research and Applications, 5, pp. 147-158.</w:t>
      </w:r>
    </w:p>
    <w:p w14:paraId="1FF75D73" w14:textId="77777777" w:rsidR="00DA6454" w:rsidRPr="00DA6454" w:rsidRDefault="00DA6454" w:rsidP="0069580A">
      <w:pPr>
        <w:spacing w:before="100" w:beforeAutospacing="1" w:after="100" w:afterAutospacing="1"/>
        <w:jc w:val="both"/>
      </w:pPr>
      <w:r w:rsidRPr="00DA6454">
        <w:t>Tukey, J. W. (1977) Exploratory Data Analysis. Addison-Wesley.</w:t>
      </w:r>
    </w:p>
    <w:p w14:paraId="6FC8D65F" w14:textId="77777777" w:rsidR="00DA6454" w:rsidRPr="00DA6454" w:rsidRDefault="00DA6454" w:rsidP="0069580A">
      <w:pPr>
        <w:spacing w:before="100" w:beforeAutospacing="1" w:after="100" w:afterAutospacing="1"/>
        <w:jc w:val="both"/>
      </w:pPr>
      <w:r w:rsidRPr="00DA6454">
        <w:t>Tversky, A. and Kahneman, D. (1974) 'Judgment under uncertainty: Heuristics and biases', Science, 185(4157), pp. 1124-1131.</w:t>
      </w:r>
    </w:p>
    <w:p w14:paraId="06D4F34D" w14:textId="77777777" w:rsidR="00DA6454" w:rsidRPr="00DA6454" w:rsidRDefault="00DA6454" w:rsidP="0069580A">
      <w:pPr>
        <w:spacing w:before="100" w:beforeAutospacing="1" w:after="100" w:afterAutospacing="1"/>
        <w:jc w:val="both"/>
      </w:pPr>
      <w:r w:rsidRPr="00DA6454">
        <w:t>Ultrasound Money (2025) Ethereum Supply Analytics 2025. Available at: https://ultrasound.money (Accessed: 15 March 2025).</w:t>
      </w:r>
    </w:p>
    <w:p w14:paraId="6C748E61" w14:textId="77777777" w:rsidR="00DA6454" w:rsidRPr="00DA6454" w:rsidRDefault="00DA6454" w:rsidP="0069580A">
      <w:pPr>
        <w:spacing w:before="100" w:beforeAutospacing="1" w:after="100" w:afterAutospacing="1"/>
        <w:jc w:val="both"/>
      </w:pPr>
      <w:r w:rsidRPr="00DA6454">
        <w:t>Wang, S., Ouyang, L., Yuan, Y., Ni, X., Han, X., &amp; Wang, F. Y. (2022) 'Blockchain-enabled smart contracts: Architecture, applications, and future trends', IEEE Transactions on Systems, 49(11), pp. 2266-2277.</w:t>
      </w:r>
    </w:p>
    <w:p w14:paraId="4E87151A" w14:textId="77777777" w:rsidR="00DA6454" w:rsidRPr="00DA6454" w:rsidRDefault="00DA6454" w:rsidP="0069580A">
      <w:pPr>
        <w:spacing w:before="100" w:beforeAutospacing="1" w:after="100" w:afterAutospacing="1"/>
        <w:jc w:val="both"/>
      </w:pPr>
      <w:r w:rsidRPr="00DA6454">
        <w:t>Wasserstein, R. L. and Lazar, N. A. (2016) 'The ASA statement on p-values: Context, process, and purpose', The American Statistician, 70(2), pp. 129-133.</w:t>
      </w:r>
    </w:p>
    <w:p w14:paraId="2F4155A5" w14:textId="77777777" w:rsidR="00DA6454" w:rsidRPr="00DA6454" w:rsidRDefault="00DA6454" w:rsidP="0069580A">
      <w:pPr>
        <w:spacing w:before="100" w:beforeAutospacing="1" w:after="100" w:afterAutospacing="1"/>
        <w:jc w:val="both"/>
      </w:pPr>
      <w:r w:rsidRPr="00DA6454">
        <w:t>Watts, D. J. (2002) 'A simple model of global cascades on random networks', Proceedings of the National Academy of Sciences, 99(9), pp. 5766-5771.</w:t>
      </w:r>
    </w:p>
    <w:p w14:paraId="787F748D" w14:textId="77777777" w:rsidR="00DA6454" w:rsidRPr="00DA6454" w:rsidRDefault="00DA6454" w:rsidP="0069580A">
      <w:pPr>
        <w:spacing w:before="100" w:beforeAutospacing="1" w:after="100" w:afterAutospacing="1"/>
        <w:jc w:val="both"/>
      </w:pPr>
      <w:proofErr w:type="spellStart"/>
      <w:r w:rsidRPr="00DA6454">
        <w:t>Weyuker</w:t>
      </w:r>
      <w:proofErr w:type="spellEnd"/>
      <w:r w:rsidRPr="00DA6454">
        <w:t>, E. J. and Ostrand, T. J. (1980) 'Theories of program testing and the application of revealing subdomains', IEEE Transactions on Software Engineering, 6(3), pp. 236-246.</w:t>
      </w:r>
    </w:p>
    <w:p w14:paraId="4CA74EB7" w14:textId="77777777" w:rsidR="00DA6454" w:rsidRPr="00DA6454" w:rsidRDefault="00DA6454" w:rsidP="0069580A">
      <w:pPr>
        <w:spacing w:before="100" w:beforeAutospacing="1" w:after="100" w:afterAutospacing="1"/>
        <w:jc w:val="both"/>
      </w:pPr>
      <w:r w:rsidRPr="00DA6454">
        <w:t>White, I. R., Royston, P., &amp; Wood, A. M. (2011) 'Multiple imputation using chained equations: Issues and guidance for practice', Statistics in Medicine, 30(4), pp. 377-399.</w:t>
      </w:r>
    </w:p>
    <w:p w14:paraId="4983A84F" w14:textId="77777777" w:rsidR="00DA6454" w:rsidRPr="00DA6454" w:rsidRDefault="00DA6454" w:rsidP="0069580A">
      <w:pPr>
        <w:spacing w:before="100" w:beforeAutospacing="1" w:after="100" w:afterAutospacing="1"/>
        <w:jc w:val="both"/>
      </w:pPr>
      <w:r w:rsidRPr="00DA6454">
        <w:t xml:space="preserve">Wickham, H., Averick, M., Bryan, J., Chang, W., McGowan, L. D., François, R., ... &amp; Yutani, H. (2019) 'Welcome to the </w:t>
      </w:r>
      <w:proofErr w:type="spellStart"/>
      <w:r w:rsidRPr="00DA6454">
        <w:t>tidyverse</w:t>
      </w:r>
      <w:proofErr w:type="spellEnd"/>
      <w:r w:rsidRPr="00DA6454">
        <w:t xml:space="preserve">', Journal of </w:t>
      </w:r>
      <w:proofErr w:type="gramStart"/>
      <w:r w:rsidRPr="00DA6454">
        <w:t>Open Source</w:t>
      </w:r>
      <w:proofErr w:type="gramEnd"/>
      <w:r w:rsidRPr="00DA6454">
        <w:t xml:space="preserve"> Software, 4(43), 1686.</w:t>
      </w:r>
    </w:p>
    <w:p w14:paraId="5ADCB2C4" w14:textId="77777777" w:rsidR="00DA6454" w:rsidRPr="00DA6454" w:rsidRDefault="00DA6454" w:rsidP="0069580A">
      <w:pPr>
        <w:spacing w:before="100" w:beforeAutospacing="1" w:after="100" w:afterAutospacing="1"/>
        <w:jc w:val="both"/>
      </w:pPr>
      <w:r w:rsidRPr="00DA6454">
        <w:t>Wilensky, U. and Rand, W. (2015) An introduction to agent-based modeling. MIT Press.</w:t>
      </w:r>
    </w:p>
    <w:p w14:paraId="5FC301C3" w14:textId="77777777" w:rsidR="00DA6454" w:rsidRPr="00DA6454" w:rsidRDefault="00DA6454" w:rsidP="0069580A">
      <w:pPr>
        <w:spacing w:before="100" w:beforeAutospacing="1" w:after="100" w:afterAutospacing="1"/>
        <w:jc w:val="both"/>
      </w:pPr>
      <w:r w:rsidRPr="00DA6454">
        <w:t>Williamson, O. E. (1985) The Economic Institutions of Capitalism: Firms, Markets, Relational Contracting. New York: Free Press.</w:t>
      </w:r>
    </w:p>
    <w:p w14:paraId="572779A5" w14:textId="77777777" w:rsidR="00DA6454" w:rsidRPr="00DA6454" w:rsidRDefault="00DA6454" w:rsidP="0069580A">
      <w:pPr>
        <w:spacing w:before="100" w:beforeAutospacing="1" w:after="100" w:afterAutospacing="1"/>
        <w:jc w:val="both"/>
      </w:pPr>
      <w:r w:rsidRPr="00DA6454">
        <w:t>Williamson, O. E. (1985). The economic institutions of capitalism: Firms, markets, relational contracting. Free Press.</w:t>
      </w:r>
    </w:p>
    <w:p w14:paraId="207286AF" w14:textId="77777777" w:rsidR="00DA6454" w:rsidRPr="00DA6454" w:rsidRDefault="00DA6454" w:rsidP="0069580A">
      <w:pPr>
        <w:spacing w:before="100" w:beforeAutospacing="1" w:after="100" w:afterAutospacing="1"/>
        <w:jc w:val="both"/>
      </w:pPr>
      <w:r w:rsidRPr="00DA6454">
        <w:t>Winner, L. (1980). Do artifacts have politics? Daedalus, 109(1), 121-136. https://www.jstor.org/stable/20024652</w:t>
      </w:r>
    </w:p>
    <w:p w14:paraId="444204F7" w14:textId="77777777" w:rsidR="00DA6454" w:rsidRPr="00DA6454" w:rsidRDefault="00DA6454" w:rsidP="0069580A">
      <w:pPr>
        <w:spacing w:before="100" w:beforeAutospacing="1" w:after="100" w:afterAutospacing="1"/>
        <w:jc w:val="both"/>
      </w:pPr>
      <w:r w:rsidRPr="00DA6454">
        <w:t>World Bank (2024) World Development Indicators Database. Available at: https://databank.worldbank.org/source/world-development-indicators (Accessed: 10 January 2025).</w:t>
      </w:r>
    </w:p>
    <w:p w14:paraId="33C561D4" w14:textId="77777777" w:rsidR="00DA6454" w:rsidRPr="00DA6454" w:rsidRDefault="00DA6454" w:rsidP="0069580A">
      <w:pPr>
        <w:spacing w:before="100" w:beforeAutospacing="1" w:after="100" w:afterAutospacing="1"/>
        <w:jc w:val="both"/>
      </w:pPr>
      <w:r w:rsidRPr="00DA6454">
        <w:lastRenderedPageBreak/>
        <w:t xml:space="preserve">Xu, J., Paruch, K., </w:t>
      </w:r>
      <w:proofErr w:type="spellStart"/>
      <w:r w:rsidRPr="00DA6454">
        <w:t>Cousaert</w:t>
      </w:r>
      <w:proofErr w:type="spellEnd"/>
      <w:r w:rsidRPr="00DA6454">
        <w:t>, S., &amp; Feng, Y. (2023) '</w:t>
      </w:r>
      <w:proofErr w:type="spellStart"/>
      <w:r w:rsidRPr="00DA6454">
        <w:t>SoK</w:t>
      </w:r>
      <w:proofErr w:type="spellEnd"/>
      <w:r w:rsidRPr="00DA6454">
        <w:t>: Decentralized exchanges (DEX) with automated market maker (AMM) protocols', ACM Computing Surveys, 55(11), pp. 1-50.</w:t>
      </w:r>
    </w:p>
    <w:p w14:paraId="3646E3A6" w14:textId="77777777" w:rsidR="00DA6454" w:rsidRPr="00DA6454" w:rsidRDefault="00DA6454" w:rsidP="0069580A">
      <w:pPr>
        <w:spacing w:before="100" w:beforeAutospacing="1" w:after="100" w:afterAutospacing="1"/>
        <w:jc w:val="both"/>
      </w:pPr>
      <w:r w:rsidRPr="00DA6454">
        <w:t>Yin, R. K. (2018) Case study research and applications: Design and methods (6th ed.). SAGE Publications.</w:t>
      </w:r>
    </w:p>
    <w:p w14:paraId="18C6436C" w14:textId="77777777" w:rsidR="00C45842" w:rsidRDefault="00C45842" w:rsidP="0069580A">
      <w:pPr>
        <w:spacing w:before="100" w:beforeAutospacing="1" w:after="100" w:afterAutospacing="1"/>
        <w:jc w:val="both"/>
        <w:rPr>
          <w:rFonts w:ascii="Times-Roman" w:eastAsiaTheme="minorEastAsia" w:hAnsi="Times-Roman" w:cs="Times-Roman"/>
        </w:rPr>
      </w:pPr>
      <w:proofErr w:type="spellStart"/>
      <w:r>
        <w:rPr>
          <w:rFonts w:ascii="Times-Roman" w:eastAsiaTheme="minorEastAsia" w:hAnsi="Times-Roman" w:cs="Times-Roman"/>
        </w:rPr>
        <w:t>Yuyama</w:t>
      </w:r>
      <w:proofErr w:type="spellEnd"/>
      <w:r>
        <w:rPr>
          <w:rFonts w:ascii="Times-Roman" w:eastAsiaTheme="minorEastAsia" w:hAnsi="Times-Roman" w:cs="Times-Roman"/>
        </w:rPr>
        <w:t>, T., Katayama, K. and Brigner, P. (2023) 'Proposal of Principles of DeFi Disclosure and Regulation', SSRN Electronic Journal, 25 May</w:t>
      </w:r>
    </w:p>
    <w:p w14:paraId="589824C8" w14:textId="1DE94344" w:rsidR="00DA6454" w:rsidRPr="00DA6454" w:rsidRDefault="00DA6454" w:rsidP="0069580A">
      <w:pPr>
        <w:spacing w:before="100" w:beforeAutospacing="1" w:after="100" w:afterAutospacing="1"/>
        <w:jc w:val="both"/>
      </w:pPr>
      <w:proofErr w:type="spellStart"/>
      <w:r w:rsidRPr="00DA6454">
        <w:t>Zetzsche</w:t>
      </w:r>
      <w:proofErr w:type="spellEnd"/>
      <w:r w:rsidRPr="00DA6454">
        <w:t>, D.A., Arner, D.W., Buckley, R.P. and Weber, R.H. (2023) 'The future of</w:t>
      </w:r>
    </w:p>
    <w:p w14:paraId="429F6093" w14:textId="5FC7DF73" w:rsidR="00665F53" w:rsidRDefault="00DA6454" w:rsidP="0069580A">
      <w:pPr>
        <w:spacing w:before="100" w:beforeAutospacing="1" w:after="100" w:afterAutospacing="1"/>
        <w:jc w:val="both"/>
      </w:pPr>
      <w:r w:rsidRPr="00DA6454">
        <w:t>Zhang, Y., Chen, X., &amp; Park, D. (2023) 'Data quality challenges in blockchain analytics: A systematic review', ACM Computing Surveys, 55(7), pp. 1-35.</w:t>
      </w:r>
    </w:p>
    <w:p w14:paraId="79CD0320" w14:textId="77777777" w:rsidR="00DA6454" w:rsidRDefault="00DA6454" w:rsidP="00DA6454"/>
    <w:p w14:paraId="72A3ED40" w14:textId="77777777" w:rsidR="00665F53" w:rsidRPr="00E216F5" w:rsidRDefault="00665F53" w:rsidP="0053116A"/>
    <w:p w14:paraId="4B561A68" w14:textId="77777777" w:rsidR="00DA6454" w:rsidRDefault="00DA6454">
      <w:pPr>
        <w:spacing w:after="200" w:line="276" w:lineRule="auto"/>
        <w:rPr>
          <w:b/>
          <w:kern w:val="2"/>
          <w:sz w:val="28"/>
        </w:rPr>
      </w:pPr>
      <w:r>
        <w:br w:type="page"/>
      </w:r>
    </w:p>
    <w:p w14:paraId="0141BF99" w14:textId="48FDCAB3" w:rsidR="0057214E" w:rsidRDefault="0057214E" w:rsidP="00907876">
      <w:pPr>
        <w:pStyle w:val="Heading2"/>
      </w:pPr>
      <w:bookmarkStart w:id="300" w:name="_Toc214722106"/>
      <w:r w:rsidRPr="00787316">
        <w:lastRenderedPageBreak/>
        <w:t>Protocol and Platform Documentation</w:t>
      </w:r>
      <w:bookmarkEnd w:id="300"/>
    </w:p>
    <w:p w14:paraId="5D748195" w14:textId="77777777" w:rsidR="00907876" w:rsidRPr="00907876" w:rsidRDefault="00907876" w:rsidP="00907876"/>
    <w:p w14:paraId="525FF7C5" w14:textId="390336BF" w:rsidR="0057214E" w:rsidRDefault="0057214E" w:rsidP="0057214E">
      <w:proofErr w:type="spellStart"/>
      <w:r w:rsidRPr="00787316">
        <w:t>Aave</w:t>
      </w:r>
      <w:proofErr w:type="spellEnd"/>
      <w:r w:rsidRPr="00787316">
        <w:t xml:space="preserve"> (2020) </w:t>
      </w:r>
      <w:proofErr w:type="spellStart"/>
      <w:r w:rsidRPr="00787316">
        <w:rPr>
          <w:i/>
          <w:iCs/>
        </w:rPr>
        <w:t>Aave</w:t>
      </w:r>
      <w:proofErr w:type="spellEnd"/>
      <w:r w:rsidRPr="00787316">
        <w:rPr>
          <w:i/>
          <w:iCs/>
        </w:rPr>
        <w:t xml:space="preserve"> Protocol Whitepaper v2.0</w:t>
      </w:r>
      <w:r w:rsidRPr="00787316">
        <w:t xml:space="preserve">. Available at: </w:t>
      </w:r>
      <w:hyperlink r:id="rId16" w:history="1">
        <w:r w:rsidR="00907876" w:rsidRPr="00017914">
          <w:rPr>
            <w:rStyle w:val="Hyperlink"/>
          </w:rPr>
          <w:t>https://github.com/aave/protocol-v2/blob/master/aave-v2-whitepaper.pdf</w:t>
        </w:r>
      </w:hyperlink>
      <w:r w:rsidR="00AC5794">
        <w:t xml:space="preserve"> </w:t>
      </w:r>
      <w:r w:rsidR="00AC5794" w:rsidRPr="00AC5794">
        <w:t xml:space="preserve">(Accessed: </w:t>
      </w:r>
      <w:r w:rsidR="00AC5794">
        <w:t xml:space="preserve">Sept 17, </w:t>
      </w:r>
      <w:r w:rsidR="00AC5794" w:rsidRPr="00AC5794">
        <w:t>2024).</w:t>
      </w:r>
    </w:p>
    <w:p w14:paraId="52C5191C" w14:textId="77777777" w:rsidR="00907876" w:rsidRPr="00787316" w:rsidRDefault="00907876" w:rsidP="0057214E"/>
    <w:p w14:paraId="46B11A55" w14:textId="41970AD4" w:rsidR="0057214E" w:rsidRDefault="0057214E" w:rsidP="0057214E">
      <w:proofErr w:type="spellStart"/>
      <w:r w:rsidRPr="00787316">
        <w:t>Algorand</w:t>
      </w:r>
      <w:proofErr w:type="spellEnd"/>
      <w:r w:rsidRPr="00787316">
        <w:t xml:space="preserve"> Foundation (2019) </w:t>
      </w:r>
      <w:proofErr w:type="spellStart"/>
      <w:r w:rsidRPr="00787316">
        <w:rPr>
          <w:i/>
          <w:iCs/>
        </w:rPr>
        <w:t>Algorand</w:t>
      </w:r>
      <w:proofErr w:type="spellEnd"/>
      <w:r w:rsidRPr="00787316">
        <w:rPr>
          <w:i/>
          <w:iCs/>
        </w:rPr>
        <w:t>: The efficient public ledger</w:t>
      </w:r>
      <w:r w:rsidRPr="00787316">
        <w:t xml:space="preserve">. Available at: </w:t>
      </w:r>
      <w:hyperlink r:id="rId17" w:history="1">
        <w:r w:rsidR="00907876" w:rsidRPr="00017914">
          <w:rPr>
            <w:rStyle w:val="Hyperlink"/>
          </w:rPr>
          <w:t>https://www.algorand.com/technology/white-papers</w:t>
        </w:r>
      </w:hyperlink>
      <w:r w:rsidR="00AC5794">
        <w:t xml:space="preserve"> </w:t>
      </w:r>
      <w:r w:rsidR="00AC5794" w:rsidRPr="00AC5794">
        <w:t xml:space="preserve">(Accessed: </w:t>
      </w:r>
      <w:r w:rsidR="000C6847">
        <w:t>Feb</w:t>
      </w:r>
      <w:r w:rsidR="00AC5794">
        <w:t xml:space="preserve"> 15, </w:t>
      </w:r>
      <w:r w:rsidR="00AC5794" w:rsidRPr="00AC5794">
        <w:t>2024).</w:t>
      </w:r>
    </w:p>
    <w:p w14:paraId="4B315C3B" w14:textId="77777777" w:rsidR="00907876" w:rsidRPr="00787316" w:rsidRDefault="00907876" w:rsidP="0057214E"/>
    <w:p w14:paraId="134C050D" w14:textId="0DA5DD8A" w:rsidR="0057214E" w:rsidRDefault="0057214E" w:rsidP="0057214E">
      <w:r w:rsidRPr="00787316">
        <w:t xml:space="preserve">Beanstalk Protocol (2021) </w:t>
      </w:r>
      <w:r w:rsidRPr="00787316">
        <w:rPr>
          <w:i/>
          <w:iCs/>
        </w:rPr>
        <w:t>Beanstalk: A decentralized credit based stablecoin protocol</w:t>
      </w:r>
      <w:r w:rsidRPr="00787316">
        <w:t xml:space="preserve">. Available at: </w:t>
      </w:r>
      <w:hyperlink r:id="rId18" w:history="1">
        <w:r w:rsidR="00907876" w:rsidRPr="00017914">
          <w:rPr>
            <w:rStyle w:val="Hyperlink"/>
          </w:rPr>
          <w:t>https://bean.money/beanstalk.pdf</w:t>
        </w:r>
      </w:hyperlink>
      <w:r w:rsidR="00BA58B7">
        <w:t xml:space="preserve"> </w:t>
      </w:r>
      <w:r w:rsidR="00BA58B7" w:rsidRPr="00AC5794">
        <w:t xml:space="preserve">(Accessed: </w:t>
      </w:r>
      <w:r w:rsidR="00BA58B7">
        <w:t xml:space="preserve">March </w:t>
      </w:r>
      <w:r w:rsidR="00930890">
        <w:t>6</w:t>
      </w:r>
      <w:r w:rsidR="00BA58B7">
        <w:t xml:space="preserve">, </w:t>
      </w:r>
      <w:r w:rsidR="00BA58B7" w:rsidRPr="00AC5794">
        <w:t>202</w:t>
      </w:r>
      <w:r w:rsidR="00BA58B7">
        <w:t>5</w:t>
      </w:r>
      <w:r w:rsidR="00BA58B7" w:rsidRPr="00AC5794">
        <w:t>).</w:t>
      </w:r>
    </w:p>
    <w:p w14:paraId="792022C2" w14:textId="77777777" w:rsidR="00907876" w:rsidRPr="00787316" w:rsidRDefault="00907876" w:rsidP="0057214E"/>
    <w:p w14:paraId="666A72DA" w14:textId="34074F6D" w:rsidR="0057214E" w:rsidRDefault="0057214E" w:rsidP="0057214E">
      <w:proofErr w:type="spellStart"/>
      <w:r w:rsidRPr="00787316">
        <w:t>Biconomy</w:t>
      </w:r>
      <w:proofErr w:type="spellEnd"/>
      <w:r w:rsidRPr="00787316">
        <w:t xml:space="preserve"> (2021) </w:t>
      </w:r>
      <w:proofErr w:type="spellStart"/>
      <w:r w:rsidRPr="00787316">
        <w:rPr>
          <w:i/>
          <w:iCs/>
        </w:rPr>
        <w:t>Biconomy</w:t>
      </w:r>
      <w:proofErr w:type="spellEnd"/>
      <w:r w:rsidRPr="00787316">
        <w:rPr>
          <w:i/>
          <w:iCs/>
        </w:rPr>
        <w:t xml:space="preserve"> Documentation: Meta-transactions and gasless transactions</w:t>
      </w:r>
      <w:r w:rsidRPr="00787316">
        <w:t xml:space="preserve">. Available at: </w:t>
      </w:r>
      <w:hyperlink r:id="rId19" w:history="1">
        <w:r w:rsidR="00907876" w:rsidRPr="00017914">
          <w:rPr>
            <w:rStyle w:val="Hyperlink"/>
          </w:rPr>
          <w:t>https://docs.biconomy.io/</w:t>
        </w:r>
      </w:hyperlink>
      <w:r w:rsidR="000C6847">
        <w:t xml:space="preserve"> </w:t>
      </w:r>
      <w:r w:rsidR="000C6847" w:rsidRPr="00AC5794">
        <w:t xml:space="preserve">(Accessed: </w:t>
      </w:r>
      <w:r w:rsidR="000C6847">
        <w:t>Jan</w:t>
      </w:r>
      <w:r w:rsidR="0045102A">
        <w:t>uary</w:t>
      </w:r>
      <w:r w:rsidR="000C6847">
        <w:t xml:space="preserve"> 21, </w:t>
      </w:r>
      <w:r w:rsidR="000C6847" w:rsidRPr="00AC5794">
        <w:t>202</w:t>
      </w:r>
      <w:r w:rsidR="000C6847">
        <w:t>5</w:t>
      </w:r>
      <w:r w:rsidR="000C6847" w:rsidRPr="00AC5794">
        <w:t>).</w:t>
      </w:r>
    </w:p>
    <w:p w14:paraId="142C075B" w14:textId="77777777" w:rsidR="00907876" w:rsidRPr="00787316" w:rsidRDefault="00907876" w:rsidP="0057214E"/>
    <w:p w14:paraId="1CC4F8B4" w14:textId="63EFCE3A" w:rsidR="0057214E" w:rsidRDefault="0057214E" w:rsidP="0057214E">
      <w:r w:rsidRPr="00787316">
        <w:t xml:space="preserve">Binance (2024) </w:t>
      </w:r>
      <w:r w:rsidRPr="00787316">
        <w:rPr>
          <w:i/>
          <w:iCs/>
        </w:rPr>
        <w:t>Binance Exchange Fee Schedule</w:t>
      </w:r>
      <w:r w:rsidRPr="00787316">
        <w:t xml:space="preserve">. Available at: </w:t>
      </w:r>
      <w:hyperlink r:id="rId20" w:history="1">
        <w:r w:rsidR="00907876" w:rsidRPr="00017914">
          <w:rPr>
            <w:rStyle w:val="Hyperlink"/>
          </w:rPr>
          <w:t>https://www.binance.com/en/fee/schedule</w:t>
        </w:r>
      </w:hyperlink>
      <w:r w:rsidR="00AC5794">
        <w:t xml:space="preserve"> </w:t>
      </w:r>
      <w:r w:rsidR="00AC5794" w:rsidRPr="00AC5794">
        <w:t xml:space="preserve">(Accessed: </w:t>
      </w:r>
      <w:r w:rsidR="00AC5794">
        <w:t>Jan</w:t>
      </w:r>
      <w:r w:rsidR="0045102A">
        <w:t>uary</w:t>
      </w:r>
      <w:r w:rsidR="000C6847">
        <w:t xml:space="preserve"> 21</w:t>
      </w:r>
      <w:r w:rsidR="00AC5794">
        <w:t xml:space="preserve">, </w:t>
      </w:r>
      <w:r w:rsidR="00AC5794" w:rsidRPr="00AC5794">
        <w:t>202</w:t>
      </w:r>
      <w:r w:rsidR="000C6847">
        <w:t>5</w:t>
      </w:r>
      <w:r w:rsidR="00AC5794" w:rsidRPr="00AC5794">
        <w:t>).</w:t>
      </w:r>
    </w:p>
    <w:p w14:paraId="10CC72A5" w14:textId="77777777" w:rsidR="00907876" w:rsidRPr="00787316" w:rsidRDefault="00907876" w:rsidP="0057214E"/>
    <w:p w14:paraId="3119E9B0" w14:textId="6312AA0F" w:rsidR="003754D3" w:rsidRDefault="003754D3" w:rsidP="0057214E">
      <w:r w:rsidRPr="003754D3">
        <w:t xml:space="preserve">Binance Academy (2023) 'A Quick Guide to BNB Staking on BNB Smart Chain (BSC)', 8 August. Available at: </w:t>
      </w:r>
      <w:hyperlink r:id="rId21" w:history="1">
        <w:r w:rsidRPr="00286FAB">
          <w:rPr>
            <w:rStyle w:val="Hyperlink"/>
          </w:rPr>
          <w:t>https://academy.binance.com/en/articles/a-quick-guide-to-bnb-staking-on-binance-smart-chain-bsc</w:t>
        </w:r>
      </w:hyperlink>
      <w:r>
        <w:t xml:space="preserve"> </w:t>
      </w:r>
      <w:r w:rsidRPr="003754D3">
        <w:t>(Accessed: 1 November 2025).</w:t>
      </w:r>
    </w:p>
    <w:p w14:paraId="4ED8DA00" w14:textId="77777777" w:rsidR="003754D3" w:rsidRDefault="003754D3" w:rsidP="0057214E"/>
    <w:p w14:paraId="2479C422" w14:textId="0D2EA965" w:rsidR="00563C35" w:rsidRDefault="00563C35" w:rsidP="0057214E">
      <w:r w:rsidRPr="00563C35">
        <w:t xml:space="preserve">Binance Academy (2024) 'An Introduction to BNB Smart Chain (BSC)', 29 May. Available at: </w:t>
      </w:r>
      <w:hyperlink r:id="rId22" w:history="1">
        <w:r w:rsidRPr="00286FAB">
          <w:rPr>
            <w:rStyle w:val="Hyperlink"/>
          </w:rPr>
          <w:t>https://academy.binance.com/en/articles/an-introduction-to-bnb-smart-chain-bsc</w:t>
        </w:r>
      </w:hyperlink>
      <w:r>
        <w:t xml:space="preserve"> </w:t>
      </w:r>
      <w:r w:rsidRPr="00563C35">
        <w:t>(Accessed: 1 November 2025).</w:t>
      </w:r>
    </w:p>
    <w:p w14:paraId="5BD1C5A4" w14:textId="77777777" w:rsidR="00563C35" w:rsidRDefault="00563C35" w:rsidP="0057214E"/>
    <w:p w14:paraId="4B85CD42" w14:textId="6E660B70" w:rsidR="0057214E" w:rsidRDefault="0057214E" w:rsidP="0057214E">
      <w:r w:rsidRPr="00787316">
        <w:t xml:space="preserve">Binance Smart Chain (2020) </w:t>
      </w:r>
      <w:r w:rsidRPr="00787316">
        <w:rPr>
          <w:i/>
          <w:iCs/>
        </w:rPr>
        <w:t>Binance Smart Chain: A parallel Binance chain to enable smart contracts</w:t>
      </w:r>
      <w:r w:rsidRPr="00787316">
        <w:t xml:space="preserve">. Available at: </w:t>
      </w:r>
      <w:hyperlink r:id="rId23" w:history="1">
        <w:r w:rsidR="00907876" w:rsidRPr="00017914">
          <w:rPr>
            <w:rStyle w:val="Hyperlink"/>
          </w:rPr>
          <w:t>https://github.com/binance-chain/whitepaper/blob/master/WHITEPAPER.md</w:t>
        </w:r>
      </w:hyperlink>
      <w:r w:rsidR="000C6847">
        <w:t xml:space="preserve"> </w:t>
      </w:r>
      <w:r w:rsidR="000C6847" w:rsidRPr="00AC5794">
        <w:t xml:space="preserve">(Accessed: </w:t>
      </w:r>
      <w:r w:rsidR="0045102A">
        <w:t>September</w:t>
      </w:r>
      <w:r w:rsidR="000C6847">
        <w:t xml:space="preserve"> 21, </w:t>
      </w:r>
      <w:r w:rsidR="000C6847" w:rsidRPr="00AC5794">
        <w:t>202</w:t>
      </w:r>
      <w:r w:rsidR="0045102A">
        <w:t>5</w:t>
      </w:r>
      <w:r w:rsidR="000C6847" w:rsidRPr="00AC5794">
        <w:t>).</w:t>
      </w:r>
    </w:p>
    <w:p w14:paraId="1B248C9F" w14:textId="77777777" w:rsidR="00907876" w:rsidRPr="00787316" w:rsidRDefault="00907876" w:rsidP="0057214E"/>
    <w:p w14:paraId="67203BD5" w14:textId="026C2C69" w:rsidR="0057214E" w:rsidRDefault="0057214E" w:rsidP="0057214E">
      <w:proofErr w:type="spellStart"/>
      <w:r w:rsidRPr="00787316">
        <w:t>Blocknative</w:t>
      </w:r>
      <w:proofErr w:type="spellEnd"/>
      <w:r w:rsidRPr="00787316">
        <w:t xml:space="preserve"> (2023) </w:t>
      </w:r>
      <w:r w:rsidRPr="00787316">
        <w:rPr>
          <w:i/>
          <w:iCs/>
        </w:rPr>
        <w:t>Gas Platform Documentation v2.0</w:t>
      </w:r>
      <w:r w:rsidRPr="00787316">
        <w:t xml:space="preserve">. Available at: </w:t>
      </w:r>
      <w:hyperlink r:id="rId24" w:history="1">
        <w:r w:rsidR="00907876" w:rsidRPr="00017914">
          <w:rPr>
            <w:rStyle w:val="Hyperlink"/>
          </w:rPr>
          <w:t>https://docs.blocknative.com/</w:t>
        </w:r>
      </w:hyperlink>
      <w:r w:rsidR="00BA58B7">
        <w:t xml:space="preserve"> </w:t>
      </w:r>
      <w:r w:rsidR="00BA58B7" w:rsidRPr="00AC5794">
        <w:t xml:space="preserve">(Accessed: </w:t>
      </w:r>
      <w:r w:rsidR="00BA58B7">
        <w:t xml:space="preserve">Aug 28, </w:t>
      </w:r>
      <w:r w:rsidR="00BA58B7" w:rsidRPr="00AC5794">
        <w:t>202</w:t>
      </w:r>
      <w:r w:rsidR="00BA58B7">
        <w:t>5</w:t>
      </w:r>
      <w:r w:rsidR="00BA58B7" w:rsidRPr="00AC5794">
        <w:t>).</w:t>
      </w:r>
    </w:p>
    <w:p w14:paraId="335B754E" w14:textId="77777777" w:rsidR="00907876" w:rsidRPr="00787316" w:rsidRDefault="00907876" w:rsidP="0057214E"/>
    <w:p w14:paraId="5AA458EE" w14:textId="0A739484" w:rsidR="0057214E" w:rsidRDefault="0057214E" w:rsidP="0057214E">
      <w:r w:rsidRPr="00787316">
        <w:t xml:space="preserve">Build Finance DAO (2022) </w:t>
      </w:r>
      <w:r w:rsidRPr="00787316">
        <w:rPr>
          <w:i/>
          <w:iCs/>
        </w:rPr>
        <w:t>Build Finance Protocol Documentation</w:t>
      </w:r>
      <w:r w:rsidRPr="00787316">
        <w:t xml:space="preserve">. Available at: </w:t>
      </w:r>
      <w:hyperlink r:id="rId25" w:history="1">
        <w:r w:rsidR="00907876" w:rsidRPr="00017914">
          <w:rPr>
            <w:rStyle w:val="Hyperlink"/>
          </w:rPr>
          <w:t>https://docs.build.finance/</w:t>
        </w:r>
      </w:hyperlink>
      <w:r w:rsidR="00BA58B7">
        <w:t xml:space="preserve"> </w:t>
      </w:r>
      <w:r w:rsidR="00BA58B7" w:rsidRPr="00AC5794">
        <w:t xml:space="preserve">(Accessed: </w:t>
      </w:r>
      <w:r w:rsidR="00BA58B7">
        <w:t>Aug</w:t>
      </w:r>
      <w:r w:rsidR="0045102A">
        <w:t>ust</w:t>
      </w:r>
      <w:r w:rsidR="00BA58B7">
        <w:t xml:space="preserve"> 28, </w:t>
      </w:r>
      <w:r w:rsidR="00BA58B7" w:rsidRPr="00AC5794">
        <w:t>202</w:t>
      </w:r>
      <w:r w:rsidR="00BA58B7">
        <w:t>5</w:t>
      </w:r>
      <w:r w:rsidR="00BA58B7" w:rsidRPr="00AC5794">
        <w:t>).</w:t>
      </w:r>
    </w:p>
    <w:p w14:paraId="1485C9E5" w14:textId="77777777" w:rsidR="00907876" w:rsidRPr="00787316" w:rsidRDefault="00907876" w:rsidP="0057214E"/>
    <w:p w14:paraId="6DF49AA5" w14:textId="57A181C1" w:rsidR="0057214E" w:rsidRDefault="0057214E" w:rsidP="0057214E">
      <w:r w:rsidRPr="00787316">
        <w:t xml:space="preserve">Cardano Foundation (2017) </w:t>
      </w:r>
      <w:r w:rsidRPr="00787316">
        <w:rPr>
          <w:i/>
          <w:iCs/>
        </w:rPr>
        <w:t>Ouroboros: A provably secure proof-of-stake blockchain protocol</w:t>
      </w:r>
      <w:r w:rsidRPr="00787316">
        <w:t xml:space="preserve">. Available at: </w:t>
      </w:r>
      <w:hyperlink r:id="rId26" w:history="1">
        <w:r w:rsidR="00907876" w:rsidRPr="00017914">
          <w:rPr>
            <w:rStyle w:val="Hyperlink"/>
          </w:rPr>
          <w:t>https://cardano.org/ouroboros/</w:t>
        </w:r>
      </w:hyperlink>
      <w:r w:rsidR="000C6847">
        <w:t xml:space="preserve"> </w:t>
      </w:r>
      <w:r w:rsidR="000C6847" w:rsidRPr="00AC5794">
        <w:t xml:space="preserve">(Accessed: </w:t>
      </w:r>
      <w:r w:rsidR="000C6847">
        <w:t>Aug</w:t>
      </w:r>
      <w:r w:rsidR="0045102A">
        <w:t>ust</w:t>
      </w:r>
      <w:r w:rsidR="000C6847">
        <w:t xml:space="preserve"> 21, </w:t>
      </w:r>
      <w:r w:rsidR="000C6847" w:rsidRPr="00AC5794">
        <w:t>2024).</w:t>
      </w:r>
    </w:p>
    <w:p w14:paraId="74C11CA0" w14:textId="77777777" w:rsidR="00907876" w:rsidRPr="00787316" w:rsidRDefault="00907876" w:rsidP="0057214E"/>
    <w:p w14:paraId="5BDD9344" w14:textId="1F6AC5C9" w:rsidR="0057214E" w:rsidRDefault="0057214E" w:rsidP="0057214E">
      <w:r w:rsidRPr="00787316">
        <w:t xml:space="preserve">Coinbase (2024) </w:t>
      </w:r>
      <w:r w:rsidRPr="00787316">
        <w:rPr>
          <w:i/>
          <w:iCs/>
        </w:rPr>
        <w:t>Coinbase Pro Fee Structure</w:t>
      </w:r>
      <w:r w:rsidRPr="00787316">
        <w:t xml:space="preserve">. Available at: </w:t>
      </w:r>
      <w:hyperlink r:id="rId27" w:history="1">
        <w:r w:rsidR="00907876" w:rsidRPr="00017914">
          <w:rPr>
            <w:rStyle w:val="Hyperlink"/>
          </w:rPr>
          <w:t>https://help.coinbase.com/en/pro/trading-and-funding/trading-rules-and-fees/fees</w:t>
        </w:r>
      </w:hyperlink>
      <w:r w:rsidR="000C6847">
        <w:t xml:space="preserve"> </w:t>
      </w:r>
      <w:r w:rsidR="000C6847" w:rsidRPr="00AC5794">
        <w:t xml:space="preserve">(Accessed: </w:t>
      </w:r>
      <w:r w:rsidR="000C6847">
        <w:t>Aug</w:t>
      </w:r>
      <w:r w:rsidR="00930890">
        <w:t>ust</w:t>
      </w:r>
      <w:r w:rsidR="000C6847">
        <w:t xml:space="preserve"> 21, </w:t>
      </w:r>
      <w:r w:rsidR="000C6847" w:rsidRPr="00AC5794">
        <w:t>2024).</w:t>
      </w:r>
    </w:p>
    <w:p w14:paraId="16EBD375" w14:textId="77777777" w:rsidR="00907876" w:rsidRPr="00787316" w:rsidRDefault="00907876" w:rsidP="0057214E"/>
    <w:p w14:paraId="5E67841F" w14:textId="38F45F4E" w:rsidR="0057214E" w:rsidRDefault="0057214E" w:rsidP="0057214E">
      <w:r w:rsidRPr="00787316">
        <w:t xml:space="preserve">Compound Finance (2019) </w:t>
      </w:r>
      <w:r w:rsidRPr="00787316">
        <w:rPr>
          <w:i/>
          <w:iCs/>
        </w:rPr>
        <w:t>Compound Protocol Whitepaper v2</w:t>
      </w:r>
      <w:r w:rsidRPr="00787316">
        <w:t xml:space="preserve">. Available at: </w:t>
      </w:r>
      <w:hyperlink r:id="rId28" w:history="1">
        <w:r w:rsidR="00907876" w:rsidRPr="00017914">
          <w:rPr>
            <w:rStyle w:val="Hyperlink"/>
          </w:rPr>
          <w:t>https://compound.finance/documents/Compound.Whitepaper.pdf</w:t>
        </w:r>
      </w:hyperlink>
      <w:r w:rsidR="00AC5794">
        <w:t xml:space="preserve"> </w:t>
      </w:r>
      <w:r w:rsidR="00AC5794" w:rsidRPr="00AC5794">
        <w:t xml:space="preserve">(Accessed: </w:t>
      </w:r>
      <w:r w:rsidR="00AC5794">
        <w:t>Jan</w:t>
      </w:r>
      <w:r w:rsidR="0045102A">
        <w:t>uary</w:t>
      </w:r>
      <w:r w:rsidR="00AC5794">
        <w:t xml:space="preserve"> 15, </w:t>
      </w:r>
      <w:r w:rsidR="00AC5794" w:rsidRPr="00AC5794">
        <w:t>2024).</w:t>
      </w:r>
    </w:p>
    <w:p w14:paraId="5429560C" w14:textId="77777777" w:rsidR="00907876" w:rsidRPr="00787316" w:rsidRDefault="00907876" w:rsidP="0057214E"/>
    <w:p w14:paraId="44449318" w14:textId="1C144CDD" w:rsidR="0057214E" w:rsidRDefault="0057214E" w:rsidP="0057214E">
      <w:r w:rsidRPr="00787316">
        <w:t xml:space="preserve">Curve Finance (2020) </w:t>
      </w:r>
      <w:r w:rsidRPr="00787316">
        <w:rPr>
          <w:i/>
          <w:iCs/>
        </w:rPr>
        <w:t xml:space="preserve">Curve </w:t>
      </w:r>
      <w:proofErr w:type="spellStart"/>
      <w:r w:rsidRPr="00787316">
        <w:rPr>
          <w:i/>
          <w:iCs/>
        </w:rPr>
        <w:t>StableSwap</w:t>
      </w:r>
      <w:proofErr w:type="spellEnd"/>
      <w:r w:rsidRPr="00787316">
        <w:rPr>
          <w:i/>
          <w:iCs/>
        </w:rPr>
        <w:t xml:space="preserve"> Whitepaper</w:t>
      </w:r>
      <w:r w:rsidRPr="00787316">
        <w:t xml:space="preserve">. Available at: </w:t>
      </w:r>
      <w:hyperlink r:id="rId29" w:history="1">
        <w:r w:rsidR="00907876" w:rsidRPr="00017914">
          <w:rPr>
            <w:rStyle w:val="Hyperlink"/>
          </w:rPr>
          <w:t>https://curve.fi/files/stableswap-paper.pdf</w:t>
        </w:r>
      </w:hyperlink>
      <w:r w:rsidR="00AC5794">
        <w:t xml:space="preserve"> </w:t>
      </w:r>
      <w:r w:rsidR="00AC5794" w:rsidRPr="00AC5794">
        <w:t>(Accessed: January</w:t>
      </w:r>
      <w:r w:rsidR="0045102A">
        <w:t xml:space="preserve"> 21,</w:t>
      </w:r>
      <w:r w:rsidR="00AC5794" w:rsidRPr="00AC5794">
        <w:t xml:space="preserve"> 2024).</w:t>
      </w:r>
    </w:p>
    <w:p w14:paraId="7A70474E" w14:textId="77777777" w:rsidR="00907876" w:rsidRPr="00787316" w:rsidRDefault="00907876" w:rsidP="0057214E"/>
    <w:p w14:paraId="20A7CB33" w14:textId="240357E6" w:rsidR="00CB6D80" w:rsidRDefault="00CB6D80" w:rsidP="0057214E">
      <w:proofErr w:type="spellStart"/>
      <w:r w:rsidRPr="00CB6D80">
        <w:lastRenderedPageBreak/>
        <w:t>Everstake</w:t>
      </w:r>
      <w:proofErr w:type="spellEnd"/>
      <w:r w:rsidRPr="00CB6D80">
        <w:t xml:space="preserve"> (2023) 'Polygon (MATIC) Staking Rewards: On-Chain Analysis Q2'2023'. Available at: </w:t>
      </w:r>
      <w:hyperlink r:id="rId30" w:history="1">
        <w:r w:rsidRPr="00286FAB">
          <w:rPr>
            <w:rStyle w:val="Hyperlink"/>
          </w:rPr>
          <w:t>https://everstake.one/crypto-reports/polygon-matic-staking-rewards-on-chain-analysis-q2-2023</w:t>
        </w:r>
      </w:hyperlink>
      <w:r>
        <w:t xml:space="preserve"> </w:t>
      </w:r>
      <w:r w:rsidRPr="00CB6D80">
        <w:t>(Accessed: 1 November 2025).</w:t>
      </w:r>
    </w:p>
    <w:p w14:paraId="72BEF4C5" w14:textId="77777777" w:rsidR="00CB6D80" w:rsidRDefault="00CB6D80" w:rsidP="0057214E"/>
    <w:p w14:paraId="15CBE6E6" w14:textId="602B2889" w:rsidR="0057214E" w:rsidRDefault="0057214E" w:rsidP="0057214E">
      <w:r w:rsidRPr="00787316">
        <w:t xml:space="preserve">EOS.IO (2018) </w:t>
      </w:r>
      <w:r w:rsidRPr="00787316">
        <w:rPr>
          <w:i/>
          <w:iCs/>
        </w:rPr>
        <w:t>EOS.IO Technical White Paper v2</w:t>
      </w:r>
      <w:r w:rsidRPr="00787316">
        <w:t xml:space="preserve">. Available at: </w:t>
      </w:r>
      <w:hyperlink r:id="rId31" w:history="1">
        <w:r w:rsidR="00907876" w:rsidRPr="00017914">
          <w:rPr>
            <w:rStyle w:val="Hyperlink"/>
          </w:rPr>
          <w:t>https://github.com/EOSIO/Documentation/blob/master/TechnicalWhitePaper.md</w:t>
        </w:r>
      </w:hyperlink>
      <w:r w:rsidR="00BA58B7">
        <w:t xml:space="preserve"> </w:t>
      </w:r>
      <w:r w:rsidR="00BA58B7" w:rsidRPr="00AC5794">
        <w:t xml:space="preserve">(Accessed: </w:t>
      </w:r>
      <w:r w:rsidR="00BA58B7">
        <w:t>Aug</w:t>
      </w:r>
      <w:r w:rsidR="00930890">
        <w:t>ust</w:t>
      </w:r>
      <w:r w:rsidR="00BA58B7">
        <w:t xml:space="preserve"> 28, </w:t>
      </w:r>
      <w:r w:rsidR="00BA58B7" w:rsidRPr="00AC5794">
        <w:t>202</w:t>
      </w:r>
      <w:r w:rsidR="00BA58B7">
        <w:t>5</w:t>
      </w:r>
      <w:r w:rsidR="00BA58B7" w:rsidRPr="00AC5794">
        <w:t>).</w:t>
      </w:r>
    </w:p>
    <w:p w14:paraId="7FEDB720" w14:textId="77777777" w:rsidR="00907876" w:rsidRPr="00787316" w:rsidRDefault="00907876" w:rsidP="0057214E"/>
    <w:p w14:paraId="678078F5" w14:textId="65B131E0" w:rsidR="00AC5794" w:rsidRPr="00787316" w:rsidRDefault="0057214E" w:rsidP="0057214E">
      <w:r w:rsidRPr="00787316">
        <w:t xml:space="preserve">Harvest Finance (2020) </w:t>
      </w:r>
      <w:r w:rsidRPr="00787316">
        <w:rPr>
          <w:i/>
          <w:iCs/>
        </w:rPr>
        <w:t>Harvest Finance Documentation</w:t>
      </w:r>
      <w:r w:rsidRPr="00787316">
        <w:t xml:space="preserve">. Available at: </w:t>
      </w:r>
      <w:hyperlink r:id="rId32" w:history="1">
        <w:r w:rsidR="00AC5794" w:rsidRPr="00A600B0">
          <w:rPr>
            <w:rStyle w:val="Hyperlink"/>
          </w:rPr>
          <w:t>https://docs.harvest.finance/</w:t>
        </w:r>
      </w:hyperlink>
      <w:r w:rsidR="00AC5794">
        <w:t xml:space="preserve"> </w:t>
      </w:r>
      <w:r w:rsidR="00AC5794" w:rsidRPr="00AC5794">
        <w:t xml:space="preserve">(Accessed: </w:t>
      </w:r>
      <w:r w:rsidR="00AC5794">
        <w:t>Jan</w:t>
      </w:r>
      <w:r w:rsidR="0045102A">
        <w:t>uary</w:t>
      </w:r>
      <w:r w:rsidR="00AC5794">
        <w:t xml:space="preserve"> 17, </w:t>
      </w:r>
      <w:r w:rsidR="00AC5794" w:rsidRPr="00AC5794">
        <w:t>2024).</w:t>
      </w:r>
    </w:p>
    <w:p w14:paraId="625E8D8C" w14:textId="2EE36BF4" w:rsidR="00A16972" w:rsidRDefault="00A16972" w:rsidP="00A16972">
      <w:pPr>
        <w:spacing w:before="100" w:beforeAutospacing="1" w:after="100" w:afterAutospacing="1"/>
        <w:jc w:val="both"/>
      </w:pPr>
      <w:r w:rsidRPr="00DA6454">
        <w:t xml:space="preserve">Lido Finance (2024) Lido Staking Protocol Documentation v2.0. Available at: </w:t>
      </w:r>
      <w:hyperlink r:id="rId33" w:history="1">
        <w:r w:rsidRPr="00D9002A">
          <w:rPr>
            <w:rStyle w:val="Hyperlink"/>
          </w:rPr>
          <w:t>https://docs.lido.fi</w:t>
        </w:r>
      </w:hyperlink>
    </w:p>
    <w:p w14:paraId="7BB3C347" w14:textId="59530E75" w:rsidR="00930890" w:rsidRDefault="0057214E" w:rsidP="0057214E">
      <w:r w:rsidRPr="00787316">
        <w:t xml:space="preserve">Lightning Network (2016) </w:t>
      </w:r>
      <w:r w:rsidRPr="00787316">
        <w:rPr>
          <w:i/>
          <w:iCs/>
        </w:rPr>
        <w:t>The Bitcoin Lightning Network: Scalable off-chain instant payments</w:t>
      </w:r>
      <w:r w:rsidRPr="00787316">
        <w:t xml:space="preserve">. </w:t>
      </w:r>
    </w:p>
    <w:p w14:paraId="3C2791B1" w14:textId="3A577839" w:rsidR="0057214E" w:rsidRDefault="0057214E" w:rsidP="0057214E">
      <w:r w:rsidRPr="00787316">
        <w:t xml:space="preserve">Poon, J. and Dryja, T. Available at: </w:t>
      </w:r>
      <w:hyperlink r:id="rId34" w:history="1">
        <w:r w:rsidR="00907876" w:rsidRPr="00017914">
          <w:rPr>
            <w:rStyle w:val="Hyperlink"/>
          </w:rPr>
          <w:t>https://lightning.network/lightning-network-paper.pdf</w:t>
        </w:r>
      </w:hyperlink>
      <w:r w:rsidR="00BA58B7">
        <w:t xml:space="preserve"> </w:t>
      </w:r>
      <w:r w:rsidR="00BA58B7" w:rsidRPr="00AC5794">
        <w:t xml:space="preserve">(Accessed: </w:t>
      </w:r>
      <w:r w:rsidR="0045102A">
        <w:t>May 7</w:t>
      </w:r>
      <w:r w:rsidR="00BA58B7">
        <w:t xml:space="preserve">, </w:t>
      </w:r>
      <w:r w:rsidR="00BA58B7" w:rsidRPr="00AC5794">
        <w:t>202</w:t>
      </w:r>
      <w:r w:rsidR="00BA58B7">
        <w:t>5</w:t>
      </w:r>
      <w:r w:rsidR="00BA58B7" w:rsidRPr="00AC5794">
        <w:t>).</w:t>
      </w:r>
    </w:p>
    <w:p w14:paraId="57CF6A96" w14:textId="77777777" w:rsidR="00907876" w:rsidRPr="00787316" w:rsidRDefault="00907876" w:rsidP="0057214E"/>
    <w:p w14:paraId="550CF77C" w14:textId="6CA612CD" w:rsidR="0057214E" w:rsidRDefault="0057214E" w:rsidP="0057214E">
      <w:r w:rsidRPr="00787316">
        <w:t xml:space="preserve">Pickle Finance (2020) </w:t>
      </w:r>
      <w:r w:rsidRPr="00787316">
        <w:rPr>
          <w:i/>
          <w:iCs/>
        </w:rPr>
        <w:t>Pickle Finance Documentation: Yield Aggregation Protocol</w:t>
      </w:r>
      <w:r w:rsidRPr="00787316">
        <w:t xml:space="preserve">. Available at: </w:t>
      </w:r>
      <w:hyperlink r:id="rId35" w:history="1">
        <w:r w:rsidR="00907876" w:rsidRPr="00017914">
          <w:rPr>
            <w:rStyle w:val="Hyperlink"/>
          </w:rPr>
          <w:t>https://docs.pickle.finance/</w:t>
        </w:r>
      </w:hyperlink>
      <w:r w:rsidR="00AC5794">
        <w:t xml:space="preserve"> </w:t>
      </w:r>
      <w:r w:rsidR="00AC5794" w:rsidRPr="00AC5794">
        <w:t xml:space="preserve">(Accessed: </w:t>
      </w:r>
      <w:r w:rsidR="00AC5794">
        <w:t>Oct</w:t>
      </w:r>
      <w:r w:rsidR="00BA58B7">
        <w:t>ober</w:t>
      </w:r>
      <w:r w:rsidR="00AC5794">
        <w:t xml:space="preserve"> 2, </w:t>
      </w:r>
      <w:r w:rsidR="00AC5794" w:rsidRPr="00AC5794">
        <w:t>2024).</w:t>
      </w:r>
    </w:p>
    <w:p w14:paraId="46427080" w14:textId="77777777" w:rsidR="00907876" w:rsidRPr="00787316" w:rsidRDefault="00907876" w:rsidP="0057214E"/>
    <w:p w14:paraId="6D7F351F" w14:textId="30C246C1" w:rsidR="0057214E" w:rsidRDefault="0057214E" w:rsidP="0057214E">
      <w:r w:rsidRPr="00787316">
        <w:t xml:space="preserve">Platypus Finance (2021) </w:t>
      </w:r>
      <w:r w:rsidRPr="00787316">
        <w:rPr>
          <w:i/>
          <w:iCs/>
        </w:rPr>
        <w:t xml:space="preserve">Platypus Finance: Single-sided AMM for </w:t>
      </w:r>
      <w:proofErr w:type="gramStart"/>
      <w:r w:rsidRPr="00787316">
        <w:rPr>
          <w:i/>
          <w:iCs/>
        </w:rPr>
        <w:t>stablecoins</w:t>
      </w:r>
      <w:proofErr w:type="gramEnd"/>
      <w:r w:rsidRPr="00787316">
        <w:t xml:space="preserve">. Available at: </w:t>
      </w:r>
      <w:hyperlink r:id="rId36" w:history="1">
        <w:r w:rsidR="00907876" w:rsidRPr="00017914">
          <w:rPr>
            <w:rStyle w:val="Hyperlink"/>
          </w:rPr>
          <w:t>https://docs.platypus.finance/</w:t>
        </w:r>
      </w:hyperlink>
      <w:r w:rsidR="00BA58B7">
        <w:t xml:space="preserve"> </w:t>
      </w:r>
      <w:r w:rsidR="00BA58B7" w:rsidRPr="00AC5794">
        <w:t xml:space="preserve">(Accessed: </w:t>
      </w:r>
      <w:r w:rsidR="00BA58B7">
        <w:t xml:space="preserve">August 28, </w:t>
      </w:r>
      <w:r w:rsidR="00BA58B7" w:rsidRPr="00AC5794">
        <w:t>202</w:t>
      </w:r>
      <w:r w:rsidR="00BA58B7">
        <w:t>5</w:t>
      </w:r>
      <w:r w:rsidR="00BA58B7" w:rsidRPr="00AC5794">
        <w:t>).</w:t>
      </w:r>
    </w:p>
    <w:p w14:paraId="0D942EAB" w14:textId="77777777" w:rsidR="00907876" w:rsidRPr="00787316" w:rsidRDefault="00907876" w:rsidP="0057214E"/>
    <w:p w14:paraId="4425E7BD" w14:textId="23DAAC35" w:rsidR="0057214E" w:rsidRDefault="0057214E" w:rsidP="0057214E">
      <w:proofErr w:type="spellStart"/>
      <w:r w:rsidRPr="00787316">
        <w:t>Polkadot</w:t>
      </w:r>
      <w:proofErr w:type="spellEnd"/>
      <w:r w:rsidRPr="00787316">
        <w:t xml:space="preserve"> (2020) </w:t>
      </w:r>
      <w:proofErr w:type="spellStart"/>
      <w:r w:rsidRPr="00787316">
        <w:rPr>
          <w:i/>
          <w:iCs/>
        </w:rPr>
        <w:t>Polkadot</w:t>
      </w:r>
      <w:proofErr w:type="spellEnd"/>
      <w:r w:rsidRPr="00787316">
        <w:rPr>
          <w:i/>
          <w:iCs/>
        </w:rPr>
        <w:t>: Vision for a heterogeneous multi-chain framework</w:t>
      </w:r>
      <w:r w:rsidRPr="00787316">
        <w:t xml:space="preserve">. Wood, G. Available at: </w:t>
      </w:r>
      <w:hyperlink r:id="rId37" w:history="1">
        <w:r w:rsidR="00907876" w:rsidRPr="00017914">
          <w:rPr>
            <w:rStyle w:val="Hyperlink"/>
          </w:rPr>
          <w:t>https://polkadot.network/PolkaDotPaper.pdf</w:t>
        </w:r>
      </w:hyperlink>
      <w:r w:rsidR="00BA58B7">
        <w:t xml:space="preserve"> </w:t>
      </w:r>
      <w:r w:rsidR="00BA58B7" w:rsidRPr="00AC5794">
        <w:t xml:space="preserve">(Accessed: </w:t>
      </w:r>
      <w:r w:rsidR="00BA58B7">
        <w:t xml:space="preserve">May 3, </w:t>
      </w:r>
      <w:r w:rsidR="00BA58B7" w:rsidRPr="00AC5794">
        <w:t>202</w:t>
      </w:r>
      <w:r w:rsidR="00BA58B7">
        <w:t>5</w:t>
      </w:r>
      <w:r w:rsidR="00BA58B7" w:rsidRPr="00AC5794">
        <w:t>).</w:t>
      </w:r>
    </w:p>
    <w:p w14:paraId="480DFE11" w14:textId="77777777" w:rsidR="00907876" w:rsidRPr="00787316" w:rsidRDefault="00907876" w:rsidP="0057214E"/>
    <w:p w14:paraId="7D3812B3" w14:textId="62CCB21D" w:rsidR="0057214E" w:rsidRDefault="0057214E" w:rsidP="0057214E">
      <w:r w:rsidRPr="00787316">
        <w:t xml:space="preserve">Polygon (2020) </w:t>
      </w:r>
      <w:r w:rsidRPr="00787316">
        <w:rPr>
          <w:i/>
          <w:iCs/>
        </w:rPr>
        <w:t>Polygon Whitepaper: Ethereum's Internet of Blockchains</w:t>
      </w:r>
      <w:r w:rsidRPr="00787316">
        <w:t xml:space="preserve">. Available at: </w:t>
      </w:r>
      <w:hyperlink r:id="rId38" w:history="1">
        <w:r w:rsidR="00907876" w:rsidRPr="00017914">
          <w:rPr>
            <w:rStyle w:val="Hyperlink"/>
          </w:rPr>
          <w:t>https://polygon.technology/papers/pol-whitepaper</w:t>
        </w:r>
      </w:hyperlink>
      <w:r w:rsidR="00BA58B7">
        <w:t xml:space="preserve"> </w:t>
      </w:r>
      <w:r w:rsidR="00BA58B7" w:rsidRPr="00AC5794">
        <w:t xml:space="preserve">(Accessed: </w:t>
      </w:r>
      <w:r w:rsidR="00BA58B7">
        <w:t xml:space="preserve">December 27, </w:t>
      </w:r>
      <w:r w:rsidR="00BA58B7" w:rsidRPr="00AC5794">
        <w:t>2024).</w:t>
      </w:r>
    </w:p>
    <w:p w14:paraId="264E9FD9" w14:textId="77777777" w:rsidR="00585F38" w:rsidRDefault="00585F38" w:rsidP="0057214E"/>
    <w:p w14:paraId="6B326372" w14:textId="1480A535" w:rsidR="0057214E" w:rsidRDefault="0057214E" w:rsidP="0057214E">
      <w:r w:rsidRPr="00787316">
        <w:t xml:space="preserve">Rev.com (2024) </w:t>
      </w:r>
      <w:r w:rsidRPr="00787316">
        <w:rPr>
          <w:i/>
          <w:iCs/>
        </w:rPr>
        <w:t>Rev Transcription Services</w:t>
      </w:r>
      <w:r w:rsidRPr="00787316">
        <w:t xml:space="preserve">. Available at: </w:t>
      </w:r>
      <w:hyperlink r:id="rId39" w:history="1">
        <w:r w:rsidR="000C6847" w:rsidRPr="00A600B0">
          <w:rPr>
            <w:rStyle w:val="Hyperlink"/>
          </w:rPr>
          <w:t>https://www.rev.com/</w:t>
        </w:r>
      </w:hyperlink>
      <w:r w:rsidR="00BA58B7">
        <w:t xml:space="preserve"> </w:t>
      </w:r>
      <w:r w:rsidR="00BA58B7" w:rsidRPr="00AC5794">
        <w:t xml:space="preserve">(Accessed: </w:t>
      </w:r>
      <w:r w:rsidR="00BA58B7">
        <w:t xml:space="preserve">October 18, </w:t>
      </w:r>
      <w:r w:rsidR="00BA58B7" w:rsidRPr="00AC5794">
        <w:t>2024).</w:t>
      </w:r>
    </w:p>
    <w:p w14:paraId="3DE96010" w14:textId="77777777" w:rsidR="000C6847" w:rsidRPr="00787316" w:rsidRDefault="000C6847" w:rsidP="0057214E"/>
    <w:p w14:paraId="071E0786" w14:textId="006FA9FB" w:rsidR="0057214E" w:rsidRDefault="0057214E" w:rsidP="0057214E">
      <w:r w:rsidRPr="00787316">
        <w:t xml:space="preserve">Ronin Network (2021) </w:t>
      </w:r>
      <w:r w:rsidRPr="00787316">
        <w:rPr>
          <w:i/>
          <w:iCs/>
        </w:rPr>
        <w:t>Ronin: Ethereum sidechain for Axie Infinity</w:t>
      </w:r>
      <w:r w:rsidRPr="00787316">
        <w:t xml:space="preserve">. Sky Mavis. Available at: </w:t>
      </w:r>
      <w:hyperlink r:id="rId40" w:history="1">
        <w:r w:rsidR="00907876" w:rsidRPr="00017914">
          <w:rPr>
            <w:rStyle w:val="Hyperlink"/>
          </w:rPr>
          <w:t>https://docs.roninchain.com/</w:t>
        </w:r>
      </w:hyperlink>
      <w:r w:rsidR="00AC5794">
        <w:t xml:space="preserve"> </w:t>
      </w:r>
      <w:r w:rsidR="00AC5794" w:rsidRPr="00AC5794">
        <w:t xml:space="preserve">(Accessed: </w:t>
      </w:r>
      <w:r w:rsidR="00AC5794">
        <w:t>Oct</w:t>
      </w:r>
      <w:r w:rsidR="00BA58B7">
        <w:t>ober 18</w:t>
      </w:r>
      <w:r w:rsidR="00AC5794">
        <w:t xml:space="preserve">, </w:t>
      </w:r>
      <w:r w:rsidR="00AC5794" w:rsidRPr="00AC5794">
        <w:t>2024).</w:t>
      </w:r>
    </w:p>
    <w:p w14:paraId="641DE6D0" w14:textId="77777777" w:rsidR="00907876" w:rsidRPr="00787316" w:rsidRDefault="00907876" w:rsidP="0057214E"/>
    <w:p w14:paraId="261363F1" w14:textId="2C8477F4" w:rsidR="0057214E" w:rsidRDefault="0057214E" w:rsidP="0057214E">
      <w:r w:rsidRPr="00787316">
        <w:t xml:space="preserve">Solana (2020) </w:t>
      </w:r>
      <w:r w:rsidRPr="00787316">
        <w:rPr>
          <w:i/>
          <w:iCs/>
        </w:rPr>
        <w:t>Solana: A new architecture for a high performance blockchain</w:t>
      </w:r>
      <w:r w:rsidRPr="00787316">
        <w:t xml:space="preserve">. Yakovenko, A. Available at: </w:t>
      </w:r>
      <w:hyperlink r:id="rId41" w:history="1">
        <w:r w:rsidR="00907876" w:rsidRPr="00017914">
          <w:rPr>
            <w:rStyle w:val="Hyperlink"/>
          </w:rPr>
          <w:t>https://solana.com/solana-whitepaper.pdf</w:t>
        </w:r>
      </w:hyperlink>
      <w:r w:rsidR="00AC5794">
        <w:t xml:space="preserve"> </w:t>
      </w:r>
      <w:r w:rsidR="00AC5794" w:rsidRPr="00AC5794">
        <w:t xml:space="preserve">(Accessed: </w:t>
      </w:r>
      <w:r w:rsidR="00AC5794">
        <w:t>Oc</w:t>
      </w:r>
      <w:r w:rsidR="00BA58B7">
        <w:t>tober</w:t>
      </w:r>
      <w:r w:rsidR="00AC5794">
        <w:t xml:space="preserve"> 2, </w:t>
      </w:r>
      <w:r w:rsidR="00AC5794" w:rsidRPr="00AC5794">
        <w:t>2024).</w:t>
      </w:r>
    </w:p>
    <w:p w14:paraId="61410F44" w14:textId="77777777" w:rsidR="00907876" w:rsidRPr="00787316" w:rsidRDefault="00907876" w:rsidP="0057214E"/>
    <w:p w14:paraId="50EDDA3C" w14:textId="0D88FF16" w:rsidR="0057214E" w:rsidRDefault="0057214E" w:rsidP="0057214E">
      <w:proofErr w:type="spellStart"/>
      <w:r w:rsidRPr="00787316">
        <w:t>SushiSwap</w:t>
      </w:r>
      <w:proofErr w:type="spellEnd"/>
      <w:r w:rsidRPr="00787316">
        <w:t xml:space="preserve"> (2020) </w:t>
      </w:r>
      <w:proofErr w:type="spellStart"/>
      <w:r w:rsidRPr="00787316">
        <w:rPr>
          <w:i/>
          <w:iCs/>
        </w:rPr>
        <w:t>SushiSwap</w:t>
      </w:r>
      <w:proofErr w:type="spellEnd"/>
      <w:r w:rsidRPr="00787316">
        <w:rPr>
          <w:i/>
          <w:iCs/>
        </w:rPr>
        <w:t xml:space="preserve"> Protocol Documentation</w:t>
      </w:r>
      <w:r w:rsidRPr="00787316">
        <w:t xml:space="preserve">. Available at: </w:t>
      </w:r>
      <w:hyperlink r:id="rId42" w:history="1">
        <w:r w:rsidR="00907876" w:rsidRPr="00017914">
          <w:rPr>
            <w:rStyle w:val="Hyperlink"/>
          </w:rPr>
          <w:t>https://docs.sushi.com/</w:t>
        </w:r>
      </w:hyperlink>
      <w:r w:rsidR="00BA58B7">
        <w:t xml:space="preserve"> </w:t>
      </w:r>
      <w:r w:rsidR="00BA58B7" w:rsidRPr="00AC5794">
        <w:t xml:space="preserve">(Accessed: </w:t>
      </w:r>
      <w:r w:rsidR="00BA58B7">
        <w:t xml:space="preserve">May 6, </w:t>
      </w:r>
      <w:r w:rsidR="00BA58B7" w:rsidRPr="00AC5794">
        <w:t>202</w:t>
      </w:r>
      <w:r w:rsidR="00BA58B7">
        <w:t>5</w:t>
      </w:r>
      <w:r w:rsidR="00BA58B7" w:rsidRPr="00AC5794">
        <w:t>).</w:t>
      </w:r>
    </w:p>
    <w:p w14:paraId="45F00258" w14:textId="77777777" w:rsidR="00907876" w:rsidRDefault="00907876" w:rsidP="0057214E"/>
    <w:p w14:paraId="432CFFE8" w14:textId="3F87E4F2" w:rsidR="00907876" w:rsidRDefault="0057214E" w:rsidP="0057214E">
      <w:r w:rsidRPr="00787316">
        <w:t xml:space="preserve">Terra (2019) </w:t>
      </w:r>
      <w:r w:rsidRPr="00787316">
        <w:rPr>
          <w:i/>
          <w:iCs/>
        </w:rPr>
        <w:t>Terra Money: Stability and adoption</w:t>
      </w:r>
      <w:r w:rsidRPr="00787316">
        <w:t xml:space="preserve">. Kwon, D. Available at: </w:t>
      </w:r>
      <w:hyperlink r:id="rId43" w:history="1">
        <w:r w:rsidR="00907876" w:rsidRPr="00017914">
          <w:rPr>
            <w:rStyle w:val="Hyperlink"/>
          </w:rPr>
          <w:t>https://assets.website-files.com/611153e7af981472d8da199c/618b02d13e938ae1f8ad1e45_Terra_White_paper.pdf</w:t>
        </w:r>
      </w:hyperlink>
      <w:r w:rsidR="00BA58B7">
        <w:t xml:space="preserve"> </w:t>
      </w:r>
      <w:r w:rsidR="00BA58B7" w:rsidRPr="00AC5794">
        <w:t xml:space="preserve">(Accessed: </w:t>
      </w:r>
      <w:r w:rsidR="00BA58B7">
        <w:t xml:space="preserve">April 18, </w:t>
      </w:r>
      <w:r w:rsidR="00BA58B7" w:rsidRPr="00AC5794">
        <w:t>202</w:t>
      </w:r>
      <w:r w:rsidR="00BA58B7">
        <w:t>5</w:t>
      </w:r>
      <w:r w:rsidR="00BA58B7" w:rsidRPr="00AC5794">
        <w:t>).</w:t>
      </w:r>
    </w:p>
    <w:p w14:paraId="0940A6AA" w14:textId="77777777" w:rsidR="00907876" w:rsidRDefault="00907876" w:rsidP="0057214E"/>
    <w:p w14:paraId="7A345B1C" w14:textId="30F7C670" w:rsidR="00907876" w:rsidRDefault="0057214E" w:rsidP="0057214E">
      <w:r w:rsidRPr="00787316">
        <w:t xml:space="preserve">Tron Foundation (2018) </w:t>
      </w:r>
      <w:r w:rsidRPr="00787316">
        <w:rPr>
          <w:i/>
          <w:iCs/>
        </w:rPr>
        <w:t>TRON: Advanced decentralized blockchain platform</w:t>
      </w:r>
      <w:r w:rsidRPr="00787316">
        <w:t xml:space="preserve">. Available at: </w:t>
      </w:r>
      <w:hyperlink r:id="rId44" w:history="1">
        <w:r w:rsidR="00907876" w:rsidRPr="00017914">
          <w:rPr>
            <w:rStyle w:val="Hyperlink"/>
          </w:rPr>
          <w:t>https://tron.network/static/doc/white_paper_v_2_0.pdf</w:t>
        </w:r>
      </w:hyperlink>
      <w:r w:rsidR="00AC5794">
        <w:t xml:space="preserve"> </w:t>
      </w:r>
      <w:r w:rsidR="00AC5794" w:rsidRPr="00AC5794">
        <w:t xml:space="preserve">(Accessed: </w:t>
      </w:r>
      <w:r w:rsidR="00AC5794">
        <w:t>Jan</w:t>
      </w:r>
      <w:r w:rsidR="00BA58B7">
        <w:t>uary</w:t>
      </w:r>
      <w:r w:rsidR="00AC5794">
        <w:t xml:space="preserve"> </w:t>
      </w:r>
      <w:r w:rsidR="00BA58B7">
        <w:t>6</w:t>
      </w:r>
      <w:r w:rsidR="00AC5794">
        <w:t xml:space="preserve">, </w:t>
      </w:r>
      <w:r w:rsidR="00AC5794" w:rsidRPr="00AC5794">
        <w:t>2024).</w:t>
      </w:r>
    </w:p>
    <w:p w14:paraId="602AD4D2" w14:textId="77777777" w:rsidR="00942063" w:rsidRDefault="00942063" w:rsidP="0057214E"/>
    <w:p w14:paraId="0F8C648A" w14:textId="6F08AC24" w:rsidR="00942063" w:rsidRDefault="00942063" w:rsidP="00942063">
      <w:pPr>
        <w:spacing w:before="100" w:beforeAutospacing="1" w:after="100" w:afterAutospacing="1"/>
        <w:jc w:val="both"/>
      </w:pPr>
      <w:r w:rsidRPr="00DA6454">
        <w:lastRenderedPageBreak/>
        <w:t xml:space="preserve">Uniswap Analytics (2023) Liquidity Distribution Across Networks. Retrieved from </w:t>
      </w:r>
      <w:hyperlink r:id="rId45" w:history="1">
        <w:r w:rsidRPr="00D9002A">
          <w:rPr>
            <w:rStyle w:val="Hyperlink"/>
          </w:rPr>
          <w:t>https://info.uniswap.org</w:t>
        </w:r>
      </w:hyperlink>
    </w:p>
    <w:p w14:paraId="2CBD7911" w14:textId="77777777" w:rsidR="00942063" w:rsidRPr="00DA6454" w:rsidRDefault="00942063" w:rsidP="00942063">
      <w:pPr>
        <w:spacing w:before="100" w:beforeAutospacing="1" w:after="100" w:afterAutospacing="1"/>
        <w:jc w:val="both"/>
      </w:pPr>
    </w:p>
    <w:p w14:paraId="5B05FB73" w14:textId="77777777" w:rsidR="00942063" w:rsidRDefault="00942063" w:rsidP="0057214E"/>
    <w:sectPr w:rsidR="00942063" w:rsidSect="00123B4F">
      <w:pgSz w:w="12240" w:h="15840"/>
      <w:pgMar w:top="990" w:right="1440" w:bottom="1440" w:left="1440" w:header="720" w:footer="720" w:gutter="0"/>
      <w:cols w:space="720"/>
      <w:docGrid w:linePitch="600" w:charSpace="36864"/>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mes Punch" w:date="2025-11-29T00:47:00Z" w:initials="JP">
    <w:p w14:paraId="60D92AC9" w14:textId="77777777" w:rsidR="00363BF5" w:rsidRDefault="00363BF5" w:rsidP="00363BF5">
      <w:pPr>
        <w:pStyle w:val="CommentText"/>
      </w:pPr>
      <w:r>
        <w:rPr>
          <w:rStyle w:val="CommentReference"/>
        </w:rPr>
        <w:annotationRef/>
      </w:r>
      <w:r>
        <w:t>Hi Dasha,</w:t>
      </w:r>
    </w:p>
    <w:p w14:paraId="064B5CE1" w14:textId="77777777" w:rsidR="00363BF5" w:rsidRDefault="00363BF5" w:rsidP="00363BF5">
      <w:pPr>
        <w:pStyle w:val="CommentText"/>
      </w:pPr>
      <w:r>
        <w:t>Thank you so much for sending this to me. I am incredibly impressed with your work ethic, commitment, positivity, and quality. Overall, this dissertation is an outstanding contribution to the academic study of DeFi and financial democratization. It combines rigorous empirical analysis with original theoretical insight and practical relevance. You demonstrate mastery of both the technical and social dimensions of the field. I am particularly impressed with the originality of your dissertation and large-scale empirical work that you have done. Theoretical frameworks are nuanced, the recommendations are practical and actionable, and you have been transparent with the limitations of your study, findings, and recommendations. I truly believe that this is ready to submit as there is nothing more I can realistically recommend. Well done, you should be very proud.</w:t>
      </w:r>
    </w:p>
    <w:p w14:paraId="1436E0E2" w14:textId="77777777" w:rsidR="00363BF5" w:rsidRDefault="00363BF5" w:rsidP="00363BF5">
      <w:pPr>
        <w:pStyle w:val="CommentText"/>
      </w:pPr>
    </w:p>
    <w:p w14:paraId="185DF9F9" w14:textId="77777777" w:rsidR="00363BF5" w:rsidRDefault="00363BF5" w:rsidP="00363BF5">
      <w:pPr>
        <w:pStyle w:val="CommentText"/>
      </w:pPr>
    </w:p>
    <w:p w14:paraId="684B7DF3" w14:textId="77777777" w:rsidR="00363BF5" w:rsidRDefault="00363BF5" w:rsidP="00363BF5">
      <w:pPr>
        <w:pStyle w:val="CommentText"/>
      </w:pPr>
      <w:r>
        <w:rPr>
          <w:b/>
          <w:bCs/>
        </w:rPr>
        <w:t>General Overview.</w:t>
      </w:r>
    </w:p>
    <w:p w14:paraId="332BD1D5" w14:textId="77777777" w:rsidR="00363BF5" w:rsidRDefault="00363BF5" w:rsidP="00363BF5">
      <w:pPr>
        <w:pStyle w:val="CommentText"/>
      </w:pPr>
      <w:r>
        <w:rPr>
          <w:b/>
          <w:bCs/>
        </w:rPr>
        <w:t>Strengths:</w:t>
      </w:r>
    </w:p>
    <w:p w14:paraId="331DAA34" w14:textId="77777777" w:rsidR="00363BF5" w:rsidRDefault="00363BF5" w:rsidP="00363BF5">
      <w:pPr>
        <w:pStyle w:val="CommentText"/>
      </w:pPr>
      <w:r>
        <w:t>The dissertation is exceptionally comprehensive, covering both theoretical and empirical aspects of DeFi as a passive income mechanism.</w:t>
      </w:r>
    </w:p>
    <w:p w14:paraId="14174DDB" w14:textId="77777777" w:rsidR="00363BF5" w:rsidRDefault="00363BF5" w:rsidP="00363BF5">
      <w:pPr>
        <w:pStyle w:val="CommentText"/>
      </w:pPr>
      <w:r>
        <w:t>The structure is logical and follows academic conventions, with clear research questions, objectives, and a robust mixed-methods approach.</w:t>
      </w:r>
    </w:p>
    <w:p w14:paraId="5D12908A" w14:textId="77777777" w:rsidR="00363BF5" w:rsidRDefault="00363BF5" w:rsidP="00363BF5">
      <w:pPr>
        <w:pStyle w:val="CommentText"/>
      </w:pPr>
      <w:r>
        <w:t>The work is highly original, especially in its empirical tracking of 156 positions and 3.27 million transactions, and in its nuanced critique of the “democratization” narrative in DeFi.</w:t>
      </w:r>
    </w:p>
    <w:p w14:paraId="2C3FF100" w14:textId="77777777" w:rsidR="00363BF5" w:rsidRDefault="00363BF5" w:rsidP="00363BF5">
      <w:pPr>
        <w:pStyle w:val="CommentText"/>
      </w:pPr>
      <w:r>
        <w:t>The candidate demonstrates deep familiarity with both the technical and behavioural aspects of DeFi, and the writing is generally clear, precise, and well-referenced.</w:t>
      </w:r>
    </w:p>
    <w:p w14:paraId="2C0D51F0" w14:textId="77777777" w:rsidR="00363BF5" w:rsidRDefault="00363BF5" w:rsidP="00363BF5">
      <w:pPr>
        <w:pStyle w:val="CommentText"/>
      </w:pPr>
    </w:p>
    <w:p w14:paraId="160D1BDD" w14:textId="77777777" w:rsidR="00363BF5" w:rsidRDefault="00363BF5" w:rsidP="00363BF5">
      <w:pPr>
        <w:pStyle w:val="CommentText"/>
      </w:pPr>
      <w:r>
        <w:rPr>
          <w:b/>
          <w:bCs/>
          <w:color w:val="444746"/>
        </w:rPr>
        <w:t>Areas for Consideration:</w:t>
      </w:r>
      <w:r>
        <w:rPr>
          <w:color w:val="444746"/>
        </w:rPr>
        <w:br/>
      </w:r>
      <w:r>
        <w:t>None, you have actioned everything that I have recommended previously.</w:t>
      </w:r>
    </w:p>
    <w:p w14:paraId="0FF29F31" w14:textId="77777777" w:rsidR="00363BF5" w:rsidRDefault="00363BF5" w:rsidP="00363BF5">
      <w:pPr>
        <w:pStyle w:val="CommentText"/>
      </w:pPr>
    </w:p>
    <w:p w14:paraId="69D1CD3A" w14:textId="77777777" w:rsidR="00363BF5" w:rsidRDefault="00363BF5" w:rsidP="00363BF5">
      <w:pPr>
        <w:pStyle w:val="CommentText"/>
      </w:pPr>
      <w:r>
        <w:rPr>
          <w:b/>
          <w:bCs/>
        </w:rPr>
        <w:t>Title, Abstract, and Introduction.</w:t>
      </w:r>
    </w:p>
    <w:p w14:paraId="30BB0D47" w14:textId="77777777" w:rsidR="00363BF5" w:rsidRDefault="00363BF5" w:rsidP="00363BF5">
      <w:pPr>
        <w:pStyle w:val="CommentText"/>
      </w:pPr>
      <w:r>
        <w:rPr>
          <w:b/>
          <w:bCs/>
        </w:rPr>
        <w:t>Strengths:</w:t>
      </w:r>
    </w:p>
    <w:p w14:paraId="12F92327" w14:textId="77777777" w:rsidR="00363BF5" w:rsidRDefault="00363BF5" w:rsidP="00363BF5">
      <w:pPr>
        <w:pStyle w:val="CommentText"/>
      </w:pPr>
      <w:r>
        <w:t>The title is clear and accurately reflects the research focus.</w:t>
      </w:r>
    </w:p>
    <w:p w14:paraId="7AC65825" w14:textId="77777777" w:rsidR="00363BF5" w:rsidRDefault="00363BF5" w:rsidP="00363BF5">
      <w:pPr>
        <w:pStyle w:val="CommentText"/>
      </w:pPr>
      <w:r>
        <w:t>The abstract succinctly summarizes the research questions, methodology, and key findings, including the critical insight that most DeFi “passive income” strategies are not profitable for the majority of participants.</w:t>
      </w:r>
    </w:p>
    <w:p w14:paraId="26308080" w14:textId="77777777" w:rsidR="00363BF5" w:rsidRDefault="00363BF5" w:rsidP="00363BF5">
      <w:pPr>
        <w:pStyle w:val="CommentText"/>
      </w:pPr>
      <w:r>
        <w:t>The introduction is well-written, situating the research within the broader context of financial democratization and the paradoxes of DeFi.</w:t>
      </w:r>
    </w:p>
    <w:p w14:paraId="2DBE681F" w14:textId="77777777" w:rsidR="00363BF5" w:rsidRDefault="00363BF5" w:rsidP="00363BF5">
      <w:pPr>
        <w:pStyle w:val="CommentText"/>
      </w:pPr>
      <w:r>
        <w:rPr>
          <w:color w:val="444746"/>
        </w:rPr>
        <w:t>Clearly frames the research problem and the “democratization paradox.</w:t>
      </w:r>
    </w:p>
    <w:p w14:paraId="7CAD3AE2" w14:textId="77777777" w:rsidR="00363BF5" w:rsidRDefault="00363BF5" w:rsidP="00363BF5">
      <w:pPr>
        <w:pStyle w:val="CommentText"/>
      </w:pPr>
      <w:r>
        <w:rPr>
          <w:color w:val="444746"/>
        </w:rPr>
        <w:t>Provides a thorough overview of empirical findings and key thresholds.</w:t>
      </w:r>
      <w:r>
        <w:rPr>
          <w:color w:val="444746"/>
        </w:rPr>
        <w:br/>
        <w:t>Research questions and objectives are well articulated and logically sequenced.</w:t>
      </w:r>
      <w:r>
        <w:rPr>
          <w:color w:val="444746"/>
        </w:rPr>
        <w:br/>
        <w:t>The “plain language” explanations and reconciliation tables are excellent for accessibility.</w:t>
      </w:r>
      <w:r>
        <w:t xml:space="preserve"> </w:t>
      </w:r>
    </w:p>
    <w:p w14:paraId="1CB8F733" w14:textId="77777777" w:rsidR="00363BF5" w:rsidRDefault="00363BF5" w:rsidP="00363BF5">
      <w:pPr>
        <w:pStyle w:val="CommentText"/>
      </w:pPr>
    </w:p>
    <w:p w14:paraId="7EF0262E" w14:textId="77777777" w:rsidR="00363BF5" w:rsidRDefault="00363BF5" w:rsidP="00363BF5">
      <w:pPr>
        <w:pStyle w:val="CommentText"/>
      </w:pPr>
      <w:r>
        <w:rPr>
          <w:b/>
          <w:bCs/>
          <w:color w:val="444746"/>
        </w:rPr>
        <w:t>Areas for Consideration:</w:t>
      </w:r>
      <w:r>
        <w:rPr>
          <w:color w:val="444746"/>
        </w:rPr>
        <w:br/>
      </w:r>
      <w:r>
        <w:t>None, you have actioned everything that I have recommended previously.</w:t>
      </w:r>
    </w:p>
    <w:p w14:paraId="5DF5BDED" w14:textId="77777777" w:rsidR="00363BF5" w:rsidRDefault="00363BF5" w:rsidP="00363BF5">
      <w:pPr>
        <w:pStyle w:val="CommentText"/>
      </w:pPr>
    </w:p>
    <w:p w14:paraId="378419D2" w14:textId="77777777" w:rsidR="00363BF5" w:rsidRDefault="00363BF5" w:rsidP="00363BF5">
      <w:pPr>
        <w:pStyle w:val="CommentText"/>
      </w:pPr>
      <w:r>
        <w:rPr>
          <w:b/>
          <w:bCs/>
        </w:rPr>
        <w:t>Literature Review.</w:t>
      </w:r>
    </w:p>
    <w:p w14:paraId="61DF5644" w14:textId="77777777" w:rsidR="00363BF5" w:rsidRDefault="00363BF5" w:rsidP="00363BF5">
      <w:pPr>
        <w:pStyle w:val="CommentText"/>
      </w:pPr>
      <w:r>
        <w:rPr>
          <w:b/>
          <w:bCs/>
        </w:rPr>
        <w:t>Strengths:</w:t>
      </w:r>
    </w:p>
    <w:p w14:paraId="4FFD6BC2" w14:textId="77777777" w:rsidR="00363BF5" w:rsidRDefault="00363BF5" w:rsidP="00363BF5">
      <w:pPr>
        <w:pStyle w:val="CommentText"/>
      </w:pPr>
      <w:r>
        <w:t xml:space="preserve">The literature review is </w:t>
      </w:r>
      <w:r>
        <w:rPr>
          <w:color w:val="444746"/>
        </w:rPr>
        <w:t>exceptionally comprehensive</w:t>
      </w:r>
      <w:r>
        <w:t>, covering theoretical foundations (financial intermediation, DeFi architecture), empirical studies, behavioural finance, and regulatory context.</w:t>
      </w:r>
    </w:p>
    <w:p w14:paraId="481BD162" w14:textId="77777777" w:rsidR="00363BF5" w:rsidRDefault="00363BF5" w:rsidP="00363BF5">
      <w:pPr>
        <w:pStyle w:val="CommentText"/>
      </w:pPr>
      <w:r>
        <w:t>The identification of literature gaps is systematic and directly mapped to the research questions.</w:t>
      </w:r>
    </w:p>
    <w:p w14:paraId="6E3C899F" w14:textId="77777777" w:rsidR="00363BF5" w:rsidRDefault="00363BF5" w:rsidP="00363BF5">
      <w:pPr>
        <w:pStyle w:val="CommentText"/>
      </w:pPr>
      <w:r>
        <w:t>The review is up-to-date, referencing recent studies (2022–2025) and integrating both academic and industry sources.</w:t>
      </w:r>
    </w:p>
    <w:p w14:paraId="23787D9E" w14:textId="77777777" w:rsidR="00363BF5" w:rsidRDefault="00363BF5" w:rsidP="00363BF5">
      <w:pPr>
        <w:pStyle w:val="CommentText"/>
      </w:pPr>
      <w:r>
        <w:rPr>
          <w:color w:val="444746"/>
        </w:rPr>
        <w:t>The “Mapping Literature Gaps” table is a strong feature.</w:t>
      </w:r>
      <w:r>
        <w:t xml:space="preserve"> </w:t>
      </w:r>
    </w:p>
    <w:p w14:paraId="6077DCC1" w14:textId="77777777" w:rsidR="00363BF5" w:rsidRDefault="00363BF5" w:rsidP="00363BF5">
      <w:pPr>
        <w:pStyle w:val="CommentText"/>
      </w:pPr>
      <w:r>
        <w:t>You have provided clear and concise definitions and rationale for the theoretical frameworks.</w:t>
      </w:r>
    </w:p>
    <w:p w14:paraId="715CC774" w14:textId="77777777" w:rsidR="00363BF5" w:rsidRDefault="00363BF5" w:rsidP="00363BF5">
      <w:pPr>
        <w:pStyle w:val="CommentText"/>
      </w:pPr>
    </w:p>
    <w:p w14:paraId="0F5CAA33" w14:textId="77777777" w:rsidR="00363BF5" w:rsidRDefault="00363BF5" w:rsidP="00363BF5">
      <w:pPr>
        <w:pStyle w:val="CommentText"/>
      </w:pPr>
      <w:r>
        <w:rPr>
          <w:b/>
          <w:bCs/>
          <w:color w:val="444746"/>
        </w:rPr>
        <w:t>Areas for Consideration:</w:t>
      </w:r>
      <w:r>
        <w:rPr>
          <w:color w:val="444746"/>
        </w:rPr>
        <w:br/>
      </w:r>
      <w:r>
        <w:t>None, you have actioned everything that I have recommended previously.</w:t>
      </w:r>
    </w:p>
    <w:p w14:paraId="70FA2025" w14:textId="77777777" w:rsidR="00363BF5" w:rsidRDefault="00363BF5" w:rsidP="00363BF5">
      <w:pPr>
        <w:pStyle w:val="CommentText"/>
      </w:pPr>
    </w:p>
    <w:p w14:paraId="46B01F6E" w14:textId="77777777" w:rsidR="00363BF5" w:rsidRDefault="00363BF5" w:rsidP="00363BF5">
      <w:pPr>
        <w:pStyle w:val="CommentText"/>
      </w:pPr>
      <w:r>
        <w:rPr>
          <w:b/>
          <w:bCs/>
          <w:color w:val="444746"/>
        </w:rPr>
        <w:t>Empirical Evidence on Cryptocurrency Income Mechanisms.</w:t>
      </w:r>
      <w:r>
        <w:rPr>
          <w:b/>
          <w:bCs/>
          <w:color w:val="444746"/>
        </w:rPr>
        <w:br/>
        <w:t>Strengths:</w:t>
      </w:r>
      <w:r>
        <w:rPr>
          <w:b/>
          <w:bCs/>
          <w:color w:val="444746"/>
        </w:rPr>
        <w:br/>
      </w:r>
      <w:r>
        <w:rPr>
          <w:color w:val="444746"/>
        </w:rPr>
        <w:t>The comparative table of mechanisms is highly informative and practical.</w:t>
      </w:r>
      <w:r>
        <w:rPr>
          <w:color w:val="444746"/>
        </w:rPr>
        <w:br/>
        <w:t>The “Resource-Mechanism Matching Framework” is a valuable tool for readers.</w:t>
      </w:r>
      <w:r>
        <w:rPr>
          <w:color w:val="444746"/>
        </w:rPr>
        <w:br/>
        <w:t>Clear, evidence-based debunking of common DeFi myths.</w:t>
      </w:r>
    </w:p>
    <w:p w14:paraId="6DB29FB1" w14:textId="77777777" w:rsidR="00363BF5" w:rsidRDefault="00363BF5" w:rsidP="00363BF5">
      <w:pPr>
        <w:pStyle w:val="CommentText"/>
      </w:pPr>
      <w:r>
        <w:rPr>
          <w:color w:val="444746"/>
        </w:rPr>
        <w:t>Great use of visual aids to display and present data.</w:t>
      </w:r>
      <w:r>
        <w:rPr>
          <w:color w:val="444746"/>
        </w:rPr>
        <w:br/>
      </w:r>
      <w:r>
        <w:rPr>
          <w:color w:val="444746"/>
        </w:rPr>
        <w:br/>
      </w:r>
      <w:r>
        <w:rPr>
          <w:b/>
          <w:bCs/>
          <w:color w:val="444746"/>
        </w:rPr>
        <w:t>Areas for Consideration:</w:t>
      </w:r>
      <w:r>
        <w:rPr>
          <w:color w:val="444746"/>
        </w:rPr>
        <w:br/>
      </w:r>
      <w:r>
        <w:t>None, you have actioned everything that I have recommended previously.</w:t>
      </w:r>
    </w:p>
    <w:p w14:paraId="78A5363E" w14:textId="77777777" w:rsidR="00363BF5" w:rsidRDefault="00363BF5" w:rsidP="00363BF5">
      <w:pPr>
        <w:pStyle w:val="CommentText"/>
      </w:pPr>
    </w:p>
    <w:p w14:paraId="751EECEB" w14:textId="77777777" w:rsidR="00363BF5" w:rsidRDefault="00363BF5" w:rsidP="00363BF5">
      <w:pPr>
        <w:pStyle w:val="CommentText"/>
      </w:pPr>
      <w:r>
        <w:rPr>
          <w:b/>
          <w:bCs/>
        </w:rPr>
        <w:t>Methodology.</w:t>
      </w:r>
    </w:p>
    <w:p w14:paraId="3E73F213" w14:textId="77777777" w:rsidR="00363BF5" w:rsidRDefault="00363BF5" w:rsidP="00363BF5">
      <w:pPr>
        <w:pStyle w:val="CommentText"/>
      </w:pPr>
      <w:r>
        <w:rPr>
          <w:b/>
          <w:bCs/>
        </w:rPr>
        <w:t>Strengths:</w:t>
      </w:r>
    </w:p>
    <w:p w14:paraId="011AA2BD" w14:textId="77777777" w:rsidR="00363BF5" w:rsidRDefault="00363BF5" w:rsidP="00363BF5">
      <w:pPr>
        <w:pStyle w:val="CommentText"/>
      </w:pPr>
      <w:r>
        <w:t>The mixed-methods approach is robust and well-justified, combining quantitative transaction analysis, position tracking, interviews, and simulation.</w:t>
      </w:r>
    </w:p>
    <w:p w14:paraId="75E1EC59" w14:textId="77777777" w:rsidR="00363BF5" w:rsidRDefault="00363BF5" w:rsidP="00363BF5">
      <w:pPr>
        <w:pStyle w:val="CommentText"/>
      </w:pPr>
      <w:r>
        <w:t>Sampling strategies, data collection, and analytical methods are described in detail, with clear acknowledgment of limitations (e.g., purposive sampling, survivorship bias).</w:t>
      </w:r>
    </w:p>
    <w:p w14:paraId="7734FB4E" w14:textId="77777777" w:rsidR="00363BF5" w:rsidRDefault="00363BF5" w:rsidP="00363BF5">
      <w:pPr>
        <w:pStyle w:val="CommentText"/>
      </w:pPr>
      <w:r>
        <w:t>The use of robustness checks, power calculations, and detailed appendices demonstrates methodological rigor.</w:t>
      </w:r>
    </w:p>
    <w:p w14:paraId="4699D725" w14:textId="77777777" w:rsidR="00363BF5" w:rsidRDefault="00363BF5" w:rsidP="00363BF5">
      <w:pPr>
        <w:pStyle w:val="CommentText"/>
      </w:pPr>
      <w:r>
        <w:rPr>
          <w:color w:val="444746"/>
        </w:rPr>
        <w:t>Limitations and biases are candidly discussed.</w:t>
      </w:r>
      <w:r>
        <w:t xml:space="preserve"> </w:t>
      </w:r>
    </w:p>
    <w:p w14:paraId="16DF915E" w14:textId="77777777" w:rsidR="00363BF5" w:rsidRDefault="00363BF5" w:rsidP="00363BF5">
      <w:pPr>
        <w:pStyle w:val="CommentText"/>
      </w:pPr>
      <w:r>
        <w:t xml:space="preserve">The rationale for the specific sample sizes and choice of 90+ day tracking is concise and understandable. </w:t>
      </w:r>
    </w:p>
    <w:p w14:paraId="19D87E58" w14:textId="77777777" w:rsidR="00363BF5" w:rsidRDefault="00363BF5" w:rsidP="00363BF5">
      <w:pPr>
        <w:pStyle w:val="CommentText"/>
      </w:pPr>
    </w:p>
    <w:p w14:paraId="2173BC7A" w14:textId="77777777" w:rsidR="00363BF5" w:rsidRDefault="00363BF5" w:rsidP="00363BF5">
      <w:pPr>
        <w:pStyle w:val="CommentText"/>
      </w:pPr>
      <w:r>
        <w:rPr>
          <w:b/>
          <w:bCs/>
          <w:color w:val="444746"/>
        </w:rPr>
        <w:t>Areas for Consideration:</w:t>
      </w:r>
      <w:r>
        <w:rPr>
          <w:color w:val="444746"/>
        </w:rPr>
        <w:br/>
      </w:r>
      <w:r>
        <w:t>None, you have actioned everything that I have recommended previously.</w:t>
      </w:r>
    </w:p>
    <w:p w14:paraId="70126B3C" w14:textId="77777777" w:rsidR="00363BF5" w:rsidRDefault="00363BF5" w:rsidP="00363BF5">
      <w:pPr>
        <w:pStyle w:val="CommentText"/>
      </w:pPr>
    </w:p>
    <w:p w14:paraId="0DA8D19D" w14:textId="77777777" w:rsidR="00363BF5" w:rsidRDefault="00363BF5" w:rsidP="00363BF5">
      <w:pPr>
        <w:pStyle w:val="CommentText"/>
      </w:pPr>
      <w:r>
        <w:rPr>
          <w:b/>
          <w:bCs/>
        </w:rPr>
        <w:t>Empirical Analysis.</w:t>
      </w:r>
    </w:p>
    <w:p w14:paraId="207E2E68" w14:textId="77777777" w:rsidR="00363BF5" w:rsidRDefault="00363BF5" w:rsidP="00363BF5">
      <w:pPr>
        <w:pStyle w:val="CommentText"/>
      </w:pPr>
      <w:r>
        <w:rPr>
          <w:b/>
          <w:bCs/>
        </w:rPr>
        <w:t>Strengths:</w:t>
      </w:r>
    </w:p>
    <w:p w14:paraId="23C7125E" w14:textId="77777777" w:rsidR="00363BF5" w:rsidRDefault="00363BF5" w:rsidP="00363BF5">
      <w:pPr>
        <w:pStyle w:val="CommentText"/>
      </w:pPr>
      <w:r>
        <w:t>The empirical chapters are the standout feature of the dissertation, providing granular, real-world data on DeFi participation, costs, risks, and returns.</w:t>
      </w:r>
    </w:p>
    <w:p w14:paraId="271857AC" w14:textId="77777777" w:rsidR="00363BF5" w:rsidRDefault="00363BF5" w:rsidP="00363BF5">
      <w:pPr>
        <w:pStyle w:val="CommentText"/>
      </w:pPr>
      <w:r>
        <w:t>The use of tables and decision frameworks (e.g., capital viability ladders, risk matrices) is excellent and makes the findings actionable.</w:t>
      </w:r>
    </w:p>
    <w:p w14:paraId="6BE82BD0" w14:textId="77777777" w:rsidR="00363BF5" w:rsidRDefault="00363BF5" w:rsidP="00363BF5">
      <w:pPr>
        <w:pStyle w:val="CommentText"/>
      </w:pPr>
      <w:r>
        <w:t>The analysis is transparent about survivorship bias, operational costs, and the gap between advertised and realized returns.</w:t>
      </w:r>
    </w:p>
    <w:p w14:paraId="44E5AB98" w14:textId="77777777" w:rsidR="00363BF5" w:rsidRDefault="00363BF5" w:rsidP="00363BF5">
      <w:pPr>
        <w:pStyle w:val="CommentText"/>
      </w:pPr>
      <w:r>
        <w:rPr>
          <w:color w:val="444746"/>
        </w:rPr>
        <w:t>Excellent breakdown of how fee structures create or constrain opportunities.</w:t>
      </w:r>
      <w:r>
        <w:rPr>
          <w:color w:val="444746"/>
        </w:rPr>
        <w:br/>
        <w:t>The “plain language” summary is especially effective.</w:t>
      </w:r>
      <w:r>
        <w:rPr>
          <w:color w:val="444746"/>
        </w:rPr>
        <w:br/>
        <w:t>The analysis of “maker-taker” and “tiered fee” paradigms is insightful.</w:t>
      </w:r>
      <w:r>
        <w:t xml:space="preserve"> </w:t>
      </w:r>
    </w:p>
    <w:p w14:paraId="39F4C8C0" w14:textId="77777777" w:rsidR="00363BF5" w:rsidRDefault="00363BF5" w:rsidP="00363BF5">
      <w:pPr>
        <w:pStyle w:val="CommentText"/>
      </w:pPr>
    </w:p>
    <w:p w14:paraId="7EC6421E" w14:textId="77777777" w:rsidR="00363BF5" w:rsidRDefault="00363BF5" w:rsidP="00363BF5">
      <w:pPr>
        <w:pStyle w:val="CommentText"/>
      </w:pPr>
      <w:r>
        <w:rPr>
          <w:b/>
          <w:bCs/>
          <w:color w:val="444746"/>
        </w:rPr>
        <w:t>Areas for Consideration:</w:t>
      </w:r>
      <w:r>
        <w:rPr>
          <w:color w:val="444746"/>
        </w:rPr>
        <w:br/>
      </w:r>
      <w:r>
        <w:t>None, you have actioned everything that I have recommended previously.</w:t>
      </w:r>
    </w:p>
    <w:p w14:paraId="16E366F9" w14:textId="77777777" w:rsidR="00363BF5" w:rsidRDefault="00363BF5" w:rsidP="00363BF5">
      <w:pPr>
        <w:pStyle w:val="CommentText"/>
      </w:pPr>
    </w:p>
    <w:p w14:paraId="2CF20B7E" w14:textId="77777777" w:rsidR="00363BF5" w:rsidRDefault="00363BF5" w:rsidP="00363BF5">
      <w:pPr>
        <w:pStyle w:val="CommentText"/>
      </w:pPr>
      <w:r>
        <w:rPr>
          <w:b/>
          <w:bCs/>
          <w:color w:val="444746"/>
        </w:rPr>
        <w:t>Protocol-Level Fee Mechanisms.</w:t>
      </w:r>
      <w:r>
        <w:rPr>
          <w:b/>
          <w:bCs/>
          <w:color w:val="444746"/>
        </w:rPr>
        <w:br/>
        <w:t>Strengths:</w:t>
      </w:r>
      <w:r>
        <w:rPr>
          <w:b/>
          <w:bCs/>
          <w:color w:val="444746"/>
        </w:rPr>
        <w:br/>
      </w:r>
      <w:r>
        <w:rPr>
          <w:color w:val="444746"/>
        </w:rPr>
        <w:t>Strong comparative analysis of protocol-level fee models.</w:t>
      </w:r>
      <w:r>
        <w:rPr>
          <w:color w:val="444746"/>
        </w:rPr>
        <w:br/>
        <w:t>The EIP-1559 case study is well chosen and clearly explained.</w:t>
      </w:r>
      <w:r>
        <w:rPr>
          <w:color w:val="444746"/>
        </w:rPr>
        <w:br/>
        <w:t>The “plain language” summary is again a highlight.</w:t>
      </w:r>
    </w:p>
    <w:p w14:paraId="5CAF9A9E" w14:textId="77777777" w:rsidR="00363BF5" w:rsidRDefault="00363BF5" w:rsidP="00363BF5">
      <w:pPr>
        <w:pStyle w:val="CommentText"/>
      </w:pPr>
      <w:r>
        <w:rPr>
          <w:color w:val="444746"/>
        </w:rPr>
        <w:t>Great use of visual charts and tables comparing protocol-level fee models across major blockchains.</w:t>
      </w:r>
      <w:r>
        <w:rPr>
          <w:color w:val="444746"/>
        </w:rPr>
        <w:br/>
      </w:r>
      <w:r>
        <w:rPr>
          <w:color w:val="444746"/>
        </w:rPr>
        <w:br/>
      </w:r>
      <w:r>
        <w:rPr>
          <w:b/>
          <w:bCs/>
          <w:color w:val="444746"/>
        </w:rPr>
        <w:t>Areas for Consideration:</w:t>
      </w:r>
      <w:r>
        <w:rPr>
          <w:color w:val="444746"/>
        </w:rPr>
        <w:br/>
      </w:r>
      <w:r>
        <w:t>None, you have actioned everything that I have recommended previously.</w:t>
      </w:r>
    </w:p>
    <w:p w14:paraId="57CB81EE" w14:textId="77777777" w:rsidR="00363BF5" w:rsidRDefault="00363BF5" w:rsidP="00363BF5">
      <w:pPr>
        <w:pStyle w:val="CommentText"/>
      </w:pPr>
      <w:r>
        <w:rPr>
          <w:color w:val="444746"/>
        </w:rPr>
        <w:br/>
      </w:r>
      <w:r>
        <w:rPr>
          <w:b/>
          <w:bCs/>
          <w:color w:val="444746"/>
        </w:rPr>
        <w:t>Risk Architecture in Cryptocurrency Ventures.</w:t>
      </w:r>
      <w:r>
        <w:rPr>
          <w:color w:val="444746"/>
        </w:rPr>
        <w:br/>
      </w:r>
      <w:r>
        <w:rPr>
          <w:b/>
          <w:bCs/>
          <w:color w:val="444746"/>
        </w:rPr>
        <w:t>Strengths:</w:t>
      </w:r>
      <w:r>
        <w:rPr>
          <w:color w:val="444746"/>
        </w:rPr>
        <w:br/>
        <w:t>Excellent critique of traditional risk frameworks in the DeFi context.</w:t>
      </w:r>
      <w:r>
        <w:rPr>
          <w:color w:val="444746"/>
        </w:rPr>
        <w:br/>
        <w:t>The “Audit Paradox” and “Contagion Dynamics” sections are particularly strong.</w:t>
      </w:r>
      <w:r>
        <w:rPr>
          <w:color w:val="444746"/>
        </w:rPr>
        <w:br/>
        <w:t>The plain-language risk summary is practical and clear.</w:t>
      </w:r>
    </w:p>
    <w:p w14:paraId="35445BD5" w14:textId="77777777" w:rsidR="00363BF5" w:rsidRDefault="00363BF5" w:rsidP="00363BF5">
      <w:pPr>
        <w:pStyle w:val="CommentText"/>
      </w:pPr>
      <w:r>
        <w:rPr>
          <w:color w:val="444746"/>
        </w:rPr>
        <w:t>Great use of the visual flowchart illustrating risk interactions.</w:t>
      </w:r>
      <w:r>
        <w:rPr>
          <w:color w:val="444746"/>
        </w:rPr>
        <w:br/>
      </w:r>
      <w:r>
        <w:rPr>
          <w:color w:val="444746"/>
        </w:rPr>
        <w:br/>
      </w:r>
      <w:r>
        <w:rPr>
          <w:b/>
          <w:bCs/>
          <w:color w:val="444746"/>
        </w:rPr>
        <w:t>Areas for Consideration:</w:t>
      </w:r>
      <w:r>
        <w:rPr>
          <w:color w:val="444746"/>
        </w:rPr>
        <w:br/>
      </w:r>
      <w:r>
        <w:t>None, you have actioned everything that I have recommended previously.</w:t>
      </w:r>
    </w:p>
    <w:p w14:paraId="1A83C217" w14:textId="77777777" w:rsidR="00363BF5" w:rsidRDefault="00363BF5" w:rsidP="00363BF5">
      <w:pPr>
        <w:pStyle w:val="CommentText"/>
      </w:pPr>
    </w:p>
    <w:p w14:paraId="4BB99950" w14:textId="77777777" w:rsidR="00363BF5" w:rsidRDefault="00363BF5" w:rsidP="00363BF5">
      <w:pPr>
        <w:pStyle w:val="CommentText"/>
      </w:pPr>
      <w:r>
        <w:rPr>
          <w:b/>
          <w:bCs/>
          <w:color w:val="444746"/>
        </w:rPr>
        <w:t>Empirical Analysis of Passive Income Mechanisms and Returns.</w:t>
      </w:r>
      <w:r>
        <w:rPr>
          <w:b/>
          <w:bCs/>
          <w:color w:val="444746"/>
        </w:rPr>
        <w:br/>
        <w:t>Strengths:</w:t>
      </w:r>
      <w:r>
        <w:rPr>
          <w:b/>
          <w:bCs/>
          <w:color w:val="444746"/>
        </w:rPr>
        <w:br/>
      </w:r>
      <w:r>
        <w:rPr>
          <w:color w:val="444746"/>
        </w:rPr>
        <w:t>The empirical findings are clearly presented and well supported by data.</w:t>
      </w:r>
      <w:r>
        <w:rPr>
          <w:color w:val="444746"/>
        </w:rPr>
        <w:br/>
        <w:t>The analysis of capital thresholds and time requirements is especially valuable.</w:t>
      </w:r>
      <w:r>
        <w:rPr>
          <w:color w:val="444746"/>
        </w:rPr>
        <w:br/>
        <w:t>The “Success Patterns” and “Decision Framework” are practical and actionable.</w:t>
      </w:r>
      <w:r>
        <w:rPr>
          <w:color w:val="444746"/>
        </w:rPr>
        <w:br/>
      </w:r>
      <w:r>
        <w:rPr>
          <w:color w:val="444746"/>
        </w:rPr>
        <w:br/>
      </w:r>
      <w:r>
        <w:rPr>
          <w:b/>
          <w:bCs/>
          <w:color w:val="444746"/>
        </w:rPr>
        <w:t>Areas for Consideration:</w:t>
      </w:r>
      <w:r>
        <w:rPr>
          <w:color w:val="444746"/>
        </w:rPr>
        <w:br/>
      </w:r>
      <w:r>
        <w:t>None, you have actioned everything that I have recommended previously.</w:t>
      </w:r>
    </w:p>
    <w:p w14:paraId="2A3B6B4E" w14:textId="77777777" w:rsidR="00363BF5" w:rsidRDefault="00363BF5" w:rsidP="00363BF5">
      <w:pPr>
        <w:pStyle w:val="CommentText"/>
      </w:pPr>
      <w:r>
        <w:rPr>
          <w:color w:val="444746"/>
        </w:rPr>
        <w:br/>
      </w:r>
      <w:r>
        <w:rPr>
          <w:b/>
          <w:bCs/>
          <w:color w:val="444746"/>
        </w:rPr>
        <w:t>Simulation Modelling and Future Scenarios.</w:t>
      </w:r>
      <w:r>
        <w:rPr>
          <w:b/>
          <w:bCs/>
          <w:color w:val="444746"/>
        </w:rPr>
        <w:br/>
        <w:t>Strengths:</w:t>
      </w:r>
      <w:r>
        <w:rPr>
          <w:b/>
          <w:bCs/>
          <w:color w:val="444746"/>
        </w:rPr>
        <w:br/>
      </w:r>
      <w:r>
        <w:rPr>
          <w:color w:val="444746"/>
        </w:rPr>
        <w:t>The scenario analysis is thoughtful and well structured.</w:t>
      </w:r>
    </w:p>
    <w:p w14:paraId="44904FA0" w14:textId="77777777" w:rsidR="00363BF5" w:rsidRDefault="00363BF5" w:rsidP="00363BF5">
      <w:pPr>
        <w:pStyle w:val="CommentText"/>
      </w:pPr>
      <w:r>
        <w:rPr>
          <w:color w:val="444746"/>
        </w:rPr>
        <w:t>Limitations of the simulation are clearly identified.</w:t>
      </w:r>
      <w:r>
        <w:rPr>
          <w:color w:val="444746"/>
        </w:rPr>
        <w:br/>
        <w:t>The “anti-inductive market problem” is well explained and relevant.</w:t>
      </w:r>
      <w:r>
        <w:rPr>
          <w:color w:val="444746"/>
        </w:rPr>
        <w:br/>
        <w:t>The comparative scenario tables are a strong feature.</w:t>
      </w:r>
    </w:p>
    <w:p w14:paraId="6F4B811E" w14:textId="77777777" w:rsidR="00363BF5" w:rsidRDefault="00363BF5" w:rsidP="00363BF5">
      <w:pPr>
        <w:pStyle w:val="CommentText"/>
      </w:pPr>
      <w:r>
        <w:rPr>
          <w:color w:val="444746"/>
        </w:rPr>
        <w:t>Summary of the four scenarios has been presented in a visually engaging diagram.</w:t>
      </w:r>
      <w:r>
        <w:rPr>
          <w:color w:val="444746"/>
        </w:rPr>
        <w:br/>
      </w:r>
      <w:r>
        <w:rPr>
          <w:color w:val="444746"/>
        </w:rPr>
        <w:br/>
      </w:r>
      <w:r>
        <w:rPr>
          <w:b/>
          <w:bCs/>
          <w:color w:val="444746"/>
        </w:rPr>
        <w:t>Areas for Consideration:</w:t>
      </w:r>
      <w:r>
        <w:rPr>
          <w:color w:val="444746"/>
        </w:rPr>
        <w:br/>
      </w:r>
      <w:r>
        <w:t>None, you have actioned everything that I have recommended previously.</w:t>
      </w:r>
    </w:p>
    <w:p w14:paraId="3EA54D7D" w14:textId="77777777" w:rsidR="00363BF5" w:rsidRDefault="00363BF5" w:rsidP="00363BF5">
      <w:pPr>
        <w:pStyle w:val="CommentText"/>
      </w:pPr>
      <w:r>
        <w:rPr>
          <w:color w:val="444746"/>
        </w:rPr>
        <w:br/>
      </w:r>
      <w:r>
        <w:rPr>
          <w:b/>
          <w:bCs/>
          <w:color w:val="444746"/>
        </w:rPr>
        <w:t>Chapter 10: Implementation Guidance and Optimization Realities.</w:t>
      </w:r>
      <w:r>
        <w:rPr>
          <w:b/>
          <w:bCs/>
          <w:color w:val="444746"/>
        </w:rPr>
        <w:br/>
        <w:t>Strengths:</w:t>
      </w:r>
      <w:r>
        <w:rPr>
          <w:b/>
          <w:bCs/>
          <w:color w:val="444746"/>
        </w:rPr>
        <w:br/>
      </w:r>
      <w:r>
        <w:rPr>
          <w:color w:val="444746"/>
        </w:rPr>
        <w:t>The “Optimization Trap” and decision trees are highly practical.</w:t>
      </w:r>
      <w:r>
        <w:rPr>
          <w:color w:val="444746"/>
        </w:rPr>
        <w:br/>
        <w:t>The implementation checklists by capital level are a major contribution.</w:t>
      </w:r>
      <w:r>
        <w:t xml:space="preserve"> </w:t>
      </w:r>
    </w:p>
    <w:p w14:paraId="669A9C55" w14:textId="77777777" w:rsidR="00363BF5" w:rsidRDefault="00363BF5" w:rsidP="00363BF5">
      <w:pPr>
        <w:pStyle w:val="CommentText"/>
      </w:pPr>
    </w:p>
    <w:p w14:paraId="546C669C" w14:textId="77777777" w:rsidR="00363BF5" w:rsidRDefault="00363BF5" w:rsidP="00363BF5">
      <w:pPr>
        <w:pStyle w:val="CommentText"/>
      </w:pPr>
      <w:r>
        <w:rPr>
          <w:b/>
          <w:bCs/>
          <w:color w:val="444746"/>
        </w:rPr>
        <w:t>Areas for Consideration:</w:t>
      </w:r>
      <w:r>
        <w:rPr>
          <w:color w:val="444746"/>
        </w:rPr>
        <w:br/>
      </w:r>
      <w:r>
        <w:t>None, you have actioned everything that I have recommended previously.</w:t>
      </w:r>
    </w:p>
    <w:p w14:paraId="5DA94091" w14:textId="77777777" w:rsidR="00363BF5" w:rsidRDefault="00363BF5" w:rsidP="00363BF5">
      <w:pPr>
        <w:pStyle w:val="CommentText"/>
      </w:pPr>
    </w:p>
    <w:p w14:paraId="411EE8F8" w14:textId="77777777" w:rsidR="00363BF5" w:rsidRDefault="00363BF5" w:rsidP="00363BF5">
      <w:pPr>
        <w:pStyle w:val="CommentText"/>
      </w:pPr>
    </w:p>
    <w:p w14:paraId="59DC5A51" w14:textId="77777777" w:rsidR="00363BF5" w:rsidRDefault="00363BF5" w:rsidP="00363BF5">
      <w:pPr>
        <w:pStyle w:val="CommentText"/>
      </w:pPr>
      <w:r>
        <w:rPr>
          <w:b/>
          <w:bCs/>
        </w:rPr>
        <w:t>Theoretical Contributions.</w:t>
      </w:r>
    </w:p>
    <w:p w14:paraId="7581C8AA" w14:textId="77777777" w:rsidR="00363BF5" w:rsidRDefault="00363BF5" w:rsidP="00363BF5">
      <w:pPr>
        <w:pStyle w:val="CommentText"/>
      </w:pPr>
      <w:r>
        <w:rPr>
          <w:b/>
          <w:bCs/>
        </w:rPr>
        <w:t>Strengths:</w:t>
      </w:r>
    </w:p>
    <w:p w14:paraId="0EFC0989" w14:textId="77777777" w:rsidR="00363BF5" w:rsidRDefault="00363BF5" w:rsidP="00363BF5">
      <w:pPr>
        <w:pStyle w:val="CommentText"/>
      </w:pPr>
      <w:r>
        <w:t>The dissertation makes several original theoretical contributions, including the concepts of “conditional democratization,” “accessibility gradient,” and “reintermediation.”</w:t>
      </w:r>
    </w:p>
    <w:p w14:paraId="76069645" w14:textId="77777777" w:rsidR="00363BF5" w:rsidRDefault="00363BF5" w:rsidP="00363BF5">
      <w:pPr>
        <w:pStyle w:val="CommentText"/>
      </w:pPr>
      <w:r>
        <w:t>The integration of empirical findings with theory is strong, and the work challenges simplistic narratives about DeFi’s democratizing potential.</w:t>
      </w:r>
    </w:p>
    <w:p w14:paraId="75BFDC89" w14:textId="77777777" w:rsidR="00363BF5" w:rsidRDefault="00363BF5" w:rsidP="00363BF5">
      <w:pPr>
        <w:pStyle w:val="CommentText"/>
      </w:pPr>
      <w:r>
        <w:t>The comparative analysis with other “democratizing” platforms (Uber, YouTube, crowdfunding) is insightful.</w:t>
      </w:r>
    </w:p>
    <w:p w14:paraId="5C7C5D31" w14:textId="77777777" w:rsidR="00363BF5" w:rsidRDefault="00363BF5" w:rsidP="00363BF5">
      <w:pPr>
        <w:pStyle w:val="CommentText"/>
      </w:pPr>
    </w:p>
    <w:p w14:paraId="2A101085" w14:textId="77777777" w:rsidR="00363BF5" w:rsidRDefault="00363BF5" w:rsidP="00363BF5">
      <w:pPr>
        <w:pStyle w:val="CommentText"/>
      </w:pPr>
      <w:r>
        <w:rPr>
          <w:b/>
          <w:bCs/>
          <w:color w:val="444746"/>
        </w:rPr>
        <w:t>Areas for Consideration:</w:t>
      </w:r>
      <w:r>
        <w:rPr>
          <w:color w:val="444746"/>
        </w:rPr>
        <w:br/>
      </w:r>
      <w:r>
        <w:t>None, you have actioned everything that I have recommended previously.</w:t>
      </w:r>
    </w:p>
    <w:p w14:paraId="4556917D" w14:textId="77777777" w:rsidR="00363BF5" w:rsidRDefault="00363BF5" w:rsidP="00363BF5">
      <w:pPr>
        <w:pStyle w:val="CommentText"/>
      </w:pPr>
    </w:p>
    <w:p w14:paraId="251833B7" w14:textId="77777777" w:rsidR="00363BF5" w:rsidRDefault="00363BF5" w:rsidP="00363BF5">
      <w:pPr>
        <w:pStyle w:val="CommentText"/>
      </w:pPr>
      <w:r>
        <w:rPr>
          <w:b/>
          <w:bCs/>
        </w:rPr>
        <w:t>Practical Implications and Recommendations.</w:t>
      </w:r>
    </w:p>
    <w:p w14:paraId="2C84BC03" w14:textId="77777777" w:rsidR="00363BF5" w:rsidRDefault="00363BF5" w:rsidP="00363BF5">
      <w:pPr>
        <w:pStyle w:val="CommentText"/>
      </w:pPr>
      <w:r>
        <w:rPr>
          <w:b/>
          <w:bCs/>
        </w:rPr>
        <w:t>Strengths:</w:t>
      </w:r>
    </w:p>
    <w:p w14:paraId="7B2D9255" w14:textId="77777777" w:rsidR="00363BF5" w:rsidRDefault="00363BF5" w:rsidP="00363BF5">
      <w:pPr>
        <w:pStyle w:val="CommentText"/>
      </w:pPr>
      <w:r>
        <w:t>The dissertation provides clear, actionable guidance for different stakeholders (participants, policymakers, protocol developers).</w:t>
      </w:r>
    </w:p>
    <w:p w14:paraId="1E53BF84" w14:textId="77777777" w:rsidR="00363BF5" w:rsidRDefault="00363BF5" w:rsidP="00363BF5">
      <w:pPr>
        <w:pStyle w:val="CommentText"/>
      </w:pPr>
      <w:r>
        <w:t>The checklists and decision frameworks are particularly valuable for practitioners and could be published as standalone resources.</w:t>
      </w:r>
    </w:p>
    <w:p w14:paraId="0DE6EF84" w14:textId="77777777" w:rsidR="00363BF5" w:rsidRDefault="00363BF5" w:rsidP="00363BF5">
      <w:pPr>
        <w:pStyle w:val="CommentText"/>
      </w:pPr>
      <w:r>
        <w:t>The discussion of regulatory implications is nuanced and avoids both hype and alarmism.</w:t>
      </w:r>
    </w:p>
    <w:p w14:paraId="6F7F5625" w14:textId="77777777" w:rsidR="00363BF5" w:rsidRDefault="00363BF5" w:rsidP="00363BF5">
      <w:pPr>
        <w:pStyle w:val="CommentText"/>
      </w:pPr>
    </w:p>
    <w:p w14:paraId="0318B651" w14:textId="77777777" w:rsidR="00363BF5" w:rsidRDefault="00363BF5" w:rsidP="00363BF5">
      <w:pPr>
        <w:pStyle w:val="CommentText"/>
      </w:pPr>
      <w:r>
        <w:rPr>
          <w:b/>
          <w:bCs/>
          <w:color w:val="444746"/>
        </w:rPr>
        <w:t>Areas for Consideration:</w:t>
      </w:r>
      <w:r>
        <w:rPr>
          <w:color w:val="444746"/>
        </w:rPr>
        <w:br/>
      </w:r>
      <w:r>
        <w:t>None, you have actioned everything that I have recommended previously.</w:t>
      </w:r>
    </w:p>
    <w:p w14:paraId="6616F20D" w14:textId="77777777" w:rsidR="00363BF5" w:rsidRDefault="00363BF5" w:rsidP="00363BF5">
      <w:pPr>
        <w:pStyle w:val="CommentText"/>
      </w:pPr>
    </w:p>
    <w:p w14:paraId="1950D882" w14:textId="77777777" w:rsidR="00363BF5" w:rsidRDefault="00363BF5" w:rsidP="00363BF5">
      <w:pPr>
        <w:pStyle w:val="CommentText"/>
      </w:pPr>
      <w:r>
        <w:rPr>
          <w:b/>
          <w:bCs/>
        </w:rPr>
        <w:t>Limitations and Future Research.</w:t>
      </w:r>
    </w:p>
    <w:p w14:paraId="4D8EC067" w14:textId="77777777" w:rsidR="00363BF5" w:rsidRDefault="00363BF5" w:rsidP="00363BF5">
      <w:pPr>
        <w:pStyle w:val="CommentText"/>
      </w:pPr>
      <w:r>
        <w:rPr>
          <w:b/>
          <w:bCs/>
        </w:rPr>
        <w:t>Strengths:</w:t>
      </w:r>
    </w:p>
    <w:p w14:paraId="78780CB3" w14:textId="77777777" w:rsidR="00363BF5" w:rsidRDefault="00363BF5" w:rsidP="00363BF5">
      <w:pPr>
        <w:pStyle w:val="CommentText"/>
      </w:pPr>
      <w:r>
        <w:t>The limitations section is honest and comprehensive, addressing temporal specificity, sample composition, survivorship bias, and geographic concentration.</w:t>
      </w:r>
    </w:p>
    <w:p w14:paraId="308C34B3" w14:textId="77777777" w:rsidR="00363BF5" w:rsidRDefault="00363BF5" w:rsidP="00363BF5">
      <w:pPr>
        <w:pStyle w:val="CommentText"/>
      </w:pPr>
      <w:r>
        <w:t>The suggestions for future research are well-founded and point to important avenues for further study.</w:t>
      </w:r>
    </w:p>
    <w:p w14:paraId="0DCE92AB" w14:textId="77777777" w:rsidR="00363BF5" w:rsidRDefault="00363BF5" w:rsidP="00363BF5">
      <w:pPr>
        <w:pStyle w:val="CommentText"/>
      </w:pPr>
    </w:p>
    <w:p w14:paraId="48DD6337" w14:textId="77777777" w:rsidR="00363BF5" w:rsidRDefault="00363BF5" w:rsidP="00363BF5">
      <w:pPr>
        <w:pStyle w:val="CommentText"/>
      </w:pPr>
      <w:r>
        <w:rPr>
          <w:b/>
          <w:bCs/>
          <w:color w:val="444746"/>
        </w:rPr>
        <w:t>Areas for Consideration:</w:t>
      </w:r>
      <w:r>
        <w:rPr>
          <w:color w:val="444746"/>
        </w:rPr>
        <w:br/>
      </w:r>
      <w:r>
        <w:t>None, you have actioned everything that I have recommended previously.</w:t>
      </w:r>
    </w:p>
    <w:p w14:paraId="70341E8D" w14:textId="77777777" w:rsidR="00363BF5" w:rsidRDefault="00363BF5" w:rsidP="00363BF5">
      <w:pPr>
        <w:pStyle w:val="CommentText"/>
      </w:pPr>
    </w:p>
    <w:p w14:paraId="1A8504CE" w14:textId="77777777" w:rsidR="00363BF5" w:rsidRDefault="00363BF5" w:rsidP="00363BF5">
      <w:pPr>
        <w:pStyle w:val="CommentText"/>
      </w:pPr>
      <w:r>
        <w:rPr>
          <w:b/>
          <w:bCs/>
        </w:rPr>
        <w:t>Appendices and Bibliography.</w:t>
      </w:r>
    </w:p>
    <w:p w14:paraId="7C1616CB" w14:textId="77777777" w:rsidR="00363BF5" w:rsidRDefault="00363BF5" w:rsidP="00363BF5">
      <w:pPr>
        <w:pStyle w:val="CommentText"/>
      </w:pPr>
      <w:r>
        <w:rPr>
          <w:b/>
          <w:bCs/>
        </w:rPr>
        <w:t>Strengths:</w:t>
      </w:r>
    </w:p>
    <w:p w14:paraId="76756048" w14:textId="77777777" w:rsidR="00363BF5" w:rsidRDefault="00363BF5" w:rsidP="00363BF5">
      <w:pPr>
        <w:pStyle w:val="CommentText"/>
      </w:pPr>
      <w:r>
        <w:t>The appendices are thorough, providing transparency on data, methods, and statistical tests.</w:t>
      </w:r>
    </w:p>
    <w:p w14:paraId="0FFB91C9" w14:textId="77777777" w:rsidR="00363BF5" w:rsidRDefault="00363BF5" w:rsidP="00363BF5">
      <w:pPr>
        <w:pStyle w:val="CommentText"/>
      </w:pPr>
      <w:r>
        <w:t>The bibliography / reference list is extensive and up-to-date, reflecting deep engagement with both academic and industry sources.</w:t>
      </w:r>
    </w:p>
    <w:p w14:paraId="41148796" w14:textId="77777777" w:rsidR="00363BF5" w:rsidRDefault="00363BF5" w:rsidP="00363BF5">
      <w:pPr>
        <w:pStyle w:val="CommentText"/>
      </w:pPr>
      <w:r>
        <w:t>The inclusion of a technical terms and abbreviations glossary is helpful.</w:t>
      </w:r>
    </w:p>
    <w:p w14:paraId="4BA26ED7" w14:textId="77777777" w:rsidR="00363BF5" w:rsidRDefault="00363BF5" w:rsidP="00363BF5">
      <w:pPr>
        <w:pStyle w:val="CommentText"/>
      </w:pPr>
    </w:p>
    <w:p w14:paraId="47BDA37F" w14:textId="77777777" w:rsidR="00363BF5" w:rsidRDefault="00363BF5" w:rsidP="00363BF5">
      <w:pPr>
        <w:pStyle w:val="CommentText"/>
      </w:pPr>
      <w:r>
        <w:rPr>
          <w:b/>
          <w:bCs/>
          <w:color w:val="444746"/>
        </w:rPr>
        <w:t>Areas for Consideration:</w:t>
      </w:r>
      <w:r>
        <w:rPr>
          <w:color w:val="444746"/>
        </w:rPr>
        <w:br/>
      </w:r>
      <w:r>
        <w:t>None, you have actioned everything that I have recommended previously.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BDA37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A7A1408" w16cex:dateUtc="2025-11-29T00: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BDA37F" w16cid:durableId="3A7A14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5DF8A" w14:textId="77777777" w:rsidR="00BB3E6A" w:rsidRDefault="00BB3E6A" w:rsidP="00C556DE">
      <w:r>
        <w:separator/>
      </w:r>
    </w:p>
  </w:endnote>
  <w:endnote w:type="continuationSeparator" w:id="0">
    <w:p w14:paraId="18F5611A" w14:textId="77777777" w:rsidR="00BB3E6A" w:rsidRDefault="00BB3E6A" w:rsidP="00C55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Apple Color Emoji">
    <w:altName w:val="Calibri"/>
    <w:charset w:val="00"/>
    <w:family w:val="auto"/>
    <w:pitch w:val="variable"/>
    <w:sig w:usb0="00000003" w:usb1="18000000" w:usb2="14000000" w:usb3="00000000" w:csb0="00000001" w:csb1="00000000"/>
  </w:font>
  <w:font w:name="Times-Roman">
    <w:altName w:val="Times New Roman"/>
    <w:charset w:val="00"/>
    <w:family w:val="roman"/>
    <w:pitch w:val="default"/>
    <w:sig w:usb0="00000003" w:usb1="00000000" w:usb2="00000000" w:usb3="00000000" w:csb0="00000001" w:csb1="00000000"/>
  </w:font>
  <w:font w:name="Times-Italic">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1FF78" w14:textId="77777777" w:rsidR="00BB3E6A" w:rsidRDefault="00BB3E6A" w:rsidP="00C556DE">
      <w:r>
        <w:separator/>
      </w:r>
    </w:p>
  </w:footnote>
  <w:footnote w:type="continuationSeparator" w:id="0">
    <w:p w14:paraId="18C3A97C" w14:textId="77777777" w:rsidR="00BB3E6A" w:rsidRDefault="00BB3E6A" w:rsidP="00C556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4740B45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4437CE"/>
    <w:multiLevelType w:val="multilevel"/>
    <w:tmpl w:val="4048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14D216C"/>
    <w:multiLevelType w:val="multilevel"/>
    <w:tmpl w:val="CDAA9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15971DB"/>
    <w:multiLevelType w:val="multilevel"/>
    <w:tmpl w:val="49943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1BE71C0"/>
    <w:multiLevelType w:val="hybridMultilevel"/>
    <w:tmpl w:val="6546A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226284F"/>
    <w:multiLevelType w:val="multilevel"/>
    <w:tmpl w:val="43941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6B01B8"/>
    <w:multiLevelType w:val="hybridMultilevel"/>
    <w:tmpl w:val="301028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27D1424"/>
    <w:multiLevelType w:val="hybridMultilevel"/>
    <w:tmpl w:val="D3AE7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2BD3F1C"/>
    <w:multiLevelType w:val="hybridMultilevel"/>
    <w:tmpl w:val="A56A67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2F10B7E"/>
    <w:multiLevelType w:val="multilevel"/>
    <w:tmpl w:val="2284A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39A5401"/>
    <w:multiLevelType w:val="multilevel"/>
    <w:tmpl w:val="F2123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3D95740"/>
    <w:multiLevelType w:val="multilevel"/>
    <w:tmpl w:val="CF207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502417C"/>
    <w:multiLevelType w:val="multilevel"/>
    <w:tmpl w:val="D7BAA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5466F8A"/>
    <w:multiLevelType w:val="multilevel"/>
    <w:tmpl w:val="7E366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54C681C"/>
    <w:multiLevelType w:val="hybridMultilevel"/>
    <w:tmpl w:val="6A6061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5B529C6"/>
    <w:multiLevelType w:val="multilevel"/>
    <w:tmpl w:val="A4C6C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5E67CA2"/>
    <w:multiLevelType w:val="multilevel"/>
    <w:tmpl w:val="2B140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68247F3"/>
    <w:multiLevelType w:val="multilevel"/>
    <w:tmpl w:val="12628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6970FDE"/>
    <w:multiLevelType w:val="multilevel"/>
    <w:tmpl w:val="DB62F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69B15AE"/>
    <w:multiLevelType w:val="multilevel"/>
    <w:tmpl w:val="DAA8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7C306FA"/>
    <w:multiLevelType w:val="hybridMultilevel"/>
    <w:tmpl w:val="A4967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80C76C2"/>
    <w:multiLevelType w:val="hybridMultilevel"/>
    <w:tmpl w:val="6180E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8D04CE6"/>
    <w:multiLevelType w:val="multilevel"/>
    <w:tmpl w:val="977CE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9483B01"/>
    <w:multiLevelType w:val="hybridMultilevel"/>
    <w:tmpl w:val="1D384B7A"/>
    <w:lvl w:ilvl="0" w:tplc="04090001">
      <w:start w:val="1"/>
      <w:numFmt w:val="bullet"/>
      <w:lvlText w:val=""/>
      <w:lvlJc w:val="left"/>
      <w:pPr>
        <w:ind w:left="540" w:hanging="360"/>
      </w:pPr>
      <w:rPr>
        <w:rFonts w:ascii="Symbol" w:hAnsi="Symbol" w:hint="default"/>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29" w15:restartNumberingAfterBreak="0">
    <w:nsid w:val="09DA142C"/>
    <w:multiLevelType w:val="multilevel"/>
    <w:tmpl w:val="38AA3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A575D88"/>
    <w:multiLevelType w:val="hybridMultilevel"/>
    <w:tmpl w:val="E02CA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A8841E9"/>
    <w:multiLevelType w:val="hybridMultilevel"/>
    <w:tmpl w:val="8FB0F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AE76339"/>
    <w:multiLevelType w:val="multilevel"/>
    <w:tmpl w:val="A64A0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BC65EFF"/>
    <w:multiLevelType w:val="multilevel"/>
    <w:tmpl w:val="5E488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C153D4F"/>
    <w:multiLevelType w:val="multilevel"/>
    <w:tmpl w:val="9D1CA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D3C705D"/>
    <w:multiLevelType w:val="multilevel"/>
    <w:tmpl w:val="EBF25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DE378E4"/>
    <w:multiLevelType w:val="hybridMultilevel"/>
    <w:tmpl w:val="4C942A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0F486286"/>
    <w:multiLevelType w:val="multilevel"/>
    <w:tmpl w:val="757461A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ajorEastAsia"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FBD7DBD"/>
    <w:multiLevelType w:val="multilevel"/>
    <w:tmpl w:val="3C920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057065E"/>
    <w:multiLevelType w:val="multilevel"/>
    <w:tmpl w:val="EBA23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2464570"/>
    <w:multiLevelType w:val="multilevel"/>
    <w:tmpl w:val="49468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2520458"/>
    <w:multiLevelType w:val="multilevel"/>
    <w:tmpl w:val="A10E3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38457E5"/>
    <w:multiLevelType w:val="hybridMultilevel"/>
    <w:tmpl w:val="672EB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3945759"/>
    <w:multiLevelType w:val="hybridMultilevel"/>
    <w:tmpl w:val="74462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3DD26CB"/>
    <w:multiLevelType w:val="hybridMultilevel"/>
    <w:tmpl w:val="D04EE3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43564B4"/>
    <w:multiLevelType w:val="hybridMultilevel"/>
    <w:tmpl w:val="40DCC0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4495DF3"/>
    <w:multiLevelType w:val="multilevel"/>
    <w:tmpl w:val="FE76A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4732B45"/>
    <w:multiLevelType w:val="multilevel"/>
    <w:tmpl w:val="7E9CA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4913039"/>
    <w:multiLevelType w:val="hybridMultilevel"/>
    <w:tmpl w:val="6FFC9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6416458"/>
    <w:multiLevelType w:val="multilevel"/>
    <w:tmpl w:val="9468D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16FB5CE5"/>
    <w:multiLevelType w:val="multilevel"/>
    <w:tmpl w:val="3B1AE324"/>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1" w15:restartNumberingAfterBreak="0">
    <w:nsid w:val="176D7002"/>
    <w:multiLevelType w:val="multilevel"/>
    <w:tmpl w:val="85C67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7B52484"/>
    <w:multiLevelType w:val="multilevel"/>
    <w:tmpl w:val="4858A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89D7C3B"/>
    <w:multiLevelType w:val="multilevel"/>
    <w:tmpl w:val="8D22E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95F140F"/>
    <w:multiLevelType w:val="hybridMultilevel"/>
    <w:tmpl w:val="85B87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A864A39"/>
    <w:multiLevelType w:val="multilevel"/>
    <w:tmpl w:val="66ECE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AFE3C24"/>
    <w:multiLevelType w:val="hybridMultilevel"/>
    <w:tmpl w:val="D5887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B1D50A2"/>
    <w:multiLevelType w:val="multilevel"/>
    <w:tmpl w:val="37506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BD86A94"/>
    <w:multiLevelType w:val="multilevel"/>
    <w:tmpl w:val="DD22E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1BED0315"/>
    <w:multiLevelType w:val="hybridMultilevel"/>
    <w:tmpl w:val="C36A40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C2E4979"/>
    <w:multiLevelType w:val="multilevel"/>
    <w:tmpl w:val="F73E9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CF766D6"/>
    <w:multiLevelType w:val="multilevel"/>
    <w:tmpl w:val="23305B56"/>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1EA56436"/>
    <w:multiLevelType w:val="multilevel"/>
    <w:tmpl w:val="8C52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FB51C5C"/>
    <w:multiLevelType w:val="hybridMultilevel"/>
    <w:tmpl w:val="3CB695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05D58AA"/>
    <w:multiLevelType w:val="hybridMultilevel"/>
    <w:tmpl w:val="56DC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0D82C5C"/>
    <w:multiLevelType w:val="hybridMultilevel"/>
    <w:tmpl w:val="1D441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19D438F"/>
    <w:multiLevelType w:val="multilevel"/>
    <w:tmpl w:val="BE7C3D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2195BC9"/>
    <w:multiLevelType w:val="hybridMultilevel"/>
    <w:tmpl w:val="FF2CCDA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22722F52"/>
    <w:multiLevelType w:val="hybridMultilevel"/>
    <w:tmpl w:val="4BB01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28D447D"/>
    <w:multiLevelType w:val="hybridMultilevel"/>
    <w:tmpl w:val="61CEA8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2A67EEB"/>
    <w:multiLevelType w:val="hybridMultilevel"/>
    <w:tmpl w:val="C9346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31D425B"/>
    <w:multiLevelType w:val="hybridMultilevel"/>
    <w:tmpl w:val="E36683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23256C52"/>
    <w:multiLevelType w:val="multilevel"/>
    <w:tmpl w:val="88F80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33E378A"/>
    <w:multiLevelType w:val="hybridMultilevel"/>
    <w:tmpl w:val="B310D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2371524D"/>
    <w:multiLevelType w:val="multilevel"/>
    <w:tmpl w:val="17125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3FA636A"/>
    <w:multiLevelType w:val="multilevel"/>
    <w:tmpl w:val="620CE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24840880"/>
    <w:multiLevelType w:val="hybridMultilevel"/>
    <w:tmpl w:val="B0E02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24964A99"/>
    <w:multiLevelType w:val="hybridMultilevel"/>
    <w:tmpl w:val="121C18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24D115E0"/>
    <w:multiLevelType w:val="hybridMultilevel"/>
    <w:tmpl w:val="B1A218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51C5A67"/>
    <w:multiLevelType w:val="hybridMultilevel"/>
    <w:tmpl w:val="C2945A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25A2609B"/>
    <w:multiLevelType w:val="multilevel"/>
    <w:tmpl w:val="D736D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74E1974"/>
    <w:multiLevelType w:val="multilevel"/>
    <w:tmpl w:val="6FD6F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77858F0"/>
    <w:multiLevelType w:val="multilevel"/>
    <w:tmpl w:val="75CEC51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Symbol" w:hAnsi="Symbol"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3" w15:restartNumberingAfterBreak="0">
    <w:nsid w:val="28533868"/>
    <w:multiLevelType w:val="hybridMultilevel"/>
    <w:tmpl w:val="5472F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29D50D2C"/>
    <w:multiLevelType w:val="multilevel"/>
    <w:tmpl w:val="7F0092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9EE3E35"/>
    <w:multiLevelType w:val="multilevel"/>
    <w:tmpl w:val="73445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A6B72C3"/>
    <w:multiLevelType w:val="multilevel"/>
    <w:tmpl w:val="FB161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A901617"/>
    <w:multiLevelType w:val="multilevel"/>
    <w:tmpl w:val="2B8AB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A9B2694"/>
    <w:multiLevelType w:val="hybridMultilevel"/>
    <w:tmpl w:val="4B7C6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2ABE7990"/>
    <w:multiLevelType w:val="hybridMultilevel"/>
    <w:tmpl w:val="98DC9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2C630CA7"/>
    <w:multiLevelType w:val="multilevel"/>
    <w:tmpl w:val="3B1AE324"/>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1" w15:restartNumberingAfterBreak="0">
    <w:nsid w:val="2C6A0960"/>
    <w:multiLevelType w:val="multilevel"/>
    <w:tmpl w:val="B9604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2D2D5D41"/>
    <w:multiLevelType w:val="hybridMultilevel"/>
    <w:tmpl w:val="C01ED7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2D4F686F"/>
    <w:multiLevelType w:val="hybridMultilevel"/>
    <w:tmpl w:val="7DAC9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2E180868"/>
    <w:multiLevelType w:val="multilevel"/>
    <w:tmpl w:val="61FC9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06978C8"/>
    <w:multiLevelType w:val="multilevel"/>
    <w:tmpl w:val="3B1AE324"/>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6" w15:restartNumberingAfterBreak="0">
    <w:nsid w:val="311D5EE6"/>
    <w:multiLevelType w:val="hybridMultilevel"/>
    <w:tmpl w:val="CB74C9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7" w15:restartNumberingAfterBreak="0">
    <w:nsid w:val="313502B6"/>
    <w:multiLevelType w:val="hybridMultilevel"/>
    <w:tmpl w:val="6C74F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3044FE3"/>
    <w:multiLevelType w:val="hybridMultilevel"/>
    <w:tmpl w:val="D83E8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357463E"/>
    <w:multiLevelType w:val="multilevel"/>
    <w:tmpl w:val="138AE2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3656F9C"/>
    <w:multiLevelType w:val="hybridMultilevel"/>
    <w:tmpl w:val="E520B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346126ED"/>
    <w:multiLevelType w:val="multilevel"/>
    <w:tmpl w:val="FCE48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49A3379"/>
    <w:multiLevelType w:val="hybridMultilevel"/>
    <w:tmpl w:val="AEB6F0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352E74EA"/>
    <w:multiLevelType w:val="hybridMultilevel"/>
    <w:tmpl w:val="FEC68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35734CB3"/>
    <w:multiLevelType w:val="multilevel"/>
    <w:tmpl w:val="84460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6203536"/>
    <w:multiLevelType w:val="hybridMultilevel"/>
    <w:tmpl w:val="3AA891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368003A9"/>
    <w:multiLevelType w:val="multilevel"/>
    <w:tmpl w:val="30385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6E07B3C"/>
    <w:multiLevelType w:val="hybridMultilevel"/>
    <w:tmpl w:val="29589B2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371C5A8A"/>
    <w:multiLevelType w:val="hybridMultilevel"/>
    <w:tmpl w:val="3C482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37383012"/>
    <w:multiLevelType w:val="multilevel"/>
    <w:tmpl w:val="D654F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7574611"/>
    <w:multiLevelType w:val="multilevel"/>
    <w:tmpl w:val="85127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7945E02"/>
    <w:multiLevelType w:val="hybridMultilevel"/>
    <w:tmpl w:val="AA921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37E457A6"/>
    <w:multiLevelType w:val="multilevel"/>
    <w:tmpl w:val="9DA44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8294B1D"/>
    <w:multiLevelType w:val="hybridMultilevel"/>
    <w:tmpl w:val="AC6AD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388218E6"/>
    <w:multiLevelType w:val="multilevel"/>
    <w:tmpl w:val="E09EA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9AE7AAD"/>
    <w:multiLevelType w:val="hybridMultilevel"/>
    <w:tmpl w:val="1BCCA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3AB45326"/>
    <w:multiLevelType w:val="multilevel"/>
    <w:tmpl w:val="447EF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DD300F9"/>
    <w:multiLevelType w:val="multilevel"/>
    <w:tmpl w:val="D84C8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3E446B78"/>
    <w:multiLevelType w:val="hybridMultilevel"/>
    <w:tmpl w:val="4434EF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3FA27C5D"/>
    <w:multiLevelType w:val="multilevel"/>
    <w:tmpl w:val="8C06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35746A"/>
    <w:multiLevelType w:val="multilevel"/>
    <w:tmpl w:val="CE482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5713F3"/>
    <w:multiLevelType w:val="hybridMultilevel"/>
    <w:tmpl w:val="24900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412C6EB6"/>
    <w:multiLevelType w:val="multilevel"/>
    <w:tmpl w:val="322890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419A00F3"/>
    <w:multiLevelType w:val="hybridMultilevel"/>
    <w:tmpl w:val="2778A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1C563F4"/>
    <w:multiLevelType w:val="hybridMultilevel"/>
    <w:tmpl w:val="CD5E39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21D1BE6"/>
    <w:multiLevelType w:val="hybridMultilevel"/>
    <w:tmpl w:val="F490B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3171220"/>
    <w:multiLevelType w:val="hybridMultilevel"/>
    <w:tmpl w:val="324E6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32E095D"/>
    <w:multiLevelType w:val="hybridMultilevel"/>
    <w:tmpl w:val="F1F02A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33042A0"/>
    <w:multiLevelType w:val="multilevel"/>
    <w:tmpl w:val="8916A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391449C"/>
    <w:multiLevelType w:val="multilevel"/>
    <w:tmpl w:val="B8E478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47A4AEF"/>
    <w:multiLevelType w:val="hybridMultilevel"/>
    <w:tmpl w:val="E9AAD8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451E5172"/>
    <w:multiLevelType w:val="hybridMultilevel"/>
    <w:tmpl w:val="A4F267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45A5017F"/>
    <w:multiLevelType w:val="multilevel"/>
    <w:tmpl w:val="29E81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5E0552B"/>
    <w:multiLevelType w:val="hybridMultilevel"/>
    <w:tmpl w:val="3AE86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45FA542E"/>
    <w:multiLevelType w:val="hybridMultilevel"/>
    <w:tmpl w:val="6C7EA8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469B6DF9"/>
    <w:multiLevelType w:val="multilevel"/>
    <w:tmpl w:val="6E16C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6BB3EC5"/>
    <w:multiLevelType w:val="hybridMultilevel"/>
    <w:tmpl w:val="B0AE87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47177D67"/>
    <w:multiLevelType w:val="hybridMultilevel"/>
    <w:tmpl w:val="324E2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47A672A3"/>
    <w:multiLevelType w:val="multilevel"/>
    <w:tmpl w:val="2CDA1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7D2133A"/>
    <w:multiLevelType w:val="hybridMultilevel"/>
    <w:tmpl w:val="B7223F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47E85D0C"/>
    <w:multiLevelType w:val="multilevel"/>
    <w:tmpl w:val="C63CA0E4"/>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1" w15:restartNumberingAfterBreak="0">
    <w:nsid w:val="480D6F45"/>
    <w:multiLevelType w:val="multilevel"/>
    <w:tmpl w:val="FDCAD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82E58EA"/>
    <w:multiLevelType w:val="multilevel"/>
    <w:tmpl w:val="B0BE206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43" w15:restartNumberingAfterBreak="0">
    <w:nsid w:val="48535BE6"/>
    <w:multiLevelType w:val="multilevel"/>
    <w:tmpl w:val="8006D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48F94C34"/>
    <w:multiLevelType w:val="multilevel"/>
    <w:tmpl w:val="5306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97B33A3"/>
    <w:multiLevelType w:val="hybridMultilevel"/>
    <w:tmpl w:val="4C90C4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49DC50AC"/>
    <w:multiLevelType w:val="multilevel"/>
    <w:tmpl w:val="3AECEE8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ajorEastAsia"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A845D8E"/>
    <w:multiLevelType w:val="hybridMultilevel"/>
    <w:tmpl w:val="C568A0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4B16579B"/>
    <w:multiLevelType w:val="multilevel"/>
    <w:tmpl w:val="17628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4B536624"/>
    <w:multiLevelType w:val="hybridMultilevel"/>
    <w:tmpl w:val="6308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4BE437DD"/>
    <w:multiLevelType w:val="hybridMultilevel"/>
    <w:tmpl w:val="D1506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4CFD507A"/>
    <w:multiLevelType w:val="multilevel"/>
    <w:tmpl w:val="52B67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4D450A0C"/>
    <w:multiLevelType w:val="hybridMultilevel"/>
    <w:tmpl w:val="3FFAD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4D916B29"/>
    <w:multiLevelType w:val="hybridMultilevel"/>
    <w:tmpl w:val="A07C41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4DB679EE"/>
    <w:multiLevelType w:val="hybridMultilevel"/>
    <w:tmpl w:val="C86424C2"/>
    <w:lvl w:ilvl="0" w:tplc="FFFFFFF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 w15:restartNumberingAfterBreak="0">
    <w:nsid w:val="4E0C691A"/>
    <w:multiLevelType w:val="hybridMultilevel"/>
    <w:tmpl w:val="AA782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4E89309F"/>
    <w:multiLevelType w:val="multilevel"/>
    <w:tmpl w:val="00EC9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4EB71AAB"/>
    <w:multiLevelType w:val="multilevel"/>
    <w:tmpl w:val="9F062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4F2E6836"/>
    <w:multiLevelType w:val="multilevel"/>
    <w:tmpl w:val="68948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4F390378"/>
    <w:multiLevelType w:val="hybridMultilevel"/>
    <w:tmpl w:val="71D2DD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4FAE029F"/>
    <w:multiLevelType w:val="multilevel"/>
    <w:tmpl w:val="75968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4FDA2A61"/>
    <w:multiLevelType w:val="hybridMultilevel"/>
    <w:tmpl w:val="01E62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509B0B3B"/>
    <w:multiLevelType w:val="multilevel"/>
    <w:tmpl w:val="19289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0BD325E"/>
    <w:multiLevelType w:val="hybridMultilevel"/>
    <w:tmpl w:val="0EBED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51A31148"/>
    <w:multiLevelType w:val="multilevel"/>
    <w:tmpl w:val="3B1AE324"/>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5" w15:restartNumberingAfterBreak="0">
    <w:nsid w:val="51EF028D"/>
    <w:multiLevelType w:val="multilevel"/>
    <w:tmpl w:val="3B1AE324"/>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6" w15:restartNumberingAfterBreak="0">
    <w:nsid w:val="528036BB"/>
    <w:multiLevelType w:val="hybridMultilevel"/>
    <w:tmpl w:val="B5786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52F66A64"/>
    <w:multiLevelType w:val="hybridMultilevel"/>
    <w:tmpl w:val="98045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53E831F0"/>
    <w:multiLevelType w:val="hybridMultilevel"/>
    <w:tmpl w:val="E9BEA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547F5BF5"/>
    <w:multiLevelType w:val="multilevel"/>
    <w:tmpl w:val="455A1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54D41F22"/>
    <w:multiLevelType w:val="hybridMultilevel"/>
    <w:tmpl w:val="17267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54DC441F"/>
    <w:multiLevelType w:val="multilevel"/>
    <w:tmpl w:val="2C3C6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550914CA"/>
    <w:multiLevelType w:val="hybridMultilevel"/>
    <w:tmpl w:val="799CB6C2"/>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3" w15:restartNumberingAfterBreak="0">
    <w:nsid w:val="555B4770"/>
    <w:multiLevelType w:val="multilevel"/>
    <w:tmpl w:val="D4DCB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55D5231A"/>
    <w:multiLevelType w:val="multilevel"/>
    <w:tmpl w:val="AA8EA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55E90AE6"/>
    <w:multiLevelType w:val="hybridMultilevel"/>
    <w:tmpl w:val="AFAA99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561955E4"/>
    <w:multiLevelType w:val="multilevel"/>
    <w:tmpl w:val="8F32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56722BA7"/>
    <w:multiLevelType w:val="hybridMultilevel"/>
    <w:tmpl w:val="D618D4FC"/>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8" w15:restartNumberingAfterBreak="0">
    <w:nsid w:val="57B627B4"/>
    <w:multiLevelType w:val="hybridMultilevel"/>
    <w:tmpl w:val="B3BCB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57DA1EFC"/>
    <w:multiLevelType w:val="multilevel"/>
    <w:tmpl w:val="CDE8E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57E66AAA"/>
    <w:multiLevelType w:val="multilevel"/>
    <w:tmpl w:val="B0EE1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58504BF7"/>
    <w:multiLevelType w:val="multilevel"/>
    <w:tmpl w:val="0E6E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587E1C26"/>
    <w:multiLevelType w:val="hybridMultilevel"/>
    <w:tmpl w:val="3CDE8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58B978CC"/>
    <w:multiLevelType w:val="multilevel"/>
    <w:tmpl w:val="1408E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59333A73"/>
    <w:multiLevelType w:val="multilevel"/>
    <w:tmpl w:val="3C5AA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5968253F"/>
    <w:multiLevelType w:val="hybridMultilevel"/>
    <w:tmpl w:val="47BEB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5A9B2641"/>
    <w:multiLevelType w:val="multilevel"/>
    <w:tmpl w:val="991A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5ACC1A1A"/>
    <w:multiLevelType w:val="hybridMultilevel"/>
    <w:tmpl w:val="3E36F5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5AF3576A"/>
    <w:multiLevelType w:val="hybridMultilevel"/>
    <w:tmpl w:val="95742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5AF35A9D"/>
    <w:multiLevelType w:val="multilevel"/>
    <w:tmpl w:val="09323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5B3A7B25"/>
    <w:multiLevelType w:val="multilevel"/>
    <w:tmpl w:val="231A0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5B476F33"/>
    <w:multiLevelType w:val="multilevel"/>
    <w:tmpl w:val="AF166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5B784131"/>
    <w:multiLevelType w:val="multilevel"/>
    <w:tmpl w:val="70EC9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5B953838"/>
    <w:multiLevelType w:val="multilevel"/>
    <w:tmpl w:val="0868C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5B98115B"/>
    <w:multiLevelType w:val="hybridMultilevel"/>
    <w:tmpl w:val="238615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5B982A58"/>
    <w:multiLevelType w:val="hybridMultilevel"/>
    <w:tmpl w:val="456C9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5BA76DDD"/>
    <w:multiLevelType w:val="multilevel"/>
    <w:tmpl w:val="656C64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5BB627E1"/>
    <w:multiLevelType w:val="hybridMultilevel"/>
    <w:tmpl w:val="2AFEB0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8" w15:restartNumberingAfterBreak="0">
    <w:nsid w:val="5C057D7B"/>
    <w:multiLevelType w:val="multilevel"/>
    <w:tmpl w:val="66B4A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5D5144BF"/>
    <w:multiLevelType w:val="hybridMultilevel"/>
    <w:tmpl w:val="355091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5D526C3B"/>
    <w:multiLevelType w:val="multilevel"/>
    <w:tmpl w:val="B6CAD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5E411FC7"/>
    <w:multiLevelType w:val="multilevel"/>
    <w:tmpl w:val="9F421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5FC011E3"/>
    <w:multiLevelType w:val="hybridMultilevel"/>
    <w:tmpl w:val="F020A3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60AF778E"/>
    <w:multiLevelType w:val="multilevel"/>
    <w:tmpl w:val="AAD06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619565CD"/>
    <w:multiLevelType w:val="hybridMultilevel"/>
    <w:tmpl w:val="49A6D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61AB1D75"/>
    <w:multiLevelType w:val="multilevel"/>
    <w:tmpl w:val="5B02C148"/>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6" w15:restartNumberingAfterBreak="0">
    <w:nsid w:val="620B7B01"/>
    <w:multiLevelType w:val="multilevel"/>
    <w:tmpl w:val="75C80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62285F7F"/>
    <w:multiLevelType w:val="hybridMultilevel"/>
    <w:tmpl w:val="BBB81F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15:restartNumberingAfterBreak="0">
    <w:nsid w:val="624709A4"/>
    <w:multiLevelType w:val="multilevel"/>
    <w:tmpl w:val="FFA89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62B92193"/>
    <w:multiLevelType w:val="multilevel"/>
    <w:tmpl w:val="624A2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62F179E3"/>
    <w:multiLevelType w:val="multilevel"/>
    <w:tmpl w:val="73F05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634920C7"/>
    <w:multiLevelType w:val="hybridMultilevel"/>
    <w:tmpl w:val="73A88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645D0762"/>
    <w:multiLevelType w:val="hybridMultilevel"/>
    <w:tmpl w:val="F670B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649168A6"/>
    <w:multiLevelType w:val="multilevel"/>
    <w:tmpl w:val="E4B6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64D6342C"/>
    <w:multiLevelType w:val="multilevel"/>
    <w:tmpl w:val="6010A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650112EC"/>
    <w:multiLevelType w:val="hybridMultilevel"/>
    <w:tmpl w:val="38101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65634B68"/>
    <w:multiLevelType w:val="multilevel"/>
    <w:tmpl w:val="0D5CCF80"/>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imes New Roman" w:hAnsi="Times New Roman"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65635BDD"/>
    <w:multiLevelType w:val="hybridMultilevel"/>
    <w:tmpl w:val="C9484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66EC4960"/>
    <w:multiLevelType w:val="multilevel"/>
    <w:tmpl w:val="723A7BA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68276796"/>
    <w:multiLevelType w:val="multilevel"/>
    <w:tmpl w:val="600C2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68460261"/>
    <w:multiLevelType w:val="hybridMultilevel"/>
    <w:tmpl w:val="FF4823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1" w15:restartNumberingAfterBreak="0">
    <w:nsid w:val="69564885"/>
    <w:multiLevelType w:val="multilevel"/>
    <w:tmpl w:val="9A566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6A924445"/>
    <w:multiLevelType w:val="multilevel"/>
    <w:tmpl w:val="AD64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6ACA1BC0"/>
    <w:multiLevelType w:val="hybridMultilevel"/>
    <w:tmpl w:val="72BE7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6B8639FF"/>
    <w:multiLevelType w:val="hybridMultilevel"/>
    <w:tmpl w:val="0CF2EBA2"/>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5" w15:restartNumberingAfterBreak="0">
    <w:nsid w:val="6BB07E4F"/>
    <w:multiLevelType w:val="multilevel"/>
    <w:tmpl w:val="FC444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6C71765C"/>
    <w:multiLevelType w:val="multilevel"/>
    <w:tmpl w:val="BE7C3D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6C8D3410"/>
    <w:multiLevelType w:val="multilevel"/>
    <w:tmpl w:val="24BCA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6C9900EC"/>
    <w:multiLevelType w:val="multilevel"/>
    <w:tmpl w:val="04628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6CB245A4"/>
    <w:multiLevelType w:val="multilevel"/>
    <w:tmpl w:val="E3887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6D297D58"/>
    <w:multiLevelType w:val="multilevel"/>
    <w:tmpl w:val="D79C1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6D327521"/>
    <w:multiLevelType w:val="multilevel"/>
    <w:tmpl w:val="858CB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6DB21101"/>
    <w:multiLevelType w:val="hybridMultilevel"/>
    <w:tmpl w:val="ED14C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6E494726"/>
    <w:multiLevelType w:val="multilevel"/>
    <w:tmpl w:val="A2F04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6E6D1313"/>
    <w:multiLevelType w:val="multilevel"/>
    <w:tmpl w:val="0CBE2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6F211BE2"/>
    <w:multiLevelType w:val="hybridMultilevel"/>
    <w:tmpl w:val="E44A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6" w15:restartNumberingAfterBreak="0">
    <w:nsid w:val="6F4F69F5"/>
    <w:multiLevelType w:val="multilevel"/>
    <w:tmpl w:val="4FF0F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6FB36C51"/>
    <w:multiLevelType w:val="hybridMultilevel"/>
    <w:tmpl w:val="67B04C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6FFE4132"/>
    <w:multiLevelType w:val="multilevel"/>
    <w:tmpl w:val="AD669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70DB592D"/>
    <w:multiLevelType w:val="hybridMultilevel"/>
    <w:tmpl w:val="A9F4A4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0" w15:restartNumberingAfterBreak="0">
    <w:nsid w:val="715651AF"/>
    <w:multiLevelType w:val="hybridMultilevel"/>
    <w:tmpl w:val="D01404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71811F32"/>
    <w:multiLevelType w:val="hybridMultilevel"/>
    <w:tmpl w:val="17B02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2" w15:restartNumberingAfterBreak="0">
    <w:nsid w:val="71C4464E"/>
    <w:multiLevelType w:val="hybridMultilevel"/>
    <w:tmpl w:val="E2C41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3" w15:restartNumberingAfterBreak="0">
    <w:nsid w:val="71F808BF"/>
    <w:multiLevelType w:val="multilevel"/>
    <w:tmpl w:val="9572A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722A09BA"/>
    <w:multiLevelType w:val="hybridMultilevel"/>
    <w:tmpl w:val="F56017B8"/>
    <w:lvl w:ilvl="0" w:tplc="04090001">
      <w:start w:val="1"/>
      <w:numFmt w:val="bullet"/>
      <w:lvlText w:val=""/>
      <w:lvlJc w:val="left"/>
      <w:pPr>
        <w:ind w:left="720" w:hanging="360"/>
      </w:pPr>
      <w:rPr>
        <w:rFonts w:ascii="Symbol" w:hAnsi="Symbol" w:hint="default"/>
        <w:color w:val="383A4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5" w15:restartNumberingAfterBreak="0">
    <w:nsid w:val="72C0782A"/>
    <w:multiLevelType w:val="multilevel"/>
    <w:tmpl w:val="B1D0276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ajorEastAsia"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72E7600E"/>
    <w:multiLevelType w:val="multilevel"/>
    <w:tmpl w:val="7A5C7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73222715"/>
    <w:multiLevelType w:val="multilevel"/>
    <w:tmpl w:val="29DC3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736F401B"/>
    <w:multiLevelType w:val="hybridMultilevel"/>
    <w:tmpl w:val="148A4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9" w15:restartNumberingAfterBreak="0">
    <w:nsid w:val="73B95E42"/>
    <w:multiLevelType w:val="multilevel"/>
    <w:tmpl w:val="B8E478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741E6C93"/>
    <w:multiLevelType w:val="multilevel"/>
    <w:tmpl w:val="3AD6A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743F6B52"/>
    <w:multiLevelType w:val="multilevel"/>
    <w:tmpl w:val="CE6A5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74BC1875"/>
    <w:multiLevelType w:val="multilevel"/>
    <w:tmpl w:val="E960B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74F23341"/>
    <w:multiLevelType w:val="multilevel"/>
    <w:tmpl w:val="FF0E5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76113BE2"/>
    <w:multiLevelType w:val="hybridMultilevel"/>
    <w:tmpl w:val="070A84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5" w15:restartNumberingAfterBreak="0">
    <w:nsid w:val="767F25F1"/>
    <w:multiLevelType w:val="hybridMultilevel"/>
    <w:tmpl w:val="6FD49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6" w15:restartNumberingAfterBreak="0">
    <w:nsid w:val="76C11F84"/>
    <w:multiLevelType w:val="hybridMultilevel"/>
    <w:tmpl w:val="A1B06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7" w15:restartNumberingAfterBreak="0">
    <w:nsid w:val="77D610C4"/>
    <w:multiLevelType w:val="hybridMultilevel"/>
    <w:tmpl w:val="DC4E4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8" w15:restartNumberingAfterBreak="0">
    <w:nsid w:val="77FB20EE"/>
    <w:multiLevelType w:val="multilevel"/>
    <w:tmpl w:val="AE4891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787750E3"/>
    <w:multiLevelType w:val="multilevel"/>
    <w:tmpl w:val="B8FC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78A17D03"/>
    <w:multiLevelType w:val="multilevel"/>
    <w:tmpl w:val="7C544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78B873A6"/>
    <w:multiLevelType w:val="hybridMultilevel"/>
    <w:tmpl w:val="EDE87F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2" w15:restartNumberingAfterBreak="0">
    <w:nsid w:val="78BD2EE5"/>
    <w:multiLevelType w:val="multilevel"/>
    <w:tmpl w:val="7598D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796028C3"/>
    <w:multiLevelType w:val="multilevel"/>
    <w:tmpl w:val="DE02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799C25F4"/>
    <w:multiLevelType w:val="hybridMultilevel"/>
    <w:tmpl w:val="7954FD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15:restartNumberingAfterBreak="0">
    <w:nsid w:val="79AE698B"/>
    <w:multiLevelType w:val="multilevel"/>
    <w:tmpl w:val="B1A0F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79B15992"/>
    <w:multiLevelType w:val="multilevel"/>
    <w:tmpl w:val="C7BE45F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15:restartNumberingAfterBreak="0">
    <w:nsid w:val="7A2369CF"/>
    <w:multiLevelType w:val="hybridMultilevel"/>
    <w:tmpl w:val="07300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8" w15:restartNumberingAfterBreak="0">
    <w:nsid w:val="7AF8532D"/>
    <w:multiLevelType w:val="multilevel"/>
    <w:tmpl w:val="63867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9" w15:restartNumberingAfterBreak="0">
    <w:nsid w:val="7B62291F"/>
    <w:multiLevelType w:val="multilevel"/>
    <w:tmpl w:val="6ECE3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7CD970AF"/>
    <w:multiLevelType w:val="multilevel"/>
    <w:tmpl w:val="62027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7D156B07"/>
    <w:multiLevelType w:val="multilevel"/>
    <w:tmpl w:val="5FF23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7D4631E8"/>
    <w:multiLevelType w:val="hybridMultilevel"/>
    <w:tmpl w:val="8FF8B9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3" w15:restartNumberingAfterBreak="0">
    <w:nsid w:val="7D492EE8"/>
    <w:multiLevelType w:val="hybridMultilevel"/>
    <w:tmpl w:val="56403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15:restartNumberingAfterBreak="0">
    <w:nsid w:val="7D6859BF"/>
    <w:multiLevelType w:val="multilevel"/>
    <w:tmpl w:val="94BE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7DE10492"/>
    <w:multiLevelType w:val="hybridMultilevel"/>
    <w:tmpl w:val="9CDABD5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6" w15:restartNumberingAfterBreak="0">
    <w:nsid w:val="7DFE435E"/>
    <w:multiLevelType w:val="multilevel"/>
    <w:tmpl w:val="4D38E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7EBB2D40"/>
    <w:multiLevelType w:val="hybridMultilevel"/>
    <w:tmpl w:val="72A45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8" w15:restartNumberingAfterBreak="0">
    <w:nsid w:val="7F040502"/>
    <w:multiLevelType w:val="multilevel"/>
    <w:tmpl w:val="BDEA3E50"/>
    <w:styleLink w:val="CurrentList1"/>
    <w:lvl w:ilvl="0">
      <w:start w:val="1"/>
      <w:numFmt w:val="decimal"/>
      <w:lvlText w:val="%1."/>
      <w:lvlJc w:val="left"/>
      <w:pPr>
        <w:ind w:left="720" w:hanging="360"/>
      </w:pPr>
      <w:rPr>
        <w:rFonts w:hint="default"/>
        <w:color w:val="383A42"/>
      </w:rPr>
    </w:lvl>
    <w:lvl w:ilvl="1">
      <w:start w:val="1"/>
      <w:numFmt w:val="decimal"/>
      <w:lvlText w:val="%2."/>
      <w:lvlJc w:val="left"/>
      <w:pPr>
        <w:ind w:left="720" w:hanging="360"/>
      </w:pPr>
    </w:lvl>
    <w:lvl w:ilvl="2">
      <w:start w:val="1"/>
      <w:numFmt w:val="bullet"/>
      <w:lvlText w:val="o"/>
      <w:lvlJc w:val="left"/>
      <w:pPr>
        <w:ind w:left="2340" w:hanging="360"/>
      </w:pPr>
      <w:rPr>
        <w:rFonts w:ascii="Courier New" w:hAnsi="Courier New" w:cs="Courier New"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9" w15:restartNumberingAfterBreak="0">
    <w:nsid w:val="7FCD269A"/>
    <w:multiLevelType w:val="multilevel"/>
    <w:tmpl w:val="4D064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8491015">
    <w:abstractNumId w:val="5"/>
  </w:num>
  <w:num w:numId="2" w16cid:durableId="84351714">
    <w:abstractNumId w:val="3"/>
  </w:num>
  <w:num w:numId="3" w16cid:durableId="1605768196">
    <w:abstractNumId w:val="2"/>
  </w:num>
  <w:num w:numId="4" w16cid:durableId="642345570">
    <w:abstractNumId w:val="4"/>
  </w:num>
  <w:num w:numId="5" w16cid:durableId="1012756829">
    <w:abstractNumId w:val="1"/>
  </w:num>
  <w:num w:numId="6" w16cid:durableId="486287206">
    <w:abstractNumId w:val="0"/>
  </w:num>
  <w:num w:numId="7" w16cid:durableId="161967506">
    <w:abstractNumId w:val="37"/>
  </w:num>
  <w:num w:numId="8" w16cid:durableId="1654672684">
    <w:abstractNumId w:val="23"/>
  </w:num>
  <w:num w:numId="9" w16cid:durableId="1666012317">
    <w:abstractNumId w:val="16"/>
  </w:num>
  <w:num w:numId="10" w16cid:durableId="548691087">
    <w:abstractNumId w:val="99"/>
  </w:num>
  <w:num w:numId="11" w16cid:durableId="61371238">
    <w:abstractNumId w:val="155"/>
  </w:num>
  <w:num w:numId="12" w16cid:durableId="108473367">
    <w:abstractNumId w:val="70"/>
  </w:num>
  <w:num w:numId="13" w16cid:durableId="582105007">
    <w:abstractNumId w:val="212"/>
  </w:num>
  <w:num w:numId="14" w16cid:durableId="2029912147">
    <w:abstractNumId w:val="107"/>
  </w:num>
  <w:num w:numId="15" w16cid:durableId="1498497828">
    <w:abstractNumId w:val="28"/>
  </w:num>
  <w:num w:numId="16" w16cid:durableId="84807691">
    <w:abstractNumId w:val="64"/>
  </w:num>
  <w:num w:numId="17" w16cid:durableId="1843470286">
    <w:abstractNumId w:val="161"/>
  </w:num>
  <w:num w:numId="18" w16cid:durableId="2095083127">
    <w:abstractNumId w:val="43"/>
  </w:num>
  <w:num w:numId="19" w16cid:durableId="1248155807">
    <w:abstractNumId w:val="48"/>
  </w:num>
  <w:num w:numId="20" w16cid:durableId="1993678016">
    <w:abstractNumId w:val="73"/>
  </w:num>
  <w:num w:numId="21" w16cid:durableId="11732476">
    <w:abstractNumId w:val="137"/>
  </w:num>
  <w:num w:numId="22" w16cid:durableId="2056733433">
    <w:abstractNumId w:val="277"/>
  </w:num>
  <w:num w:numId="23" w16cid:durableId="169300833">
    <w:abstractNumId w:val="240"/>
  </w:num>
  <w:num w:numId="24" w16cid:durableId="2068145577">
    <w:abstractNumId w:val="131"/>
  </w:num>
  <w:num w:numId="25" w16cid:durableId="1676107620">
    <w:abstractNumId w:val="185"/>
  </w:num>
  <w:num w:numId="26" w16cid:durableId="2001762901">
    <w:abstractNumId w:val="182"/>
  </w:num>
  <w:num w:numId="27" w16cid:durableId="1649555576">
    <w:abstractNumId w:val="63"/>
  </w:num>
  <w:num w:numId="28" w16cid:durableId="869801728">
    <w:abstractNumId w:val="237"/>
  </w:num>
  <w:num w:numId="29" w16cid:durableId="45759559">
    <w:abstractNumId w:val="92"/>
  </w:num>
  <w:num w:numId="30" w16cid:durableId="6058067">
    <w:abstractNumId w:val="266"/>
  </w:num>
  <w:num w:numId="31" w16cid:durableId="1138259842">
    <w:abstractNumId w:val="174"/>
  </w:num>
  <w:num w:numId="32" w16cid:durableId="1582520813">
    <w:abstractNumId w:val="269"/>
  </w:num>
  <w:num w:numId="33" w16cid:durableId="2113935674">
    <w:abstractNumId w:val="62"/>
  </w:num>
  <w:num w:numId="34" w16cid:durableId="2036691898">
    <w:abstractNumId w:val="228"/>
  </w:num>
  <w:num w:numId="35" w16cid:durableId="243880575">
    <w:abstractNumId w:val="231"/>
  </w:num>
  <w:num w:numId="36" w16cid:durableId="333651085">
    <w:abstractNumId w:val="20"/>
  </w:num>
  <w:num w:numId="37" w16cid:durableId="921448328">
    <w:abstractNumId w:val="32"/>
  </w:num>
  <w:num w:numId="38" w16cid:durableId="507410777">
    <w:abstractNumId w:val="72"/>
  </w:num>
  <w:num w:numId="39" w16cid:durableId="1851681519">
    <w:abstractNumId w:val="128"/>
  </w:num>
  <w:num w:numId="40" w16cid:durableId="1553544807">
    <w:abstractNumId w:val="24"/>
  </w:num>
  <w:num w:numId="41" w16cid:durableId="147064259">
    <w:abstractNumId w:val="132"/>
  </w:num>
  <w:num w:numId="42" w16cid:durableId="729381116">
    <w:abstractNumId w:val="135"/>
  </w:num>
  <w:num w:numId="43" w16cid:durableId="75247718">
    <w:abstractNumId w:val="208"/>
  </w:num>
  <w:num w:numId="44" w16cid:durableId="1535726072">
    <w:abstractNumId w:val="51"/>
  </w:num>
  <w:num w:numId="45" w16cid:durableId="487936668">
    <w:abstractNumId w:val="169"/>
  </w:num>
  <w:num w:numId="46" w16cid:durableId="1448895125">
    <w:abstractNumId w:val="222"/>
  </w:num>
  <w:num w:numId="47" w16cid:durableId="1476726928">
    <w:abstractNumId w:val="141"/>
  </w:num>
  <w:num w:numId="48" w16cid:durableId="454174415">
    <w:abstractNumId w:val="17"/>
  </w:num>
  <w:num w:numId="49" w16cid:durableId="316039387">
    <w:abstractNumId w:val="8"/>
  </w:num>
  <w:num w:numId="50" w16cid:durableId="700404066">
    <w:abstractNumId w:val="225"/>
  </w:num>
  <w:num w:numId="51" w16cid:durableId="1774858470">
    <w:abstractNumId w:val="181"/>
  </w:num>
  <w:num w:numId="52" w16cid:durableId="819463925">
    <w:abstractNumId w:val="22"/>
  </w:num>
  <w:num w:numId="53" w16cid:durableId="481968297">
    <w:abstractNumId w:val="85"/>
  </w:num>
  <w:num w:numId="54" w16cid:durableId="1854758094">
    <w:abstractNumId w:val="219"/>
  </w:num>
  <w:num w:numId="55" w16cid:durableId="1691954128">
    <w:abstractNumId w:val="29"/>
  </w:num>
  <w:num w:numId="56" w16cid:durableId="339822736">
    <w:abstractNumId w:val="260"/>
  </w:num>
  <w:num w:numId="57" w16cid:durableId="936326518">
    <w:abstractNumId w:val="246"/>
  </w:num>
  <w:num w:numId="58" w16cid:durableId="2007896094">
    <w:abstractNumId w:val="80"/>
  </w:num>
  <w:num w:numId="59" w16cid:durableId="1286429013">
    <w:abstractNumId w:val="186"/>
  </w:num>
  <w:num w:numId="60" w16cid:durableId="2018341750">
    <w:abstractNumId w:val="206"/>
  </w:num>
  <w:num w:numId="61" w16cid:durableId="1925260408">
    <w:abstractNumId w:val="114"/>
  </w:num>
  <w:num w:numId="62" w16cid:durableId="280380257">
    <w:abstractNumId w:val="120"/>
  </w:num>
  <w:num w:numId="63" w16cid:durableId="771242443">
    <w:abstractNumId w:val="75"/>
  </w:num>
  <w:num w:numId="64" w16cid:durableId="1393384810">
    <w:abstractNumId w:val="265"/>
  </w:num>
  <w:num w:numId="65" w16cid:durableId="2557287">
    <w:abstractNumId w:val="238"/>
  </w:num>
  <w:num w:numId="66" w16cid:durableId="965163590">
    <w:abstractNumId w:val="203"/>
  </w:num>
  <w:num w:numId="67" w16cid:durableId="1331562206">
    <w:abstractNumId w:val="151"/>
  </w:num>
  <w:num w:numId="68" w16cid:durableId="1518883">
    <w:abstractNumId w:val="201"/>
  </w:num>
  <w:num w:numId="69" w16cid:durableId="2115782954">
    <w:abstractNumId w:val="189"/>
  </w:num>
  <w:num w:numId="70" w16cid:durableId="1123693588">
    <w:abstractNumId w:val="46"/>
  </w:num>
  <w:num w:numId="71" w16cid:durableId="297079501">
    <w:abstractNumId w:val="258"/>
  </w:num>
  <w:num w:numId="72" w16cid:durableId="1022322702">
    <w:abstractNumId w:val="14"/>
  </w:num>
  <w:num w:numId="73" w16cid:durableId="70390244">
    <w:abstractNumId w:val="279"/>
  </w:num>
  <w:num w:numId="74" w16cid:durableId="505635955">
    <w:abstractNumId w:val="271"/>
  </w:num>
  <w:num w:numId="75" w16cid:durableId="434793603">
    <w:abstractNumId w:val="196"/>
  </w:num>
  <w:num w:numId="76" w16cid:durableId="2011368638">
    <w:abstractNumId w:val="106"/>
  </w:num>
  <w:num w:numId="77" w16cid:durableId="426854814">
    <w:abstractNumId w:val="18"/>
  </w:num>
  <w:num w:numId="78" w16cid:durableId="1671104143">
    <w:abstractNumId w:val="263"/>
  </w:num>
  <w:num w:numId="79" w16cid:durableId="593828022">
    <w:abstractNumId w:val="243"/>
  </w:num>
  <w:num w:numId="80" w16cid:durableId="131296243">
    <w:abstractNumId w:val="101"/>
  </w:num>
  <w:num w:numId="81" w16cid:durableId="783155653">
    <w:abstractNumId w:val="21"/>
  </w:num>
  <w:num w:numId="82" w16cid:durableId="926839514">
    <w:abstractNumId w:val="233"/>
  </w:num>
  <w:num w:numId="83" w16cid:durableId="1096898425">
    <w:abstractNumId w:val="191"/>
  </w:num>
  <w:num w:numId="84" w16cid:durableId="335964702">
    <w:abstractNumId w:val="276"/>
  </w:num>
  <w:num w:numId="85" w16cid:durableId="1490441654">
    <w:abstractNumId w:val="91"/>
  </w:num>
  <w:num w:numId="86" w16cid:durableId="856895128">
    <w:abstractNumId w:val="142"/>
  </w:num>
  <w:num w:numId="87" w16cid:durableId="383716292">
    <w:abstractNumId w:val="122"/>
  </w:num>
  <w:num w:numId="88" w16cid:durableId="721713265">
    <w:abstractNumId w:val="210"/>
  </w:num>
  <w:num w:numId="89" w16cid:durableId="1677918694">
    <w:abstractNumId w:val="157"/>
  </w:num>
  <w:num w:numId="90" w16cid:durableId="1641766998">
    <w:abstractNumId w:val="250"/>
  </w:num>
  <w:num w:numId="91" w16cid:durableId="118961656">
    <w:abstractNumId w:val="270"/>
  </w:num>
  <w:num w:numId="92" w16cid:durableId="1121221816">
    <w:abstractNumId w:val="116"/>
  </w:num>
  <w:num w:numId="93" w16cid:durableId="1666274274">
    <w:abstractNumId w:val="168"/>
  </w:num>
  <w:num w:numId="94" w16cid:durableId="1571768684">
    <w:abstractNumId w:val="30"/>
  </w:num>
  <w:num w:numId="95" w16cid:durableId="2046560411">
    <w:abstractNumId w:val="149"/>
  </w:num>
  <w:num w:numId="96" w16cid:durableId="1473788058">
    <w:abstractNumId w:val="274"/>
  </w:num>
  <w:num w:numId="97" w16cid:durableId="1519393117">
    <w:abstractNumId w:val="15"/>
  </w:num>
  <w:num w:numId="98" w16cid:durableId="1273392720">
    <w:abstractNumId w:val="146"/>
  </w:num>
  <w:num w:numId="99" w16cid:durableId="1728264480">
    <w:abstractNumId w:val="104"/>
  </w:num>
  <w:num w:numId="100" w16cid:durableId="535509011">
    <w:abstractNumId w:val="6"/>
  </w:num>
  <w:num w:numId="101" w16cid:durableId="320306849">
    <w:abstractNumId w:val="103"/>
  </w:num>
  <w:num w:numId="102" w16cid:durableId="945506646">
    <w:abstractNumId w:val="111"/>
  </w:num>
  <w:num w:numId="103" w16cid:durableId="430245700">
    <w:abstractNumId w:val="138"/>
  </w:num>
  <w:num w:numId="104" w16cid:durableId="77017597">
    <w:abstractNumId w:val="245"/>
  </w:num>
  <w:num w:numId="105" w16cid:durableId="17657857">
    <w:abstractNumId w:val="247"/>
  </w:num>
  <w:num w:numId="106" w16cid:durableId="731930458">
    <w:abstractNumId w:val="82"/>
  </w:num>
  <w:num w:numId="107" w16cid:durableId="1046374023">
    <w:abstractNumId w:val="224"/>
  </w:num>
  <w:num w:numId="108" w16cid:durableId="112526793">
    <w:abstractNumId w:val="98"/>
  </w:num>
  <w:num w:numId="109" w16cid:durableId="37440713">
    <w:abstractNumId w:val="9"/>
  </w:num>
  <w:num w:numId="110" w16cid:durableId="718476457">
    <w:abstractNumId w:val="218"/>
  </w:num>
  <w:num w:numId="111" w16cid:durableId="1715808236">
    <w:abstractNumId w:val="115"/>
  </w:num>
  <w:num w:numId="112" w16cid:durableId="1249464252">
    <w:abstractNumId w:val="41"/>
  </w:num>
  <w:num w:numId="113" w16cid:durableId="1777169481">
    <w:abstractNumId w:val="74"/>
  </w:num>
  <w:num w:numId="114" w16cid:durableId="47144407">
    <w:abstractNumId w:val="259"/>
  </w:num>
  <w:num w:numId="115" w16cid:durableId="1388727608">
    <w:abstractNumId w:val="143"/>
  </w:num>
  <w:num w:numId="116" w16cid:durableId="1254364316">
    <w:abstractNumId w:val="39"/>
  </w:num>
  <w:num w:numId="117" w16cid:durableId="34741949">
    <w:abstractNumId w:val="148"/>
  </w:num>
  <w:num w:numId="118" w16cid:durableId="1322464428">
    <w:abstractNumId w:val="262"/>
  </w:num>
  <w:num w:numId="119" w16cid:durableId="1696006309">
    <w:abstractNumId w:val="180"/>
  </w:num>
  <w:num w:numId="120" w16cid:durableId="1470437516">
    <w:abstractNumId w:val="229"/>
  </w:num>
  <w:num w:numId="121" w16cid:durableId="552077762">
    <w:abstractNumId w:val="221"/>
  </w:num>
  <w:num w:numId="122" w16cid:durableId="604851990">
    <w:abstractNumId w:val="52"/>
  </w:num>
  <w:num w:numId="123" w16cid:durableId="643849863">
    <w:abstractNumId w:val="162"/>
  </w:num>
  <w:num w:numId="124" w16cid:durableId="272708463">
    <w:abstractNumId w:val="87"/>
  </w:num>
  <w:num w:numId="125" w16cid:durableId="689650609">
    <w:abstractNumId w:val="171"/>
  </w:num>
  <w:num w:numId="126" w16cid:durableId="19556005">
    <w:abstractNumId w:val="38"/>
  </w:num>
  <w:num w:numId="127" w16cid:durableId="1446773018">
    <w:abstractNumId w:val="55"/>
  </w:num>
  <w:num w:numId="128" w16cid:durableId="994526221">
    <w:abstractNumId w:val="236"/>
  </w:num>
  <w:num w:numId="129" w16cid:durableId="1809282287">
    <w:abstractNumId w:val="35"/>
  </w:num>
  <w:num w:numId="130" w16cid:durableId="128405798">
    <w:abstractNumId w:val="179"/>
  </w:num>
  <w:num w:numId="131" w16cid:durableId="859243378">
    <w:abstractNumId w:val="192"/>
  </w:num>
  <w:num w:numId="132" w16cid:durableId="1063790613">
    <w:abstractNumId w:val="160"/>
  </w:num>
  <w:num w:numId="133" w16cid:durableId="1792823278">
    <w:abstractNumId w:val="158"/>
  </w:num>
  <w:num w:numId="134" w16cid:durableId="1681927343">
    <w:abstractNumId w:val="53"/>
  </w:num>
  <w:num w:numId="135" w16cid:durableId="582032817">
    <w:abstractNumId w:val="230"/>
  </w:num>
  <w:num w:numId="136" w16cid:durableId="1911112207">
    <w:abstractNumId w:val="40"/>
  </w:num>
  <w:num w:numId="137" w16cid:durableId="1449934650">
    <w:abstractNumId w:val="86"/>
  </w:num>
  <w:num w:numId="138" w16cid:durableId="637304001">
    <w:abstractNumId w:val="176"/>
  </w:num>
  <w:num w:numId="139" w16cid:durableId="1012147331">
    <w:abstractNumId w:val="234"/>
  </w:num>
  <w:num w:numId="140" w16cid:durableId="1643002251">
    <w:abstractNumId w:val="227"/>
  </w:num>
  <w:num w:numId="141" w16cid:durableId="1902935086">
    <w:abstractNumId w:val="184"/>
  </w:num>
  <w:num w:numId="142" w16cid:durableId="1598440186">
    <w:abstractNumId w:val="110"/>
  </w:num>
  <w:num w:numId="143" w16cid:durableId="1407336225">
    <w:abstractNumId w:val="112"/>
  </w:num>
  <w:num w:numId="144" w16cid:durableId="954021841">
    <w:abstractNumId w:val="144"/>
  </w:num>
  <w:num w:numId="145" w16cid:durableId="1727297155">
    <w:abstractNumId w:val="7"/>
  </w:num>
  <w:num w:numId="146" w16cid:durableId="236405088">
    <w:abstractNumId w:val="190"/>
  </w:num>
  <w:num w:numId="147" w16cid:durableId="305936534">
    <w:abstractNumId w:val="156"/>
  </w:num>
  <w:num w:numId="148" w16cid:durableId="570233919">
    <w:abstractNumId w:val="81"/>
  </w:num>
  <w:num w:numId="149" w16cid:durableId="766079586">
    <w:abstractNumId w:val="200"/>
  </w:num>
  <w:num w:numId="150" w16cid:durableId="1964388088">
    <w:abstractNumId w:val="10"/>
  </w:num>
  <w:num w:numId="151" w16cid:durableId="873466231">
    <w:abstractNumId w:val="33"/>
  </w:num>
  <w:num w:numId="152" w16cid:durableId="147406788">
    <w:abstractNumId w:val="119"/>
  </w:num>
  <w:num w:numId="153" w16cid:durableId="1471826946">
    <w:abstractNumId w:val="209"/>
  </w:num>
  <w:num w:numId="154" w16cid:durableId="1928228040">
    <w:abstractNumId w:val="193"/>
  </w:num>
  <w:num w:numId="155" w16cid:durableId="911695814">
    <w:abstractNumId w:val="173"/>
  </w:num>
  <w:num w:numId="156" w16cid:durableId="839734954">
    <w:abstractNumId w:val="27"/>
  </w:num>
  <w:num w:numId="157" w16cid:durableId="1897356403">
    <w:abstractNumId w:val="253"/>
  </w:num>
  <w:num w:numId="158" w16cid:durableId="675614806">
    <w:abstractNumId w:val="251"/>
  </w:num>
  <w:num w:numId="159" w16cid:durableId="16808161">
    <w:abstractNumId w:val="57"/>
  </w:num>
  <w:num w:numId="160" w16cid:durableId="1717391424">
    <w:abstractNumId w:val="94"/>
  </w:num>
  <w:num w:numId="161" w16cid:durableId="1644775204">
    <w:abstractNumId w:val="214"/>
  </w:num>
  <w:num w:numId="162" w16cid:durableId="512232147">
    <w:abstractNumId w:val="213"/>
  </w:num>
  <w:num w:numId="163" w16cid:durableId="839000833">
    <w:abstractNumId w:val="252"/>
  </w:num>
  <w:num w:numId="164" w16cid:durableId="1813713772">
    <w:abstractNumId w:val="117"/>
  </w:num>
  <w:num w:numId="165" w16cid:durableId="1064374467">
    <w:abstractNumId w:val="60"/>
  </w:num>
  <w:num w:numId="166" w16cid:durableId="383143573">
    <w:abstractNumId w:val="49"/>
  </w:num>
  <w:num w:numId="167" w16cid:durableId="1803571757">
    <w:abstractNumId w:val="198"/>
  </w:num>
  <w:num w:numId="168" w16cid:durableId="65878876">
    <w:abstractNumId w:val="47"/>
  </w:num>
  <w:num w:numId="169" w16cid:durableId="1609657644">
    <w:abstractNumId w:val="216"/>
  </w:num>
  <w:num w:numId="170" w16cid:durableId="769350087">
    <w:abstractNumId w:val="34"/>
  </w:num>
  <w:num w:numId="171" w16cid:durableId="122845731">
    <w:abstractNumId w:val="109"/>
  </w:num>
  <w:num w:numId="172" w16cid:durableId="1472553466">
    <w:abstractNumId w:val="242"/>
  </w:num>
  <w:num w:numId="173" w16cid:durableId="1736855787">
    <w:abstractNumId w:val="244"/>
  </w:num>
  <w:num w:numId="174" w16cid:durableId="210119609">
    <w:abstractNumId w:val="26"/>
  </w:num>
  <w:num w:numId="175" w16cid:durableId="336423790">
    <w:abstractNumId w:val="78"/>
  </w:num>
  <w:num w:numId="176" w16cid:durableId="2014412015">
    <w:abstractNumId w:val="71"/>
  </w:num>
  <w:num w:numId="177" w16cid:durableId="1994287875">
    <w:abstractNumId w:val="36"/>
  </w:num>
  <w:num w:numId="178" w16cid:durableId="166024558">
    <w:abstractNumId w:val="77"/>
  </w:num>
  <w:num w:numId="179" w16cid:durableId="583732178">
    <w:abstractNumId w:val="105"/>
  </w:num>
  <w:num w:numId="180" w16cid:durableId="1458987852">
    <w:abstractNumId w:val="93"/>
  </w:num>
  <w:num w:numId="181" w16cid:durableId="574898446">
    <w:abstractNumId w:val="31"/>
  </w:num>
  <w:num w:numId="182" w16cid:durableId="2012247011">
    <w:abstractNumId w:val="65"/>
  </w:num>
  <w:num w:numId="183" w16cid:durableId="201678395">
    <w:abstractNumId w:val="84"/>
  </w:num>
  <w:num w:numId="184" w16cid:durableId="1039817026">
    <w:abstractNumId w:val="248"/>
  </w:num>
  <w:num w:numId="185" w16cid:durableId="1038550414">
    <w:abstractNumId w:val="150"/>
  </w:num>
  <w:num w:numId="186" w16cid:durableId="81024444">
    <w:abstractNumId w:val="136"/>
  </w:num>
  <w:num w:numId="187" w16cid:durableId="792018498">
    <w:abstractNumId w:val="59"/>
  </w:num>
  <w:num w:numId="188" w16cid:durableId="927809595">
    <w:abstractNumId w:val="159"/>
  </w:num>
  <w:num w:numId="189" w16cid:durableId="827333059">
    <w:abstractNumId w:val="13"/>
  </w:num>
  <w:num w:numId="190" w16cid:durableId="443424728">
    <w:abstractNumId w:val="145"/>
  </w:num>
  <w:num w:numId="191" w16cid:durableId="393236199">
    <w:abstractNumId w:val="147"/>
  </w:num>
  <w:num w:numId="192" w16cid:durableId="817308149">
    <w:abstractNumId w:val="202"/>
  </w:num>
  <w:num w:numId="193" w16cid:durableId="1089160154">
    <w:abstractNumId w:val="134"/>
  </w:num>
  <w:num w:numId="194" w16cid:durableId="1956280868">
    <w:abstractNumId w:val="264"/>
  </w:num>
  <w:num w:numId="195" w16cid:durableId="958486926">
    <w:abstractNumId w:val="261"/>
  </w:num>
  <w:num w:numId="196" w16cid:durableId="1398283654">
    <w:abstractNumId w:val="163"/>
  </w:num>
  <w:num w:numId="197" w16cid:durableId="763763791">
    <w:abstractNumId w:val="133"/>
  </w:num>
  <w:num w:numId="198" w16cid:durableId="1735662518">
    <w:abstractNumId w:val="121"/>
  </w:num>
  <w:num w:numId="199" w16cid:durableId="409927783">
    <w:abstractNumId w:val="76"/>
  </w:num>
  <w:num w:numId="200" w16cid:durableId="1045714388">
    <w:abstractNumId w:val="211"/>
  </w:num>
  <w:num w:numId="201" w16cid:durableId="755785882">
    <w:abstractNumId w:val="139"/>
  </w:num>
  <w:num w:numId="202" w16cid:durableId="1271821670">
    <w:abstractNumId w:val="69"/>
  </w:num>
  <w:num w:numId="203" w16cid:durableId="357701019">
    <w:abstractNumId w:val="44"/>
  </w:num>
  <w:num w:numId="204" w16cid:durableId="619073817">
    <w:abstractNumId w:val="207"/>
  </w:num>
  <w:num w:numId="205" w16cid:durableId="370344361">
    <w:abstractNumId w:val="275"/>
  </w:num>
  <w:num w:numId="206" w16cid:durableId="91437608">
    <w:abstractNumId w:val="197"/>
  </w:num>
  <w:num w:numId="207" w16cid:durableId="958536857">
    <w:abstractNumId w:val="170"/>
  </w:num>
  <w:num w:numId="208" w16cid:durableId="1597861940">
    <w:abstractNumId w:val="153"/>
  </w:num>
  <w:num w:numId="209" w16cid:durableId="1860506142">
    <w:abstractNumId w:val="125"/>
  </w:num>
  <w:num w:numId="210" w16cid:durableId="1894733575">
    <w:abstractNumId w:val="254"/>
  </w:num>
  <w:num w:numId="211" w16cid:durableId="737240705">
    <w:abstractNumId w:val="118"/>
  </w:num>
  <w:num w:numId="212" w16cid:durableId="2093115174">
    <w:abstractNumId w:val="154"/>
  </w:num>
  <w:num w:numId="213" w16cid:durableId="1512184148">
    <w:abstractNumId w:val="177"/>
  </w:num>
  <w:num w:numId="214" w16cid:durableId="766275155">
    <w:abstractNumId w:val="172"/>
  </w:num>
  <w:num w:numId="215" w16cid:durableId="1464619707">
    <w:abstractNumId w:val="19"/>
  </w:num>
  <w:num w:numId="216" w16cid:durableId="1307662750">
    <w:abstractNumId w:val="127"/>
  </w:num>
  <w:num w:numId="217" w16cid:durableId="1636838643">
    <w:abstractNumId w:val="45"/>
  </w:num>
  <w:num w:numId="218" w16cid:durableId="100300509">
    <w:abstractNumId w:val="178"/>
  </w:num>
  <w:num w:numId="219" w16cid:durableId="1536968998">
    <w:abstractNumId w:val="255"/>
  </w:num>
  <w:num w:numId="220" w16cid:durableId="1260601111">
    <w:abstractNumId w:val="54"/>
  </w:num>
  <w:num w:numId="221" w16cid:durableId="595094547">
    <w:abstractNumId w:val="215"/>
  </w:num>
  <w:num w:numId="222" w16cid:durableId="655306223">
    <w:abstractNumId w:val="175"/>
  </w:num>
  <w:num w:numId="223" w16cid:durableId="2029719025">
    <w:abstractNumId w:val="11"/>
  </w:num>
  <w:num w:numId="224" w16cid:durableId="1716923847">
    <w:abstractNumId w:val="199"/>
  </w:num>
  <w:num w:numId="225" w16cid:durableId="2137916641">
    <w:abstractNumId w:val="187"/>
  </w:num>
  <w:num w:numId="226" w16cid:durableId="1205101373">
    <w:abstractNumId w:val="256"/>
  </w:num>
  <w:num w:numId="227" w16cid:durableId="1331248462">
    <w:abstractNumId w:val="42"/>
  </w:num>
  <w:num w:numId="228" w16cid:durableId="1067650850">
    <w:abstractNumId w:val="278"/>
  </w:num>
  <w:num w:numId="229" w16cid:durableId="2103640649">
    <w:abstractNumId w:val="194"/>
  </w:num>
  <w:num w:numId="230" w16cid:durableId="880482181">
    <w:abstractNumId w:val="239"/>
  </w:num>
  <w:num w:numId="231" w16cid:durableId="2135559129">
    <w:abstractNumId w:val="126"/>
  </w:num>
  <w:num w:numId="232" w16cid:durableId="1836719711">
    <w:abstractNumId w:val="217"/>
  </w:num>
  <w:num w:numId="233" w16cid:durableId="479157312">
    <w:abstractNumId w:val="130"/>
  </w:num>
  <w:num w:numId="234" w16cid:durableId="1654872760">
    <w:abstractNumId w:val="61"/>
  </w:num>
  <w:num w:numId="235" w16cid:durableId="1446849230">
    <w:abstractNumId w:val="140"/>
  </w:num>
  <w:num w:numId="236" w16cid:durableId="1748382968">
    <w:abstractNumId w:val="195"/>
  </w:num>
  <w:num w:numId="237" w16cid:durableId="1872763295">
    <w:abstractNumId w:val="68"/>
  </w:num>
  <w:num w:numId="238" w16cid:durableId="707527734">
    <w:abstractNumId w:val="113"/>
  </w:num>
  <w:num w:numId="239" w16cid:durableId="1631354066">
    <w:abstractNumId w:val="204"/>
  </w:num>
  <w:num w:numId="240" w16cid:durableId="1669139553">
    <w:abstractNumId w:val="25"/>
  </w:num>
  <w:num w:numId="241" w16cid:durableId="1045985230">
    <w:abstractNumId w:val="257"/>
  </w:num>
  <w:num w:numId="242" w16cid:durableId="365644339">
    <w:abstractNumId w:val="152"/>
  </w:num>
  <w:num w:numId="243" w16cid:durableId="1996567304">
    <w:abstractNumId w:val="232"/>
  </w:num>
  <w:num w:numId="244" w16cid:durableId="1189566130">
    <w:abstractNumId w:val="83"/>
  </w:num>
  <w:num w:numId="245" w16cid:durableId="1015351393">
    <w:abstractNumId w:val="56"/>
  </w:num>
  <w:num w:numId="246" w16cid:durableId="2009361115">
    <w:abstractNumId w:val="89"/>
  </w:num>
  <w:num w:numId="247" w16cid:durableId="1708410782">
    <w:abstractNumId w:val="102"/>
  </w:num>
  <w:num w:numId="248" w16cid:durableId="81806845">
    <w:abstractNumId w:val="100"/>
  </w:num>
  <w:num w:numId="249" w16cid:durableId="331032954">
    <w:abstractNumId w:val="235"/>
  </w:num>
  <w:num w:numId="250" w16cid:durableId="190070588">
    <w:abstractNumId w:val="88"/>
  </w:num>
  <w:num w:numId="251" w16cid:durableId="665592526">
    <w:abstractNumId w:val="267"/>
  </w:num>
  <w:num w:numId="252" w16cid:durableId="1401706843">
    <w:abstractNumId w:val="167"/>
  </w:num>
  <w:num w:numId="253" w16cid:durableId="1280525501">
    <w:abstractNumId w:val="166"/>
  </w:num>
  <w:num w:numId="254" w16cid:durableId="1913003561">
    <w:abstractNumId w:val="97"/>
  </w:num>
  <w:num w:numId="255" w16cid:durableId="1834836829">
    <w:abstractNumId w:val="124"/>
  </w:num>
  <w:num w:numId="256" w16cid:durableId="714234438">
    <w:abstractNumId w:val="273"/>
  </w:num>
  <w:num w:numId="257" w16cid:durableId="1021785342">
    <w:abstractNumId w:val="205"/>
  </w:num>
  <w:num w:numId="258" w16cid:durableId="1965193337">
    <w:abstractNumId w:val="95"/>
  </w:num>
  <w:num w:numId="259" w16cid:durableId="784693156">
    <w:abstractNumId w:val="50"/>
  </w:num>
  <w:num w:numId="260" w16cid:durableId="390662328">
    <w:abstractNumId w:val="90"/>
  </w:num>
  <w:num w:numId="261" w16cid:durableId="1775981652">
    <w:abstractNumId w:val="165"/>
  </w:num>
  <w:num w:numId="262" w16cid:durableId="1795099029">
    <w:abstractNumId w:val="164"/>
  </w:num>
  <w:num w:numId="263" w16cid:durableId="1972199799">
    <w:abstractNumId w:val="188"/>
  </w:num>
  <w:num w:numId="264" w16cid:durableId="1569028370">
    <w:abstractNumId w:val="241"/>
  </w:num>
  <w:num w:numId="265" w16cid:durableId="582763403">
    <w:abstractNumId w:val="223"/>
  </w:num>
  <w:num w:numId="266" w16cid:durableId="1613588000">
    <w:abstractNumId w:val="108"/>
  </w:num>
  <w:num w:numId="267" w16cid:durableId="1231308041">
    <w:abstractNumId w:val="67"/>
  </w:num>
  <w:num w:numId="268" w16cid:durableId="1188641609">
    <w:abstractNumId w:val="96"/>
  </w:num>
  <w:num w:numId="269" w16cid:durableId="1385908040">
    <w:abstractNumId w:val="249"/>
  </w:num>
  <w:num w:numId="270" w16cid:durableId="1634747654">
    <w:abstractNumId w:val="129"/>
  </w:num>
  <w:num w:numId="271" w16cid:durableId="2116367288">
    <w:abstractNumId w:val="226"/>
  </w:num>
  <w:num w:numId="272" w16cid:durableId="981034131">
    <w:abstractNumId w:val="66"/>
  </w:num>
  <w:num w:numId="273" w16cid:durableId="908730309">
    <w:abstractNumId w:val="58"/>
  </w:num>
  <w:num w:numId="274" w16cid:durableId="437530952">
    <w:abstractNumId w:val="268"/>
  </w:num>
  <w:num w:numId="275" w16cid:durableId="1451775174">
    <w:abstractNumId w:val="183"/>
  </w:num>
  <w:num w:numId="276" w16cid:durableId="1603417804">
    <w:abstractNumId w:val="220"/>
  </w:num>
  <w:num w:numId="277" w16cid:durableId="839351365">
    <w:abstractNumId w:val="79"/>
  </w:num>
  <w:num w:numId="278" w16cid:durableId="428547535">
    <w:abstractNumId w:val="123"/>
  </w:num>
  <w:num w:numId="279" w16cid:durableId="1155756529">
    <w:abstractNumId w:val="12"/>
  </w:num>
  <w:num w:numId="280" w16cid:durableId="350305240">
    <w:abstractNumId w:val="272"/>
  </w:num>
  <w:numIdMacAtCleanup w:val="24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mes Punch">
    <w15:presenceInfo w15:providerId="AD" w15:userId="S::James.Punch@ibchealthcare.co.uk::9b76cb92-a19a-45b4-8afe-c05c595e7b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7CB"/>
    <w:rsid w:val="00000A3B"/>
    <w:rsid w:val="00000AD3"/>
    <w:rsid w:val="00004620"/>
    <w:rsid w:val="000048F5"/>
    <w:rsid w:val="00005022"/>
    <w:rsid w:val="00007243"/>
    <w:rsid w:val="000122A2"/>
    <w:rsid w:val="00012A99"/>
    <w:rsid w:val="00013BD9"/>
    <w:rsid w:val="000145D1"/>
    <w:rsid w:val="000156FA"/>
    <w:rsid w:val="0001692E"/>
    <w:rsid w:val="00016F66"/>
    <w:rsid w:val="0001748F"/>
    <w:rsid w:val="00017C5E"/>
    <w:rsid w:val="000205CF"/>
    <w:rsid w:val="00020818"/>
    <w:rsid w:val="00020EFF"/>
    <w:rsid w:val="000224A6"/>
    <w:rsid w:val="0002373F"/>
    <w:rsid w:val="000242D0"/>
    <w:rsid w:val="000249EE"/>
    <w:rsid w:val="00025275"/>
    <w:rsid w:val="0002592E"/>
    <w:rsid w:val="000320C5"/>
    <w:rsid w:val="00032E12"/>
    <w:rsid w:val="00032F48"/>
    <w:rsid w:val="000333A1"/>
    <w:rsid w:val="00034616"/>
    <w:rsid w:val="00034964"/>
    <w:rsid w:val="00036102"/>
    <w:rsid w:val="00037508"/>
    <w:rsid w:val="0003798A"/>
    <w:rsid w:val="0004026E"/>
    <w:rsid w:val="00040A98"/>
    <w:rsid w:val="00041241"/>
    <w:rsid w:val="000419FC"/>
    <w:rsid w:val="00042A0E"/>
    <w:rsid w:val="000436FB"/>
    <w:rsid w:val="0004531E"/>
    <w:rsid w:val="00045C75"/>
    <w:rsid w:val="0005139E"/>
    <w:rsid w:val="00051619"/>
    <w:rsid w:val="00052F5E"/>
    <w:rsid w:val="000535BA"/>
    <w:rsid w:val="00054395"/>
    <w:rsid w:val="000545E6"/>
    <w:rsid w:val="000550EB"/>
    <w:rsid w:val="000554CB"/>
    <w:rsid w:val="000561EC"/>
    <w:rsid w:val="0005645B"/>
    <w:rsid w:val="00057B5C"/>
    <w:rsid w:val="00057E7F"/>
    <w:rsid w:val="0006063C"/>
    <w:rsid w:val="00060FAF"/>
    <w:rsid w:val="000618B8"/>
    <w:rsid w:val="00063FAC"/>
    <w:rsid w:val="00066C2E"/>
    <w:rsid w:val="00071603"/>
    <w:rsid w:val="00071741"/>
    <w:rsid w:val="00073EEF"/>
    <w:rsid w:val="0007482B"/>
    <w:rsid w:val="0007519E"/>
    <w:rsid w:val="00075C7C"/>
    <w:rsid w:val="0007619C"/>
    <w:rsid w:val="000762E9"/>
    <w:rsid w:val="0007632D"/>
    <w:rsid w:val="0008088C"/>
    <w:rsid w:val="00081576"/>
    <w:rsid w:val="00081A1E"/>
    <w:rsid w:val="00084265"/>
    <w:rsid w:val="0008479C"/>
    <w:rsid w:val="00084A4E"/>
    <w:rsid w:val="000852A4"/>
    <w:rsid w:val="00085EB8"/>
    <w:rsid w:val="00086899"/>
    <w:rsid w:val="0009158B"/>
    <w:rsid w:val="00091A28"/>
    <w:rsid w:val="00091B3A"/>
    <w:rsid w:val="00091D86"/>
    <w:rsid w:val="000931E1"/>
    <w:rsid w:val="00095FF6"/>
    <w:rsid w:val="00096FBF"/>
    <w:rsid w:val="00097C2C"/>
    <w:rsid w:val="000A29E5"/>
    <w:rsid w:val="000A32EB"/>
    <w:rsid w:val="000A3BF9"/>
    <w:rsid w:val="000A416A"/>
    <w:rsid w:val="000A4910"/>
    <w:rsid w:val="000A580B"/>
    <w:rsid w:val="000A663D"/>
    <w:rsid w:val="000A6836"/>
    <w:rsid w:val="000A68AB"/>
    <w:rsid w:val="000B01AE"/>
    <w:rsid w:val="000B0D7F"/>
    <w:rsid w:val="000B11FE"/>
    <w:rsid w:val="000B15E8"/>
    <w:rsid w:val="000B3812"/>
    <w:rsid w:val="000B3910"/>
    <w:rsid w:val="000B411C"/>
    <w:rsid w:val="000B48B5"/>
    <w:rsid w:val="000B4920"/>
    <w:rsid w:val="000B576C"/>
    <w:rsid w:val="000B61F2"/>
    <w:rsid w:val="000B6F69"/>
    <w:rsid w:val="000B72F2"/>
    <w:rsid w:val="000C0473"/>
    <w:rsid w:val="000C0892"/>
    <w:rsid w:val="000C0CB9"/>
    <w:rsid w:val="000C0DDA"/>
    <w:rsid w:val="000C1080"/>
    <w:rsid w:val="000C10C2"/>
    <w:rsid w:val="000C1188"/>
    <w:rsid w:val="000C364C"/>
    <w:rsid w:val="000C3E7D"/>
    <w:rsid w:val="000C4DE7"/>
    <w:rsid w:val="000C60D0"/>
    <w:rsid w:val="000C6847"/>
    <w:rsid w:val="000C73D5"/>
    <w:rsid w:val="000D0165"/>
    <w:rsid w:val="000D23B6"/>
    <w:rsid w:val="000D3037"/>
    <w:rsid w:val="000D33B4"/>
    <w:rsid w:val="000D3610"/>
    <w:rsid w:val="000D4EB8"/>
    <w:rsid w:val="000D56B7"/>
    <w:rsid w:val="000D6531"/>
    <w:rsid w:val="000D69CE"/>
    <w:rsid w:val="000D7EE2"/>
    <w:rsid w:val="000E0972"/>
    <w:rsid w:val="000E17EB"/>
    <w:rsid w:val="000E1EAA"/>
    <w:rsid w:val="000E2DFC"/>
    <w:rsid w:val="000E2E8B"/>
    <w:rsid w:val="000E34D8"/>
    <w:rsid w:val="000E41A9"/>
    <w:rsid w:val="000E4CD5"/>
    <w:rsid w:val="000E5324"/>
    <w:rsid w:val="000E6012"/>
    <w:rsid w:val="000E6B8D"/>
    <w:rsid w:val="000F22B2"/>
    <w:rsid w:val="000F3578"/>
    <w:rsid w:val="000F4579"/>
    <w:rsid w:val="000F4A17"/>
    <w:rsid w:val="000F5BC0"/>
    <w:rsid w:val="000F5C96"/>
    <w:rsid w:val="000F6993"/>
    <w:rsid w:val="000F77EE"/>
    <w:rsid w:val="0010086C"/>
    <w:rsid w:val="00101010"/>
    <w:rsid w:val="0010101C"/>
    <w:rsid w:val="00101683"/>
    <w:rsid w:val="00101A71"/>
    <w:rsid w:val="00101D12"/>
    <w:rsid w:val="00104463"/>
    <w:rsid w:val="0010496C"/>
    <w:rsid w:val="0010497A"/>
    <w:rsid w:val="00104FE8"/>
    <w:rsid w:val="001075CA"/>
    <w:rsid w:val="001076B5"/>
    <w:rsid w:val="00110C44"/>
    <w:rsid w:val="0011132F"/>
    <w:rsid w:val="00111E67"/>
    <w:rsid w:val="00112C52"/>
    <w:rsid w:val="00114300"/>
    <w:rsid w:val="00116A0F"/>
    <w:rsid w:val="001176EC"/>
    <w:rsid w:val="0011773D"/>
    <w:rsid w:val="00117A73"/>
    <w:rsid w:val="001203CD"/>
    <w:rsid w:val="001203D2"/>
    <w:rsid w:val="001217A5"/>
    <w:rsid w:val="001230E5"/>
    <w:rsid w:val="00123174"/>
    <w:rsid w:val="00123B4F"/>
    <w:rsid w:val="00123C4C"/>
    <w:rsid w:val="00123CDE"/>
    <w:rsid w:val="00123E30"/>
    <w:rsid w:val="001243F6"/>
    <w:rsid w:val="00126CEB"/>
    <w:rsid w:val="001277C8"/>
    <w:rsid w:val="00127A45"/>
    <w:rsid w:val="00127CE2"/>
    <w:rsid w:val="0013070E"/>
    <w:rsid w:val="00130B58"/>
    <w:rsid w:val="001310C7"/>
    <w:rsid w:val="001327B6"/>
    <w:rsid w:val="00133515"/>
    <w:rsid w:val="001347EF"/>
    <w:rsid w:val="00135A93"/>
    <w:rsid w:val="00140FA8"/>
    <w:rsid w:val="00143A89"/>
    <w:rsid w:val="00145035"/>
    <w:rsid w:val="001455BE"/>
    <w:rsid w:val="00145E50"/>
    <w:rsid w:val="0015074B"/>
    <w:rsid w:val="00151E7C"/>
    <w:rsid w:val="001543C6"/>
    <w:rsid w:val="00154A11"/>
    <w:rsid w:val="001552E9"/>
    <w:rsid w:val="001559E6"/>
    <w:rsid w:val="00156092"/>
    <w:rsid w:val="0015711B"/>
    <w:rsid w:val="001571A1"/>
    <w:rsid w:val="00157E1C"/>
    <w:rsid w:val="001621A5"/>
    <w:rsid w:val="00165B6F"/>
    <w:rsid w:val="0016727F"/>
    <w:rsid w:val="00167281"/>
    <w:rsid w:val="001679C7"/>
    <w:rsid w:val="00170085"/>
    <w:rsid w:val="001719A6"/>
    <w:rsid w:val="00172233"/>
    <w:rsid w:val="00173189"/>
    <w:rsid w:val="00174BE9"/>
    <w:rsid w:val="00174DFF"/>
    <w:rsid w:val="00174E47"/>
    <w:rsid w:val="00175A1A"/>
    <w:rsid w:val="00175EDF"/>
    <w:rsid w:val="00176586"/>
    <w:rsid w:val="00177495"/>
    <w:rsid w:val="001814F8"/>
    <w:rsid w:val="0018178C"/>
    <w:rsid w:val="00181A64"/>
    <w:rsid w:val="00181F22"/>
    <w:rsid w:val="00182439"/>
    <w:rsid w:val="001826A1"/>
    <w:rsid w:val="00182705"/>
    <w:rsid w:val="00182DCE"/>
    <w:rsid w:val="001841DE"/>
    <w:rsid w:val="00184C91"/>
    <w:rsid w:val="001856BA"/>
    <w:rsid w:val="00186FE1"/>
    <w:rsid w:val="00190F80"/>
    <w:rsid w:val="00191A30"/>
    <w:rsid w:val="00193A28"/>
    <w:rsid w:val="00193F6F"/>
    <w:rsid w:val="00195892"/>
    <w:rsid w:val="00196C19"/>
    <w:rsid w:val="00196EB5"/>
    <w:rsid w:val="001970FA"/>
    <w:rsid w:val="0019793F"/>
    <w:rsid w:val="00197C6B"/>
    <w:rsid w:val="001A11A9"/>
    <w:rsid w:val="001A1CE6"/>
    <w:rsid w:val="001A290D"/>
    <w:rsid w:val="001A395C"/>
    <w:rsid w:val="001A467E"/>
    <w:rsid w:val="001A49DF"/>
    <w:rsid w:val="001A51D5"/>
    <w:rsid w:val="001B06EB"/>
    <w:rsid w:val="001B0B4A"/>
    <w:rsid w:val="001B12D3"/>
    <w:rsid w:val="001B20D0"/>
    <w:rsid w:val="001B3180"/>
    <w:rsid w:val="001B3966"/>
    <w:rsid w:val="001B4FDE"/>
    <w:rsid w:val="001B518E"/>
    <w:rsid w:val="001B5286"/>
    <w:rsid w:val="001B5EB3"/>
    <w:rsid w:val="001B5F1A"/>
    <w:rsid w:val="001B609F"/>
    <w:rsid w:val="001C0779"/>
    <w:rsid w:val="001C2B31"/>
    <w:rsid w:val="001C2FFD"/>
    <w:rsid w:val="001C362C"/>
    <w:rsid w:val="001C3BF4"/>
    <w:rsid w:val="001C4634"/>
    <w:rsid w:val="001C55F5"/>
    <w:rsid w:val="001C67C3"/>
    <w:rsid w:val="001C7650"/>
    <w:rsid w:val="001C7B0F"/>
    <w:rsid w:val="001D0C3C"/>
    <w:rsid w:val="001D2AF1"/>
    <w:rsid w:val="001D2F66"/>
    <w:rsid w:val="001D3C51"/>
    <w:rsid w:val="001D46B8"/>
    <w:rsid w:val="001D4FF7"/>
    <w:rsid w:val="001D584D"/>
    <w:rsid w:val="001E068C"/>
    <w:rsid w:val="001E0F7F"/>
    <w:rsid w:val="001E20C0"/>
    <w:rsid w:val="001E245B"/>
    <w:rsid w:val="001E2E3B"/>
    <w:rsid w:val="001E4F62"/>
    <w:rsid w:val="001E59FF"/>
    <w:rsid w:val="001E6F5E"/>
    <w:rsid w:val="001E70C7"/>
    <w:rsid w:val="001E7D10"/>
    <w:rsid w:val="001F0274"/>
    <w:rsid w:val="001F10CC"/>
    <w:rsid w:val="001F1791"/>
    <w:rsid w:val="001F23CE"/>
    <w:rsid w:val="001F2CC5"/>
    <w:rsid w:val="001F3387"/>
    <w:rsid w:val="001F37CA"/>
    <w:rsid w:val="001F4C58"/>
    <w:rsid w:val="001F7859"/>
    <w:rsid w:val="001F794E"/>
    <w:rsid w:val="00201C2B"/>
    <w:rsid w:val="00201C3D"/>
    <w:rsid w:val="002026E3"/>
    <w:rsid w:val="00203044"/>
    <w:rsid w:val="00203108"/>
    <w:rsid w:val="00203142"/>
    <w:rsid w:val="002035C3"/>
    <w:rsid w:val="0020408D"/>
    <w:rsid w:val="00204B22"/>
    <w:rsid w:val="00204D6C"/>
    <w:rsid w:val="00205C68"/>
    <w:rsid w:val="0020650F"/>
    <w:rsid w:val="00207632"/>
    <w:rsid w:val="00207BD7"/>
    <w:rsid w:val="002105EA"/>
    <w:rsid w:val="002126E9"/>
    <w:rsid w:val="002132CB"/>
    <w:rsid w:val="0021376B"/>
    <w:rsid w:val="0021376E"/>
    <w:rsid w:val="002137A1"/>
    <w:rsid w:val="00215E73"/>
    <w:rsid w:val="002206AE"/>
    <w:rsid w:val="00220D5A"/>
    <w:rsid w:val="00221293"/>
    <w:rsid w:val="00224685"/>
    <w:rsid w:val="00226901"/>
    <w:rsid w:val="0022692F"/>
    <w:rsid w:val="0022697A"/>
    <w:rsid w:val="00227C37"/>
    <w:rsid w:val="002301FA"/>
    <w:rsid w:val="00230FF8"/>
    <w:rsid w:val="00231980"/>
    <w:rsid w:val="00231D5B"/>
    <w:rsid w:val="0023279D"/>
    <w:rsid w:val="00233A6E"/>
    <w:rsid w:val="0023423A"/>
    <w:rsid w:val="00234DA3"/>
    <w:rsid w:val="00235200"/>
    <w:rsid w:val="00236533"/>
    <w:rsid w:val="002424AD"/>
    <w:rsid w:val="00242D69"/>
    <w:rsid w:val="002445AB"/>
    <w:rsid w:val="002447BE"/>
    <w:rsid w:val="00244888"/>
    <w:rsid w:val="00244BFD"/>
    <w:rsid w:val="00245769"/>
    <w:rsid w:val="00246B71"/>
    <w:rsid w:val="00246D05"/>
    <w:rsid w:val="002472A1"/>
    <w:rsid w:val="00247CE2"/>
    <w:rsid w:val="00247F1E"/>
    <w:rsid w:val="002542F6"/>
    <w:rsid w:val="00254461"/>
    <w:rsid w:val="00260B85"/>
    <w:rsid w:val="0026234B"/>
    <w:rsid w:val="00262EC1"/>
    <w:rsid w:val="00264A76"/>
    <w:rsid w:val="002654D4"/>
    <w:rsid w:val="00265600"/>
    <w:rsid w:val="00265F5C"/>
    <w:rsid w:val="00266FE5"/>
    <w:rsid w:val="00267649"/>
    <w:rsid w:val="00267A54"/>
    <w:rsid w:val="002708E6"/>
    <w:rsid w:val="00273A2F"/>
    <w:rsid w:val="00274B22"/>
    <w:rsid w:val="002759AE"/>
    <w:rsid w:val="00275B37"/>
    <w:rsid w:val="002765EA"/>
    <w:rsid w:val="002767D4"/>
    <w:rsid w:val="00276EA4"/>
    <w:rsid w:val="00280F8F"/>
    <w:rsid w:val="002818CC"/>
    <w:rsid w:val="00281A1E"/>
    <w:rsid w:val="00281E73"/>
    <w:rsid w:val="00282F6E"/>
    <w:rsid w:val="002847AC"/>
    <w:rsid w:val="00285B9C"/>
    <w:rsid w:val="0028793C"/>
    <w:rsid w:val="00287DBD"/>
    <w:rsid w:val="0029135D"/>
    <w:rsid w:val="002916AC"/>
    <w:rsid w:val="00292685"/>
    <w:rsid w:val="00295A2E"/>
    <w:rsid w:val="0029639D"/>
    <w:rsid w:val="002A008F"/>
    <w:rsid w:val="002A04E6"/>
    <w:rsid w:val="002A08AF"/>
    <w:rsid w:val="002A0B2C"/>
    <w:rsid w:val="002A108B"/>
    <w:rsid w:val="002A1984"/>
    <w:rsid w:val="002A2DBA"/>
    <w:rsid w:val="002A3DFC"/>
    <w:rsid w:val="002A4605"/>
    <w:rsid w:val="002A4EDE"/>
    <w:rsid w:val="002A543E"/>
    <w:rsid w:val="002A642B"/>
    <w:rsid w:val="002A66F7"/>
    <w:rsid w:val="002A7189"/>
    <w:rsid w:val="002B10B1"/>
    <w:rsid w:val="002B1F84"/>
    <w:rsid w:val="002B219B"/>
    <w:rsid w:val="002B50AF"/>
    <w:rsid w:val="002B5640"/>
    <w:rsid w:val="002B5C3B"/>
    <w:rsid w:val="002B5E64"/>
    <w:rsid w:val="002B7A44"/>
    <w:rsid w:val="002C19BA"/>
    <w:rsid w:val="002C2255"/>
    <w:rsid w:val="002C2742"/>
    <w:rsid w:val="002C3AEC"/>
    <w:rsid w:val="002C51B7"/>
    <w:rsid w:val="002C52A4"/>
    <w:rsid w:val="002C5A24"/>
    <w:rsid w:val="002D11BA"/>
    <w:rsid w:val="002D132F"/>
    <w:rsid w:val="002D257E"/>
    <w:rsid w:val="002D37FE"/>
    <w:rsid w:val="002D39EB"/>
    <w:rsid w:val="002D4581"/>
    <w:rsid w:val="002D49EF"/>
    <w:rsid w:val="002D69C8"/>
    <w:rsid w:val="002D7E7F"/>
    <w:rsid w:val="002E0F88"/>
    <w:rsid w:val="002E2F35"/>
    <w:rsid w:val="002E3470"/>
    <w:rsid w:val="002E36A5"/>
    <w:rsid w:val="002E3B67"/>
    <w:rsid w:val="002E3ED8"/>
    <w:rsid w:val="002E4570"/>
    <w:rsid w:val="002E5639"/>
    <w:rsid w:val="002E601A"/>
    <w:rsid w:val="002E76EA"/>
    <w:rsid w:val="002E7A64"/>
    <w:rsid w:val="002E7D82"/>
    <w:rsid w:val="002F076B"/>
    <w:rsid w:val="002F12EB"/>
    <w:rsid w:val="002F1BF1"/>
    <w:rsid w:val="002F25B4"/>
    <w:rsid w:val="002F2EF1"/>
    <w:rsid w:val="002F4531"/>
    <w:rsid w:val="002F49C1"/>
    <w:rsid w:val="002F54C2"/>
    <w:rsid w:val="002F7346"/>
    <w:rsid w:val="00300B31"/>
    <w:rsid w:val="00300BBF"/>
    <w:rsid w:val="00303196"/>
    <w:rsid w:val="00303486"/>
    <w:rsid w:val="00303CE3"/>
    <w:rsid w:val="003044D0"/>
    <w:rsid w:val="00304550"/>
    <w:rsid w:val="00304D64"/>
    <w:rsid w:val="003056AE"/>
    <w:rsid w:val="00306EA9"/>
    <w:rsid w:val="0031105B"/>
    <w:rsid w:val="00311634"/>
    <w:rsid w:val="00312804"/>
    <w:rsid w:val="003129D4"/>
    <w:rsid w:val="00312D96"/>
    <w:rsid w:val="00313ADC"/>
    <w:rsid w:val="003140A0"/>
    <w:rsid w:val="003148CF"/>
    <w:rsid w:val="00314A10"/>
    <w:rsid w:val="0031549D"/>
    <w:rsid w:val="0031639B"/>
    <w:rsid w:val="00316D5C"/>
    <w:rsid w:val="00317666"/>
    <w:rsid w:val="00317DA7"/>
    <w:rsid w:val="003201C3"/>
    <w:rsid w:val="003204AC"/>
    <w:rsid w:val="003218F4"/>
    <w:rsid w:val="00322B4A"/>
    <w:rsid w:val="003232F0"/>
    <w:rsid w:val="00323E67"/>
    <w:rsid w:val="00324654"/>
    <w:rsid w:val="00324A83"/>
    <w:rsid w:val="003250F8"/>
    <w:rsid w:val="003257DD"/>
    <w:rsid w:val="00326062"/>
    <w:rsid w:val="003264F5"/>
    <w:rsid w:val="00326F90"/>
    <w:rsid w:val="003274B9"/>
    <w:rsid w:val="00327B6B"/>
    <w:rsid w:val="00331CD9"/>
    <w:rsid w:val="00335B0A"/>
    <w:rsid w:val="00335C44"/>
    <w:rsid w:val="00336FD8"/>
    <w:rsid w:val="0033714E"/>
    <w:rsid w:val="003372C0"/>
    <w:rsid w:val="00340102"/>
    <w:rsid w:val="00341ED3"/>
    <w:rsid w:val="003441C8"/>
    <w:rsid w:val="0034462B"/>
    <w:rsid w:val="00344F61"/>
    <w:rsid w:val="00345B08"/>
    <w:rsid w:val="00351644"/>
    <w:rsid w:val="003527F8"/>
    <w:rsid w:val="0035405C"/>
    <w:rsid w:val="00354301"/>
    <w:rsid w:val="00355772"/>
    <w:rsid w:val="00356ED8"/>
    <w:rsid w:val="00357698"/>
    <w:rsid w:val="00362922"/>
    <w:rsid w:val="003636F9"/>
    <w:rsid w:val="00363BF5"/>
    <w:rsid w:val="00363F38"/>
    <w:rsid w:val="003649BC"/>
    <w:rsid w:val="00365E9E"/>
    <w:rsid w:val="00366650"/>
    <w:rsid w:val="0037067F"/>
    <w:rsid w:val="003706E1"/>
    <w:rsid w:val="00372200"/>
    <w:rsid w:val="00372265"/>
    <w:rsid w:val="00374683"/>
    <w:rsid w:val="003746BF"/>
    <w:rsid w:val="003754D3"/>
    <w:rsid w:val="0037588A"/>
    <w:rsid w:val="003764B6"/>
    <w:rsid w:val="00377243"/>
    <w:rsid w:val="0038151D"/>
    <w:rsid w:val="003830FA"/>
    <w:rsid w:val="0038318C"/>
    <w:rsid w:val="003838ED"/>
    <w:rsid w:val="00383ECC"/>
    <w:rsid w:val="00383F05"/>
    <w:rsid w:val="00384837"/>
    <w:rsid w:val="00385414"/>
    <w:rsid w:val="003855DF"/>
    <w:rsid w:val="00385644"/>
    <w:rsid w:val="0038778F"/>
    <w:rsid w:val="0039019C"/>
    <w:rsid w:val="00390892"/>
    <w:rsid w:val="003909B2"/>
    <w:rsid w:val="0039127D"/>
    <w:rsid w:val="00392A6F"/>
    <w:rsid w:val="00393D36"/>
    <w:rsid w:val="00393ECF"/>
    <w:rsid w:val="003941E6"/>
    <w:rsid w:val="00394E0A"/>
    <w:rsid w:val="003961BB"/>
    <w:rsid w:val="00396360"/>
    <w:rsid w:val="003A025A"/>
    <w:rsid w:val="003A04F7"/>
    <w:rsid w:val="003A0E38"/>
    <w:rsid w:val="003A1647"/>
    <w:rsid w:val="003A16A1"/>
    <w:rsid w:val="003A16A8"/>
    <w:rsid w:val="003A29F9"/>
    <w:rsid w:val="003A5485"/>
    <w:rsid w:val="003A5B25"/>
    <w:rsid w:val="003B0264"/>
    <w:rsid w:val="003B0F49"/>
    <w:rsid w:val="003B14C5"/>
    <w:rsid w:val="003B3E6A"/>
    <w:rsid w:val="003B41EA"/>
    <w:rsid w:val="003B4986"/>
    <w:rsid w:val="003B54CD"/>
    <w:rsid w:val="003B6248"/>
    <w:rsid w:val="003C0572"/>
    <w:rsid w:val="003C0AC4"/>
    <w:rsid w:val="003C0F01"/>
    <w:rsid w:val="003C2475"/>
    <w:rsid w:val="003C44DD"/>
    <w:rsid w:val="003C53C9"/>
    <w:rsid w:val="003C56D9"/>
    <w:rsid w:val="003C5D50"/>
    <w:rsid w:val="003C66A0"/>
    <w:rsid w:val="003C7DF9"/>
    <w:rsid w:val="003D20AC"/>
    <w:rsid w:val="003D36FD"/>
    <w:rsid w:val="003D4342"/>
    <w:rsid w:val="003D46B2"/>
    <w:rsid w:val="003D56CE"/>
    <w:rsid w:val="003D6471"/>
    <w:rsid w:val="003D7772"/>
    <w:rsid w:val="003D7ACC"/>
    <w:rsid w:val="003E0644"/>
    <w:rsid w:val="003E1825"/>
    <w:rsid w:val="003E19C8"/>
    <w:rsid w:val="003E2675"/>
    <w:rsid w:val="003E4BBC"/>
    <w:rsid w:val="003E543A"/>
    <w:rsid w:val="003E5CDD"/>
    <w:rsid w:val="003E649C"/>
    <w:rsid w:val="003E74D1"/>
    <w:rsid w:val="003E7DDD"/>
    <w:rsid w:val="003E7F7B"/>
    <w:rsid w:val="003F0708"/>
    <w:rsid w:val="003F1729"/>
    <w:rsid w:val="003F1D2B"/>
    <w:rsid w:val="003F3483"/>
    <w:rsid w:val="003F5948"/>
    <w:rsid w:val="003F5EA7"/>
    <w:rsid w:val="003F68EC"/>
    <w:rsid w:val="003F7A56"/>
    <w:rsid w:val="003F7A7A"/>
    <w:rsid w:val="0040094E"/>
    <w:rsid w:val="0040119B"/>
    <w:rsid w:val="004013BA"/>
    <w:rsid w:val="00401D2B"/>
    <w:rsid w:val="00402E7F"/>
    <w:rsid w:val="00403214"/>
    <w:rsid w:val="004042DD"/>
    <w:rsid w:val="004060A6"/>
    <w:rsid w:val="0040646A"/>
    <w:rsid w:val="00406717"/>
    <w:rsid w:val="00407853"/>
    <w:rsid w:val="004162A5"/>
    <w:rsid w:val="00416624"/>
    <w:rsid w:val="00417114"/>
    <w:rsid w:val="00417660"/>
    <w:rsid w:val="00417783"/>
    <w:rsid w:val="00420E9A"/>
    <w:rsid w:val="00421D9F"/>
    <w:rsid w:val="00422762"/>
    <w:rsid w:val="00422C83"/>
    <w:rsid w:val="00424090"/>
    <w:rsid w:val="00426D2A"/>
    <w:rsid w:val="00426E6E"/>
    <w:rsid w:val="00430131"/>
    <w:rsid w:val="004313A8"/>
    <w:rsid w:val="004322B4"/>
    <w:rsid w:val="00435D02"/>
    <w:rsid w:val="00436462"/>
    <w:rsid w:val="00436915"/>
    <w:rsid w:val="00436FEA"/>
    <w:rsid w:val="004408E4"/>
    <w:rsid w:val="00441776"/>
    <w:rsid w:val="00441C0B"/>
    <w:rsid w:val="00441EAC"/>
    <w:rsid w:val="00442A9C"/>
    <w:rsid w:val="004456B9"/>
    <w:rsid w:val="004462B6"/>
    <w:rsid w:val="00447E3A"/>
    <w:rsid w:val="00450450"/>
    <w:rsid w:val="004506DA"/>
    <w:rsid w:val="0045102A"/>
    <w:rsid w:val="004520AB"/>
    <w:rsid w:val="004553A1"/>
    <w:rsid w:val="004568B8"/>
    <w:rsid w:val="00460738"/>
    <w:rsid w:val="00461003"/>
    <w:rsid w:val="00462C58"/>
    <w:rsid w:val="00462E45"/>
    <w:rsid w:val="00464298"/>
    <w:rsid w:val="00466ABF"/>
    <w:rsid w:val="00467D0F"/>
    <w:rsid w:val="0047023C"/>
    <w:rsid w:val="00472BDF"/>
    <w:rsid w:val="00474C26"/>
    <w:rsid w:val="00474EC0"/>
    <w:rsid w:val="00475CAA"/>
    <w:rsid w:val="0047637D"/>
    <w:rsid w:val="004763A5"/>
    <w:rsid w:val="00480A59"/>
    <w:rsid w:val="00480D34"/>
    <w:rsid w:val="00482163"/>
    <w:rsid w:val="004836C4"/>
    <w:rsid w:val="00483BCF"/>
    <w:rsid w:val="004859D9"/>
    <w:rsid w:val="004867B3"/>
    <w:rsid w:val="00486D8B"/>
    <w:rsid w:val="00486F9E"/>
    <w:rsid w:val="00490826"/>
    <w:rsid w:val="00491880"/>
    <w:rsid w:val="00494F75"/>
    <w:rsid w:val="004A25AF"/>
    <w:rsid w:val="004A2AC6"/>
    <w:rsid w:val="004A5EFC"/>
    <w:rsid w:val="004A7679"/>
    <w:rsid w:val="004A7892"/>
    <w:rsid w:val="004B117A"/>
    <w:rsid w:val="004B1295"/>
    <w:rsid w:val="004B173A"/>
    <w:rsid w:val="004B54AA"/>
    <w:rsid w:val="004B5A05"/>
    <w:rsid w:val="004B5F25"/>
    <w:rsid w:val="004B63B6"/>
    <w:rsid w:val="004B6442"/>
    <w:rsid w:val="004B74D7"/>
    <w:rsid w:val="004C0451"/>
    <w:rsid w:val="004C0C98"/>
    <w:rsid w:val="004C4268"/>
    <w:rsid w:val="004C450A"/>
    <w:rsid w:val="004C5363"/>
    <w:rsid w:val="004C54B0"/>
    <w:rsid w:val="004C5F0D"/>
    <w:rsid w:val="004C66E9"/>
    <w:rsid w:val="004C6A92"/>
    <w:rsid w:val="004C7CAF"/>
    <w:rsid w:val="004D0356"/>
    <w:rsid w:val="004D13E7"/>
    <w:rsid w:val="004D15E3"/>
    <w:rsid w:val="004D2195"/>
    <w:rsid w:val="004D4290"/>
    <w:rsid w:val="004D4951"/>
    <w:rsid w:val="004D6848"/>
    <w:rsid w:val="004E03EA"/>
    <w:rsid w:val="004E0594"/>
    <w:rsid w:val="004E0B5D"/>
    <w:rsid w:val="004E10FD"/>
    <w:rsid w:val="004E116A"/>
    <w:rsid w:val="004F0CB5"/>
    <w:rsid w:val="004F0CCF"/>
    <w:rsid w:val="004F0F1C"/>
    <w:rsid w:val="004F1673"/>
    <w:rsid w:val="004F17CC"/>
    <w:rsid w:val="004F1D3B"/>
    <w:rsid w:val="004F3135"/>
    <w:rsid w:val="004F3599"/>
    <w:rsid w:val="004F39DC"/>
    <w:rsid w:val="004F3DB8"/>
    <w:rsid w:val="004F4B7C"/>
    <w:rsid w:val="004F60BE"/>
    <w:rsid w:val="00503040"/>
    <w:rsid w:val="00504179"/>
    <w:rsid w:val="0050488A"/>
    <w:rsid w:val="00505BBF"/>
    <w:rsid w:val="00505C6F"/>
    <w:rsid w:val="0050659B"/>
    <w:rsid w:val="00506DB0"/>
    <w:rsid w:val="005070C8"/>
    <w:rsid w:val="005070E3"/>
    <w:rsid w:val="00510401"/>
    <w:rsid w:val="005104F7"/>
    <w:rsid w:val="00511387"/>
    <w:rsid w:val="005116B8"/>
    <w:rsid w:val="00511EC5"/>
    <w:rsid w:val="00512BC7"/>
    <w:rsid w:val="00512F7C"/>
    <w:rsid w:val="005142B8"/>
    <w:rsid w:val="005145EE"/>
    <w:rsid w:val="00515E94"/>
    <w:rsid w:val="00516184"/>
    <w:rsid w:val="00516A06"/>
    <w:rsid w:val="00520ED2"/>
    <w:rsid w:val="0052156D"/>
    <w:rsid w:val="00522A8C"/>
    <w:rsid w:val="005237CE"/>
    <w:rsid w:val="0052799E"/>
    <w:rsid w:val="00530102"/>
    <w:rsid w:val="0053116A"/>
    <w:rsid w:val="00531F18"/>
    <w:rsid w:val="00532949"/>
    <w:rsid w:val="0053652F"/>
    <w:rsid w:val="00536B7D"/>
    <w:rsid w:val="00537711"/>
    <w:rsid w:val="00537CAE"/>
    <w:rsid w:val="005407A6"/>
    <w:rsid w:val="0054248A"/>
    <w:rsid w:val="00542848"/>
    <w:rsid w:val="00542A7C"/>
    <w:rsid w:val="00543DDB"/>
    <w:rsid w:val="00544733"/>
    <w:rsid w:val="00545FAB"/>
    <w:rsid w:val="00546ABE"/>
    <w:rsid w:val="0054763A"/>
    <w:rsid w:val="00550D59"/>
    <w:rsid w:val="00554BC8"/>
    <w:rsid w:val="00554C7A"/>
    <w:rsid w:val="00554D1F"/>
    <w:rsid w:val="00554D22"/>
    <w:rsid w:val="0055645D"/>
    <w:rsid w:val="005565E4"/>
    <w:rsid w:val="0055692B"/>
    <w:rsid w:val="00557ECF"/>
    <w:rsid w:val="00561218"/>
    <w:rsid w:val="00563266"/>
    <w:rsid w:val="00563C35"/>
    <w:rsid w:val="00565821"/>
    <w:rsid w:val="0056677C"/>
    <w:rsid w:val="0056681D"/>
    <w:rsid w:val="00567C9D"/>
    <w:rsid w:val="0057214E"/>
    <w:rsid w:val="00572893"/>
    <w:rsid w:val="00572C26"/>
    <w:rsid w:val="00574BCF"/>
    <w:rsid w:val="00575076"/>
    <w:rsid w:val="00575983"/>
    <w:rsid w:val="00575BE0"/>
    <w:rsid w:val="00576086"/>
    <w:rsid w:val="005762EC"/>
    <w:rsid w:val="00577005"/>
    <w:rsid w:val="005771E0"/>
    <w:rsid w:val="00577265"/>
    <w:rsid w:val="00577CF7"/>
    <w:rsid w:val="00577EBE"/>
    <w:rsid w:val="005804FC"/>
    <w:rsid w:val="00580578"/>
    <w:rsid w:val="00581118"/>
    <w:rsid w:val="00581410"/>
    <w:rsid w:val="00581CC0"/>
    <w:rsid w:val="00582C44"/>
    <w:rsid w:val="00583A0D"/>
    <w:rsid w:val="00584418"/>
    <w:rsid w:val="00585F38"/>
    <w:rsid w:val="00587571"/>
    <w:rsid w:val="005904F8"/>
    <w:rsid w:val="005940B7"/>
    <w:rsid w:val="00596FBE"/>
    <w:rsid w:val="00597DEB"/>
    <w:rsid w:val="005A00B2"/>
    <w:rsid w:val="005A07C3"/>
    <w:rsid w:val="005A0D08"/>
    <w:rsid w:val="005A3B19"/>
    <w:rsid w:val="005A538A"/>
    <w:rsid w:val="005A5FC8"/>
    <w:rsid w:val="005A6B47"/>
    <w:rsid w:val="005B075A"/>
    <w:rsid w:val="005B1111"/>
    <w:rsid w:val="005B1E20"/>
    <w:rsid w:val="005B34AD"/>
    <w:rsid w:val="005B382D"/>
    <w:rsid w:val="005B4B02"/>
    <w:rsid w:val="005B4DCD"/>
    <w:rsid w:val="005B4F8A"/>
    <w:rsid w:val="005B4FC4"/>
    <w:rsid w:val="005B5BA3"/>
    <w:rsid w:val="005B5FAC"/>
    <w:rsid w:val="005B60C4"/>
    <w:rsid w:val="005B63A2"/>
    <w:rsid w:val="005B7F72"/>
    <w:rsid w:val="005C0E36"/>
    <w:rsid w:val="005C21FD"/>
    <w:rsid w:val="005C342C"/>
    <w:rsid w:val="005C50F0"/>
    <w:rsid w:val="005C577F"/>
    <w:rsid w:val="005C5F13"/>
    <w:rsid w:val="005C7063"/>
    <w:rsid w:val="005D0093"/>
    <w:rsid w:val="005D0F2D"/>
    <w:rsid w:val="005D0FAC"/>
    <w:rsid w:val="005D18E7"/>
    <w:rsid w:val="005D2803"/>
    <w:rsid w:val="005D28F4"/>
    <w:rsid w:val="005D4BF3"/>
    <w:rsid w:val="005D59C4"/>
    <w:rsid w:val="005D5A3C"/>
    <w:rsid w:val="005D62DB"/>
    <w:rsid w:val="005D7684"/>
    <w:rsid w:val="005D778F"/>
    <w:rsid w:val="005E08D8"/>
    <w:rsid w:val="005E1AF6"/>
    <w:rsid w:val="005E2D41"/>
    <w:rsid w:val="005E2FA3"/>
    <w:rsid w:val="005E3ED8"/>
    <w:rsid w:val="005E3F32"/>
    <w:rsid w:val="005E4D24"/>
    <w:rsid w:val="005E5F2E"/>
    <w:rsid w:val="005E6E62"/>
    <w:rsid w:val="005E7419"/>
    <w:rsid w:val="005E7935"/>
    <w:rsid w:val="005E7DFF"/>
    <w:rsid w:val="005F04D4"/>
    <w:rsid w:val="005F05C6"/>
    <w:rsid w:val="005F6432"/>
    <w:rsid w:val="005F7A43"/>
    <w:rsid w:val="00600324"/>
    <w:rsid w:val="00602970"/>
    <w:rsid w:val="00605BFE"/>
    <w:rsid w:val="006060CE"/>
    <w:rsid w:val="00607B2F"/>
    <w:rsid w:val="00607E90"/>
    <w:rsid w:val="0061510C"/>
    <w:rsid w:val="00616409"/>
    <w:rsid w:val="006168BC"/>
    <w:rsid w:val="00616A2D"/>
    <w:rsid w:val="00617D29"/>
    <w:rsid w:val="00620533"/>
    <w:rsid w:val="00620C3B"/>
    <w:rsid w:val="00623800"/>
    <w:rsid w:val="00624297"/>
    <w:rsid w:val="0062432F"/>
    <w:rsid w:val="00625265"/>
    <w:rsid w:val="00627922"/>
    <w:rsid w:val="00627B91"/>
    <w:rsid w:val="00627F35"/>
    <w:rsid w:val="00630281"/>
    <w:rsid w:val="00632185"/>
    <w:rsid w:val="00632C9B"/>
    <w:rsid w:val="006343C6"/>
    <w:rsid w:val="00634E7B"/>
    <w:rsid w:val="00635E93"/>
    <w:rsid w:val="00636256"/>
    <w:rsid w:val="0063625B"/>
    <w:rsid w:val="006365DB"/>
    <w:rsid w:val="006370CE"/>
    <w:rsid w:val="0063767B"/>
    <w:rsid w:val="00641FBA"/>
    <w:rsid w:val="006436C7"/>
    <w:rsid w:val="006437ED"/>
    <w:rsid w:val="00643C3C"/>
    <w:rsid w:val="00646291"/>
    <w:rsid w:val="00646377"/>
    <w:rsid w:val="006514A5"/>
    <w:rsid w:val="006535C9"/>
    <w:rsid w:val="006547AE"/>
    <w:rsid w:val="00655047"/>
    <w:rsid w:val="0065649A"/>
    <w:rsid w:val="00657B54"/>
    <w:rsid w:val="00657D8D"/>
    <w:rsid w:val="00660721"/>
    <w:rsid w:val="00661284"/>
    <w:rsid w:val="0066162E"/>
    <w:rsid w:val="006617D8"/>
    <w:rsid w:val="00661B96"/>
    <w:rsid w:val="00662CDD"/>
    <w:rsid w:val="00665F53"/>
    <w:rsid w:val="00667DA0"/>
    <w:rsid w:val="00671601"/>
    <w:rsid w:val="006719EF"/>
    <w:rsid w:val="00672285"/>
    <w:rsid w:val="00672986"/>
    <w:rsid w:val="00673DE6"/>
    <w:rsid w:val="00674161"/>
    <w:rsid w:val="00675C8E"/>
    <w:rsid w:val="0067661A"/>
    <w:rsid w:val="00676719"/>
    <w:rsid w:val="006769C0"/>
    <w:rsid w:val="006773D1"/>
    <w:rsid w:val="006814F2"/>
    <w:rsid w:val="006859B2"/>
    <w:rsid w:val="006909FC"/>
    <w:rsid w:val="00692ED8"/>
    <w:rsid w:val="00695320"/>
    <w:rsid w:val="006956AD"/>
    <w:rsid w:val="0069580A"/>
    <w:rsid w:val="00695AEA"/>
    <w:rsid w:val="00696646"/>
    <w:rsid w:val="006A21B5"/>
    <w:rsid w:val="006A27C6"/>
    <w:rsid w:val="006A3477"/>
    <w:rsid w:val="006A34AA"/>
    <w:rsid w:val="006A4C1A"/>
    <w:rsid w:val="006A5B3D"/>
    <w:rsid w:val="006A6B68"/>
    <w:rsid w:val="006A75F1"/>
    <w:rsid w:val="006A7F5E"/>
    <w:rsid w:val="006B1EF5"/>
    <w:rsid w:val="006B21E2"/>
    <w:rsid w:val="006B2FD4"/>
    <w:rsid w:val="006B3A2A"/>
    <w:rsid w:val="006B3B2C"/>
    <w:rsid w:val="006B41B5"/>
    <w:rsid w:val="006B426F"/>
    <w:rsid w:val="006B47E5"/>
    <w:rsid w:val="006B47F3"/>
    <w:rsid w:val="006B5860"/>
    <w:rsid w:val="006B6B4F"/>
    <w:rsid w:val="006B708F"/>
    <w:rsid w:val="006B7642"/>
    <w:rsid w:val="006B7A02"/>
    <w:rsid w:val="006C02DB"/>
    <w:rsid w:val="006C12EA"/>
    <w:rsid w:val="006C2A56"/>
    <w:rsid w:val="006C6883"/>
    <w:rsid w:val="006C6C94"/>
    <w:rsid w:val="006C6DAF"/>
    <w:rsid w:val="006C728C"/>
    <w:rsid w:val="006C74EB"/>
    <w:rsid w:val="006D09D8"/>
    <w:rsid w:val="006D29C7"/>
    <w:rsid w:val="006D3BA2"/>
    <w:rsid w:val="006D513F"/>
    <w:rsid w:val="006D5D75"/>
    <w:rsid w:val="006D7CE9"/>
    <w:rsid w:val="006E0186"/>
    <w:rsid w:val="006E1D85"/>
    <w:rsid w:val="006E5CF2"/>
    <w:rsid w:val="006E65E8"/>
    <w:rsid w:val="006E792D"/>
    <w:rsid w:val="006F1D06"/>
    <w:rsid w:val="006F295C"/>
    <w:rsid w:val="006F43B9"/>
    <w:rsid w:val="006F5DCC"/>
    <w:rsid w:val="006F6173"/>
    <w:rsid w:val="006F69A9"/>
    <w:rsid w:val="006F7601"/>
    <w:rsid w:val="00701911"/>
    <w:rsid w:val="00701BBC"/>
    <w:rsid w:val="00702777"/>
    <w:rsid w:val="00702CA4"/>
    <w:rsid w:val="00705E38"/>
    <w:rsid w:val="00706071"/>
    <w:rsid w:val="0070681F"/>
    <w:rsid w:val="0070742A"/>
    <w:rsid w:val="0070742C"/>
    <w:rsid w:val="007076CE"/>
    <w:rsid w:val="00710064"/>
    <w:rsid w:val="00710373"/>
    <w:rsid w:val="0071038A"/>
    <w:rsid w:val="007104AD"/>
    <w:rsid w:val="00712429"/>
    <w:rsid w:val="00713996"/>
    <w:rsid w:val="00715F76"/>
    <w:rsid w:val="0071647F"/>
    <w:rsid w:val="00716D0F"/>
    <w:rsid w:val="007171CB"/>
    <w:rsid w:val="007172AA"/>
    <w:rsid w:val="00717BC2"/>
    <w:rsid w:val="00717D21"/>
    <w:rsid w:val="00721C3A"/>
    <w:rsid w:val="00723AF2"/>
    <w:rsid w:val="00725F3B"/>
    <w:rsid w:val="0072753D"/>
    <w:rsid w:val="0072771B"/>
    <w:rsid w:val="00727FD3"/>
    <w:rsid w:val="00730072"/>
    <w:rsid w:val="00730786"/>
    <w:rsid w:val="00730815"/>
    <w:rsid w:val="007311C3"/>
    <w:rsid w:val="0073569A"/>
    <w:rsid w:val="00735AF9"/>
    <w:rsid w:val="00736355"/>
    <w:rsid w:val="00737ECC"/>
    <w:rsid w:val="00740259"/>
    <w:rsid w:val="00740543"/>
    <w:rsid w:val="00740E11"/>
    <w:rsid w:val="0074170F"/>
    <w:rsid w:val="00743F03"/>
    <w:rsid w:val="007463ED"/>
    <w:rsid w:val="00747999"/>
    <w:rsid w:val="00750830"/>
    <w:rsid w:val="00750A5E"/>
    <w:rsid w:val="00750A6E"/>
    <w:rsid w:val="00750BA8"/>
    <w:rsid w:val="007525D6"/>
    <w:rsid w:val="00752AC1"/>
    <w:rsid w:val="00752C3F"/>
    <w:rsid w:val="007532CE"/>
    <w:rsid w:val="0075394E"/>
    <w:rsid w:val="00754822"/>
    <w:rsid w:val="007553CF"/>
    <w:rsid w:val="00755E31"/>
    <w:rsid w:val="007576C4"/>
    <w:rsid w:val="00761845"/>
    <w:rsid w:val="0076196F"/>
    <w:rsid w:val="00763418"/>
    <w:rsid w:val="0076477C"/>
    <w:rsid w:val="00764A79"/>
    <w:rsid w:val="0076579E"/>
    <w:rsid w:val="00765F6D"/>
    <w:rsid w:val="0076648B"/>
    <w:rsid w:val="0076700F"/>
    <w:rsid w:val="00771AC0"/>
    <w:rsid w:val="00772FC7"/>
    <w:rsid w:val="00773822"/>
    <w:rsid w:val="0077387E"/>
    <w:rsid w:val="007744D8"/>
    <w:rsid w:val="00777899"/>
    <w:rsid w:val="00780154"/>
    <w:rsid w:val="007804FD"/>
    <w:rsid w:val="007814DE"/>
    <w:rsid w:val="00781C3E"/>
    <w:rsid w:val="00782AA5"/>
    <w:rsid w:val="00782BB7"/>
    <w:rsid w:val="00782D83"/>
    <w:rsid w:val="00783CEB"/>
    <w:rsid w:val="007904E6"/>
    <w:rsid w:val="007938EE"/>
    <w:rsid w:val="0079477B"/>
    <w:rsid w:val="00794FED"/>
    <w:rsid w:val="00795290"/>
    <w:rsid w:val="00795EA5"/>
    <w:rsid w:val="00796555"/>
    <w:rsid w:val="0079772C"/>
    <w:rsid w:val="007A0A83"/>
    <w:rsid w:val="007A406B"/>
    <w:rsid w:val="007A493E"/>
    <w:rsid w:val="007A5B38"/>
    <w:rsid w:val="007A690A"/>
    <w:rsid w:val="007A7E4F"/>
    <w:rsid w:val="007B0E77"/>
    <w:rsid w:val="007B1B7D"/>
    <w:rsid w:val="007B37A9"/>
    <w:rsid w:val="007B43C0"/>
    <w:rsid w:val="007B4E1C"/>
    <w:rsid w:val="007B5461"/>
    <w:rsid w:val="007B6648"/>
    <w:rsid w:val="007B6BAB"/>
    <w:rsid w:val="007C2B8F"/>
    <w:rsid w:val="007C33C2"/>
    <w:rsid w:val="007C3F55"/>
    <w:rsid w:val="007C4620"/>
    <w:rsid w:val="007C50C9"/>
    <w:rsid w:val="007C6821"/>
    <w:rsid w:val="007C6F5D"/>
    <w:rsid w:val="007C700C"/>
    <w:rsid w:val="007C7784"/>
    <w:rsid w:val="007C7BB1"/>
    <w:rsid w:val="007C7D2B"/>
    <w:rsid w:val="007D0C4B"/>
    <w:rsid w:val="007D115F"/>
    <w:rsid w:val="007D15C1"/>
    <w:rsid w:val="007D1BB9"/>
    <w:rsid w:val="007D2C6D"/>
    <w:rsid w:val="007D2FF3"/>
    <w:rsid w:val="007D3B11"/>
    <w:rsid w:val="007D413C"/>
    <w:rsid w:val="007D5E45"/>
    <w:rsid w:val="007D7BD0"/>
    <w:rsid w:val="007E0192"/>
    <w:rsid w:val="007E0B20"/>
    <w:rsid w:val="007E0DFA"/>
    <w:rsid w:val="007E2E81"/>
    <w:rsid w:val="007E395A"/>
    <w:rsid w:val="007E3AAB"/>
    <w:rsid w:val="007E3CD2"/>
    <w:rsid w:val="007E63AF"/>
    <w:rsid w:val="007E640D"/>
    <w:rsid w:val="007F1863"/>
    <w:rsid w:val="007F2661"/>
    <w:rsid w:val="007F306C"/>
    <w:rsid w:val="007F358D"/>
    <w:rsid w:val="007F3DF1"/>
    <w:rsid w:val="007F5854"/>
    <w:rsid w:val="00800AAE"/>
    <w:rsid w:val="00801A09"/>
    <w:rsid w:val="008026AF"/>
    <w:rsid w:val="008044C2"/>
    <w:rsid w:val="0081205E"/>
    <w:rsid w:val="00812264"/>
    <w:rsid w:val="0081282C"/>
    <w:rsid w:val="00813054"/>
    <w:rsid w:val="0081480F"/>
    <w:rsid w:val="0081536A"/>
    <w:rsid w:val="00816EB8"/>
    <w:rsid w:val="0082049B"/>
    <w:rsid w:val="00821D7F"/>
    <w:rsid w:val="00822021"/>
    <w:rsid w:val="008227FE"/>
    <w:rsid w:val="00824430"/>
    <w:rsid w:val="00826172"/>
    <w:rsid w:val="00826277"/>
    <w:rsid w:val="00831412"/>
    <w:rsid w:val="0083478B"/>
    <w:rsid w:val="00835253"/>
    <w:rsid w:val="00835822"/>
    <w:rsid w:val="00835B9C"/>
    <w:rsid w:val="00835FB0"/>
    <w:rsid w:val="00836EB8"/>
    <w:rsid w:val="00836FEE"/>
    <w:rsid w:val="00837A43"/>
    <w:rsid w:val="008408B7"/>
    <w:rsid w:val="0084288B"/>
    <w:rsid w:val="00846625"/>
    <w:rsid w:val="00847D1C"/>
    <w:rsid w:val="0085059E"/>
    <w:rsid w:val="00852587"/>
    <w:rsid w:val="008536E6"/>
    <w:rsid w:val="008538C5"/>
    <w:rsid w:val="00854BD0"/>
    <w:rsid w:val="008558B3"/>
    <w:rsid w:val="00856BD9"/>
    <w:rsid w:val="00856E9A"/>
    <w:rsid w:val="008571C7"/>
    <w:rsid w:val="008573BD"/>
    <w:rsid w:val="008574AB"/>
    <w:rsid w:val="008574C1"/>
    <w:rsid w:val="00857C7E"/>
    <w:rsid w:val="00860F9C"/>
    <w:rsid w:val="008610C6"/>
    <w:rsid w:val="008613A6"/>
    <w:rsid w:val="008626D7"/>
    <w:rsid w:val="008629DF"/>
    <w:rsid w:val="008632E9"/>
    <w:rsid w:val="00863E4F"/>
    <w:rsid w:val="008645B9"/>
    <w:rsid w:val="00864CD0"/>
    <w:rsid w:val="00864DBC"/>
    <w:rsid w:val="00864E07"/>
    <w:rsid w:val="00866602"/>
    <w:rsid w:val="00866C47"/>
    <w:rsid w:val="00871024"/>
    <w:rsid w:val="00871CD7"/>
    <w:rsid w:val="00873147"/>
    <w:rsid w:val="00873ADC"/>
    <w:rsid w:val="008744B5"/>
    <w:rsid w:val="00874CAF"/>
    <w:rsid w:val="008750EF"/>
    <w:rsid w:val="00875379"/>
    <w:rsid w:val="00875382"/>
    <w:rsid w:val="00875799"/>
    <w:rsid w:val="00876060"/>
    <w:rsid w:val="00876551"/>
    <w:rsid w:val="00876E78"/>
    <w:rsid w:val="0087792A"/>
    <w:rsid w:val="00877981"/>
    <w:rsid w:val="008803E9"/>
    <w:rsid w:val="008806B5"/>
    <w:rsid w:val="00881156"/>
    <w:rsid w:val="00882E98"/>
    <w:rsid w:val="0088386D"/>
    <w:rsid w:val="00883BEC"/>
    <w:rsid w:val="00885D58"/>
    <w:rsid w:val="00887B74"/>
    <w:rsid w:val="00890146"/>
    <w:rsid w:val="00890829"/>
    <w:rsid w:val="00891150"/>
    <w:rsid w:val="00892171"/>
    <w:rsid w:val="00892EE4"/>
    <w:rsid w:val="008935F4"/>
    <w:rsid w:val="00893A77"/>
    <w:rsid w:val="00894416"/>
    <w:rsid w:val="00894A1B"/>
    <w:rsid w:val="00894E2F"/>
    <w:rsid w:val="008958E8"/>
    <w:rsid w:val="00896DD7"/>
    <w:rsid w:val="008A070E"/>
    <w:rsid w:val="008A0A92"/>
    <w:rsid w:val="008A14FB"/>
    <w:rsid w:val="008A40C8"/>
    <w:rsid w:val="008A7128"/>
    <w:rsid w:val="008B0AB5"/>
    <w:rsid w:val="008B2212"/>
    <w:rsid w:val="008B2C31"/>
    <w:rsid w:val="008B313E"/>
    <w:rsid w:val="008B34BF"/>
    <w:rsid w:val="008B7E0A"/>
    <w:rsid w:val="008C09E4"/>
    <w:rsid w:val="008C3CA6"/>
    <w:rsid w:val="008C3FED"/>
    <w:rsid w:val="008C421D"/>
    <w:rsid w:val="008C42CC"/>
    <w:rsid w:val="008C52D8"/>
    <w:rsid w:val="008C534D"/>
    <w:rsid w:val="008C606A"/>
    <w:rsid w:val="008C6935"/>
    <w:rsid w:val="008C6D50"/>
    <w:rsid w:val="008C757F"/>
    <w:rsid w:val="008D1CE5"/>
    <w:rsid w:val="008D1ED5"/>
    <w:rsid w:val="008D1F07"/>
    <w:rsid w:val="008D274A"/>
    <w:rsid w:val="008D2A10"/>
    <w:rsid w:val="008D33D2"/>
    <w:rsid w:val="008D4159"/>
    <w:rsid w:val="008D44E0"/>
    <w:rsid w:val="008D4508"/>
    <w:rsid w:val="008D4DD5"/>
    <w:rsid w:val="008D514D"/>
    <w:rsid w:val="008D55A6"/>
    <w:rsid w:val="008D6F57"/>
    <w:rsid w:val="008D7B36"/>
    <w:rsid w:val="008E04F2"/>
    <w:rsid w:val="008E0673"/>
    <w:rsid w:val="008E35A3"/>
    <w:rsid w:val="008E56D1"/>
    <w:rsid w:val="008E56DB"/>
    <w:rsid w:val="008E5B56"/>
    <w:rsid w:val="008F056E"/>
    <w:rsid w:val="008F1AAB"/>
    <w:rsid w:val="008F4F94"/>
    <w:rsid w:val="008F778D"/>
    <w:rsid w:val="0090218E"/>
    <w:rsid w:val="00902433"/>
    <w:rsid w:val="00903AB5"/>
    <w:rsid w:val="00903B10"/>
    <w:rsid w:val="0090433E"/>
    <w:rsid w:val="00904459"/>
    <w:rsid w:val="0090483F"/>
    <w:rsid w:val="00904B6A"/>
    <w:rsid w:val="009060BF"/>
    <w:rsid w:val="009061E3"/>
    <w:rsid w:val="00907876"/>
    <w:rsid w:val="00907BA1"/>
    <w:rsid w:val="00910264"/>
    <w:rsid w:val="00911528"/>
    <w:rsid w:val="0091206F"/>
    <w:rsid w:val="009122A9"/>
    <w:rsid w:val="00913601"/>
    <w:rsid w:val="009143DA"/>
    <w:rsid w:val="009155A4"/>
    <w:rsid w:val="00915F77"/>
    <w:rsid w:val="00916A0A"/>
    <w:rsid w:val="00917A1D"/>
    <w:rsid w:val="00917A9B"/>
    <w:rsid w:val="0092367C"/>
    <w:rsid w:val="00923D2B"/>
    <w:rsid w:val="00925D0F"/>
    <w:rsid w:val="009262C5"/>
    <w:rsid w:val="00926D4B"/>
    <w:rsid w:val="009272B9"/>
    <w:rsid w:val="009272CA"/>
    <w:rsid w:val="00930890"/>
    <w:rsid w:val="00932322"/>
    <w:rsid w:val="00933090"/>
    <w:rsid w:val="00934132"/>
    <w:rsid w:val="00934AAA"/>
    <w:rsid w:val="00934E53"/>
    <w:rsid w:val="00942063"/>
    <w:rsid w:val="00942187"/>
    <w:rsid w:val="00942772"/>
    <w:rsid w:val="00944185"/>
    <w:rsid w:val="00944842"/>
    <w:rsid w:val="00944AF4"/>
    <w:rsid w:val="00944EEB"/>
    <w:rsid w:val="0094556B"/>
    <w:rsid w:val="0094557A"/>
    <w:rsid w:val="00945747"/>
    <w:rsid w:val="00946743"/>
    <w:rsid w:val="00946CB6"/>
    <w:rsid w:val="00947BAE"/>
    <w:rsid w:val="00947DDA"/>
    <w:rsid w:val="009504D2"/>
    <w:rsid w:val="00950B99"/>
    <w:rsid w:val="00951073"/>
    <w:rsid w:val="0095384A"/>
    <w:rsid w:val="0095526E"/>
    <w:rsid w:val="009565E0"/>
    <w:rsid w:val="00956A29"/>
    <w:rsid w:val="00956B88"/>
    <w:rsid w:val="00957364"/>
    <w:rsid w:val="00957C82"/>
    <w:rsid w:val="0096079E"/>
    <w:rsid w:val="00962F8D"/>
    <w:rsid w:val="0096313B"/>
    <w:rsid w:val="0096426B"/>
    <w:rsid w:val="00964580"/>
    <w:rsid w:val="00965170"/>
    <w:rsid w:val="00965477"/>
    <w:rsid w:val="00965758"/>
    <w:rsid w:val="009659F0"/>
    <w:rsid w:val="00965DE6"/>
    <w:rsid w:val="009672A6"/>
    <w:rsid w:val="009676F1"/>
    <w:rsid w:val="00967774"/>
    <w:rsid w:val="00970DA5"/>
    <w:rsid w:val="009714F1"/>
    <w:rsid w:val="00973510"/>
    <w:rsid w:val="00974CCD"/>
    <w:rsid w:val="00975C14"/>
    <w:rsid w:val="009761F4"/>
    <w:rsid w:val="009805A6"/>
    <w:rsid w:val="00980C19"/>
    <w:rsid w:val="00981A33"/>
    <w:rsid w:val="00981EE0"/>
    <w:rsid w:val="009831C9"/>
    <w:rsid w:val="009833B1"/>
    <w:rsid w:val="00983727"/>
    <w:rsid w:val="00984BA1"/>
    <w:rsid w:val="0098624E"/>
    <w:rsid w:val="009868C6"/>
    <w:rsid w:val="00986D7F"/>
    <w:rsid w:val="009870D7"/>
    <w:rsid w:val="009879A7"/>
    <w:rsid w:val="00990CCB"/>
    <w:rsid w:val="009912DF"/>
    <w:rsid w:val="009916BA"/>
    <w:rsid w:val="009927ED"/>
    <w:rsid w:val="00992F7C"/>
    <w:rsid w:val="009945C8"/>
    <w:rsid w:val="009959B5"/>
    <w:rsid w:val="009961CB"/>
    <w:rsid w:val="0099658D"/>
    <w:rsid w:val="009967BE"/>
    <w:rsid w:val="00997251"/>
    <w:rsid w:val="009977FB"/>
    <w:rsid w:val="009A055E"/>
    <w:rsid w:val="009A16FC"/>
    <w:rsid w:val="009A1A31"/>
    <w:rsid w:val="009A1DCE"/>
    <w:rsid w:val="009A2E7B"/>
    <w:rsid w:val="009A35C1"/>
    <w:rsid w:val="009A3E0C"/>
    <w:rsid w:val="009A6795"/>
    <w:rsid w:val="009A6E07"/>
    <w:rsid w:val="009B159C"/>
    <w:rsid w:val="009B1AA1"/>
    <w:rsid w:val="009B2EEB"/>
    <w:rsid w:val="009B5A5A"/>
    <w:rsid w:val="009B5EF1"/>
    <w:rsid w:val="009B7C69"/>
    <w:rsid w:val="009B7E43"/>
    <w:rsid w:val="009B7E59"/>
    <w:rsid w:val="009C01EF"/>
    <w:rsid w:val="009C0435"/>
    <w:rsid w:val="009C39B3"/>
    <w:rsid w:val="009C4117"/>
    <w:rsid w:val="009C4436"/>
    <w:rsid w:val="009C4FDB"/>
    <w:rsid w:val="009C524C"/>
    <w:rsid w:val="009C5716"/>
    <w:rsid w:val="009D0D32"/>
    <w:rsid w:val="009D12A7"/>
    <w:rsid w:val="009D1A06"/>
    <w:rsid w:val="009D1AFA"/>
    <w:rsid w:val="009D1F0A"/>
    <w:rsid w:val="009D1F2D"/>
    <w:rsid w:val="009D3A37"/>
    <w:rsid w:val="009D6F03"/>
    <w:rsid w:val="009D7403"/>
    <w:rsid w:val="009D7AD1"/>
    <w:rsid w:val="009E1125"/>
    <w:rsid w:val="009E191F"/>
    <w:rsid w:val="009E1F3F"/>
    <w:rsid w:val="009E3FC2"/>
    <w:rsid w:val="009E48E6"/>
    <w:rsid w:val="009E52BA"/>
    <w:rsid w:val="009E5BFF"/>
    <w:rsid w:val="009E6F4B"/>
    <w:rsid w:val="009F01BB"/>
    <w:rsid w:val="009F148B"/>
    <w:rsid w:val="009F14A3"/>
    <w:rsid w:val="009F273C"/>
    <w:rsid w:val="009F3043"/>
    <w:rsid w:val="009F3DA8"/>
    <w:rsid w:val="009F3E09"/>
    <w:rsid w:val="009F42FE"/>
    <w:rsid w:val="009F4996"/>
    <w:rsid w:val="009F4F46"/>
    <w:rsid w:val="009F6A2A"/>
    <w:rsid w:val="009F7106"/>
    <w:rsid w:val="009F7384"/>
    <w:rsid w:val="009F7756"/>
    <w:rsid w:val="009F7824"/>
    <w:rsid w:val="009F7F5E"/>
    <w:rsid w:val="00A019EF"/>
    <w:rsid w:val="00A022BD"/>
    <w:rsid w:val="00A02E8B"/>
    <w:rsid w:val="00A03304"/>
    <w:rsid w:val="00A03379"/>
    <w:rsid w:val="00A03390"/>
    <w:rsid w:val="00A03CBB"/>
    <w:rsid w:val="00A03DDD"/>
    <w:rsid w:val="00A04269"/>
    <w:rsid w:val="00A05825"/>
    <w:rsid w:val="00A06650"/>
    <w:rsid w:val="00A06F17"/>
    <w:rsid w:val="00A112F7"/>
    <w:rsid w:val="00A119B2"/>
    <w:rsid w:val="00A12B08"/>
    <w:rsid w:val="00A12B97"/>
    <w:rsid w:val="00A12C4B"/>
    <w:rsid w:val="00A13AF1"/>
    <w:rsid w:val="00A14EFD"/>
    <w:rsid w:val="00A15E8E"/>
    <w:rsid w:val="00A16108"/>
    <w:rsid w:val="00A16681"/>
    <w:rsid w:val="00A1686D"/>
    <w:rsid w:val="00A16972"/>
    <w:rsid w:val="00A170EE"/>
    <w:rsid w:val="00A173B7"/>
    <w:rsid w:val="00A1781F"/>
    <w:rsid w:val="00A179DB"/>
    <w:rsid w:val="00A17B55"/>
    <w:rsid w:val="00A202C1"/>
    <w:rsid w:val="00A20F84"/>
    <w:rsid w:val="00A216CD"/>
    <w:rsid w:val="00A237A8"/>
    <w:rsid w:val="00A2492E"/>
    <w:rsid w:val="00A2570F"/>
    <w:rsid w:val="00A26660"/>
    <w:rsid w:val="00A273E5"/>
    <w:rsid w:val="00A27B89"/>
    <w:rsid w:val="00A30DB7"/>
    <w:rsid w:val="00A319FF"/>
    <w:rsid w:val="00A32924"/>
    <w:rsid w:val="00A33EF4"/>
    <w:rsid w:val="00A34237"/>
    <w:rsid w:val="00A36C7A"/>
    <w:rsid w:val="00A377A8"/>
    <w:rsid w:val="00A40638"/>
    <w:rsid w:val="00A40645"/>
    <w:rsid w:val="00A40C65"/>
    <w:rsid w:val="00A41BB1"/>
    <w:rsid w:val="00A421EA"/>
    <w:rsid w:val="00A42895"/>
    <w:rsid w:val="00A46B05"/>
    <w:rsid w:val="00A47B30"/>
    <w:rsid w:val="00A500CD"/>
    <w:rsid w:val="00A5221C"/>
    <w:rsid w:val="00A52500"/>
    <w:rsid w:val="00A5343B"/>
    <w:rsid w:val="00A55856"/>
    <w:rsid w:val="00A56CFD"/>
    <w:rsid w:val="00A60498"/>
    <w:rsid w:val="00A60767"/>
    <w:rsid w:val="00A60DD6"/>
    <w:rsid w:val="00A6155B"/>
    <w:rsid w:val="00A61CFB"/>
    <w:rsid w:val="00A62F8D"/>
    <w:rsid w:val="00A62F99"/>
    <w:rsid w:val="00A632DD"/>
    <w:rsid w:val="00A63B7B"/>
    <w:rsid w:val="00A64FDC"/>
    <w:rsid w:val="00A65EC5"/>
    <w:rsid w:val="00A6619B"/>
    <w:rsid w:val="00A66D8B"/>
    <w:rsid w:val="00A71EC2"/>
    <w:rsid w:val="00A726FF"/>
    <w:rsid w:val="00A72889"/>
    <w:rsid w:val="00A73722"/>
    <w:rsid w:val="00A73B87"/>
    <w:rsid w:val="00A73C2E"/>
    <w:rsid w:val="00A73F84"/>
    <w:rsid w:val="00A7434D"/>
    <w:rsid w:val="00A753BE"/>
    <w:rsid w:val="00A7591F"/>
    <w:rsid w:val="00A759CB"/>
    <w:rsid w:val="00A764E2"/>
    <w:rsid w:val="00A76D4C"/>
    <w:rsid w:val="00A778FD"/>
    <w:rsid w:val="00A80D43"/>
    <w:rsid w:val="00A8150C"/>
    <w:rsid w:val="00A81A40"/>
    <w:rsid w:val="00A82F26"/>
    <w:rsid w:val="00A83763"/>
    <w:rsid w:val="00A8398A"/>
    <w:rsid w:val="00A90EEE"/>
    <w:rsid w:val="00A91437"/>
    <w:rsid w:val="00A91537"/>
    <w:rsid w:val="00A91B51"/>
    <w:rsid w:val="00A967B3"/>
    <w:rsid w:val="00A96A86"/>
    <w:rsid w:val="00A97232"/>
    <w:rsid w:val="00AA0182"/>
    <w:rsid w:val="00AA0905"/>
    <w:rsid w:val="00AA1D8D"/>
    <w:rsid w:val="00AA1F46"/>
    <w:rsid w:val="00AA2786"/>
    <w:rsid w:val="00AA7C86"/>
    <w:rsid w:val="00AB003E"/>
    <w:rsid w:val="00AB0638"/>
    <w:rsid w:val="00AB06E3"/>
    <w:rsid w:val="00AB1196"/>
    <w:rsid w:val="00AB138F"/>
    <w:rsid w:val="00AB2E21"/>
    <w:rsid w:val="00AB5BA0"/>
    <w:rsid w:val="00AB62C4"/>
    <w:rsid w:val="00AB6731"/>
    <w:rsid w:val="00AB7763"/>
    <w:rsid w:val="00AC051C"/>
    <w:rsid w:val="00AC0624"/>
    <w:rsid w:val="00AC0FFC"/>
    <w:rsid w:val="00AC2DC9"/>
    <w:rsid w:val="00AC453C"/>
    <w:rsid w:val="00AC5794"/>
    <w:rsid w:val="00AC595B"/>
    <w:rsid w:val="00AC79D5"/>
    <w:rsid w:val="00AD2932"/>
    <w:rsid w:val="00AD2C4E"/>
    <w:rsid w:val="00AD2C6B"/>
    <w:rsid w:val="00AD4255"/>
    <w:rsid w:val="00AD46F9"/>
    <w:rsid w:val="00AE19C2"/>
    <w:rsid w:val="00AE1DED"/>
    <w:rsid w:val="00AE24B4"/>
    <w:rsid w:val="00AE24C4"/>
    <w:rsid w:val="00AE37C4"/>
    <w:rsid w:val="00AE42F0"/>
    <w:rsid w:val="00AE5BEC"/>
    <w:rsid w:val="00AE7A24"/>
    <w:rsid w:val="00AF007E"/>
    <w:rsid w:val="00AF0502"/>
    <w:rsid w:val="00AF2175"/>
    <w:rsid w:val="00AF248A"/>
    <w:rsid w:val="00AF29B2"/>
    <w:rsid w:val="00AF743C"/>
    <w:rsid w:val="00B00A03"/>
    <w:rsid w:val="00B02562"/>
    <w:rsid w:val="00B03186"/>
    <w:rsid w:val="00B04C6E"/>
    <w:rsid w:val="00B0505C"/>
    <w:rsid w:val="00B05FFD"/>
    <w:rsid w:val="00B108AC"/>
    <w:rsid w:val="00B10E98"/>
    <w:rsid w:val="00B114D9"/>
    <w:rsid w:val="00B1232C"/>
    <w:rsid w:val="00B1343E"/>
    <w:rsid w:val="00B13D74"/>
    <w:rsid w:val="00B14022"/>
    <w:rsid w:val="00B14663"/>
    <w:rsid w:val="00B15875"/>
    <w:rsid w:val="00B16F23"/>
    <w:rsid w:val="00B17EAC"/>
    <w:rsid w:val="00B216F7"/>
    <w:rsid w:val="00B22ACC"/>
    <w:rsid w:val="00B23F43"/>
    <w:rsid w:val="00B2481E"/>
    <w:rsid w:val="00B300FD"/>
    <w:rsid w:val="00B31CAC"/>
    <w:rsid w:val="00B32621"/>
    <w:rsid w:val="00B32717"/>
    <w:rsid w:val="00B3289E"/>
    <w:rsid w:val="00B328BF"/>
    <w:rsid w:val="00B35E24"/>
    <w:rsid w:val="00B3641A"/>
    <w:rsid w:val="00B36B04"/>
    <w:rsid w:val="00B36DE2"/>
    <w:rsid w:val="00B37824"/>
    <w:rsid w:val="00B40164"/>
    <w:rsid w:val="00B4132D"/>
    <w:rsid w:val="00B41EBA"/>
    <w:rsid w:val="00B41EF0"/>
    <w:rsid w:val="00B423A6"/>
    <w:rsid w:val="00B436CE"/>
    <w:rsid w:val="00B43C60"/>
    <w:rsid w:val="00B451D7"/>
    <w:rsid w:val="00B4671C"/>
    <w:rsid w:val="00B47730"/>
    <w:rsid w:val="00B47C05"/>
    <w:rsid w:val="00B5066C"/>
    <w:rsid w:val="00B51194"/>
    <w:rsid w:val="00B521CF"/>
    <w:rsid w:val="00B5363D"/>
    <w:rsid w:val="00B551FF"/>
    <w:rsid w:val="00B57B1A"/>
    <w:rsid w:val="00B57C86"/>
    <w:rsid w:val="00B60AA1"/>
    <w:rsid w:val="00B60AF5"/>
    <w:rsid w:val="00B6279F"/>
    <w:rsid w:val="00B64559"/>
    <w:rsid w:val="00B665BD"/>
    <w:rsid w:val="00B700AA"/>
    <w:rsid w:val="00B712E6"/>
    <w:rsid w:val="00B7279D"/>
    <w:rsid w:val="00B75520"/>
    <w:rsid w:val="00B765F0"/>
    <w:rsid w:val="00B77C5E"/>
    <w:rsid w:val="00B80587"/>
    <w:rsid w:val="00B8191D"/>
    <w:rsid w:val="00B843AF"/>
    <w:rsid w:val="00B84E75"/>
    <w:rsid w:val="00B84EFD"/>
    <w:rsid w:val="00B8554B"/>
    <w:rsid w:val="00B85F4B"/>
    <w:rsid w:val="00B860E4"/>
    <w:rsid w:val="00B8610C"/>
    <w:rsid w:val="00B86C9F"/>
    <w:rsid w:val="00B90289"/>
    <w:rsid w:val="00B9030A"/>
    <w:rsid w:val="00B929C2"/>
    <w:rsid w:val="00B92BAC"/>
    <w:rsid w:val="00B943C6"/>
    <w:rsid w:val="00B95CE1"/>
    <w:rsid w:val="00B96378"/>
    <w:rsid w:val="00B96D3A"/>
    <w:rsid w:val="00BA0269"/>
    <w:rsid w:val="00BA112C"/>
    <w:rsid w:val="00BA2740"/>
    <w:rsid w:val="00BA386F"/>
    <w:rsid w:val="00BA5105"/>
    <w:rsid w:val="00BA58B7"/>
    <w:rsid w:val="00BB001B"/>
    <w:rsid w:val="00BB3E6A"/>
    <w:rsid w:val="00BB4A94"/>
    <w:rsid w:val="00BB5376"/>
    <w:rsid w:val="00BB580F"/>
    <w:rsid w:val="00BB6449"/>
    <w:rsid w:val="00BB74D8"/>
    <w:rsid w:val="00BC0247"/>
    <w:rsid w:val="00BC13BD"/>
    <w:rsid w:val="00BC1671"/>
    <w:rsid w:val="00BC1838"/>
    <w:rsid w:val="00BC193E"/>
    <w:rsid w:val="00BC1A1C"/>
    <w:rsid w:val="00BC1E87"/>
    <w:rsid w:val="00BC2416"/>
    <w:rsid w:val="00BC3A12"/>
    <w:rsid w:val="00BC442F"/>
    <w:rsid w:val="00BC6C5B"/>
    <w:rsid w:val="00BC6E47"/>
    <w:rsid w:val="00BD0E02"/>
    <w:rsid w:val="00BD486F"/>
    <w:rsid w:val="00BD5321"/>
    <w:rsid w:val="00BD5381"/>
    <w:rsid w:val="00BD6C23"/>
    <w:rsid w:val="00BD770A"/>
    <w:rsid w:val="00BE34EA"/>
    <w:rsid w:val="00BE429E"/>
    <w:rsid w:val="00BE4E25"/>
    <w:rsid w:val="00BE54DB"/>
    <w:rsid w:val="00BE615F"/>
    <w:rsid w:val="00BF0FA7"/>
    <w:rsid w:val="00BF102C"/>
    <w:rsid w:val="00BF17E1"/>
    <w:rsid w:val="00BF1897"/>
    <w:rsid w:val="00BF1BCB"/>
    <w:rsid w:val="00BF211A"/>
    <w:rsid w:val="00BF4E0E"/>
    <w:rsid w:val="00BF5073"/>
    <w:rsid w:val="00BF55ED"/>
    <w:rsid w:val="00BF72D4"/>
    <w:rsid w:val="00BF7414"/>
    <w:rsid w:val="00C01370"/>
    <w:rsid w:val="00C0163B"/>
    <w:rsid w:val="00C02ABC"/>
    <w:rsid w:val="00C02CDD"/>
    <w:rsid w:val="00C0327D"/>
    <w:rsid w:val="00C06633"/>
    <w:rsid w:val="00C10470"/>
    <w:rsid w:val="00C107DF"/>
    <w:rsid w:val="00C10BA2"/>
    <w:rsid w:val="00C10E1F"/>
    <w:rsid w:val="00C1119B"/>
    <w:rsid w:val="00C1146E"/>
    <w:rsid w:val="00C11740"/>
    <w:rsid w:val="00C12EB3"/>
    <w:rsid w:val="00C137EE"/>
    <w:rsid w:val="00C144BA"/>
    <w:rsid w:val="00C14A6D"/>
    <w:rsid w:val="00C14B76"/>
    <w:rsid w:val="00C174BA"/>
    <w:rsid w:val="00C203DB"/>
    <w:rsid w:val="00C212C1"/>
    <w:rsid w:val="00C21E18"/>
    <w:rsid w:val="00C22BC9"/>
    <w:rsid w:val="00C2635A"/>
    <w:rsid w:val="00C26492"/>
    <w:rsid w:val="00C26BFF"/>
    <w:rsid w:val="00C30677"/>
    <w:rsid w:val="00C31346"/>
    <w:rsid w:val="00C31DDB"/>
    <w:rsid w:val="00C32D96"/>
    <w:rsid w:val="00C34180"/>
    <w:rsid w:val="00C360B9"/>
    <w:rsid w:val="00C37159"/>
    <w:rsid w:val="00C37DFF"/>
    <w:rsid w:val="00C4082A"/>
    <w:rsid w:val="00C4166C"/>
    <w:rsid w:val="00C4187D"/>
    <w:rsid w:val="00C41BFC"/>
    <w:rsid w:val="00C42E1D"/>
    <w:rsid w:val="00C43E38"/>
    <w:rsid w:val="00C44954"/>
    <w:rsid w:val="00C454CE"/>
    <w:rsid w:val="00C4575C"/>
    <w:rsid w:val="00C45842"/>
    <w:rsid w:val="00C46412"/>
    <w:rsid w:val="00C50D36"/>
    <w:rsid w:val="00C53899"/>
    <w:rsid w:val="00C53B85"/>
    <w:rsid w:val="00C53FF5"/>
    <w:rsid w:val="00C54A10"/>
    <w:rsid w:val="00C54F19"/>
    <w:rsid w:val="00C5548C"/>
    <w:rsid w:val="00C556DE"/>
    <w:rsid w:val="00C56016"/>
    <w:rsid w:val="00C5607F"/>
    <w:rsid w:val="00C60601"/>
    <w:rsid w:val="00C60655"/>
    <w:rsid w:val="00C61D0E"/>
    <w:rsid w:val="00C61D8E"/>
    <w:rsid w:val="00C61DC1"/>
    <w:rsid w:val="00C6237E"/>
    <w:rsid w:val="00C64884"/>
    <w:rsid w:val="00C65547"/>
    <w:rsid w:val="00C65857"/>
    <w:rsid w:val="00C66FD1"/>
    <w:rsid w:val="00C67CFB"/>
    <w:rsid w:val="00C709A4"/>
    <w:rsid w:val="00C70A30"/>
    <w:rsid w:val="00C719CB"/>
    <w:rsid w:val="00C71E17"/>
    <w:rsid w:val="00C725C1"/>
    <w:rsid w:val="00C74672"/>
    <w:rsid w:val="00C775AE"/>
    <w:rsid w:val="00C803D1"/>
    <w:rsid w:val="00C82762"/>
    <w:rsid w:val="00C828E4"/>
    <w:rsid w:val="00C82B46"/>
    <w:rsid w:val="00C83478"/>
    <w:rsid w:val="00C85514"/>
    <w:rsid w:val="00C85AB0"/>
    <w:rsid w:val="00C8756F"/>
    <w:rsid w:val="00C875BC"/>
    <w:rsid w:val="00C90D93"/>
    <w:rsid w:val="00C919C2"/>
    <w:rsid w:val="00C91C37"/>
    <w:rsid w:val="00C92772"/>
    <w:rsid w:val="00C92DCD"/>
    <w:rsid w:val="00C94174"/>
    <w:rsid w:val="00C952FA"/>
    <w:rsid w:val="00C9591C"/>
    <w:rsid w:val="00C96219"/>
    <w:rsid w:val="00C96F28"/>
    <w:rsid w:val="00C976C1"/>
    <w:rsid w:val="00CA070B"/>
    <w:rsid w:val="00CA0DCC"/>
    <w:rsid w:val="00CA3370"/>
    <w:rsid w:val="00CA381D"/>
    <w:rsid w:val="00CB00E3"/>
    <w:rsid w:val="00CB0664"/>
    <w:rsid w:val="00CB1C39"/>
    <w:rsid w:val="00CB374D"/>
    <w:rsid w:val="00CB5DAD"/>
    <w:rsid w:val="00CB6807"/>
    <w:rsid w:val="00CB6D80"/>
    <w:rsid w:val="00CB78D0"/>
    <w:rsid w:val="00CC0467"/>
    <w:rsid w:val="00CC04D9"/>
    <w:rsid w:val="00CC0996"/>
    <w:rsid w:val="00CC144A"/>
    <w:rsid w:val="00CC16FC"/>
    <w:rsid w:val="00CC318B"/>
    <w:rsid w:val="00CC3902"/>
    <w:rsid w:val="00CC43D2"/>
    <w:rsid w:val="00CC5C0D"/>
    <w:rsid w:val="00CC62A6"/>
    <w:rsid w:val="00CC6608"/>
    <w:rsid w:val="00CC6D0D"/>
    <w:rsid w:val="00CC755E"/>
    <w:rsid w:val="00CC788A"/>
    <w:rsid w:val="00CC7CD3"/>
    <w:rsid w:val="00CD1564"/>
    <w:rsid w:val="00CD3609"/>
    <w:rsid w:val="00CD3A55"/>
    <w:rsid w:val="00CD3B21"/>
    <w:rsid w:val="00CD4615"/>
    <w:rsid w:val="00CD7226"/>
    <w:rsid w:val="00CD7CE9"/>
    <w:rsid w:val="00CE2626"/>
    <w:rsid w:val="00CE3C5C"/>
    <w:rsid w:val="00CE40CF"/>
    <w:rsid w:val="00CE4485"/>
    <w:rsid w:val="00CE5DDA"/>
    <w:rsid w:val="00CE7570"/>
    <w:rsid w:val="00CE7910"/>
    <w:rsid w:val="00CE7CB8"/>
    <w:rsid w:val="00CF0F13"/>
    <w:rsid w:val="00CF24D3"/>
    <w:rsid w:val="00CF279F"/>
    <w:rsid w:val="00CF302B"/>
    <w:rsid w:val="00CF4FC5"/>
    <w:rsid w:val="00CF58FB"/>
    <w:rsid w:val="00CF630E"/>
    <w:rsid w:val="00CF69F7"/>
    <w:rsid w:val="00CF70DB"/>
    <w:rsid w:val="00D01594"/>
    <w:rsid w:val="00D01724"/>
    <w:rsid w:val="00D022D5"/>
    <w:rsid w:val="00D024B7"/>
    <w:rsid w:val="00D06084"/>
    <w:rsid w:val="00D070AF"/>
    <w:rsid w:val="00D07167"/>
    <w:rsid w:val="00D11286"/>
    <w:rsid w:val="00D117D3"/>
    <w:rsid w:val="00D1330B"/>
    <w:rsid w:val="00D1418E"/>
    <w:rsid w:val="00D15AF2"/>
    <w:rsid w:val="00D15BFF"/>
    <w:rsid w:val="00D15CDB"/>
    <w:rsid w:val="00D15E53"/>
    <w:rsid w:val="00D17857"/>
    <w:rsid w:val="00D205B1"/>
    <w:rsid w:val="00D21B1C"/>
    <w:rsid w:val="00D22D1B"/>
    <w:rsid w:val="00D23553"/>
    <w:rsid w:val="00D23C43"/>
    <w:rsid w:val="00D258FA"/>
    <w:rsid w:val="00D25D26"/>
    <w:rsid w:val="00D26427"/>
    <w:rsid w:val="00D26F31"/>
    <w:rsid w:val="00D27372"/>
    <w:rsid w:val="00D32602"/>
    <w:rsid w:val="00D3273F"/>
    <w:rsid w:val="00D3279B"/>
    <w:rsid w:val="00D33CBA"/>
    <w:rsid w:val="00D3417E"/>
    <w:rsid w:val="00D35365"/>
    <w:rsid w:val="00D358A2"/>
    <w:rsid w:val="00D35D6E"/>
    <w:rsid w:val="00D36479"/>
    <w:rsid w:val="00D372DC"/>
    <w:rsid w:val="00D37846"/>
    <w:rsid w:val="00D37DBE"/>
    <w:rsid w:val="00D40153"/>
    <w:rsid w:val="00D414B2"/>
    <w:rsid w:val="00D4345F"/>
    <w:rsid w:val="00D4457E"/>
    <w:rsid w:val="00D455FE"/>
    <w:rsid w:val="00D460D7"/>
    <w:rsid w:val="00D513AA"/>
    <w:rsid w:val="00D52171"/>
    <w:rsid w:val="00D52486"/>
    <w:rsid w:val="00D53F2F"/>
    <w:rsid w:val="00D56AEA"/>
    <w:rsid w:val="00D63A14"/>
    <w:rsid w:val="00D63DE0"/>
    <w:rsid w:val="00D65AB1"/>
    <w:rsid w:val="00D70F1D"/>
    <w:rsid w:val="00D71B3F"/>
    <w:rsid w:val="00D726AE"/>
    <w:rsid w:val="00D74858"/>
    <w:rsid w:val="00D74E18"/>
    <w:rsid w:val="00D75305"/>
    <w:rsid w:val="00D75954"/>
    <w:rsid w:val="00D760A8"/>
    <w:rsid w:val="00D7645B"/>
    <w:rsid w:val="00D76C74"/>
    <w:rsid w:val="00D77017"/>
    <w:rsid w:val="00D77CCB"/>
    <w:rsid w:val="00D80160"/>
    <w:rsid w:val="00D80327"/>
    <w:rsid w:val="00D837A9"/>
    <w:rsid w:val="00D84DAF"/>
    <w:rsid w:val="00D86281"/>
    <w:rsid w:val="00D86CFA"/>
    <w:rsid w:val="00D87AB6"/>
    <w:rsid w:val="00D87B4C"/>
    <w:rsid w:val="00D9155A"/>
    <w:rsid w:val="00D91CFA"/>
    <w:rsid w:val="00D9307B"/>
    <w:rsid w:val="00D9405E"/>
    <w:rsid w:val="00D950F4"/>
    <w:rsid w:val="00DA1CAE"/>
    <w:rsid w:val="00DA2E0A"/>
    <w:rsid w:val="00DA32D2"/>
    <w:rsid w:val="00DA37D5"/>
    <w:rsid w:val="00DA6316"/>
    <w:rsid w:val="00DA634F"/>
    <w:rsid w:val="00DA6454"/>
    <w:rsid w:val="00DB1F3D"/>
    <w:rsid w:val="00DB1FD6"/>
    <w:rsid w:val="00DB3221"/>
    <w:rsid w:val="00DB38B9"/>
    <w:rsid w:val="00DB45ED"/>
    <w:rsid w:val="00DB4EBD"/>
    <w:rsid w:val="00DB63B6"/>
    <w:rsid w:val="00DB6415"/>
    <w:rsid w:val="00DB7D5D"/>
    <w:rsid w:val="00DC246B"/>
    <w:rsid w:val="00DC27AD"/>
    <w:rsid w:val="00DC28FF"/>
    <w:rsid w:val="00DC2967"/>
    <w:rsid w:val="00DC3128"/>
    <w:rsid w:val="00DC3A86"/>
    <w:rsid w:val="00DC5635"/>
    <w:rsid w:val="00DC61F9"/>
    <w:rsid w:val="00DC6A58"/>
    <w:rsid w:val="00DC6ACF"/>
    <w:rsid w:val="00DC776D"/>
    <w:rsid w:val="00DD0DA4"/>
    <w:rsid w:val="00DD129E"/>
    <w:rsid w:val="00DD1DA4"/>
    <w:rsid w:val="00DD319C"/>
    <w:rsid w:val="00DD62E0"/>
    <w:rsid w:val="00DE04D9"/>
    <w:rsid w:val="00DE154D"/>
    <w:rsid w:val="00DE21D8"/>
    <w:rsid w:val="00DE2375"/>
    <w:rsid w:val="00DE2A9A"/>
    <w:rsid w:val="00DE5604"/>
    <w:rsid w:val="00DE5F0F"/>
    <w:rsid w:val="00DE6214"/>
    <w:rsid w:val="00DE6998"/>
    <w:rsid w:val="00DE7B66"/>
    <w:rsid w:val="00DF0BD9"/>
    <w:rsid w:val="00DF1D60"/>
    <w:rsid w:val="00DF3FB4"/>
    <w:rsid w:val="00DF5FF2"/>
    <w:rsid w:val="00DF613E"/>
    <w:rsid w:val="00DF69CF"/>
    <w:rsid w:val="00DF7E47"/>
    <w:rsid w:val="00E00482"/>
    <w:rsid w:val="00E008F3"/>
    <w:rsid w:val="00E01FB2"/>
    <w:rsid w:val="00E02D07"/>
    <w:rsid w:val="00E0397F"/>
    <w:rsid w:val="00E03C13"/>
    <w:rsid w:val="00E05CDC"/>
    <w:rsid w:val="00E065CA"/>
    <w:rsid w:val="00E06C30"/>
    <w:rsid w:val="00E06EAB"/>
    <w:rsid w:val="00E10830"/>
    <w:rsid w:val="00E10A8E"/>
    <w:rsid w:val="00E119FC"/>
    <w:rsid w:val="00E12B7C"/>
    <w:rsid w:val="00E15A3A"/>
    <w:rsid w:val="00E1768E"/>
    <w:rsid w:val="00E204ED"/>
    <w:rsid w:val="00E206CE"/>
    <w:rsid w:val="00E212F6"/>
    <w:rsid w:val="00E216F5"/>
    <w:rsid w:val="00E22836"/>
    <w:rsid w:val="00E23043"/>
    <w:rsid w:val="00E2348C"/>
    <w:rsid w:val="00E24892"/>
    <w:rsid w:val="00E2572D"/>
    <w:rsid w:val="00E2637E"/>
    <w:rsid w:val="00E26ED1"/>
    <w:rsid w:val="00E26EDA"/>
    <w:rsid w:val="00E27930"/>
    <w:rsid w:val="00E31468"/>
    <w:rsid w:val="00E32755"/>
    <w:rsid w:val="00E32BFA"/>
    <w:rsid w:val="00E33D19"/>
    <w:rsid w:val="00E33F6B"/>
    <w:rsid w:val="00E35559"/>
    <w:rsid w:val="00E3704B"/>
    <w:rsid w:val="00E41B54"/>
    <w:rsid w:val="00E41BE3"/>
    <w:rsid w:val="00E41C25"/>
    <w:rsid w:val="00E42EE1"/>
    <w:rsid w:val="00E4321E"/>
    <w:rsid w:val="00E434E0"/>
    <w:rsid w:val="00E5128D"/>
    <w:rsid w:val="00E5393A"/>
    <w:rsid w:val="00E53C52"/>
    <w:rsid w:val="00E5457B"/>
    <w:rsid w:val="00E57673"/>
    <w:rsid w:val="00E57C8E"/>
    <w:rsid w:val="00E600D0"/>
    <w:rsid w:val="00E610CD"/>
    <w:rsid w:val="00E6261F"/>
    <w:rsid w:val="00E641CF"/>
    <w:rsid w:val="00E6558C"/>
    <w:rsid w:val="00E67B44"/>
    <w:rsid w:val="00E704F4"/>
    <w:rsid w:val="00E727F2"/>
    <w:rsid w:val="00E72F51"/>
    <w:rsid w:val="00E734F0"/>
    <w:rsid w:val="00E73855"/>
    <w:rsid w:val="00E73FD0"/>
    <w:rsid w:val="00E75E70"/>
    <w:rsid w:val="00E76EDA"/>
    <w:rsid w:val="00E77431"/>
    <w:rsid w:val="00E77681"/>
    <w:rsid w:val="00E77F36"/>
    <w:rsid w:val="00E802C2"/>
    <w:rsid w:val="00E808D9"/>
    <w:rsid w:val="00E80913"/>
    <w:rsid w:val="00E80ED4"/>
    <w:rsid w:val="00E81DAD"/>
    <w:rsid w:val="00E842FF"/>
    <w:rsid w:val="00E8491A"/>
    <w:rsid w:val="00E8608C"/>
    <w:rsid w:val="00E86D39"/>
    <w:rsid w:val="00E871A3"/>
    <w:rsid w:val="00E91A28"/>
    <w:rsid w:val="00E9227A"/>
    <w:rsid w:val="00E9243E"/>
    <w:rsid w:val="00E9277A"/>
    <w:rsid w:val="00E9333F"/>
    <w:rsid w:val="00E93D78"/>
    <w:rsid w:val="00E96E71"/>
    <w:rsid w:val="00E974C3"/>
    <w:rsid w:val="00E9781A"/>
    <w:rsid w:val="00EA0B75"/>
    <w:rsid w:val="00EA1DCD"/>
    <w:rsid w:val="00EA39E6"/>
    <w:rsid w:val="00EA4904"/>
    <w:rsid w:val="00EA499B"/>
    <w:rsid w:val="00EA4A82"/>
    <w:rsid w:val="00EA6176"/>
    <w:rsid w:val="00EA66C1"/>
    <w:rsid w:val="00EB1689"/>
    <w:rsid w:val="00EB36E1"/>
    <w:rsid w:val="00EB5081"/>
    <w:rsid w:val="00EB5575"/>
    <w:rsid w:val="00EB6076"/>
    <w:rsid w:val="00EB68C7"/>
    <w:rsid w:val="00EB6F4A"/>
    <w:rsid w:val="00EC0D5C"/>
    <w:rsid w:val="00EC256D"/>
    <w:rsid w:val="00EC25F0"/>
    <w:rsid w:val="00EC2F4F"/>
    <w:rsid w:val="00EC3418"/>
    <w:rsid w:val="00EC42BE"/>
    <w:rsid w:val="00EC4356"/>
    <w:rsid w:val="00EC6695"/>
    <w:rsid w:val="00EC6AF5"/>
    <w:rsid w:val="00EC787E"/>
    <w:rsid w:val="00EC7FC2"/>
    <w:rsid w:val="00ED08F0"/>
    <w:rsid w:val="00ED0B96"/>
    <w:rsid w:val="00ED10CC"/>
    <w:rsid w:val="00ED11DB"/>
    <w:rsid w:val="00ED23EE"/>
    <w:rsid w:val="00ED3A34"/>
    <w:rsid w:val="00ED439D"/>
    <w:rsid w:val="00ED4B0B"/>
    <w:rsid w:val="00ED4F11"/>
    <w:rsid w:val="00ED52F3"/>
    <w:rsid w:val="00ED6DC1"/>
    <w:rsid w:val="00ED6FF7"/>
    <w:rsid w:val="00ED71DE"/>
    <w:rsid w:val="00ED73F0"/>
    <w:rsid w:val="00ED78F1"/>
    <w:rsid w:val="00ED7B54"/>
    <w:rsid w:val="00EE0957"/>
    <w:rsid w:val="00EE19C0"/>
    <w:rsid w:val="00EE37C6"/>
    <w:rsid w:val="00EE450A"/>
    <w:rsid w:val="00EE5105"/>
    <w:rsid w:val="00EE52A7"/>
    <w:rsid w:val="00EE557D"/>
    <w:rsid w:val="00EE5606"/>
    <w:rsid w:val="00EE5B0A"/>
    <w:rsid w:val="00EE5D8D"/>
    <w:rsid w:val="00EE6CD9"/>
    <w:rsid w:val="00EF2EFF"/>
    <w:rsid w:val="00EF33F4"/>
    <w:rsid w:val="00EF462B"/>
    <w:rsid w:val="00EF5179"/>
    <w:rsid w:val="00EF64D7"/>
    <w:rsid w:val="00EF71A7"/>
    <w:rsid w:val="00F00383"/>
    <w:rsid w:val="00F00A4E"/>
    <w:rsid w:val="00F01BF9"/>
    <w:rsid w:val="00F01D28"/>
    <w:rsid w:val="00F01F60"/>
    <w:rsid w:val="00F06355"/>
    <w:rsid w:val="00F06912"/>
    <w:rsid w:val="00F101E6"/>
    <w:rsid w:val="00F116B2"/>
    <w:rsid w:val="00F11E82"/>
    <w:rsid w:val="00F17041"/>
    <w:rsid w:val="00F20381"/>
    <w:rsid w:val="00F2162A"/>
    <w:rsid w:val="00F2445B"/>
    <w:rsid w:val="00F252B2"/>
    <w:rsid w:val="00F27FF5"/>
    <w:rsid w:val="00F3078E"/>
    <w:rsid w:val="00F31456"/>
    <w:rsid w:val="00F31859"/>
    <w:rsid w:val="00F31D9D"/>
    <w:rsid w:val="00F331E0"/>
    <w:rsid w:val="00F34EC7"/>
    <w:rsid w:val="00F35AA3"/>
    <w:rsid w:val="00F37D2A"/>
    <w:rsid w:val="00F410B4"/>
    <w:rsid w:val="00F44FB6"/>
    <w:rsid w:val="00F50482"/>
    <w:rsid w:val="00F5115B"/>
    <w:rsid w:val="00F5135C"/>
    <w:rsid w:val="00F5188A"/>
    <w:rsid w:val="00F51AE5"/>
    <w:rsid w:val="00F52442"/>
    <w:rsid w:val="00F53966"/>
    <w:rsid w:val="00F5538B"/>
    <w:rsid w:val="00F55CB6"/>
    <w:rsid w:val="00F55CBF"/>
    <w:rsid w:val="00F56226"/>
    <w:rsid w:val="00F56F4E"/>
    <w:rsid w:val="00F57A31"/>
    <w:rsid w:val="00F57BDB"/>
    <w:rsid w:val="00F600AF"/>
    <w:rsid w:val="00F60B13"/>
    <w:rsid w:val="00F61668"/>
    <w:rsid w:val="00F61E53"/>
    <w:rsid w:val="00F62B1A"/>
    <w:rsid w:val="00F6370B"/>
    <w:rsid w:val="00F63C79"/>
    <w:rsid w:val="00F64B09"/>
    <w:rsid w:val="00F6548E"/>
    <w:rsid w:val="00F66226"/>
    <w:rsid w:val="00F6632D"/>
    <w:rsid w:val="00F71F27"/>
    <w:rsid w:val="00F721B8"/>
    <w:rsid w:val="00F7365B"/>
    <w:rsid w:val="00F74CF3"/>
    <w:rsid w:val="00F75397"/>
    <w:rsid w:val="00F75DF8"/>
    <w:rsid w:val="00F76DE4"/>
    <w:rsid w:val="00F77CFD"/>
    <w:rsid w:val="00F816C2"/>
    <w:rsid w:val="00F819B2"/>
    <w:rsid w:val="00F825C9"/>
    <w:rsid w:val="00F82DED"/>
    <w:rsid w:val="00F82E33"/>
    <w:rsid w:val="00F84223"/>
    <w:rsid w:val="00F85CE1"/>
    <w:rsid w:val="00F8724F"/>
    <w:rsid w:val="00F87947"/>
    <w:rsid w:val="00F87B59"/>
    <w:rsid w:val="00F87D6E"/>
    <w:rsid w:val="00F902E5"/>
    <w:rsid w:val="00F90460"/>
    <w:rsid w:val="00F90EDF"/>
    <w:rsid w:val="00F91481"/>
    <w:rsid w:val="00F94080"/>
    <w:rsid w:val="00F9638A"/>
    <w:rsid w:val="00F97371"/>
    <w:rsid w:val="00FA2174"/>
    <w:rsid w:val="00FA261B"/>
    <w:rsid w:val="00FA28A8"/>
    <w:rsid w:val="00FA3B40"/>
    <w:rsid w:val="00FA3E42"/>
    <w:rsid w:val="00FA4440"/>
    <w:rsid w:val="00FA4E9C"/>
    <w:rsid w:val="00FA55EB"/>
    <w:rsid w:val="00FA797E"/>
    <w:rsid w:val="00FB24AE"/>
    <w:rsid w:val="00FB4555"/>
    <w:rsid w:val="00FB4B1E"/>
    <w:rsid w:val="00FB5471"/>
    <w:rsid w:val="00FB59FA"/>
    <w:rsid w:val="00FB60B9"/>
    <w:rsid w:val="00FB62AC"/>
    <w:rsid w:val="00FB648C"/>
    <w:rsid w:val="00FB74EC"/>
    <w:rsid w:val="00FC11C5"/>
    <w:rsid w:val="00FC1C28"/>
    <w:rsid w:val="00FC2391"/>
    <w:rsid w:val="00FC2947"/>
    <w:rsid w:val="00FC2A6E"/>
    <w:rsid w:val="00FC3279"/>
    <w:rsid w:val="00FC334A"/>
    <w:rsid w:val="00FC3DF4"/>
    <w:rsid w:val="00FC412A"/>
    <w:rsid w:val="00FC4E28"/>
    <w:rsid w:val="00FC640D"/>
    <w:rsid w:val="00FC67B8"/>
    <w:rsid w:val="00FC693F"/>
    <w:rsid w:val="00FC6B29"/>
    <w:rsid w:val="00FC70A7"/>
    <w:rsid w:val="00FC7F3B"/>
    <w:rsid w:val="00FD343A"/>
    <w:rsid w:val="00FD42E4"/>
    <w:rsid w:val="00FD4493"/>
    <w:rsid w:val="00FD49A1"/>
    <w:rsid w:val="00FD4EC9"/>
    <w:rsid w:val="00FD5560"/>
    <w:rsid w:val="00FE191F"/>
    <w:rsid w:val="00FE3471"/>
    <w:rsid w:val="00FE3D8C"/>
    <w:rsid w:val="00FE47D0"/>
    <w:rsid w:val="00FE516B"/>
    <w:rsid w:val="00FF1148"/>
    <w:rsid w:val="00FF25DB"/>
    <w:rsid w:val="00FF2BF2"/>
    <w:rsid w:val="00FF3089"/>
    <w:rsid w:val="00FF4665"/>
    <w:rsid w:val="00FF5135"/>
    <w:rsid w:val="00FF52FC"/>
    <w:rsid w:val="00FF67AB"/>
    <w:rsid w:val="00FF6F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5A6BA8"/>
  <w14:defaultImageDpi w14:val="300"/>
  <w15:docId w15:val="{561AA8C8-4FA9-124B-AF96-039F26511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0A0"/>
    <w:pPr>
      <w:spacing w:after="0" w:line="240" w:lineRule="auto"/>
    </w:pPr>
    <w:rPr>
      <w:rFonts w:ascii="Times New Roman" w:eastAsia="Times New Roman" w:hAnsi="Times New Roman" w:cs="Times New Roman"/>
      <w:sz w:val="24"/>
      <w:szCs w:val="24"/>
    </w:rPr>
  </w:style>
  <w:style w:type="paragraph" w:styleId="Heading1">
    <w:name w:val="heading 1"/>
    <w:basedOn w:val="Heading4"/>
    <w:next w:val="Normal"/>
    <w:link w:val="Heading1Char"/>
    <w:uiPriority w:val="9"/>
    <w:qFormat/>
    <w:rsid w:val="008D4159"/>
    <w:pPr>
      <w:outlineLvl w:val="0"/>
    </w:pPr>
    <w:rPr>
      <w:sz w:val="32"/>
    </w:rPr>
  </w:style>
  <w:style w:type="paragraph" w:styleId="Heading2">
    <w:name w:val="heading 2"/>
    <w:basedOn w:val="Heading1"/>
    <w:next w:val="Normal"/>
    <w:link w:val="Heading2Char"/>
    <w:uiPriority w:val="9"/>
    <w:unhideWhenUsed/>
    <w:qFormat/>
    <w:rsid w:val="00AA1F46"/>
    <w:pPr>
      <w:outlineLvl w:val="1"/>
    </w:pPr>
    <w:rPr>
      <w:sz w:val="28"/>
    </w:rPr>
  </w:style>
  <w:style w:type="paragraph" w:styleId="Heading3">
    <w:name w:val="heading 3"/>
    <w:basedOn w:val="Heading2"/>
    <w:next w:val="Normal"/>
    <w:link w:val="Heading3Char"/>
    <w:uiPriority w:val="9"/>
    <w:unhideWhenUsed/>
    <w:qFormat/>
    <w:rsid w:val="00AA1F46"/>
    <w:pPr>
      <w:outlineLvl w:val="2"/>
    </w:pPr>
    <w:rPr>
      <w:sz w:val="24"/>
    </w:rPr>
  </w:style>
  <w:style w:type="paragraph" w:styleId="Heading4">
    <w:name w:val="heading 4"/>
    <w:basedOn w:val="Normal"/>
    <w:next w:val="Normal"/>
    <w:link w:val="Heading4Char"/>
    <w:uiPriority w:val="9"/>
    <w:unhideWhenUsed/>
    <w:qFormat/>
    <w:rsid w:val="00F90460"/>
    <w:pPr>
      <w:outlineLvl w:val="3"/>
    </w:pPr>
    <w:rPr>
      <w:b/>
      <w:kern w:val="2"/>
    </w:rPr>
  </w:style>
  <w:style w:type="paragraph" w:styleId="Heading5">
    <w:name w:val="heading 5"/>
    <w:basedOn w:val="Heading4"/>
    <w:next w:val="Normal"/>
    <w:link w:val="Heading5Char"/>
    <w:uiPriority w:val="9"/>
    <w:unhideWhenUsed/>
    <w:qFormat/>
    <w:rsid w:val="00F90460"/>
    <w:pPr>
      <w:outlineLvl w:val="4"/>
    </w:pPr>
  </w:style>
  <w:style w:type="paragraph" w:styleId="Heading6">
    <w:name w:val="heading 6"/>
    <w:basedOn w:val="Normal"/>
    <w:next w:val="Normal"/>
    <w:link w:val="Heading6Char"/>
    <w:uiPriority w:val="9"/>
    <w:unhideWhenUsed/>
    <w:qFormat/>
    <w:rsid w:val="00FC693F"/>
    <w:pPr>
      <w:keepNext/>
      <w:keepLines/>
      <w:spacing w:before="200"/>
      <w:outlineLvl w:val="5"/>
    </w:pPr>
    <w:rPr>
      <w:rFonts w:asciiTheme="majorHAnsi" w:eastAsiaTheme="majorEastAsia" w:hAnsiTheme="majorHAnsi" w:cstheme="majorBidi"/>
      <w:i/>
      <w:iCs/>
      <w:color w:val="243F60" w:themeColor="accent1" w:themeShade="7F"/>
      <w:kern w:val="2"/>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kern w:val="2"/>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kern w:val="2"/>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kern w:val="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outlineLvl w:val="3"/>
    </w:pPr>
    <w:rPr>
      <w:kern w:val="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outlineLvl w:val="3"/>
    </w:pPr>
    <w:rPr>
      <w:kern w:val="2"/>
    </w:r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rsid w:val="00FC693F"/>
    <w:pPr>
      <w:spacing w:after="0" w:line="240" w:lineRule="auto"/>
    </w:pPr>
  </w:style>
  <w:style w:type="character" w:customStyle="1" w:styleId="Heading1Char">
    <w:name w:val="Heading 1 Char"/>
    <w:basedOn w:val="DefaultParagraphFont"/>
    <w:link w:val="Heading1"/>
    <w:uiPriority w:val="9"/>
    <w:rsid w:val="008D4159"/>
    <w:rPr>
      <w:rFonts w:ascii="Times New Roman" w:eastAsia="Times New Roman" w:hAnsi="Times New Roman" w:cs="Times New Roman"/>
      <w:b/>
      <w:kern w:val="2"/>
      <w:sz w:val="32"/>
      <w:szCs w:val="24"/>
    </w:rPr>
  </w:style>
  <w:style w:type="character" w:customStyle="1" w:styleId="Heading2Char">
    <w:name w:val="Heading 2 Char"/>
    <w:basedOn w:val="DefaultParagraphFont"/>
    <w:link w:val="Heading2"/>
    <w:uiPriority w:val="9"/>
    <w:rsid w:val="00AA1F46"/>
    <w:rPr>
      <w:rFonts w:ascii="Times New Roman" w:eastAsia="Times New Roman" w:hAnsi="Times New Roman" w:cs="Times New Roman"/>
      <w:b/>
      <w:kern w:val="2"/>
      <w:sz w:val="28"/>
      <w:szCs w:val="24"/>
    </w:rPr>
  </w:style>
  <w:style w:type="character" w:customStyle="1" w:styleId="Heading3Char">
    <w:name w:val="Heading 3 Char"/>
    <w:basedOn w:val="DefaultParagraphFont"/>
    <w:link w:val="Heading3"/>
    <w:uiPriority w:val="9"/>
    <w:rsid w:val="00AA1F46"/>
    <w:rPr>
      <w:rFonts w:ascii="Times New Roman" w:eastAsia="Times New Roman" w:hAnsi="Times New Roman" w:cs="Times New Roman"/>
      <w:b/>
      <w:kern w:val="2"/>
      <w:sz w:val="24"/>
      <w:szCs w:val="24"/>
    </w:rPr>
  </w:style>
  <w:style w:type="paragraph" w:styleId="Title">
    <w:name w:val="Title"/>
    <w:basedOn w:val="Normal"/>
    <w:next w:val="Normal"/>
    <w:link w:val="TitleChar"/>
    <w:uiPriority w:val="10"/>
    <w:qFormat/>
    <w:rsid w:val="0010497A"/>
    <w:pPr>
      <w:pBdr>
        <w:bottom w:val="single" w:sz="8" w:space="4" w:color="4F81BD" w:themeColor="accent1"/>
      </w:pBdr>
      <w:spacing w:after="300"/>
      <w:contextualSpacing/>
      <w:jc w:val="center"/>
      <w:outlineLvl w:val="3"/>
    </w:pPr>
    <w:rPr>
      <w:rFonts w:eastAsiaTheme="majorEastAsia" w:cstheme="majorBidi"/>
      <w:b/>
      <w:color w:val="000000" w:themeColor="text1"/>
      <w:spacing w:val="5"/>
      <w:kern w:val="28"/>
      <w:sz w:val="32"/>
      <w:szCs w:val="52"/>
    </w:rPr>
  </w:style>
  <w:style w:type="character" w:customStyle="1" w:styleId="TitleChar">
    <w:name w:val="Title Char"/>
    <w:basedOn w:val="DefaultParagraphFont"/>
    <w:link w:val="Title"/>
    <w:uiPriority w:val="10"/>
    <w:rsid w:val="0010497A"/>
    <w:rPr>
      <w:rFonts w:ascii="Times New Roman" w:eastAsiaTheme="majorEastAsia" w:hAnsi="Times New Roman" w:cstheme="majorBidi"/>
      <w:b/>
      <w:color w:val="000000" w:themeColor="text1"/>
      <w:spacing w:val="5"/>
      <w:kern w:val="28"/>
      <w:sz w:val="32"/>
      <w:szCs w:val="52"/>
    </w:rPr>
  </w:style>
  <w:style w:type="paragraph" w:styleId="Subtitle">
    <w:name w:val="Subtitle"/>
    <w:basedOn w:val="Normal"/>
    <w:next w:val="Normal"/>
    <w:link w:val="SubtitleChar"/>
    <w:uiPriority w:val="11"/>
    <w:qFormat/>
    <w:rsid w:val="00FC693F"/>
    <w:pPr>
      <w:numPr>
        <w:ilvl w:val="1"/>
      </w:numPr>
      <w:outlineLvl w:val="3"/>
    </w:pPr>
    <w:rPr>
      <w:rFonts w:asciiTheme="majorHAnsi" w:eastAsiaTheme="majorEastAsia" w:hAnsiTheme="majorHAnsi" w:cstheme="majorBidi"/>
      <w:i/>
      <w:iCs/>
      <w:color w:val="4F81BD" w:themeColor="accent1"/>
      <w:spacing w:val="15"/>
      <w:kern w:val="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outlineLvl w:val="3"/>
    </w:pPr>
    <w:rPr>
      <w:kern w:val="2"/>
    </w:rPr>
  </w:style>
  <w:style w:type="paragraph" w:styleId="BodyText">
    <w:name w:val="Body Text"/>
    <w:basedOn w:val="Normal"/>
    <w:link w:val="BodyTextChar"/>
    <w:uiPriority w:val="99"/>
    <w:unhideWhenUsed/>
    <w:rsid w:val="00AA1D8D"/>
    <w:pPr>
      <w:spacing w:after="120"/>
      <w:outlineLvl w:val="3"/>
    </w:pPr>
    <w:rPr>
      <w:kern w:val="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outlineLvl w:val="3"/>
    </w:pPr>
    <w:rPr>
      <w:kern w:val="2"/>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outlineLvl w:val="3"/>
    </w:pPr>
    <w:rPr>
      <w:kern w:val="2"/>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outlineLvl w:val="3"/>
    </w:pPr>
    <w:rPr>
      <w:kern w:val="2"/>
    </w:rPr>
  </w:style>
  <w:style w:type="paragraph" w:styleId="List2">
    <w:name w:val="List 2"/>
    <w:basedOn w:val="Normal"/>
    <w:uiPriority w:val="99"/>
    <w:unhideWhenUsed/>
    <w:rsid w:val="00326F90"/>
    <w:pPr>
      <w:ind w:left="720" w:hanging="360"/>
      <w:contextualSpacing/>
      <w:outlineLvl w:val="3"/>
    </w:pPr>
    <w:rPr>
      <w:kern w:val="2"/>
    </w:rPr>
  </w:style>
  <w:style w:type="paragraph" w:styleId="List3">
    <w:name w:val="List 3"/>
    <w:basedOn w:val="Normal"/>
    <w:uiPriority w:val="99"/>
    <w:unhideWhenUsed/>
    <w:rsid w:val="00326F90"/>
    <w:pPr>
      <w:ind w:left="1080" w:hanging="360"/>
      <w:contextualSpacing/>
      <w:outlineLvl w:val="3"/>
    </w:pPr>
    <w:rPr>
      <w:kern w:val="2"/>
    </w:rPr>
  </w:style>
  <w:style w:type="paragraph" w:styleId="ListBullet">
    <w:name w:val="List Bullet"/>
    <w:basedOn w:val="Normal"/>
    <w:uiPriority w:val="99"/>
    <w:unhideWhenUsed/>
    <w:rsid w:val="00326F90"/>
    <w:pPr>
      <w:numPr>
        <w:numId w:val="1"/>
      </w:numPr>
      <w:contextualSpacing/>
      <w:outlineLvl w:val="3"/>
    </w:pPr>
    <w:rPr>
      <w:kern w:val="2"/>
    </w:rPr>
  </w:style>
  <w:style w:type="paragraph" w:styleId="ListBullet2">
    <w:name w:val="List Bullet 2"/>
    <w:basedOn w:val="Normal"/>
    <w:uiPriority w:val="99"/>
    <w:unhideWhenUsed/>
    <w:rsid w:val="00326F90"/>
    <w:pPr>
      <w:numPr>
        <w:numId w:val="2"/>
      </w:numPr>
      <w:contextualSpacing/>
      <w:outlineLvl w:val="3"/>
    </w:pPr>
    <w:rPr>
      <w:kern w:val="2"/>
    </w:rPr>
  </w:style>
  <w:style w:type="paragraph" w:styleId="ListBullet3">
    <w:name w:val="List Bullet 3"/>
    <w:basedOn w:val="Normal"/>
    <w:uiPriority w:val="99"/>
    <w:unhideWhenUsed/>
    <w:rsid w:val="00326F90"/>
    <w:pPr>
      <w:numPr>
        <w:numId w:val="3"/>
      </w:numPr>
      <w:contextualSpacing/>
      <w:outlineLvl w:val="3"/>
    </w:pPr>
    <w:rPr>
      <w:kern w:val="2"/>
    </w:rPr>
  </w:style>
  <w:style w:type="paragraph" w:styleId="ListNumber">
    <w:name w:val="List Number"/>
    <w:basedOn w:val="Normal"/>
    <w:uiPriority w:val="99"/>
    <w:unhideWhenUsed/>
    <w:rsid w:val="00326F90"/>
    <w:pPr>
      <w:numPr>
        <w:numId w:val="4"/>
      </w:numPr>
      <w:contextualSpacing/>
      <w:outlineLvl w:val="3"/>
    </w:pPr>
    <w:rPr>
      <w:kern w:val="2"/>
    </w:rPr>
  </w:style>
  <w:style w:type="paragraph" w:styleId="ListNumber2">
    <w:name w:val="List Number 2"/>
    <w:basedOn w:val="Normal"/>
    <w:uiPriority w:val="99"/>
    <w:unhideWhenUsed/>
    <w:rsid w:val="0029639D"/>
    <w:pPr>
      <w:numPr>
        <w:numId w:val="5"/>
      </w:numPr>
      <w:contextualSpacing/>
      <w:outlineLvl w:val="3"/>
    </w:pPr>
    <w:rPr>
      <w:kern w:val="2"/>
    </w:rPr>
  </w:style>
  <w:style w:type="paragraph" w:styleId="ListNumber3">
    <w:name w:val="List Number 3"/>
    <w:basedOn w:val="Normal"/>
    <w:uiPriority w:val="99"/>
    <w:unhideWhenUsed/>
    <w:rsid w:val="0029639D"/>
    <w:pPr>
      <w:numPr>
        <w:numId w:val="6"/>
      </w:numPr>
      <w:contextualSpacing/>
      <w:outlineLvl w:val="3"/>
    </w:pPr>
    <w:rPr>
      <w:kern w:val="2"/>
    </w:rPr>
  </w:style>
  <w:style w:type="paragraph" w:styleId="ListContinue">
    <w:name w:val="List Continue"/>
    <w:basedOn w:val="Normal"/>
    <w:uiPriority w:val="99"/>
    <w:unhideWhenUsed/>
    <w:rsid w:val="0029639D"/>
    <w:pPr>
      <w:spacing w:after="120"/>
      <w:ind w:left="360"/>
      <w:contextualSpacing/>
      <w:outlineLvl w:val="3"/>
    </w:pPr>
    <w:rPr>
      <w:kern w:val="2"/>
    </w:rPr>
  </w:style>
  <w:style w:type="paragraph" w:styleId="ListContinue2">
    <w:name w:val="List Continue 2"/>
    <w:basedOn w:val="Normal"/>
    <w:uiPriority w:val="99"/>
    <w:unhideWhenUsed/>
    <w:rsid w:val="0029639D"/>
    <w:pPr>
      <w:spacing w:after="120"/>
      <w:ind w:left="720"/>
      <w:contextualSpacing/>
      <w:outlineLvl w:val="3"/>
    </w:pPr>
    <w:rPr>
      <w:kern w:val="2"/>
    </w:rPr>
  </w:style>
  <w:style w:type="paragraph" w:styleId="ListContinue3">
    <w:name w:val="List Continue 3"/>
    <w:basedOn w:val="Normal"/>
    <w:uiPriority w:val="99"/>
    <w:unhideWhenUsed/>
    <w:rsid w:val="0029639D"/>
    <w:pPr>
      <w:spacing w:after="120"/>
      <w:ind w:left="1080"/>
      <w:contextualSpacing/>
      <w:outlineLvl w:val="3"/>
    </w:pPr>
    <w:rPr>
      <w:kern w:val="2"/>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outlineLvl w:val="3"/>
    </w:pPr>
    <w:rPr>
      <w:i/>
      <w:iCs/>
      <w:color w:val="000000" w:themeColor="text1"/>
      <w:kern w:val="2"/>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90460"/>
    <w:rPr>
      <w:rFonts w:ascii="Times New Roman" w:eastAsia="Times New Roman" w:hAnsi="Times New Roman" w:cs="Times New Roman"/>
      <w:b/>
      <w:kern w:val="2"/>
      <w:sz w:val="24"/>
      <w:szCs w:val="24"/>
    </w:rPr>
  </w:style>
  <w:style w:type="character" w:customStyle="1" w:styleId="Heading5Char">
    <w:name w:val="Heading 5 Char"/>
    <w:basedOn w:val="DefaultParagraphFont"/>
    <w:link w:val="Heading5"/>
    <w:uiPriority w:val="9"/>
    <w:rsid w:val="00F90460"/>
    <w:rPr>
      <w:rFonts w:ascii="Times New Roman" w:eastAsia="Times New Roman" w:hAnsi="Times New Roman" w:cs="Times New Roman"/>
      <w:b/>
      <w:kern w:val="2"/>
      <w:sz w:val="24"/>
      <w:szCs w:val="24"/>
    </w:rPr>
  </w:style>
  <w:style w:type="character" w:customStyle="1" w:styleId="Heading6Char">
    <w:name w:val="Heading 6 Char"/>
    <w:basedOn w:val="DefaultParagraphFont"/>
    <w:link w:val="Heading6"/>
    <w:uiPriority w:val="9"/>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outlineLvl w:val="3"/>
    </w:pPr>
    <w:rPr>
      <w:b/>
      <w:bCs/>
      <w:color w:val="4F81BD" w:themeColor="accent1"/>
      <w:kern w:val="2"/>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outlineLvl w:val="3"/>
    </w:pPr>
    <w:rPr>
      <w:b/>
      <w:bCs/>
      <w:i/>
      <w:iCs/>
      <w:color w:val="4F81BD" w:themeColor="accent1"/>
      <w:kern w:val="2"/>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A1781F"/>
    <w:pPr>
      <w:spacing w:before="120" w:after="120"/>
      <w:outlineLvl w:val="3"/>
    </w:pPr>
    <w:rPr>
      <w:rFonts w:asciiTheme="minorHAnsi" w:hAnsiTheme="minorHAnsi"/>
      <w:b/>
      <w:bCs/>
      <w:caps/>
      <w:kern w:val="2"/>
      <w:sz w:val="20"/>
      <w:szCs w:val="20"/>
    </w:rPr>
  </w:style>
  <w:style w:type="paragraph" w:styleId="TOC2">
    <w:name w:val="toc 2"/>
    <w:basedOn w:val="Normal"/>
    <w:next w:val="Normal"/>
    <w:autoRedefine/>
    <w:uiPriority w:val="39"/>
    <w:unhideWhenUsed/>
    <w:rsid w:val="00BD486F"/>
    <w:pPr>
      <w:tabs>
        <w:tab w:val="right" w:leader="dot" w:pos="9350"/>
      </w:tabs>
      <w:ind w:left="240"/>
      <w:outlineLvl w:val="3"/>
    </w:pPr>
    <w:rPr>
      <w:rFonts w:asciiTheme="minorHAnsi" w:hAnsiTheme="minorHAnsi"/>
      <w:b/>
      <w:bCs/>
      <w:smallCaps/>
      <w:noProof/>
      <w:kern w:val="2"/>
      <w:sz w:val="20"/>
      <w:szCs w:val="20"/>
    </w:rPr>
  </w:style>
  <w:style w:type="paragraph" w:styleId="TOC3">
    <w:name w:val="toc 3"/>
    <w:basedOn w:val="Normal"/>
    <w:next w:val="Normal"/>
    <w:autoRedefine/>
    <w:uiPriority w:val="39"/>
    <w:unhideWhenUsed/>
    <w:rsid w:val="00BD486F"/>
    <w:pPr>
      <w:tabs>
        <w:tab w:val="right" w:leader="dot" w:pos="9350"/>
      </w:tabs>
      <w:ind w:left="475"/>
      <w:outlineLvl w:val="3"/>
    </w:pPr>
    <w:rPr>
      <w:rFonts w:asciiTheme="minorHAnsi" w:hAnsiTheme="minorHAnsi"/>
      <w:i/>
      <w:iCs/>
      <w:kern w:val="2"/>
      <w:sz w:val="20"/>
      <w:szCs w:val="20"/>
    </w:rPr>
  </w:style>
  <w:style w:type="paragraph" w:styleId="TOC4">
    <w:name w:val="toc 4"/>
    <w:basedOn w:val="Normal"/>
    <w:next w:val="Normal"/>
    <w:autoRedefine/>
    <w:uiPriority w:val="39"/>
    <w:unhideWhenUsed/>
    <w:rsid w:val="00A1781F"/>
    <w:pPr>
      <w:ind w:left="720"/>
      <w:outlineLvl w:val="3"/>
    </w:pPr>
    <w:rPr>
      <w:rFonts w:asciiTheme="minorHAnsi" w:hAnsiTheme="minorHAnsi"/>
      <w:kern w:val="2"/>
      <w:sz w:val="18"/>
      <w:szCs w:val="18"/>
    </w:rPr>
  </w:style>
  <w:style w:type="paragraph" w:styleId="TOC5">
    <w:name w:val="toc 5"/>
    <w:basedOn w:val="Normal"/>
    <w:next w:val="Normal"/>
    <w:autoRedefine/>
    <w:uiPriority w:val="39"/>
    <w:unhideWhenUsed/>
    <w:rsid w:val="00A1781F"/>
    <w:pPr>
      <w:ind w:left="960"/>
      <w:outlineLvl w:val="3"/>
    </w:pPr>
    <w:rPr>
      <w:rFonts w:asciiTheme="minorHAnsi" w:hAnsiTheme="minorHAnsi"/>
      <w:kern w:val="2"/>
      <w:sz w:val="18"/>
      <w:szCs w:val="18"/>
    </w:rPr>
  </w:style>
  <w:style w:type="paragraph" w:styleId="TOC6">
    <w:name w:val="toc 6"/>
    <w:basedOn w:val="Normal"/>
    <w:next w:val="Normal"/>
    <w:autoRedefine/>
    <w:uiPriority w:val="39"/>
    <w:unhideWhenUsed/>
    <w:rsid w:val="00A1781F"/>
    <w:pPr>
      <w:ind w:left="1200"/>
      <w:outlineLvl w:val="3"/>
    </w:pPr>
    <w:rPr>
      <w:rFonts w:asciiTheme="minorHAnsi" w:hAnsiTheme="minorHAnsi"/>
      <w:kern w:val="2"/>
      <w:sz w:val="18"/>
      <w:szCs w:val="18"/>
    </w:rPr>
  </w:style>
  <w:style w:type="paragraph" w:styleId="TOC7">
    <w:name w:val="toc 7"/>
    <w:basedOn w:val="Normal"/>
    <w:next w:val="Normal"/>
    <w:autoRedefine/>
    <w:uiPriority w:val="39"/>
    <w:unhideWhenUsed/>
    <w:rsid w:val="00A1781F"/>
    <w:pPr>
      <w:ind w:left="1440"/>
      <w:outlineLvl w:val="3"/>
    </w:pPr>
    <w:rPr>
      <w:rFonts w:asciiTheme="minorHAnsi" w:hAnsiTheme="minorHAnsi"/>
      <w:kern w:val="2"/>
      <w:sz w:val="18"/>
      <w:szCs w:val="18"/>
    </w:rPr>
  </w:style>
  <w:style w:type="paragraph" w:styleId="TOC8">
    <w:name w:val="toc 8"/>
    <w:basedOn w:val="Normal"/>
    <w:next w:val="Normal"/>
    <w:autoRedefine/>
    <w:uiPriority w:val="39"/>
    <w:unhideWhenUsed/>
    <w:rsid w:val="00A1781F"/>
    <w:pPr>
      <w:ind w:left="1680"/>
      <w:outlineLvl w:val="3"/>
    </w:pPr>
    <w:rPr>
      <w:rFonts w:asciiTheme="minorHAnsi" w:hAnsiTheme="minorHAnsi"/>
      <w:kern w:val="2"/>
      <w:sz w:val="18"/>
      <w:szCs w:val="18"/>
    </w:rPr>
  </w:style>
  <w:style w:type="paragraph" w:styleId="TOC9">
    <w:name w:val="toc 9"/>
    <w:basedOn w:val="Normal"/>
    <w:next w:val="Normal"/>
    <w:autoRedefine/>
    <w:uiPriority w:val="39"/>
    <w:unhideWhenUsed/>
    <w:rsid w:val="00A1781F"/>
    <w:pPr>
      <w:ind w:left="1920"/>
      <w:outlineLvl w:val="3"/>
    </w:pPr>
    <w:rPr>
      <w:rFonts w:asciiTheme="minorHAnsi" w:hAnsiTheme="minorHAnsi"/>
      <w:kern w:val="2"/>
      <w:sz w:val="18"/>
      <w:szCs w:val="18"/>
    </w:rPr>
  </w:style>
  <w:style w:type="character" w:styleId="Hyperlink">
    <w:name w:val="Hyperlink"/>
    <w:basedOn w:val="DefaultParagraphFont"/>
    <w:uiPriority w:val="99"/>
    <w:unhideWhenUsed/>
    <w:rsid w:val="00A1781F"/>
    <w:rPr>
      <w:color w:val="0000FF" w:themeColor="hyperlink"/>
      <w:u w:val="single"/>
    </w:rPr>
  </w:style>
  <w:style w:type="paragraph" w:styleId="NormalWeb">
    <w:name w:val="Normal (Web)"/>
    <w:basedOn w:val="Normal"/>
    <w:uiPriority w:val="99"/>
    <w:unhideWhenUsed/>
    <w:rsid w:val="001B5EB3"/>
    <w:pPr>
      <w:spacing w:before="100" w:beforeAutospacing="1" w:after="100" w:afterAutospacing="1"/>
      <w:outlineLvl w:val="3"/>
    </w:pPr>
    <w:rPr>
      <w:kern w:val="2"/>
    </w:rPr>
  </w:style>
  <w:style w:type="paragraph" w:customStyle="1" w:styleId="whitespace-pre-wrap">
    <w:name w:val="whitespace-pre-wrap"/>
    <w:basedOn w:val="Normal"/>
    <w:rsid w:val="001B5EB3"/>
    <w:pPr>
      <w:spacing w:before="100" w:beforeAutospacing="1" w:after="100" w:afterAutospacing="1"/>
      <w:outlineLvl w:val="3"/>
    </w:pPr>
    <w:rPr>
      <w:kern w:val="2"/>
    </w:rPr>
  </w:style>
  <w:style w:type="character" w:styleId="UnresolvedMention">
    <w:name w:val="Unresolved Mention"/>
    <w:basedOn w:val="DefaultParagraphFont"/>
    <w:uiPriority w:val="99"/>
    <w:semiHidden/>
    <w:unhideWhenUsed/>
    <w:rsid w:val="001B5EB3"/>
    <w:rPr>
      <w:color w:val="605E5C"/>
      <w:shd w:val="clear" w:color="auto" w:fill="E1DFDD"/>
    </w:rPr>
  </w:style>
  <w:style w:type="paragraph" w:customStyle="1" w:styleId="whitespace-normal">
    <w:name w:val="whitespace-normal"/>
    <w:basedOn w:val="Normal"/>
    <w:rsid w:val="001B5EB3"/>
    <w:pPr>
      <w:spacing w:before="100" w:beforeAutospacing="1" w:after="100" w:afterAutospacing="1"/>
      <w:outlineLvl w:val="3"/>
    </w:pPr>
    <w:rPr>
      <w:kern w:val="2"/>
    </w:rPr>
  </w:style>
  <w:style w:type="paragraph" w:customStyle="1" w:styleId="text-10px">
    <w:name w:val="text-[10px]"/>
    <w:basedOn w:val="Normal"/>
    <w:rsid w:val="001B5EB3"/>
    <w:pPr>
      <w:spacing w:before="100" w:beforeAutospacing="1" w:after="100" w:afterAutospacing="1"/>
      <w:outlineLvl w:val="3"/>
    </w:pPr>
    <w:rPr>
      <w:kern w:val="2"/>
    </w:rPr>
  </w:style>
  <w:style w:type="paragraph" w:customStyle="1" w:styleId="uppercase">
    <w:name w:val="uppercase"/>
    <w:basedOn w:val="Normal"/>
    <w:rsid w:val="001B5EB3"/>
    <w:pPr>
      <w:spacing w:before="100" w:beforeAutospacing="1" w:after="100" w:afterAutospacing="1"/>
      <w:outlineLvl w:val="3"/>
    </w:pPr>
    <w:rPr>
      <w:kern w:val="2"/>
    </w:rPr>
  </w:style>
  <w:style w:type="paragraph" w:styleId="HTMLPreformatted">
    <w:name w:val="HTML Preformatted"/>
    <w:basedOn w:val="Normal"/>
    <w:link w:val="HTMLPreformattedChar"/>
    <w:uiPriority w:val="99"/>
    <w:unhideWhenUsed/>
    <w:rsid w:val="001B5E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3"/>
    </w:pPr>
    <w:rPr>
      <w:rFonts w:ascii="Courier New" w:hAnsi="Courier New" w:cs="Courier New"/>
      <w:kern w:val="2"/>
      <w:sz w:val="20"/>
      <w:szCs w:val="20"/>
    </w:rPr>
  </w:style>
  <w:style w:type="character" w:customStyle="1" w:styleId="HTMLPreformattedChar">
    <w:name w:val="HTML Preformatted Char"/>
    <w:basedOn w:val="DefaultParagraphFont"/>
    <w:link w:val="HTMLPreformatted"/>
    <w:uiPriority w:val="99"/>
    <w:rsid w:val="001B5EB3"/>
    <w:rPr>
      <w:rFonts w:ascii="Courier New" w:eastAsia="Times New Roman" w:hAnsi="Courier New" w:cs="Courier New"/>
      <w:sz w:val="20"/>
      <w:szCs w:val="20"/>
    </w:rPr>
  </w:style>
  <w:style w:type="character" w:styleId="HTMLCode">
    <w:name w:val="HTML Code"/>
    <w:basedOn w:val="DefaultParagraphFont"/>
    <w:uiPriority w:val="99"/>
    <w:semiHidden/>
    <w:unhideWhenUsed/>
    <w:rsid w:val="001B5EB3"/>
    <w:rPr>
      <w:rFonts w:ascii="Courier New" w:eastAsia="Times New Roman" w:hAnsi="Courier New" w:cs="Courier New"/>
      <w:sz w:val="20"/>
      <w:szCs w:val="20"/>
    </w:rPr>
  </w:style>
  <w:style w:type="character" w:customStyle="1" w:styleId="hoverbg-blue-100">
    <w:name w:val="hover:bg-blue-100"/>
    <w:basedOn w:val="DefaultParagraphFont"/>
    <w:rsid w:val="001B5EB3"/>
  </w:style>
  <w:style w:type="paragraph" w:customStyle="1" w:styleId="font-medium">
    <w:name w:val="font-medium"/>
    <w:basedOn w:val="Normal"/>
    <w:rsid w:val="001B5EB3"/>
    <w:pPr>
      <w:spacing w:before="100" w:beforeAutospacing="1" w:after="100" w:afterAutospacing="1"/>
      <w:outlineLvl w:val="3"/>
    </w:pPr>
    <w:rPr>
      <w:kern w:val="2"/>
    </w:rPr>
  </w:style>
  <w:style w:type="character" w:customStyle="1" w:styleId="text-gray-500">
    <w:name w:val="text-gray-500"/>
    <w:basedOn w:val="DefaultParagraphFont"/>
    <w:rsid w:val="001B5EB3"/>
  </w:style>
  <w:style w:type="paragraph" w:customStyle="1" w:styleId="msonormal0">
    <w:name w:val="msonormal"/>
    <w:basedOn w:val="Normal"/>
    <w:rsid w:val="001B5EB3"/>
    <w:pPr>
      <w:spacing w:before="100" w:beforeAutospacing="1" w:after="100" w:afterAutospacing="1"/>
      <w:outlineLvl w:val="3"/>
    </w:pPr>
    <w:rPr>
      <w:kern w:val="2"/>
    </w:rPr>
  </w:style>
  <w:style w:type="character" w:styleId="FollowedHyperlink">
    <w:name w:val="FollowedHyperlink"/>
    <w:basedOn w:val="DefaultParagraphFont"/>
    <w:uiPriority w:val="99"/>
    <w:semiHidden/>
    <w:unhideWhenUsed/>
    <w:rsid w:val="001B5EB3"/>
    <w:rPr>
      <w:color w:val="800080"/>
      <w:u w:val="single"/>
    </w:rPr>
  </w:style>
  <w:style w:type="character" w:customStyle="1" w:styleId="text-black">
    <w:name w:val="text-black"/>
    <w:basedOn w:val="DefaultParagraphFont"/>
    <w:rsid w:val="001B5EB3"/>
  </w:style>
  <w:style w:type="character" w:customStyle="1" w:styleId="NoSpacingChar">
    <w:name w:val="No Spacing Char"/>
    <w:basedOn w:val="DefaultParagraphFont"/>
    <w:link w:val="NoSpacing"/>
    <w:uiPriority w:val="1"/>
    <w:rsid w:val="008C6D50"/>
  </w:style>
  <w:style w:type="paragraph" w:customStyle="1" w:styleId="p1">
    <w:name w:val="p1"/>
    <w:basedOn w:val="Normal"/>
    <w:rsid w:val="00EB5575"/>
    <w:rPr>
      <w:color w:val="000000"/>
      <w:sz w:val="21"/>
      <w:szCs w:val="21"/>
    </w:rPr>
  </w:style>
  <w:style w:type="paragraph" w:customStyle="1" w:styleId="p2">
    <w:name w:val="p2"/>
    <w:basedOn w:val="Normal"/>
    <w:rsid w:val="00EB5575"/>
    <w:rPr>
      <w:color w:val="000000"/>
      <w:sz w:val="18"/>
      <w:szCs w:val="18"/>
    </w:rPr>
  </w:style>
  <w:style w:type="character" w:customStyle="1" w:styleId="token">
    <w:name w:val="token"/>
    <w:basedOn w:val="DefaultParagraphFont"/>
    <w:rsid w:val="00DD129E"/>
  </w:style>
  <w:style w:type="numbering" w:customStyle="1" w:styleId="CurrentList1">
    <w:name w:val="Current List1"/>
    <w:uiPriority w:val="99"/>
    <w:rsid w:val="009A055E"/>
    <w:pPr>
      <w:numPr>
        <w:numId w:val="228"/>
      </w:numPr>
    </w:pPr>
  </w:style>
  <w:style w:type="character" w:customStyle="1" w:styleId="t286pc">
    <w:name w:val="t286pc"/>
    <w:basedOn w:val="DefaultParagraphFont"/>
    <w:rsid w:val="00504179"/>
  </w:style>
  <w:style w:type="character" w:styleId="CommentReference">
    <w:name w:val="annotation reference"/>
    <w:basedOn w:val="DefaultParagraphFont"/>
    <w:uiPriority w:val="99"/>
    <w:semiHidden/>
    <w:unhideWhenUsed/>
    <w:rsid w:val="001F3387"/>
    <w:rPr>
      <w:sz w:val="16"/>
      <w:szCs w:val="16"/>
    </w:rPr>
  </w:style>
  <w:style w:type="paragraph" w:styleId="CommentText">
    <w:name w:val="annotation text"/>
    <w:basedOn w:val="Normal"/>
    <w:link w:val="CommentTextChar"/>
    <w:uiPriority w:val="99"/>
    <w:unhideWhenUsed/>
    <w:rsid w:val="001F3387"/>
    <w:rPr>
      <w:sz w:val="20"/>
      <w:szCs w:val="20"/>
    </w:rPr>
  </w:style>
  <w:style w:type="character" w:customStyle="1" w:styleId="CommentTextChar">
    <w:name w:val="Comment Text Char"/>
    <w:basedOn w:val="DefaultParagraphFont"/>
    <w:link w:val="CommentText"/>
    <w:uiPriority w:val="99"/>
    <w:rsid w:val="001F338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F3387"/>
    <w:rPr>
      <w:b/>
      <w:bCs/>
    </w:rPr>
  </w:style>
  <w:style w:type="character" w:customStyle="1" w:styleId="CommentSubjectChar">
    <w:name w:val="Comment Subject Char"/>
    <w:basedOn w:val="CommentTextChar"/>
    <w:link w:val="CommentSubject"/>
    <w:uiPriority w:val="99"/>
    <w:semiHidden/>
    <w:rsid w:val="001F3387"/>
    <w:rPr>
      <w:rFonts w:ascii="Times New Roman" w:eastAsia="Times New Roman" w:hAnsi="Times New Roman" w:cs="Times New Roman"/>
      <w:b/>
      <w:bCs/>
      <w:sz w:val="20"/>
      <w:szCs w:val="20"/>
    </w:rPr>
  </w:style>
  <w:style w:type="paragraph" w:customStyle="1" w:styleId="font-claude-response-body">
    <w:name w:val="font-claude-response-body"/>
    <w:basedOn w:val="Normal"/>
    <w:rsid w:val="0056326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35432">
      <w:bodyDiv w:val="1"/>
      <w:marLeft w:val="0"/>
      <w:marRight w:val="0"/>
      <w:marTop w:val="0"/>
      <w:marBottom w:val="0"/>
      <w:divBdr>
        <w:top w:val="none" w:sz="0" w:space="0" w:color="auto"/>
        <w:left w:val="none" w:sz="0" w:space="0" w:color="auto"/>
        <w:bottom w:val="none" w:sz="0" w:space="0" w:color="auto"/>
        <w:right w:val="none" w:sz="0" w:space="0" w:color="auto"/>
      </w:divBdr>
    </w:div>
    <w:div w:id="126826971">
      <w:bodyDiv w:val="1"/>
      <w:marLeft w:val="0"/>
      <w:marRight w:val="0"/>
      <w:marTop w:val="0"/>
      <w:marBottom w:val="0"/>
      <w:divBdr>
        <w:top w:val="none" w:sz="0" w:space="0" w:color="auto"/>
        <w:left w:val="none" w:sz="0" w:space="0" w:color="auto"/>
        <w:bottom w:val="none" w:sz="0" w:space="0" w:color="auto"/>
        <w:right w:val="none" w:sz="0" w:space="0" w:color="auto"/>
      </w:divBdr>
    </w:div>
    <w:div w:id="132675972">
      <w:bodyDiv w:val="1"/>
      <w:marLeft w:val="0"/>
      <w:marRight w:val="0"/>
      <w:marTop w:val="0"/>
      <w:marBottom w:val="0"/>
      <w:divBdr>
        <w:top w:val="none" w:sz="0" w:space="0" w:color="auto"/>
        <w:left w:val="none" w:sz="0" w:space="0" w:color="auto"/>
        <w:bottom w:val="none" w:sz="0" w:space="0" w:color="auto"/>
        <w:right w:val="none" w:sz="0" w:space="0" w:color="auto"/>
      </w:divBdr>
    </w:div>
    <w:div w:id="137770965">
      <w:bodyDiv w:val="1"/>
      <w:marLeft w:val="0"/>
      <w:marRight w:val="0"/>
      <w:marTop w:val="0"/>
      <w:marBottom w:val="0"/>
      <w:divBdr>
        <w:top w:val="none" w:sz="0" w:space="0" w:color="auto"/>
        <w:left w:val="none" w:sz="0" w:space="0" w:color="auto"/>
        <w:bottom w:val="none" w:sz="0" w:space="0" w:color="auto"/>
        <w:right w:val="none" w:sz="0" w:space="0" w:color="auto"/>
      </w:divBdr>
    </w:div>
    <w:div w:id="158884762">
      <w:bodyDiv w:val="1"/>
      <w:marLeft w:val="0"/>
      <w:marRight w:val="0"/>
      <w:marTop w:val="0"/>
      <w:marBottom w:val="0"/>
      <w:divBdr>
        <w:top w:val="none" w:sz="0" w:space="0" w:color="auto"/>
        <w:left w:val="none" w:sz="0" w:space="0" w:color="auto"/>
        <w:bottom w:val="none" w:sz="0" w:space="0" w:color="auto"/>
        <w:right w:val="none" w:sz="0" w:space="0" w:color="auto"/>
      </w:divBdr>
    </w:div>
    <w:div w:id="179970030">
      <w:bodyDiv w:val="1"/>
      <w:marLeft w:val="0"/>
      <w:marRight w:val="0"/>
      <w:marTop w:val="0"/>
      <w:marBottom w:val="0"/>
      <w:divBdr>
        <w:top w:val="none" w:sz="0" w:space="0" w:color="auto"/>
        <w:left w:val="none" w:sz="0" w:space="0" w:color="auto"/>
        <w:bottom w:val="none" w:sz="0" w:space="0" w:color="auto"/>
        <w:right w:val="none" w:sz="0" w:space="0" w:color="auto"/>
      </w:divBdr>
    </w:div>
    <w:div w:id="260769311">
      <w:bodyDiv w:val="1"/>
      <w:marLeft w:val="0"/>
      <w:marRight w:val="0"/>
      <w:marTop w:val="0"/>
      <w:marBottom w:val="0"/>
      <w:divBdr>
        <w:top w:val="none" w:sz="0" w:space="0" w:color="auto"/>
        <w:left w:val="none" w:sz="0" w:space="0" w:color="auto"/>
        <w:bottom w:val="none" w:sz="0" w:space="0" w:color="auto"/>
        <w:right w:val="none" w:sz="0" w:space="0" w:color="auto"/>
      </w:divBdr>
    </w:div>
    <w:div w:id="329911179">
      <w:bodyDiv w:val="1"/>
      <w:marLeft w:val="0"/>
      <w:marRight w:val="0"/>
      <w:marTop w:val="0"/>
      <w:marBottom w:val="0"/>
      <w:divBdr>
        <w:top w:val="none" w:sz="0" w:space="0" w:color="auto"/>
        <w:left w:val="none" w:sz="0" w:space="0" w:color="auto"/>
        <w:bottom w:val="none" w:sz="0" w:space="0" w:color="auto"/>
        <w:right w:val="none" w:sz="0" w:space="0" w:color="auto"/>
      </w:divBdr>
    </w:div>
    <w:div w:id="333607341">
      <w:bodyDiv w:val="1"/>
      <w:marLeft w:val="0"/>
      <w:marRight w:val="0"/>
      <w:marTop w:val="0"/>
      <w:marBottom w:val="0"/>
      <w:divBdr>
        <w:top w:val="none" w:sz="0" w:space="0" w:color="auto"/>
        <w:left w:val="none" w:sz="0" w:space="0" w:color="auto"/>
        <w:bottom w:val="none" w:sz="0" w:space="0" w:color="auto"/>
        <w:right w:val="none" w:sz="0" w:space="0" w:color="auto"/>
      </w:divBdr>
    </w:div>
    <w:div w:id="410201698">
      <w:bodyDiv w:val="1"/>
      <w:marLeft w:val="0"/>
      <w:marRight w:val="0"/>
      <w:marTop w:val="0"/>
      <w:marBottom w:val="0"/>
      <w:divBdr>
        <w:top w:val="none" w:sz="0" w:space="0" w:color="auto"/>
        <w:left w:val="none" w:sz="0" w:space="0" w:color="auto"/>
        <w:bottom w:val="none" w:sz="0" w:space="0" w:color="auto"/>
        <w:right w:val="none" w:sz="0" w:space="0" w:color="auto"/>
      </w:divBdr>
    </w:div>
    <w:div w:id="426971004">
      <w:bodyDiv w:val="1"/>
      <w:marLeft w:val="0"/>
      <w:marRight w:val="0"/>
      <w:marTop w:val="0"/>
      <w:marBottom w:val="0"/>
      <w:divBdr>
        <w:top w:val="none" w:sz="0" w:space="0" w:color="auto"/>
        <w:left w:val="none" w:sz="0" w:space="0" w:color="auto"/>
        <w:bottom w:val="none" w:sz="0" w:space="0" w:color="auto"/>
        <w:right w:val="none" w:sz="0" w:space="0" w:color="auto"/>
      </w:divBdr>
    </w:div>
    <w:div w:id="551574260">
      <w:bodyDiv w:val="1"/>
      <w:marLeft w:val="0"/>
      <w:marRight w:val="0"/>
      <w:marTop w:val="0"/>
      <w:marBottom w:val="0"/>
      <w:divBdr>
        <w:top w:val="none" w:sz="0" w:space="0" w:color="auto"/>
        <w:left w:val="none" w:sz="0" w:space="0" w:color="auto"/>
        <w:bottom w:val="none" w:sz="0" w:space="0" w:color="auto"/>
        <w:right w:val="none" w:sz="0" w:space="0" w:color="auto"/>
      </w:divBdr>
    </w:div>
    <w:div w:id="714356097">
      <w:bodyDiv w:val="1"/>
      <w:marLeft w:val="0"/>
      <w:marRight w:val="0"/>
      <w:marTop w:val="0"/>
      <w:marBottom w:val="0"/>
      <w:divBdr>
        <w:top w:val="none" w:sz="0" w:space="0" w:color="auto"/>
        <w:left w:val="none" w:sz="0" w:space="0" w:color="auto"/>
        <w:bottom w:val="none" w:sz="0" w:space="0" w:color="auto"/>
        <w:right w:val="none" w:sz="0" w:space="0" w:color="auto"/>
      </w:divBdr>
    </w:div>
    <w:div w:id="760174749">
      <w:bodyDiv w:val="1"/>
      <w:marLeft w:val="0"/>
      <w:marRight w:val="0"/>
      <w:marTop w:val="0"/>
      <w:marBottom w:val="0"/>
      <w:divBdr>
        <w:top w:val="none" w:sz="0" w:space="0" w:color="auto"/>
        <w:left w:val="none" w:sz="0" w:space="0" w:color="auto"/>
        <w:bottom w:val="none" w:sz="0" w:space="0" w:color="auto"/>
        <w:right w:val="none" w:sz="0" w:space="0" w:color="auto"/>
      </w:divBdr>
    </w:div>
    <w:div w:id="905915294">
      <w:bodyDiv w:val="1"/>
      <w:marLeft w:val="0"/>
      <w:marRight w:val="0"/>
      <w:marTop w:val="0"/>
      <w:marBottom w:val="0"/>
      <w:divBdr>
        <w:top w:val="none" w:sz="0" w:space="0" w:color="auto"/>
        <w:left w:val="none" w:sz="0" w:space="0" w:color="auto"/>
        <w:bottom w:val="none" w:sz="0" w:space="0" w:color="auto"/>
        <w:right w:val="none" w:sz="0" w:space="0" w:color="auto"/>
      </w:divBdr>
    </w:div>
    <w:div w:id="1055356293">
      <w:bodyDiv w:val="1"/>
      <w:marLeft w:val="0"/>
      <w:marRight w:val="0"/>
      <w:marTop w:val="0"/>
      <w:marBottom w:val="0"/>
      <w:divBdr>
        <w:top w:val="none" w:sz="0" w:space="0" w:color="auto"/>
        <w:left w:val="none" w:sz="0" w:space="0" w:color="auto"/>
        <w:bottom w:val="none" w:sz="0" w:space="0" w:color="auto"/>
        <w:right w:val="none" w:sz="0" w:space="0" w:color="auto"/>
      </w:divBdr>
    </w:div>
    <w:div w:id="1060400042">
      <w:bodyDiv w:val="1"/>
      <w:marLeft w:val="0"/>
      <w:marRight w:val="0"/>
      <w:marTop w:val="0"/>
      <w:marBottom w:val="0"/>
      <w:divBdr>
        <w:top w:val="none" w:sz="0" w:space="0" w:color="auto"/>
        <w:left w:val="none" w:sz="0" w:space="0" w:color="auto"/>
        <w:bottom w:val="none" w:sz="0" w:space="0" w:color="auto"/>
        <w:right w:val="none" w:sz="0" w:space="0" w:color="auto"/>
      </w:divBdr>
    </w:div>
    <w:div w:id="1073891481">
      <w:bodyDiv w:val="1"/>
      <w:marLeft w:val="0"/>
      <w:marRight w:val="0"/>
      <w:marTop w:val="0"/>
      <w:marBottom w:val="0"/>
      <w:divBdr>
        <w:top w:val="none" w:sz="0" w:space="0" w:color="auto"/>
        <w:left w:val="none" w:sz="0" w:space="0" w:color="auto"/>
        <w:bottom w:val="none" w:sz="0" w:space="0" w:color="auto"/>
        <w:right w:val="none" w:sz="0" w:space="0" w:color="auto"/>
      </w:divBdr>
    </w:div>
    <w:div w:id="1078289336">
      <w:bodyDiv w:val="1"/>
      <w:marLeft w:val="0"/>
      <w:marRight w:val="0"/>
      <w:marTop w:val="0"/>
      <w:marBottom w:val="0"/>
      <w:divBdr>
        <w:top w:val="none" w:sz="0" w:space="0" w:color="auto"/>
        <w:left w:val="none" w:sz="0" w:space="0" w:color="auto"/>
        <w:bottom w:val="none" w:sz="0" w:space="0" w:color="auto"/>
        <w:right w:val="none" w:sz="0" w:space="0" w:color="auto"/>
      </w:divBdr>
    </w:div>
    <w:div w:id="1115909192">
      <w:bodyDiv w:val="1"/>
      <w:marLeft w:val="0"/>
      <w:marRight w:val="0"/>
      <w:marTop w:val="0"/>
      <w:marBottom w:val="0"/>
      <w:divBdr>
        <w:top w:val="none" w:sz="0" w:space="0" w:color="auto"/>
        <w:left w:val="none" w:sz="0" w:space="0" w:color="auto"/>
        <w:bottom w:val="none" w:sz="0" w:space="0" w:color="auto"/>
        <w:right w:val="none" w:sz="0" w:space="0" w:color="auto"/>
      </w:divBdr>
    </w:div>
    <w:div w:id="1117261771">
      <w:bodyDiv w:val="1"/>
      <w:marLeft w:val="0"/>
      <w:marRight w:val="0"/>
      <w:marTop w:val="0"/>
      <w:marBottom w:val="0"/>
      <w:divBdr>
        <w:top w:val="none" w:sz="0" w:space="0" w:color="auto"/>
        <w:left w:val="none" w:sz="0" w:space="0" w:color="auto"/>
        <w:bottom w:val="none" w:sz="0" w:space="0" w:color="auto"/>
        <w:right w:val="none" w:sz="0" w:space="0" w:color="auto"/>
      </w:divBdr>
    </w:div>
    <w:div w:id="1118599564">
      <w:bodyDiv w:val="1"/>
      <w:marLeft w:val="0"/>
      <w:marRight w:val="0"/>
      <w:marTop w:val="0"/>
      <w:marBottom w:val="0"/>
      <w:divBdr>
        <w:top w:val="none" w:sz="0" w:space="0" w:color="auto"/>
        <w:left w:val="none" w:sz="0" w:space="0" w:color="auto"/>
        <w:bottom w:val="none" w:sz="0" w:space="0" w:color="auto"/>
        <w:right w:val="none" w:sz="0" w:space="0" w:color="auto"/>
      </w:divBdr>
    </w:div>
    <w:div w:id="1222792043">
      <w:bodyDiv w:val="1"/>
      <w:marLeft w:val="0"/>
      <w:marRight w:val="0"/>
      <w:marTop w:val="0"/>
      <w:marBottom w:val="0"/>
      <w:divBdr>
        <w:top w:val="none" w:sz="0" w:space="0" w:color="auto"/>
        <w:left w:val="none" w:sz="0" w:space="0" w:color="auto"/>
        <w:bottom w:val="none" w:sz="0" w:space="0" w:color="auto"/>
        <w:right w:val="none" w:sz="0" w:space="0" w:color="auto"/>
      </w:divBdr>
    </w:div>
    <w:div w:id="1254826885">
      <w:bodyDiv w:val="1"/>
      <w:marLeft w:val="0"/>
      <w:marRight w:val="0"/>
      <w:marTop w:val="0"/>
      <w:marBottom w:val="0"/>
      <w:divBdr>
        <w:top w:val="none" w:sz="0" w:space="0" w:color="auto"/>
        <w:left w:val="none" w:sz="0" w:space="0" w:color="auto"/>
        <w:bottom w:val="none" w:sz="0" w:space="0" w:color="auto"/>
        <w:right w:val="none" w:sz="0" w:space="0" w:color="auto"/>
      </w:divBdr>
    </w:div>
    <w:div w:id="1332221809">
      <w:bodyDiv w:val="1"/>
      <w:marLeft w:val="0"/>
      <w:marRight w:val="0"/>
      <w:marTop w:val="0"/>
      <w:marBottom w:val="0"/>
      <w:divBdr>
        <w:top w:val="none" w:sz="0" w:space="0" w:color="auto"/>
        <w:left w:val="none" w:sz="0" w:space="0" w:color="auto"/>
        <w:bottom w:val="none" w:sz="0" w:space="0" w:color="auto"/>
        <w:right w:val="none" w:sz="0" w:space="0" w:color="auto"/>
      </w:divBdr>
    </w:div>
    <w:div w:id="1334450762">
      <w:bodyDiv w:val="1"/>
      <w:marLeft w:val="0"/>
      <w:marRight w:val="0"/>
      <w:marTop w:val="0"/>
      <w:marBottom w:val="0"/>
      <w:divBdr>
        <w:top w:val="none" w:sz="0" w:space="0" w:color="auto"/>
        <w:left w:val="none" w:sz="0" w:space="0" w:color="auto"/>
        <w:bottom w:val="none" w:sz="0" w:space="0" w:color="auto"/>
        <w:right w:val="none" w:sz="0" w:space="0" w:color="auto"/>
      </w:divBdr>
    </w:div>
    <w:div w:id="1429086241">
      <w:bodyDiv w:val="1"/>
      <w:marLeft w:val="0"/>
      <w:marRight w:val="0"/>
      <w:marTop w:val="0"/>
      <w:marBottom w:val="0"/>
      <w:divBdr>
        <w:top w:val="none" w:sz="0" w:space="0" w:color="auto"/>
        <w:left w:val="none" w:sz="0" w:space="0" w:color="auto"/>
        <w:bottom w:val="none" w:sz="0" w:space="0" w:color="auto"/>
        <w:right w:val="none" w:sz="0" w:space="0" w:color="auto"/>
      </w:divBdr>
    </w:div>
    <w:div w:id="1643464811">
      <w:bodyDiv w:val="1"/>
      <w:marLeft w:val="0"/>
      <w:marRight w:val="0"/>
      <w:marTop w:val="0"/>
      <w:marBottom w:val="0"/>
      <w:divBdr>
        <w:top w:val="none" w:sz="0" w:space="0" w:color="auto"/>
        <w:left w:val="none" w:sz="0" w:space="0" w:color="auto"/>
        <w:bottom w:val="none" w:sz="0" w:space="0" w:color="auto"/>
        <w:right w:val="none" w:sz="0" w:space="0" w:color="auto"/>
      </w:divBdr>
    </w:div>
    <w:div w:id="1659580064">
      <w:bodyDiv w:val="1"/>
      <w:marLeft w:val="0"/>
      <w:marRight w:val="0"/>
      <w:marTop w:val="0"/>
      <w:marBottom w:val="0"/>
      <w:divBdr>
        <w:top w:val="none" w:sz="0" w:space="0" w:color="auto"/>
        <w:left w:val="none" w:sz="0" w:space="0" w:color="auto"/>
        <w:bottom w:val="none" w:sz="0" w:space="0" w:color="auto"/>
        <w:right w:val="none" w:sz="0" w:space="0" w:color="auto"/>
      </w:divBdr>
    </w:div>
    <w:div w:id="1709329902">
      <w:bodyDiv w:val="1"/>
      <w:marLeft w:val="0"/>
      <w:marRight w:val="0"/>
      <w:marTop w:val="0"/>
      <w:marBottom w:val="0"/>
      <w:divBdr>
        <w:top w:val="none" w:sz="0" w:space="0" w:color="auto"/>
        <w:left w:val="none" w:sz="0" w:space="0" w:color="auto"/>
        <w:bottom w:val="none" w:sz="0" w:space="0" w:color="auto"/>
        <w:right w:val="none" w:sz="0" w:space="0" w:color="auto"/>
      </w:divBdr>
    </w:div>
    <w:div w:id="1797330754">
      <w:bodyDiv w:val="1"/>
      <w:marLeft w:val="0"/>
      <w:marRight w:val="0"/>
      <w:marTop w:val="0"/>
      <w:marBottom w:val="0"/>
      <w:divBdr>
        <w:top w:val="none" w:sz="0" w:space="0" w:color="auto"/>
        <w:left w:val="none" w:sz="0" w:space="0" w:color="auto"/>
        <w:bottom w:val="none" w:sz="0" w:space="0" w:color="auto"/>
        <w:right w:val="none" w:sz="0" w:space="0" w:color="auto"/>
      </w:divBdr>
    </w:div>
    <w:div w:id="1895775064">
      <w:bodyDiv w:val="1"/>
      <w:marLeft w:val="0"/>
      <w:marRight w:val="0"/>
      <w:marTop w:val="0"/>
      <w:marBottom w:val="0"/>
      <w:divBdr>
        <w:top w:val="none" w:sz="0" w:space="0" w:color="auto"/>
        <w:left w:val="none" w:sz="0" w:space="0" w:color="auto"/>
        <w:bottom w:val="none" w:sz="0" w:space="0" w:color="auto"/>
        <w:right w:val="none" w:sz="0" w:space="0" w:color="auto"/>
      </w:divBdr>
    </w:div>
    <w:div w:id="2119904828">
      <w:bodyDiv w:val="1"/>
      <w:marLeft w:val="0"/>
      <w:marRight w:val="0"/>
      <w:marTop w:val="0"/>
      <w:marBottom w:val="0"/>
      <w:divBdr>
        <w:top w:val="none" w:sz="0" w:space="0" w:color="auto"/>
        <w:left w:val="none" w:sz="0" w:space="0" w:color="auto"/>
        <w:bottom w:val="none" w:sz="0" w:space="0" w:color="auto"/>
        <w:right w:val="none" w:sz="0" w:space="0" w:color="auto"/>
      </w:divBdr>
    </w:div>
    <w:div w:id="2129690443">
      <w:bodyDiv w:val="1"/>
      <w:marLeft w:val="0"/>
      <w:marRight w:val="0"/>
      <w:marTop w:val="0"/>
      <w:marBottom w:val="0"/>
      <w:divBdr>
        <w:top w:val="none" w:sz="0" w:space="0" w:color="auto"/>
        <w:left w:val="none" w:sz="0" w:space="0" w:color="auto"/>
        <w:bottom w:val="none" w:sz="0" w:space="0" w:color="auto"/>
        <w:right w:val="none" w:sz="0" w:space="0" w:color="auto"/>
      </w:divBdr>
    </w:div>
    <w:div w:id="2130395611">
      <w:bodyDiv w:val="1"/>
      <w:marLeft w:val="0"/>
      <w:marRight w:val="0"/>
      <w:marTop w:val="0"/>
      <w:marBottom w:val="0"/>
      <w:divBdr>
        <w:top w:val="none" w:sz="0" w:space="0" w:color="auto"/>
        <w:left w:val="none" w:sz="0" w:space="0" w:color="auto"/>
        <w:bottom w:val="none" w:sz="0" w:space="0" w:color="auto"/>
        <w:right w:val="none" w:sz="0" w:space="0" w:color="auto"/>
      </w:divBdr>
    </w:div>
    <w:div w:id="21450061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bean.money/beanstalk.pdf" TargetMode="External"/><Relationship Id="rId26" Type="http://schemas.openxmlformats.org/officeDocument/2006/relationships/hyperlink" Target="https://cardano.org/ouroboros/" TargetMode="External"/><Relationship Id="rId39" Type="http://schemas.openxmlformats.org/officeDocument/2006/relationships/hyperlink" Target="https://www.rev.com/" TargetMode="External"/><Relationship Id="rId21" Type="http://schemas.openxmlformats.org/officeDocument/2006/relationships/hyperlink" Target="https://academy.binance.com/en/articles/a-quick-guide-to-bnb-staking-on-binance-smart-chain-bsc" TargetMode="External"/><Relationship Id="rId34" Type="http://schemas.openxmlformats.org/officeDocument/2006/relationships/hyperlink" Target="https://lightning.network/lightning-network-paper.pdf" TargetMode="External"/><Relationship Id="rId42" Type="http://schemas.openxmlformats.org/officeDocument/2006/relationships/hyperlink" Target="https://docs.sushi.com/" TargetMode="Externa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github.com/aave/protocol-v2/blob/master/aave-v2-whitepaper.pdf" TargetMode="External"/><Relationship Id="rId29" Type="http://schemas.openxmlformats.org/officeDocument/2006/relationships/hyperlink" Target="https://curve.fi/files/stableswap-pape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hyperlink" Target="https://docs.blocknative.com/" TargetMode="External"/><Relationship Id="rId32" Type="http://schemas.openxmlformats.org/officeDocument/2006/relationships/hyperlink" Target="https://docs.harvest.finance/" TargetMode="External"/><Relationship Id="rId37" Type="http://schemas.openxmlformats.org/officeDocument/2006/relationships/hyperlink" Target="https://polkadot.network/PolkaDotPaper.pdf" TargetMode="External"/><Relationship Id="rId40" Type="http://schemas.openxmlformats.org/officeDocument/2006/relationships/hyperlink" Target="https://docs.roninchain.com/" TargetMode="External"/><Relationship Id="rId45" Type="http://schemas.openxmlformats.org/officeDocument/2006/relationships/hyperlink" Target="https://info.uniswap.org"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github.com/binance-chain/whitepaper/blob/master/WHITEPAPER.md" TargetMode="External"/><Relationship Id="rId28" Type="http://schemas.openxmlformats.org/officeDocument/2006/relationships/hyperlink" Target="https://compound.finance/documents/Compound.Whitepaper.pdf" TargetMode="External"/><Relationship Id="rId36" Type="http://schemas.openxmlformats.org/officeDocument/2006/relationships/hyperlink" Target="https://docs.platypus.finance/" TargetMode="External"/><Relationship Id="rId10" Type="http://schemas.microsoft.com/office/2011/relationships/commentsExtended" Target="commentsExtended.xml"/><Relationship Id="rId19" Type="http://schemas.openxmlformats.org/officeDocument/2006/relationships/hyperlink" Target="https://docs.biconomy.io/" TargetMode="External"/><Relationship Id="rId31" Type="http://schemas.openxmlformats.org/officeDocument/2006/relationships/hyperlink" Target="https://github.com/EOSIO/Documentation/blob/master/TechnicalWhitePaper.md" TargetMode="External"/><Relationship Id="rId44" Type="http://schemas.openxmlformats.org/officeDocument/2006/relationships/hyperlink" Target="https://tron.network/static/doc/white_paper_v_2_0.pdf"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jpg"/><Relationship Id="rId22" Type="http://schemas.openxmlformats.org/officeDocument/2006/relationships/hyperlink" Target="https://academy.binance.com/en/articles/an-introduction-to-bnb-smart-chain-bsc" TargetMode="External"/><Relationship Id="rId27" Type="http://schemas.openxmlformats.org/officeDocument/2006/relationships/hyperlink" Target="https://help.coinbase.com/en/pro/trading-and-funding/trading-rules-and-fees/fees" TargetMode="External"/><Relationship Id="rId30" Type="http://schemas.openxmlformats.org/officeDocument/2006/relationships/hyperlink" Target="https://everstake.one/crypto-reports/polygon-matic-staking-rewards-on-chain-analysis-q2-2023" TargetMode="External"/><Relationship Id="rId35" Type="http://schemas.openxmlformats.org/officeDocument/2006/relationships/hyperlink" Target="https://docs.pickle.finance/" TargetMode="External"/><Relationship Id="rId43" Type="http://schemas.openxmlformats.org/officeDocument/2006/relationships/hyperlink" Target="https://assets.website-files.com/611153e7af981472d8da199c/618b02d13e938ae1f8ad1e45_Terra_White_paper.pdf"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microsoft.com/office/2018/08/relationships/commentsExtensible" Target="commentsExtensible.xml"/><Relationship Id="rId17" Type="http://schemas.openxmlformats.org/officeDocument/2006/relationships/hyperlink" Target="https://www.algorand.com/technology/white-papers" TargetMode="External"/><Relationship Id="rId25" Type="http://schemas.openxmlformats.org/officeDocument/2006/relationships/hyperlink" Target="https://docs.build.finance/" TargetMode="External"/><Relationship Id="rId33" Type="http://schemas.openxmlformats.org/officeDocument/2006/relationships/hyperlink" Target="https://docs.lido.fi" TargetMode="External"/><Relationship Id="rId38" Type="http://schemas.openxmlformats.org/officeDocument/2006/relationships/hyperlink" Target="https://polygon.technology/papers/pol-whitepaper" TargetMode="External"/><Relationship Id="rId46" Type="http://schemas.openxmlformats.org/officeDocument/2006/relationships/fontTable" Target="fontTable.xml"/><Relationship Id="rId20" Type="http://schemas.openxmlformats.org/officeDocument/2006/relationships/hyperlink" Target="https://www.binance.com/en/fee/schedule" TargetMode="External"/><Relationship Id="rId41" Type="http://schemas.openxmlformats.org/officeDocument/2006/relationships/hyperlink" Target="https://solana.com/solana-whitepap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4947</TotalTime>
  <Pages>256</Pages>
  <Words>104681</Words>
  <Characters>570515</Characters>
  <Application>Microsoft Office Word</Application>
  <DocSecurity>0</DocSecurity>
  <Lines>20375</Lines>
  <Paragraphs>11641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663555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James Punch</cp:lastModifiedBy>
  <cp:revision>813</cp:revision>
  <dcterms:created xsi:type="dcterms:W3CDTF">2025-10-25T16:10:00Z</dcterms:created>
  <dcterms:modified xsi:type="dcterms:W3CDTF">2025-11-29T00:47:00Z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c3d8cc5693003d6f4ebf31f7e38e698bb393b9a646bcd26905ee074e24a92954</vt:lpwstr>
  </property>
</Properties>
</file>